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default" w:ascii="Times New Roman" w:hAnsi="Times New Roman" w:eastAsia="方正小标宋简体" w:cs="Times New Roman"/>
          <w:sz w:val="72"/>
          <w:szCs w:val="72"/>
        </w:rPr>
      </w:pPr>
      <w:bookmarkStart w:id="0" w:name="_Toc15396597"/>
      <w:bookmarkStart w:id="1" w:name="_Toc15378441"/>
      <w:bookmarkStart w:id="2" w:name="_Toc15396475"/>
      <w:bookmarkStart w:id="3" w:name="_Toc15377193"/>
      <w:bookmarkStart w:id="4" w:name="_Toc15377425"/>
      <w:bookmarkStart w:id="5" w:name="_Toc15306267"/>
    </w:p>
    <w:p>
      <w:pPr>
        <w:adjustRightInd w:val="0"/>
        <w:snapToGrid w:val="0"/>
        <w:spacing w:line="360" w:lineRule="auto"/>
        <w:jc w:val="center"/>
        <w:outlineLvl w:val="0"/>
        <w:rPr>
          <w:rFonts w:hint="default" w:ascii="Times New Roman" w:hAnsi="Times New Roman" w:eastAsia="方正小标宋简体" w:cs="Times New Roman"/>
          <w:sz w:val="56"/>
          <w:szCs w:val="56"/>
        </w:rPr>
      </w:pPr>
    </w:p>
    <w:p>
      <w:pPr>
        <w:adjustRightInd w:val="0"/>
        <w:snapToGrid w:val="0"/>
        <w:spacing w:line="360" w:lineRule="auto"/>
        <w:jc w:val="center"/>
        <w:outlineLvl w:val="0"/>
        <w:rPr>
          <w:rFonts w:hint="default" w:ascii="Times New Roman" w:hAnsi="Times New Roman" w:eastAsia="方正小标宋简体" w:cs="Times New Roman"/>
          <w:sz w:val="56"/>
          <w:szCs w:val="56"/>
        </w:rPr>
      </w:pPr>
    </w:p>
    <w:bookmarkEnd w:id="0"/>
    <w:bookmarkEnd w:id="1"/>
    <w:bookmarkEnd w:id="2"/>
    <w:bookmarkEnd w:id="3"/>
    <w:bookmarkEnd w:id="4"/>
    <w:p>
      <w:pPr>
        <w:adjustRightInd w:val="0"/>
        <w:snapToGrid w:val="0"/>
        <w:spacing w:line="360" w:lineRule="auto"/>
        <w:jc w:val="both"/>
        <w:outlineLvl w:val="0"/>
        <w:rPr>
          <w:rFonts w:hint="default" w:ascii="Times New Roman" w:hAnsi="Times New Roman" w:eastAsia="方正小标宋简体" w:cs="Times New Roman"/>
          <w:sz w:val="56"/>
          <w:szCs w:val="56"/>
        </w:rPr>
      </w:pPr>
    </w:p>
    <w:bookmarkEnd w:id="5"/>
    <w:p>
      <w:pPr>
        <w:adjustRightInd w:val="0"/>
        <w:snapToGrid w:val="0"/>
        <w:spacing w:line="360" w:lineRule="auto"/>
        <w:jc w:val="center"/>
        <w:outlineLvl w:val="0"/>
        <w:rPr>
          <w:rFonts w:hint="default" w:ascii="Times New Roman" w:hAnsi="Times New Roman" w:eastAsia="方正小标宋简体" w:cs="Times New Roman"/>
          <w:sz w:val="56"/>
          <w:szCs w:val="56"/>
        </w:rPr>
      </w:pPr>
      <w:bookmarkStart w:id="6" w:name="_Toc15306268"/>
      <w:bookmarkStart w:id="7" w:name="_Toc15396476"/>
      <w:bookmarkStart w:id="8" w:name="_Toc15377194"/>
      <w:bookmarkStart w:id="9" w:name="_Toc15396598"/>
      <w:bookmarkStart w:id="10" w:name="_Toc15377426"/>
      <w:bookmarkStart w:id="11" w:name="_Toc15378442"/>
      <w:r>
        <w:rPr>
          <w:rFonts w:hint="default" w:ascii="Times New Roman" w:hAnsi="Times New Roman" w:eastAsia="方正小标宋简体" w:cs="Times New Roman"/>
          <w:sz w:val="56"/>
          <w:szCs w:val="56"/>
        </w:rPr>
        <w:t>攀枝花市西区商务局</w:t>
      </w:r>
    </w:p>
    <w:p>
      <w:pPr>
        <w:adjustRightInd w:val="0"/>
        <w:snapToGrid w:val="0"/>
        <w:spacing w:line="360" w:lineRule="auto"/>
        <w:jc w:val="center"/>
        <w:outlineLvl w:val="0"/>
        <w:rPr>
          <w:rFonts w:hint="eastAsia" w:ascii="Times New Roman" w:hAnsi="Times New Roman" w:eastAsia="方正小标宋简体" w:cs="Times New Roman"/>
          <w:sz w:val="56"/>
          <w:szCs w:val="56"/>
          <w:lang w:eastAsia="zh-CN"/>
        </w:rPr>
      </w:pPr>
      <w:r>
        <w:rPr>
          <w:rFonts w:hint="eastAsia" w:eastAsia="方正小标宋简体" w:cs="Times New Roman"/>
          <w:sz w:val="56"/>
          <w:szCs w:val="56"/>
          <w:lang w:eastAsia="zh-CN"/>
        </w:rPr>
        <w:t>2024</w:t>
      </w:r>
      <w:r>
        <w:rPr>
          <w:rFonts w:hint="default" w:ascii="Times New Roman" w:hAnsi="Times New Roman" w:eastAsia="方正小标宋简体" w:cs="Times New Roman"/>
          <w:sz w:val="56"/>
          <w:szCs w:val="56"/>
        </w:rPr>
        <w:t>年度</w:t>
      </w:r>
      <w:r>
        <w:rPr>
          <w:rFonts w:hint="eastAsia" w:eastAsia="方正小标宋简体" w:cs="Times New Roman"/>
          <w:sz w:val="56"/>
          <w:szCs w:val="56"/>
          <w:lang w:eastAsia="zh-CN"/>
        </w:rPr>
        <w:t>单位</w:t>
      </w:r>
      <w:r>
        <w:rPr>
          <w:rFonts w:hint="default" w:ascii="Times New Roman" w:hAnsi="Times New Roman" w:eastAsia="方正小标宋简体" w:cs="Times New Roman"/>
          <w:sz w:val="56"/>
          <w:szCs w:val="56"/>
        </w:rPr>
        <w:t>决算</w:t>
      </w:r>
      <w:bookmarkEnd w:id="6"/>
      <w:bookmarkEnd w:id="7"/>
      <w:bookmarkEnd w:id="8"/>
      <w:bookmarkEnd w:id="9"/>
      <w:bookmarkEnd w:id="10"/>
      <w:bookmarkEnd w:id="11"/>
      <w:r>
        <w:rPr>
          <w:rFonts w:hint="eastAsia" w:eastAsia="方正小标宋简体" w:cs="Times New Roman"/>
          <w:sz w:val="56"/>
          <w:szCs w:val="56"/>
          <w:lang w:eastAsia="zh-CN"/>
        </w:rPr>
        <w:t>公开</w:t>
      </w:r>
    </w:p>
    <w:p>
      <w:pPr>
        <w:pStyle w:val="9"/>
        <w:rPr>
          <w:rFonts w:hint="default" w:ascii="Times New Roman" w:hAnsi="Times New Roman" w:eastAsia="方正小标宋简体" w:cs="Times New Roman"/>
          <w:lang w:val="en-US" w:eastAsia="zh-CN"/>
        </w:rPr>
      </w:pPr>
      <w:r>
        <w:rPr>
          <w:rFonts w:hint="default" w:ascii="Times New Roman" w:hAnsi="Times New Roman" w:eastAsia="方正小标宋简体" w:cs="Times New Roman"/>
          <w:sz w:val="56"/>
          <w:szCs w:val="56"/>
          <w:lang w:val="en-US" w:eastAsia="zh-CN"/>
        </w:rPr>
        <w:t xml:space="preserve">           编制说明</w:t>
      </w:r>
    </w:p>
    <w:p>
      <w:pPr>
        <w:widowControl/>
        <w:jc w:val="center"/>
        <w:rPr>
          <w:rFonts w:hint="default" w:ascii="Times New Roman" w:hAnsi="Times New Roman" w:eastAsia="黑体" w:cs="Times New Roman"/>
          <w:sz w:val="48"/>
          <w:szCs w:val="48"/>
        </w:rPr>
      </w:pPr>
      <w:r>
        <w:rPr>
          <w:rFonts w:hint="default" w:ascii="Times New Roman" w:hAnsi="Times New Roman" w:eastAsia="方正小标宋简体" w:cs="Times New Roman"/>
          <w:sz w:val="36"/>
          <w:szCs w:val="36"/>
        </w:rPr>
        <w:br w:type="page"/>
      </w:r>
      <w:r>
        <w:rPr>
          <w:rFonts w:hint="default" w:ascii="Times New Roman" w:hAnsi="Times New Roman" w:eastAsia="黑体" w:cs="Times New Roman"/>
          <w:sz w:val="48"/>
          <w:szCs w:val="48"/>
        </w:rPr>
        <w:t>目录</w:t>
      </w:r>
    </w:p>
    <w:p>
      <w:pPr>
        <w:widowControl/>
        <w:jc w:val="center"/>
        <w:rPr>
          <w:rFonts w:hint="default" w:ascii="Times New Roman" w:hAnsi="Times New Roman" w:eastAsia="黑体" w:cs="Times New Roman"/>
          <w:sz w:val="28"/>
          <w:szCs w:val="28"/>
        </w:rPr>
      </w:pPr>
    </w:p>
    <w:p>
      <w:pPr>
        <w:pStyle w:val="15"/>
        <w:rPr>
          <w:rFonts w:hint="default" w:ascii="Times New Roman" w:hAnsi="Times New Roman" w:cs="Times New Roman"/>
        </w:rPr>
      </w:pPr>
      <w:r>
        <w:rPr>
          <w:rFonts w:hint="default" w:ascii="Times New Roman" w:hAnsi="Times New Roman" w:cs="Times New Roman"/>
        </w:rPr>
        <w:t>公开时间：</w:t>
      </w:r>
      <w:r>
        <w:rPr>
          <w:rFonts w:hint="eastAsia" w:ascii="Times New Roman" w:hAnsi="Times New Roman" w:cs="Times New Roman"/>
          <w:lang w:eastAsia="zh-CN"/>
        </w:rPr>
        <w:t>2024</w:t>
      </w:r>
      <w:r>
        <w:rPr>
          <w:rFonts w:hint="default" w:ascii="Times New Roman" w:hAnsi="Times New Roman" w:cs="Times New Roman"/>
        </w:rPr>
        <w:t>年1</w:t>
      </w:r>
      <w:r>
        <w:rPr>
          <w:rFonts w:hint="eastAsia" w:ascii="Times New Roman" w:hAnsi="Times New Roman" w:cs="Times New Roman"/>
          <w:lang w:val="en-US" w:eastAsia="zh-CN"/>
        </w:rPr>
        <w:t>1</w:t>
      </w:r>
      <w:r>
        <w:rPr>
          <w:rFonts w:hint="default" w:ascii="Times New Roman" w:hAnsi="Times New Roman" w:cs="Times New Roman"/>
        </w:rPr>
        <w:t>月</w:t>
      </w:r>
      <w:r>
        <w:rPr>
          <w:rFonts w:hint="eastAsia" w:ascii="Times New Roman" w:hAnsi="Times New Roman" w:cs="Times New Roman"/>
          <w:lang w:val="en-US" w:eastAsia="zh-CN"/>
        </w:rPr>
        <w:t>2</w:t>
      </w:r>
      <w:r>
        <w:rPr>
          <w:rFonts w:hint="default" w:ascii="Times New Roman" w:hAnsi="Times New Roman" w:cs="Times New Roman"/>
        </w:rPr>
        <w:t>日</w:t>
      </w:r>
    </w:p>
    <w:p>
      <w:pPr>
        <w:rPr>
          <w:rFonts w:hint="default" w:ascii="Times New Roman" w:hAnsi="Times New Roman" w:cs="Times New Roman"/>
        </w:rPr>
      </w:pPr>
    </w:p>
    <w:p>
      <w:pPr>
        <w:pStyle w:val="15"/>
        <w:adjustRightInd w:val="0"/>
        <w:snapToGrid w:val="0"/>
        <w:spacing w:before="0"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第一部分</w:t>
      </w:r>
      <w:r>
        <w:rPr>
          <w:rFonts w:hint="eastAsia" w:ascii="Times New Roman" w:hAnsi="Times New Roman" w:cs="Times New Roman"/>
          <w:sz w:val="24"/>
          <w:szCs w:val="24"/>
          <w:lang w:eastAsia="zh-CN"/>
        </w:rPr>
        <w:t>单位</w:t>
      </w:r>
      <w:r>
        <w:rPr>
          <w:rFonts w:hint="default" w:ascii="Times New Roman" w:hAnsi="Times New Roman" w:cs="Times New Roman"/>
          <w:sz w:val="24"/>
          <w:szCs w:val="24"/>
        </w:rPr>
        <w:t>概况</w:t>
      </w:r>
      <w:r>
        <w:rPr>
          <w:rFonts w:hint="default" w:ascii="Times New Roman" w:hAnsi="Times New Roman" w:cs="Times New Roman"/>
          <w:sz w:val="24"/>
        </w:rPr>
        <w:tab/>
      </w:r>
      <w:r>
        <w:rPr>
          <w:rFonts w:hint="default" w:ascii="Times New Roman" w:hAnsi="Times New Roman" w:cs="Times New Roman"/>
          <w:sz w:val="24"/>
          <w:szCs w:val="24"/>
        </w:rPr>
        <w:t>4</w:t>
      </w:r>
    </w:p>
    <w:p>
      <w:pPr>
        <w:pStyle w:val="16"/>
        <w:numPr>
          <w:ilvl w:val="0"/>
          <w:numId w:val="0"/>
        </w:numPr>
        <w:adjustRightInd w:val="0"/>
        <w:snapToGrid w:val="0"/>
        <w:spacing w:line="440" w:lineRule="exact"/>
        <w:ind w:left="420" w:leftChars="0"/>
        <w:jc w:val="left"/>
        <w:rPr>
          <w:rFonts w:hint="default" w:ascii="Times New Roman" w:hAnsi="Times New Roman" w:cs="Times New Roman"/>
          <w:sz w:val="24"/>
        </w:rPr>
      </w:pPr>
      <w:r>
        <w:rPr>
          <w:rFonts w:hint="default" w:ascii="Times New Roman" w:hAnsi="Times New Roman" w:cs="Times New Roman"/>
          <w:sz w:val="24"/>
          <w:lang w:eastAsia="zh-CN"/>
        </w:rPr>
        <w:t>一、</w:t>
      </w:r>
      <w:r>
        <w:rPr>
          <w:rFonts w:hint="eastAsia" w:cs="Times New Roman"/>
          <w:sz w:val="24"/>
          <w:lang w:eastAsia="zh-CN"/>
        </w:rPr>
        <w:t>单位</w:t>
      </w:r>
      <w:r>
        <w:rPr>
          <w:rFonts w:hint="default" w:ascii="Times New Roman" w:hAnsi="Times New Roman" w:cs="Times New Roman"/>
          <w:sz w:val="24"/>
        </w:rPr>
        <w:t>职责</w:t>
      </w:r>
      <w:r>
        <w:rPr>
          <w:rFonts w:hint="default" w:ascii="Times New Roman" w:hAnsi="Times New Roman" w:cs="Times New Roman"/>
          <w:sz w:val="24"/>
        </w:rPr>
        <w:tab/>
      </w:r>
      <w:r>
        <w:rPr>
          <w:rFonts w:hint="default" w:ascii="Times New Roman" w:hAnsi="Times New Roman" w:cs="Times New Roman"/>
          <w:sz w:val="24"/>
        </w:rPr>
        <w:t>4</w:t>
      </w:r>
    </w:p>
    <w:p>
      <w:pPr>
        <w:pStyle w:val="16"/>
        <w:adjustRightInd w:val="0"/>
        <w:snapToGrid w:val="0"/>
        <w:spacing w:line="440" w:lineRule="exact"/>
        <w:jc w:val="left"/>
        <w:rPr>
          <w:rFonts w:hint="eastAsia" w:ascii="Times New Roman" w:hAnsi="Times New Roman" w:eastAsia="宋体" w:cs="Times New Roman"/>
          <w:sz w:val="24"/>
          <w:lang w:val="en-US" w:eastAsia="zh-CN"/>
        </w:rPr>
      </w:pPr>
      <w:r>
        <w:rPr>
          <w:rFonts w:hint="default" w:ascii="Times New Roman" w:hAnsi="Times New Roman" w:cs="Times New Roman"/>
          <w:sz w:val="24"/>
        </w:rPr>
        <w:t>二、机构设置</w:t>
      </w:r>
      <w:r>
        <w:rPr>
          <w:rFonts w:hint="default" w:ascii="Times New Roman" w:hAnsi="Times New Roman" w:cs="Times New Roman"/>
          <w:sz w:val="24"/>
        </w:rPr>
        <w:tab/>
      </w:r>
      <w:r>
        <w:rPr>
          <w:rFonts w:hint="eastAsia" w:cs="Times New Roman"/>
          <w:sz w:val="24"/>
          <w:lang w:val="en-US" w:eastAsia="zh-CN"/>
        </w:rPr>
        <w:t>6</w:t>
      </w:r>
    </w:p>
    <w:p>
      <w:pPr>
        <w:pStyle w:val="15"/>
        <w:adjustRightInd w:val="0"/>
        <w:snapToGrid w:val="0"/>
        <w:spacing w:before="0" w:line="440" w:lineRule="exact"/>
        <w:jc w:val="left"/>
        <w:rPr>
          <w:rFonts w:hint="eastAsia" w:ascii="Times New Roman" w:hAnsi="Times New Roman" w:eastAsia="仿宋" w:cs="Times New Roman"/>
          <w:sz w:val="24"/>
          <w:szCs w:val="24"/>
          <w:lang w:val="en-US" w:eastAsia="zh-CN"/>
        </w:rPr>
      </w:pPr>
      <w:r>
        <w:rPr>
          <w:rFonts w:hint="default" w:ascii="Times New Roman" w:hAnsi="Times New Roman" w:cs="Times New Roman"/>
          <w:sz w:val="24"/>
        </w:rPr>
        <w:t xml:space="preserve">第二部分 </w:t>
      </w:r>
      <w:r>
        <w:rPr>
          <w:rFonts w:hint="eastAsia" w:ascii="Times New Roman" w:hAnsi="Times New Roman" w:cs="Times New Roman"/>
          <w:sz w:val="24"/>
          <w:lang w:eastAsia="zh-CN"/>
        </w:rPr>
        <w:t>2024</w:t>
      </w:r>
      <w:r>
        <w:rPr>
          <w:rFonts w:hint="default" w:ascii="Times New Roman" w:hAnsi="Times New Roman" w:cs="Times New Roman"/>
          <w:sz w:val="24"/>
        </w:rPr>
        <w:t>年度</w:t>
      </w:r>
      <w:r>
        <w:rPr>
          <w:rFonts w:hint="eastAsia" w:ascii="Times New Roman" w:hAnsi="Times New Roman" w:cs="Times New Roman"/>
          <w:sz w:val="24"/>
          <w:lang w:eastAsia="zh-CN"/>
        </w:rPr>
        <w:t>单位</w:t>
      </w:r>
      <w:r>
        <w:rPr>
          <w:rFonts w:hint="default" w:ascii="Times New Roman" w:hAnsi="Times New Roman" w:cs="Times New Roman"/>
          <w:sz w:val="24"/>
        </w:rPr>
        <w:t>决算情况说明</w:t>
      </w:r>
      <w:r>
        <w:rPr>
          <w:rFonts w:hint="default" w:ascii="Times New Roman" w:hAnsi="Times New Roman" w:cs="Times New Roman"/>
          <w:sz w:val="24"/>
        </w:rPr>
        <w:tab/>
      </w:r>
      <w:r>
        <w:rPr>
          <w:rFonts w:hint="eastAsia" w:ascii="Times New Roman" w:hAnsi="Times New Roman" w:cs="Times New Roman"/>
          <w:sz w:val="24"/>
          <w:lang w:val="en-US" w:eastAsia="zh-CN"/>
        </w:rPr>
        <w:t>7</w:t>
      </w:r>
    </w:p>
    <w:p>
      <w:pPr>
        <w:pStyle w:val="16"/>
        <w:numPr>
          <w:ilvl w:val="0"/>
          <w:numId w:val="0"/>
        </w:numPr>
        <w:adjustRightInd w:val="0"/>
        <w:snapToGrid w:val="0"/>
        <w:spacing w:line="440" w:lineRule="exact"/>
        <w:ind w:left="420" w:leftChars="0"/>
        <w:jc w:val="left"/>
        <w:rPr>
          <w:rFonts w:hint="eastAsia" w:ascii="Times New Roman" w:hAnsi="Times New Roman" w:eastAsia="宋体" w:cs="Times New Roman"/>
          <w:sz w:val="24"/>
          <w:lang w:val="en-US" w:eastAsia="zh-CN"/>
        </w:rPr>
      </w:pPr>
      <w:r>
        <w:rPr>
          <w:rFonts w:hint="default" w:ascii="Times New Roman" w:hAnsi="Times New Roman" w:cs="Times New Roman"/>
          <w:sz w:val="24"/>
          <w:lang w:eastAsia="zh-CN"/>
        </w:rPr>
        <w:t>一、</w:t>
      </w:r>
      <w:r>
        <w:rPr>
          <w:rFonts w:hint="default" w:ascii="Times New Roman" w:hAnsi="Times New Roman" w:cs="Times New Roman"/>
          <w:sz w:val="24"/>
        </w:rPr>
        <w:t>收入支出决算总体情况说明</w:t>
      </w:r>
      <w:r>
        <w:rPr>
          <w:rFonts w:hint="default" w:ascii="Times New Roman" w:hAnsi="Times New Roman" w:cs="Times New Roman"/>
          <w:sz w:val="24"/>
        </w:rPr>
        <w:tab/>
      </w:r>
      <w:r>
        <w:rPr>
          <w:rFonts w:hint="eastAsia" w:cs="Times New Roman"/>
          <w:sz w:val="24"/>
          <w:lang w:val="en-US" w:eastAsia="zh-CN"/>
        </w:rPr>
        <w:t>7</w:t>
      </w:r>
    </w:p>
    <w:p>
      <w:pPr>
        <w:pStyle w:val="16"/>
        <w:adjustRightInd w:val="0"/>
        <w:snapToGrid w:val="0"/>
        <w:spacing w:line="440" w:lineRule="exact"/>
        <w:jc w:val="left"/>
        <w:rPr>
          <w:rFonts w:hint="eastAsia" w:ascii="Times New Roman" w:hAnsi="Times New Roman" w:eastAsia="宋体" w:cs="Times New Roman"/>
          <w:sz w:val="24"/>
          <w:lang w:val="en-US" w:eastAsia="zh-CN"/>
        </w:rPr>
      </w:pPr>
      <w:r>
        <w:rPr>
          <w:rFonts w:hint="default" w:ascii="Times New Roman" w:hAnsi="Times New Roman" w:cs="Times New Roman"/>
          <w:sz w:val="24"/>
        </w:rPr>
        <w:t>二、收入决算情况说明</w:t>
      </w:r>
      <w:r>
        <w:rPr>
          <w:rFonts w:hint="default" w:ascii="Times New Roman" w:hAnsi="Times New Roman" w:cs="Times New Roman"/>
          <w:sz w:val="24"/>
        </w:rPr>
        <w:tab/>
      </w:r>
      <w:r>
        <w:rPr>
          <w:rFonts w:hint="eastAsia" w:cs="Times New Roman"/>
          <w:sz w:val="24"/>
          <w:lang w:val="en-US" w:eastAsia="zh-CN"/>
        </w:rPr>
        <w:t>8</w:t>
      </w:r>
    </w:p>
    <w:p>
      <w:pPr>
        <w:pStyle w:val="16"/>
        <w:adjustRightInd w:val="0"/>
        <w:snapToGrid w:val="0"/>
        <w:spacing w:line="440" w:lineRule="exact"/>
        <w:jc w:val="left"/>
        <w:rPr>
          <w:rFonts w:hint="eastAsia" w:ascii="Times New Roman" w:hAnsi="Times New Roman" w:eastAsia="宋体" w:cs="Times New Roman"/>
          <w:sz w:val="24"/>
          <w:lang w:val="en-US" w:eastAsia="zh-CN"/>
        </w:rPr>
      </w:pPr>
      <w:r>
        <w:rPr>
          <w:rFonts w:hint="default" w:ascii="Times New Roman" w:hAnsi="Times New Roman" w:cs="Times New Roman"/>
          <w:sz w:val="24"/>
        </w:rPr>
        <w:t>三、支出决算情况说明</w:t>
      </w:r>
      <w:r>
        <w:rPr>
          <w:rFonts w:hint="default" w:ascii="Times New Roman" w:hAnsi="Times New Roman" w:cs="Times New Roman"/>
          <w:sz w:val="24"/>
        </w:rPr>
        <w:tab/>
      </w:r>
      <w:r>
        <w:rPr>
          <w:rFonts w:hint="eastAsia" w:cs="Times New Roman"/>
          <w:sz w:val="24"/>
          <w:lang w:val="en-US" w:eastAsia="zh-CN"/>
        </w:rPr>
        <w:t>8</w:t>
      </w:r>
    </w:p>
    <w:p>
      <w:pPr>
        <w:pStyle w:val="16"/>
        <w:adjustRightInd w:val="0"/>
        <w:snapToGrid w:val="0"/>
        <w:spacing w:line="440" w:lineRule="exact"/>
        <w:jc w:val="left"/>
        <w:rPr>
          <w:rFonts w:hint="eastAsia" w:ascii="Times New Roman" w:hAnsi="Times New Roman" w:eastAsia="宋体" w:cs="Times New Roman"/>
          <w:sz w:val="24"/>
          <w:lang w:val="en-US" w:eastAsia="zh-CN"/>
        </w:rPr>
      </w:pPr>
      <w:r>
        <w:rPr>
          <w:rFonts w:hint="default" w:ascii="Times New Roman" w:hAnsi="Times New Roman" w:cs="Times New Roman"/>
          <w:sz w:val="24"/>
        </w:rPr>
        <w:t>四、财政拨款收入支出决算总体情况说明</w:t>
      </w:r>
      <w:r>
        <w:rPr>
          <w:rFonts w:hint="default" w:ascii="Times New Roman" w:hAnsi="Times New Roman" w:cs="Times New Roman"/>
          <w:sz w:val="24"/>
        </w:rPr>
        <w:tab/>
      </w:r>
      <w:r>
        <w:rPr>
          <w:rFonts w:hint="eastAsia" w:cs="Times New Roman"/>
          <w:sz w:val="24"/>
          <w:lang w:val="en-US" w:eastAsia="zh-CN"/>
        </w:rPr>
        <w:t>9</w:t>
      </w:r>
    </w:p>
    <w:p>
      <w:pPr>
        <w:pStyle w:val="16"/>
        <w:adjustRightInd w:val="0"/>
        <w:snapToGrid w:val="0"/>
        <w:spacing w:line="440" w:lineRule="exact"/>
        <w:jc w:val="left"/>
        <w:rPr>
          <w:rFonts w:hint="default" w:ascii="Times New Roman" w:hAnsi="Times New Roman" w:cs="Times New Roman"/>
          <w:sz w:val="24"/>
        </w:rPr>
      </w:pPr>
      <w:r>
        <w:rPr>
          <w:rFonts w:hint="default" w:ascii="Times New Roman" w:hAnsi="Times New Roman" w:cs="Times New Roman"/>
          <w:sz w:val="24"/>
        </w:rPr>
        <w:t>五、一般公共预算财政拨款支出决算情况说明</w:t>
      </w:r>
      <w:r>
        <w:rPr>
          <w:rFonts w:hint="default" w:ascii="Times New Roman" w:hAnsi="Times New Roman" w:cs="Times New Roman"/>
          <w:sz w:val="24"/>
        </w:rPr>
        <w:tab/>
      </w:r>
      <w:r>
        <w:rPr>
          <w:rFonts w:hint="default" w:ascii="Times New Roman" w:hAnsi="Times New Roman" w:cs="Times New Roman"/>
          <w:sz w:val="24"/>
        </w:rPr>
        <w:t>9</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sz w:val="24"/>
        </w:rPr>
        <w:t>六、一般公共预算财政拨款基本支出决算情况说明</w:t>
      </w:r>
      <w:r>
        <w:rPr>
          <w:rFonts w:hint="default" w:ascii="Times New Roman" w:hAnsi="Times New Roman" w:cs="Times New Roman"/>
          <w:sz w:val="24"/>
        </w:rPr>
        <w:tab/>
      </w:r>
      <w:r>
        <w:rPr>
          <w:rFonts w:hint="default" w:ascii="Times New Roman" w:hAnsi="Times New Roman" w:cs="Times New Roman" w:eastAsiaTheme="minorEastAsia"/>
          <w:sz w:val="24"/>
        </w:rPr>
        <w:t>1</w:t>
      </w:r>
      <w:r>
        <w:rPr>
          <w:rFonts w:hint="eastAsia" w:cs="Times New Roman" w:eastAsiaTheme="minorEastAsia"/>
          <w:sz w:val="24"/>
          <w:lang w:val="en-US" w:eastAsia="zh-CN"/>
        </w:rPr>
        <w:t>2</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七、财政拨款“三公”经费财政拨款支出决算情况说明</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1</w:t>
      </w:r>
      <w:r>
        <w:rPr>
          <w:rFonts w:hint="eastAsia" w:cs="Times New Roman" w:eastAsiaTheme="minorEastAsia"/>
          <w:sz w:val="24"/>
          <w:lang w:val="en-US" w:eastAsia="zh-CN"/>
        </w:rPr>
        <w:t>3</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 xml:space="preserve">八、政府性基金预算支出决算情况说明 </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1</w:t>
      </w:r>
      <w:r>
        <w:rPr>
          <w:rFonts w:hint="eastAsia" w:cs="Times New Roman" w:eastAsiaTheme="minorEastAsia"/>
          <w:sz w:val="24"/>
          <w:lang w:val="en-US" w:eastAsia="zh-CN"/>
        </w:rPr>
        <w:t>3</w:t>
      </w:r>
    </w:p>
    <w:p>
      <w:pPr>
        <w:pStyle w:val="16"/>
        <w:adjustRightInd w:val="0"/>
        <w:snapToGrid w:val="0"/>
        <w:spacing w:line="440" w:lineRule="exact"/>
        <w:ind w:leftChars="0"/>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 xml:space="preserve">九、国有资本经营预算支出决算情况说明 </w:t>
      </w:r>
      <w:r>
        <w:rPr>
          <w:rFonts w:hint="default" w:ascii="Times New Roman" w:hAnsi="Times New Roman" w:cs="Times New Roman"/>
          <w:sz w:val="24"/>
        </w:rPr>
        <w:tab/>
      </w:r>
      <w:r>
        <w:rPr>
          <w:rFonts w:hint="default" w:ascii="Times New Roman" w:hAnsi="Times New Roman" w:cs="Times New Roman" w:eastAsiaTheme="minorEastAsia"/>
          <w:sz w:val="24"/>
        </w:rPr>
        <w:t>1</w:t>
      </w:r>
      <w:r>
        <w:rPr>
          <w:rFonts w:hint="eastAsia" w:cs="Times New Roman" w:eastAsiaTheme="minorEastAsia"/>
          <w:sz w:val="24"/>
          <w:lang w:val="en-US" w:eastAsia="zh-CN"/>
        </w:rPr>
        <w:t>4</w:t>
      </w:r>
    </w:p>
    <w:p>
      <w:pPr>
        <w:pStyle w:val="15"/>
        <w:adjustRightInd w:val="0"/>
        <w:snapToGrid w:val="0"/>
        <w:spacing w:before="0" w:line="440" w:lineRule="exact"/>
        <w:jc w:val="left"/>
        <w:rPr>
          <w:rFonts w:hint="eastAsia" w:ascii="Times New Roman" w:hAnsi="Times New Roman" w:eastAsia="仿宋" w:cs="Times New Roman"/>
          <w:sz w:val="24"/>
          <w:szCs w:val="24"/>
          <w:lang w:val="en-US" w:eastAsia="zh-CN"/>
        </w:rPr>
      </w:pPr>
      <w:r>
        <w:rPr>
          <w:rStyle w:val="20"/>
          <w:rFonts w:hint="default" w:ascii="Times New Roman" w:hAnsi="Times New Roman" w:cs="Times New Roman" w:eastAsiaTheme="minorEastAsia"/>
          <w:color w:val="auto"/>
          <w:sz w:val="24"/>
          <w:u w:val="none"/>
        </w:rPr>
        <w:t xml:space="preserve">    十、</w:t>
      </w:r>
      <w:r>
        <w:rPr>
          <w:rFonts w:hint="default" w:ascii="Times New Roman" w:hAnsi="Times New Roman" w:cs="Times New Roman" w:eastAsiaTheme="minorEastAsia"/>
          <w:sz w:val="24"/>
        </w:rPr>
        <w:t>其他重要事项的情况说明</w:t>
      </w:r>
      <w:r>
        <w:rPr>
          <w:rFonts w:hint="default" w:ascii="Times New Roman" w:hAnsi="Times New Roman" w:cs="Times New Roman"/>
          <w:sz w:val="24"/>
        </w:rPr>
        <w:tab/>
      </w:r>
      <w:r>
        <w:rPr>
          <w:rFonts w:hint="default" w:ascii="Times New Roman" w:hAnsi="Times New Roman" w:cs="Times New Roman"/>
          <w:sz w:val="24"/>
        </w:rPr>
        <w:t>1</w:t>
      </w:r>
      <w:r>
        <w:rPr>
          <w:rFonts w:hint="eastAsia" w:ascii="Times New Roman" w:hAnsi="Times New Roman" w:cs="Times New Roman"/>
          <w:sz w:val="24"/>
          <w:lang w:val="en-US" w:eastAsia="zh-CN"/>
        </w:rPr>
        <w:t>4</w:t>
      </w:r>
    </w:p>
    <w:p>
      <w:pPr>
        <w:pStyle w:val="15"/>
        <w:adjustRightInd w:val="0"/>
        <w:snapToGrid w:val="0"/>
        <w:spacing w:before="0" w:line="440" w:lineRule="exact"/>
        <w:jc w:val="left"/>
        <w:rPr>
          <w:rFonts w:hint="eastAsia" w:ascii="Times New Roman" w:hAnsi="Times New Roman" w:eastAsia="仿宋" w:cs="Times New Roman"/>
          <w:sz w:val="24"/>
          <w:szCs w:val="24"/>
          <w:lang w:val="en-US" w:eastAsia="zh-CN"/>
        </w:rPr>
      </w:pPr>
      <w:r>
        <w:rPr>
          <w:rFonts w:hint="default" w:ascii="Times New Roman" w:hAnsi="Times New Roman" w:cs="Times New Roman"/>
          <w:sz w:val="24"/>
        </w:rPr>
        <w:t>第三部分名词解释</w:t>
      </w:r>
      <w:r>
        <w:rPr>
          <w:rFonts w:hint="default" w:ascii="Times New Roman" w:hAnsi="Times New Roman" w:cs="Times New Roman"/>
          <w:sz w:val="24"/>
        </w:rPr>
        <w:tab/>
      </w:r>
      <w:r>
        <w:rPr>
          <w:rFonts w:hint="default" w:ascii="Times New Roman" w:hAnsi="Times New Roman" w:cs="Times New Roman"/>
          <w:sz w:val="24"/>
        </w:rPr>
        <w:t>1</w:t>
      </w:r>
      <w:r>
        <w:rPr>
          <w:rFonts w:hint="eastAsia" w:ascii="Times New Roman" w:hAnsi="Times New Roman" w:cs="Times New Roman"/>
          <w:sz w:val="24"/>
          <w:lang w:val="en-US" w:eastAsia="zh-CN"/>
        </w:rPr>
        <w:t>6</w:t>
      </w:r>
    </w:p>
    <w:p>
      <w:pPr>
        <w:pStyle w:val="15"/>
        <w:adjustRightInd w:val="0"/>
        <w:snapToGrid w:val="0"/>
        <w:spacing w:before="0" w:line="440" w:lineRule="exact"/>
        <w:jc w:val="left"/>
        <w:rPr>
          <w:rFonts w:hint="default" w:ascii="Times New Roman" w:hAnsi="Times New Roman" w:eastAsia="仿宋" w:cs="Times New Roman"/>
          <w:sz w:val="24"/>
          <w:szCs w:val="24"/>
          <w:lang w:val="en-US" w:eastAsia="zh-CN"/>
        </w:rPr>
      </w:pPr>
      <w:r>
        <w:rPr>
          <w:rFonts w:hint="default" w:ascii="Times New Roman" w:hAnsi="Times New Roman" w:cs="Times New Roman"/>
          <w:sz w:val="24"/>
        </w:rPr>
        <w:t>第四部分附件</w:t>
      </w:r>
      <w:r>
        <w:rPr>
          <w:rFonts w:hint="default" w:ascii="Times New Roman" w:hAnsi="Times New Roman" w:cs="Times New Roman"/>
          <w:sz w:val="24"/>
        </w:rPr>
        <w:tab/>
      </w:r>
      <w:r>
        <w:rPr>
          <w:rFonts w:hint="eastAsia" w:ascii="Times New Roman" w:hAnsi="Times New Roman" w:cs="Times New Roman"/>
          <w:sz w:val="24"/>
          <w:lang w:val="en-US" w:eastAsia="zh-CN"/>
        </w:rPr>
        <w:t>20</w:t>
      </w:r>
    </w:p>
    <w:p>
      <w:pPr>
        <w:pStyle w:val="15"/>
        <w:adjustRightInd w:val="0"/>
        <w:snapToGrid w:val="0"/>
        <w:spacing w:before="0" w:line="440" w:lineRule="exact"/>
        <w:jc w:val="left"/>
        <w:rPr>
          <w:rFonts w:hint="eastAsia" w:ascii="Times New Roman" w:hAnsi="Times New Roman" w:eastAsia="仿宋" w:cs="Times New Roman"/>
          <w:sz w:val="24"/>
          <w:lang w:val="en-US" w:eastAsia="zh-CN"/>
        </w:rPr>
      </w:pPr>
      <w:r>
        <w:rPr>
          <w:rFonts w:hint="default" w:ascii="Times New Roman" w:hAnsi="Times New Roman" w:cs="Times New Roman"/>
          <w:sz w:val="24"/>
        </w:rPr>
        <w:t>第五部分附表</w:t>
      </w:r>
      <w:r>
        <w:rPr>
          <w:rFonts w:hint="default" w:ascii="Times New Roman" w:hAnsi="Times New Roman" w:cs="Times New Roman"/>
          <w:sz w:val="24"/>
        </w:rPr>
        <w:tab/>
      </w:r>
      <w:r>
        <w:rPr>
          <w:rFonts w:hint="default" w:ascii="Times New Roman" w:hAnsi="Times New Roman" w:cs="Times New Roman"/>
          <w:sz w:val="24"/>
        </w:rPr>
        <w:t>3</w:t>
      </w:r>
      <w:r>
        <w:rPr>
          <w:rFonts w:hint="eastAsia" w:ascii="Times New Roman" w:hAnsi="Times New Roman" w:cs="Times New Roman"/>
          <w:sz w:val="24"/>
          <w:lang w:val="en-US" w:eastAsia="zh-CN"/>
        </w:rPr>
        <w:t>4</w:t>
      </w:r>
    </w:p>
    <w:p>
      <w:pPr>
        <w:pStyle w:val="15"/>
        <w:adjustRightInd w:val="0"/>
        <w:snapToGrid w:val="0"/>
        <w:spacing w:before="0" w:line="440" w:lineRule="exact"/>
        <w:ind w:firstLine="480" w:firstLineChars="200"/>
        <w:jc w:val="left"/>
        <w:rPr>
          <w:rFonts w:hint="eastAsia" w:ascii="Times New Roman" w:hAnsi="Times New Roman" w:eastAsia="仿宋" w:cs="Times New Roman"/>
          <w:sz w:val="24"/>
          <w:szCs w:val="24"/>
          <w:lang w:val="en-US" w:eastAsia="zh-CN"/>
        </w:rPr>
      </w:pPr>
      <w:r>
        <w:rPr>
          <w:rFonts w:hint="default" w:ascii="Times New Roman" w:hAnsi="Times New Roman" w:cs="Times New Roman" w:eastAsiaTheme="minorEastAsia"/>
          <w:sz w:val="24"/>
        </w:rPr>
        <w:t>一、收入支出决算总表</w:t>
      </w:r>
      <w:r>
        <w:rPr>
          <w:rFonts w:hint="default" w:ascii="Times New Roman" w:hAnsi="Times New Roman" w:cs="Times New Roman"/>
          <w:sz w:val="24"/>
        </w:rPr>
        <w:tab/>
      </w:r>
      <w:r>
        <w:rPr>
          <w:rFonts w:hint="default" w:ascii="Times New Roman" w:hAnsi="Times New Roman" w:cs="Times New Roman"/>
          <w:sz w:val="24"/>
        </w:rPr>
        <w:t>3</w:t>
      </w:r>
      <w:r>
        <w:rPr>
          <w:rFonts w:hint="eastAsia" w:ascii="Times New Roman" w:hAnsi="Times New Roman" w:cs="Times New Roman"/>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二、收入决算表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三、支出决算表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四、财政拨款收入支出决算总表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五、财政拨款支出决算明细表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六、一般公共预算财政拨款支出决算表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七、一般公共预算财政拨款支出决算明细表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八、一般公共预算财政拨款基本支出决算表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九、一般公共预算财政拨款项目支出决算表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十、政府性基金预算财政拨款收入支出决算表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bookmarkStart w:id="75" w:name="_GoBack"/>
    </w:p>
    <w:bookmarkEnd w:id="75"/>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十一、国有资本经营预算财政拨款收入支出决算表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十二、国有资本经营预算财政拨款支出决算表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十三、财政拨款“三公”经费支出决算表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rPr>
          <w:rFonts w:hint="default" w:ascii="Times New Roman" w:hAnsi="Times New Roman" w:cs="Times New Roman"/>
        </w:rPr>
      </w:pPr>
    </w:p>
    <w:p>
      <w:pPr>
        <w:pStyle w:val="5"/>
        <w:jc w:val="center"/>
        <w:rPr>
          <w:rFonts w:hint="default" w:ascii="Times New Roman" w:hAnsi="Times New Roman" w:eastAsia="黑体" w:cs="Times New Roman"/>
          <w:b w:val="0"/>
        </w:rPr>
      </w:pPr>
      <w:bookmarkStart w:id="12" w:name="_Toc15377196"/>
      <w:bookmarkStart w:id="13" w:name="_Toc15396599"/>
    </w:p>
    <w:p>
      <w:pPr>
        <w:pStyle w:val="5"/>
        <w:jc w:val="center"/>
        <w:rPr>
          <w:rFonts w:hint="default" w:ascii="Times New Roman" w:hAnsi="Times New Roman" w:eastAsia="黑体" w:cs="Times New Roman"/>
          <w:b w:val="0"/>
        </w:rPr>
      </w:pPr>
    </w:p>
    <w:p>
      <w:pPr>
        <w:pStyle w:val="5"/>
        <w:jc w:val="center"/>
        <w:rPr>
          <w:rFonts w:hint="default" w:ascii="Times New Roman" w:hAnsi="Times New Roman" w:eastAsia="黑体" w:cs="Times New Roman"/>
          <w:b w:val="0"/>
        </w:rPr>
      </w:pPr>
    </w:p>
    <w:p>
      <w:pPr>
        <w:pStyle w:val="5"/>
        <w:jc w:val="center"/>
        <w:rPr>
          <w:rFonts w:hint="default" w:ascii="Times New Roman" w:hAnsi="Times New Roman" w:eastAsia="黑体" w:cs="Times New Roman"/>
          <w:b w:val="0"/>
        </w:rPr>
      </w:pPr>
    </w:p>
    <w:p>
      <w:pPr>
        <w:pStyle w:val="5"/>
        <w:rPr>
          <w:rFonts w:hint="default" w:ascii="Times New Roman" w:hAnsi="Times New Roman" w:eastAsia="黑体" w:cs="Times New Roman"/>
          <w:b w:val="0"/>
        </w:rPr>
      </w:pPr>
    </w:p>
    <w:p>
      <w:pPr>
        <w:rPr>
          <w:rFonts w:hint="default" w:ascii="Times New Roman" w:hAnsi="Times New Roman" w:cs="Times New Roman"/>
        </w:rPr>
      </w:pPr>
    </w:p>
    <w:p>
      <w:pPr>
        <w:pStyle w:val="9"/>
        <w:spacing w:before="93"/>
        <w:rPr>
          <w:rFonts w:hint="default" w:ascii="Times New Roman" w:hAnsi="Times New Roman" w:cs="Times New Roman"/>
        </w:rPr>
      </w:pPr>
    </w:p>
    <w:p>
      <w:pPr>
        <w:pStyle w:val="9"/>
        <w:spacing w:before="93"/>
        <w:rPr>
          <w:rFonts w:hint="default" w:ascii="Times New Roman" w:hAnsi="Times New Roman" w:cs="Times New Roman"/>
        </w:rPr>
      </w:pPr>
    </w:p>
    <w:p>
      <w:pPr>
        <w:pStyle w:val="9"/>
        <w:spacing w:before="93"/>
        <w:rPr>
          <w:rFonts w:hint="default" w:ascii="Times New Roman" w:hAnsi="Times New Roman" w:cs="Times New Roman"/>
        </w:rPr>
      </w:pPr>
    </w:p>
    <w:p>
      <w:pPr>
        <w:pStyle w:val="9"/>
        <w:spacing w:before="93"/>
        <w:rPr>
          <w:rFonts w:hint="default" w:ascii="Times New Roman" w:hAnsi="Times New Roman" w:cs="Times New Roman"/>
        </w:rPr>
      </w:pPr>
    </w:p>
    <w:p>
      <w:pPr>
        <w:pStyle w:val="5"/>
        <w:jc w:val="center"/>
        <w:rPr>
          <w:rStyle w:val="29"/>
          <w:rFonts w:hint="default" w:ascii="Times New Roman" w:hAnsi="Times New Roman" w:eastAsia="黑体" w:cs="Times New Roman"/>
          <w:b w:val="0"/>
          <w:bCs w:val="0"/>
        </w:rPr>
      </w:pPr>
      <w:r>
        <w:rPr>
          <w:rFonts w:hint="default" w:ascii="Times New Roman" w:hAnsi="Times New Roman" w:eastAsia="黑体" w:cs="Times New Roman"/>
          <w:b w:val="0"/>
        </w:rPr>
        <w:t>第一部分</w:t>
      </w:r>
      <w:r>
        <w:rPr>
          <w:rStyle w:val="29"/>
          <w:rFonts w:hint="eastAsia" w:eastAsia="黑体" w:cs="Times New Roman"/>
          <w:b w:val="0"/>
          <w:bCs w:val="0"/>
          <w:lang w:eastAsia="zh-CN"/>
        </w:rPr>
        <w:t>单位</w:t>
      </w:r>
      <w:r>
        <w:rPr>
          <w:rStyle w:val="29"/>
          <w:rFonts w:hint="default" w:ascii="Times New Roman" w:hAnsi="Times New Roman" w:eastAsia="黑体" w:cs="Times New Roman"/>
          <w:b w:val="0"/>
          <w:bCs w:val="0"/>
        </w:rPr>
        <w:t>概况</w:t>
      </w:r>
      <w:bookmarkEnd w:id="12"/>
      <w:bookmarkEnd w:id="13"/>
      <w:bookmarkStart w:id="14" w:name="_Toc15396600"/>
      <w:bookmarkStart w:id="15" w:name="_Toc15377197"/>
    </w:p>
    <w:p>
      <w:pPr>
        <w:pStyle w:val="5"/>
        <w:jc w:val="left"/>
        <w:rPr>
          <w:rStyle w:val="30"/>
          <w:rFonts w:hint="default" w:ascii="Times New Roman" w:hAnsi="Times New Roman" w:eastAsia="黑体" w:cs="Times New Roman"/>
          <w:b/>
          <w:bCs w:val="0"/>
          <w:kern w:val="44"/>
        </w:rPr>
      </w:pPr>
      <w:r>
        <w:rPr>
          <w:rFonts w:hint="default" w:ascii="Times New Roman" w:hAnsi="Times New Roman" w:eastAsia="黑体" w:cs="Times New Roman"/>
          <w:b w:val="0"/>
          <w:sz w:val="32"/>
          <w:szCs w:val="32"/>
        </w:rPr>
        <w:t xml:space="preserve">    一、</w:t>
      </w:r>
      <w:bookmarkEnd w:id="14"/>
      <w:bookmarkEnd w:id="15"/>
      <w:bookmarkStart w:id="16" w:name="_Toc15378445"/>
      <w:bookmarkStart w:id="17" w:name="_Toc15377198"/>
      <w:r>
        <w:rPr>
          <w:rFonts w:hint="eastAsia" w:eastAsia="黑体" w:cs="Times New Roman"/>
          <w:b w:val="0"/>
          <w:sz w:val="32"/>
          <w:szCs w:val="32"/>
          <w:lang w:eastAsia="zh-CN"/>
        </w:rPr>
        <w:t>单位</w:t>
      </w:r>
      <w:r>
        <w:rPr>
          <w:rFonts w:hint="default" w:ascii="Times New Roman" w:hAnsi="Times New Roman" w:eastAsia="黑体" w:cs="Times New Roman"/>
          <w:b w:val="0"/>
          <w:sz w:val="32"/>
          <w:szCs w:val="32"/>
        </w:rPr>
        <w:t>职责</w:t>
      </w:r>
    </w:p>
    <w:p>
      <w:pPr>
        <w:pStyle w:val="6"/>
        <w:rPr>
          <w:rFonts w:hint="default" w:ascii="Times New Roman" w:hAnsi="Times New Roman" w:eastAsia="黑体" w:cs="Times New Roman"/>
          <w:b w:val="0"/>
          <w:bCs w:val="0"/>
        </w:rPr>
      </w:pPr>
      <w:r>
        <w:rPr>
          <w:rStyle w:val="30"/>
          <w:rFonts w:hint="default" w:ascii="Times New Roman" w:hAnsi="Times New Roman" w:eastAsia="黑体" w:cs="Times New Roman"/>
          <w:b w:val="0"/>
          <w:bCs w:val="0"/>
        </w:rPr>
        <w:t xml:space="preserve">   </w:t>
      </w:r>
      <w:r>
        <w:rPr>
          <w:rStyle w:val="30"/>
          <w:rFonts w:hint="default" w:ascii="Times New Roman" w:hAnsi="Times New Roman" w:eastAsia="仿宋_GB2312" w:cs="Times New Roman"/>
          <w:b/>
          <w:bCs w:val="0"/>
        </w:rPr>
        <w:t xml:space="preserve"> </w:t>
      </w:r>
      <w:r>
        <w:rPr>
          <w:rStyle w:val="30"/>
          <w:rFonts w:hint="default" w:ascii="Times New Roman" w:hAnsi="Times New Roman" w:eastAsia="仿宋_GB2312" w:cs="Times New Roman"/>
          <w:b w:val="0"/>
          <w:bCs w:val="0"/>
        </w:rPr>
        <w:t>攀枝花市西区商务局</w:t>
      </w:r>
      <w:r>
        <w:rPr>
          <w:rFonts w:hint="default" w:ascii="Times New Roman" w:hAnsi="Times New Roman" w:eastAsia="仿宋_GB2312" w:cs="Times New Roman"/>
          <w:b w:val="0"/>
        </w:rPr>
        <w:t>主要有以下</w:t>
      </w:r>
      <w:r>
        <w:rPr>
          <w:rFonts w:hint="eastAsia" w:ascii="Times New Roman" w:hAnsi="Times New Roman" w:eastAsia="仿宋_GB2312" w:cs="Times New Roman"/>
          <w:b w:val="0"/>
          <w:lang w:eastAsia="zh-CN"/>
        </w:rPr>
        <w:t>单位</w:t>
      </w:r>
      <w:r>
        <w:rPr>
          <w:rFonts w:hint="default" w:ascii="Times New Roman" w:hAnsi="Times New Roman" w:eastAsia="仿宋_GB2312" w:cs="Times New Roman"/>
          <w:b w:val="0"/>
        </w:rPr>
        <w:t>职</w:t>
      </w:r>
      <w:bookmarkEnd w:id="16"/>
      <w:bookmarkEnd w:id="17"/>
      <w:r>
        <w:rPr>
          <w:rFonts w:hint="default" w:ascii="Times New Roman" w:hAnsi="Times New Roman" w:eastAsia="仿宋_GB2312" w:cs="Times New Roman"/>
          <w:b w:val="0"/>
        </w:rPr>
        <w:t>责:</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（一）</w:t>
      </w:r>
      <w:r>
        <w:rPr>
          <w:rFonts w:hint="default" w:ascii="Times New Roman" w:hAnsi="Times New Roman" w:eastAsia="仿宋" w:cs="Times New Roman"/>
          <w:sz w:val="32"/>
          <w:szCs w:val="32"/>
        </w:rPr>
        <w:t>贯彻执行国家、省、市、区有关内外贸易、对外经济合作的法律法规和方针政策，拟订并组织实施全区商务发展规划、计划和相关政策措施。</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（二）</w:t>
      </w:r>
      <w:r>
        <w:rPr>
          <w:rFonts w:hint="default" w:ascii="Times New Roman" w:hAnsi="Times New Roman" w:eastAsia="仿宋" w:cs="Times New Roman"/>
          <w:sz w:val="32"/>
          <w:szCs w:val="32"/>
        </w:rPr>
        <w:t>承担指导和协调全区服务业发展的职责。推进流通产业结构调整，指导流通企业改革，加快商贸服务业、社区商业和第三方物流发展，推动流通标准化和连锁经营、商业特许经营、物流配送、电子商务等现代流通方式的发展。</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（三）</w:t>
      </w:r>
      <w:r>
        <w:rPr>
          <w:rFonts w:hint="default" w:ascii="Times New Roman" w:hAnsi="Times New Roman" w:eastAsia="仿宋" w:cs="Times New Roman"/>
          <w:sz w:val="32"/>
          <w:szCs w:val="32"/>
        </w:rPr>
        <w:t>指导城市商业网点规划和商业体系建设工作，推进农村市场体系建设，组织实施农村现代流通网络工程，促进城乡市场一体化发展。</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（四）</w:t>
      </w:r>
      <w:r>
        <w:rPr>
          <w:rFonts w:hint="default" w:ascii="Times New Roman" w:hAnsi="Times New Roman" w:eastAsia="仿宋" w:cs="Times New Roman"/>
          <w:sz w:val="32"/>
          <w:szCs w:val="32"/>
        </w:rPr>
        <w:t>组织开展商务领域行政综合执法，推动商务领域信用建设。按规定对拍卖、直销和旧货流通行业等进行监督管理。指导流通领域节能降耗和再生资源回收管理工作。</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（五）</w:t>
      </w:r>
      <w:r>
        <w:rPr>
          <w:rFonts w:hint="default" w:ascii="Times New Roman" w:hAnsi="Times New Roman" w:eastAsia="仿宋" w:cs="Times New Roman"/>
          <w:sz w:val="32"/>
          <w:szCs w:val="32"/>
        </w:rPr>
        <w:t>负责重要消费品市场调控和重要商品流通管理，建立健全生活必需品市场供应应急管理机制，监测分析市场运行和商品供求状况，提出调控建议。调查分析商品价格信息，进行预测预警和信息引导。</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（六）</w:t>
      </w:r>
      <w:r>
        <w:rPr>
          <w:rFonts w:hint="default" w:ascii="Times New Roman" w:hAnsi="Times New Roman" w:eastAsia="仿宋" w:cs="Times New Roman"/>
          <w:sz w:val="32"/>
          <w:szCs w:val="32"/>
        </w:rPr>
        <w:t>贯彻落实电子商务的法律法规和方针政策，推动全区电子商务服务体系建设。指导电子商务公共服务平台建设。推进电子商务与产业融合，支持中小电子商务企业发展。推进电子商务进农村、进企业、进社区；发展平台经济、共享经济等数字经济新业态新模式。</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（七）</w:t>
      </w:r>
      <w:r>
        <w:rPr>
          <w:rFonts w:hint="default" w:ascii="Times New Roman" w:hAnsi="Times New Roman" w:eastAsia="仿宋" w:cs="Times New Roman"/>
          <w:sz w:val="32"/>
          <w:szCs w:val="32"/>
        </w:rPr>
        <w:t>贯彻执行国家对外贸易、服务贸易和对外经济合作方针政策。指导协调全区进出口、外商投资企业进出口工作，负责加工贸易管理和服务。指导全区国际服务贸易，促进服务贸易出口，管理技术贸易工作。组织企业开展境外贸易和国内涉外贸易促进活动。依法指导、管理和监督全区对外承包工程、对外劳务合作等对外经济合作业务。</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（八）</w:t>
      </w:r>
      <w:r>
        <w:rPr>
          <w:rFonts w:hint="default" w:ascii="Times New Roman" w:hAnsi="Times New Roman" w:eastAsia="仿宋" w:cs="Times New Roman"/>
          <w:sz w:val="32"/>
          <w:szCs w:val="32"/>
        </w:rPr>
        <w:t>负责区委、区政府交办的区内外会展活动的组织协调，指导和监督在西区辖区内举办的各种商贸交易会、展览会、展销会等活动。</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（九）</w:t>
      </w:r>
      <w:r>
        <w:rPr>
          <w:rFonts w:hint="default" w:ascii="Times New Roman" w:hAnsi="Times New Roman" w:eastAsia="仿宋" w:cs="Times New Roman"/>
          <w:sz w:val="32"/>
          <w:szCs w:val="32"/>
        </w:rPr>
        <w:t>组织实施对街道、镇、各有关</w:t>
      </w:r>
      <w:r>
        <w:rPr>
          <w:rFonts w:hint="eastAsia" w:eastAsia="仿宋" w:cs="Times New Roman"/>
          <w:sz w:val="32"/>
          <w:szCs w:val="32"/>
          <w:lang w:eastAsia="zh-CN"/>
        </w:rPr>
        <w:t>单位</w:t>
      </w:r>
      <w:r>
        <w:rPr>
          <w:rFonts w:hint="default" w:ascii="Times New Roman" w:hAnsi="Times New Roman" w:eastAsia="仿宋" w:cs="Times New Roman"/>
          <w:sz w:val="32"/>
          <w:szCs w:val="32"/>
        </w:rPr>
        <w:t>商贸及服务业发展目标和项目年度考核。</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（十）</w:t>
      </w:r>
      <w:r>
        <w:rPr>
          <w:rFonts w:hint="default" w:ascii="Times New Roman" w:hAnsi="Times New Roman" w:eastAsia="仿宋" w:cs="Times New Roman"/>
          <w:sz w:val="32"/>
          <w:szCs w:val="32"/>
        </w:rPr>
        <w:t>负责职责范围内的安全生产和职业健康、生态环境保护、审批服务便民化等工作。</w:t>
      </w:r>
    </w:p>
    <w:p>
      <w:pPr>
        <w:pStyle w:val="9"/>
        <w:adjustRightInd w:val="0"/>
        <w:snapToGrid w:val="0"/>
        <w:spacing w:before="93" w:line="600" w:lineRule="exact"/>
        <w:ind w:firstLine="672" w:firstLineChars="210"/>
        <w:outlineLvl w:val="2"/>
        <w:rPr>
          <w:rFonts w:hint="default" w:ascii="Times New Roman" w:hAnsi="Times New Roman" w:eastAsia="仿宋" w:cs="Times New Roman"/>
          <w:bCs/>
          <w:sz w:val="32"/>
          <w:szCs w:val="32"/>
        </w:rPr>
      </w:pPr>
      <w:r>
        <w:rPr>
          <w:rFonts w:hint="eastAsia" w:eastAsia="仿宋" w:cs="Times New Roman"/>
          <w:sz w:val="32"/>
          <w:szCs w:val="32"/>
          <w:lang w:eastAsia="zh-CN"/>
        </w:rPr>
        <w:t>（十一）</w:t>
      </w:r>
      <w:r>
        <w:rPr>
          <w:rFonts w:hint="default" w:ascii="Times New Roman" w:hAnsi="Times New Roman" w:eastAsia="仿宋" w:cs="Times New Roman"/>
          <w:sz w:val="32"/>
          <w:szCs w:val="32"/>
        </w:rPr>
        <w:t>完成区委和区政府交办的其他任务。</w:t>
      </w:r>
    </w:p>
    <w:p>
      <w:pPr>
        <w:pStyle w:val="6"/>
        <w:rPr>
          <w:rStyle w:val="30"/>
          <w:rFonts w:hint="default" w:ascii="Times New Roman" w:hAnsi="Times New Roman" w:cs="Times New Roman"/>
          <w:b w:val="0"/>
          <w:bCs w:val="0"/>
        </w:rPr>
      </w:pPr>
      <w:bookmarkStart w:id="18" w:name="_Toc15396601"/>
      <w:bookmarkStart w:id="19" w:name="_Toc15377200"/>
      <w:r>
        <w:rPr>
          <w:rFonts w:hint="default" w:ascii="Times New Roman" w:hAnsi="Times New Roman" w:eastAsia="黑体" w:cs="Times New Roman"/>
          <w:b w:val="0"/>
        </w:rPr>
        <w:t xml:space="preserve">    二、机</w:t>
      </w:r>
      <w:r>
        <w:rPr>
          <w:rStyle w:val="30"/>
          <w:rFonts w:hint="default" w:ascii="Times New Roman" w:hAnsi="Times New Roman" w:eastAsia="黑体" w:cs="Times New Roman"/>
          <w:b w:val="0"/>
          <w:bCs w:val="0"/>
        </w:rPr>
        <w:t>构设置</w:t>
      </w:r>
      <w:bookmarkEnd w:id="18"/>
      <w:bookmarkEnd w:id="19"/>
    </w:p>
    <w:p>
      <w:pPr>
        <w:ind w:firstLine="640" w:firstLineChars="200"/>
        <w:rPr>
          <w:rFonts w:hint="default" w:ascii="Times New Roman" w:hAnsi="Times New Roman" w:eastAsia="仿宋" w:cs="Times New Roman"/>
          <w:sz w:val="32"/>
          <w:szCs w:val="32"/>
        </w:rPr>
      </w:pPr>
      <w:bookmarkStart w:id="20" w:name="_Toc15377432"/>
      <w:bookmarkStart w:id="21" w:name="_Toc15306275"/>
      <w:bookmarkStart w:id="22" w:name="_Toc15377201"/>
      <w:bookmarkStart w:id="23" w:name="_Toc15378448"/>
      <w:r>
        <w:rPr>
          <w:rFonts w:hint="default" w:ascii="Times New Roman" w:hAnsi="Times New Roman" w:eastAsia="仿宋" w:cs="Times New Roman"/>
          <w:sz w:val="32"/>
          <w:szCs w:val="32"/>
        </w:rPr>
        <w:t>（一）攀枝花市西区商务局下属二级单位</w:t>
      </w:r>
      <w:r>
        <w:rPr>
          <w:rFonts w:hint="eastAsia" w:eastAsia="仿宋" w:cs="Times New Roman"/>
          <w:sz w:val="32"/>
          <w:szCs w:val="32"/>
          <w:lang w:val="en-US" w:eastAsia="zh-CN"/>
        </w:rPr>
        <w:t>1</w:t>
      </w:r>
      <w:r>
        <w:rPr>
          <w:rFonts w:hint="default" w:ascii="Times New Roman" w:hAnsi="Times New Roman" w:eastAsia="仿宋" w:cs="Times New Roman"/>
          <w:sz w:val="32"/>
          <w:szCs w:val="32"/>
        </w:rPr>
        <w:t>个，其中行政单位0个，其他事业单位1个（</w:t>
      </w:r>
      <w:r>
        <w:rPr>
          <w:rFonts w:hint="default" w:ascii="Times New Roman" w:hAnsi="Times New Roman" w:eastAsia="仿宋" w:cs="Times New Roman"/>
          <w:color w:val="000000" w:themeColor="text1"/>
          <w:sz w:val="32"/>
          <w:szCs w:val="32"/>
          <w14:textFill>
            <w14:solidFill>
              <w14:schemeClr w14:val="tx1"/>
            </w14:solidFill>
          </w14:textFill>
        </w:rPr>
        <w:t>攀枝花市</w:t>
      </w:r>
      <w:r>
        <w:rPr>
          <w:rFonts w:hint="default" w:ascii="Times New Roman" w:hAnsi="Times New Roman" w:eastAsia="仿宋" w:cs="Times New Roman"/>
          <w:sz w:val="32"/>
          <w:szCs w:val="32"/>
        </w:rPr>
        <w:t>西区现代服务业发展促进中心）。</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（二）纳入攀枝花市西区商务局</w:t>
      </w:r>
      <w:r>
        <w:rPr>
          <w:rFonts w:hint="eastAsia" w:eastAsia="仿宋" w:cs="Times New Roman"/>
          <w:sz w:val="32"/>
          <w:szCs w:val="32"/>
          <w:lang w:eastAsia="zh-CN"/>
        </w:rPr>
        <w:t>2024</w:t>
      </w:r>
      <w:r>
        <w:rPr>
          <w:rFonts w:hint="default" w:ascii="Times New Roman" w:hAnsi="Times New Roman" w:eastAsia="仿宋" w:cs="Times New Roman"/>
          <w:sz w:val="32"/>
          <w:szCs w:val="32"/>
        </w:rPr>
        <w:t>年度</w:t>
      </w:r>
      <w:r>
        <w:rPr>
          <w:rFonts w:hint="eastAsia" w:eastAsia="仿宋" w:cs="Times New Roman"/>
          <w:sz w:val="32"/>
          <w:szCs w:val="32"/>
          <w:lang w:eastAsia="zh-CN"/>
        </w:rPr>
        <w:t>单位</w:t>
      </w:r>
      <w:r>
        <w:rPr>
          <w:rFonts w:hint="default" w:ascii="Times New Roman" w:hAnsi="Times New Roman" w:eastAsia="仿宋" w:cs="Times New Roman"/>
          <w:sz w:val="32"/>
          <w:szCs w:val="32"/>
        </w:rPr>
        <w:t>决算编制范围的二级预算单位0个。</w:t>
      </w:r>
      <w:bookmarkEnd w:id="20"/>
      <w:bookmarkEnd w:id="21"/>
      <w:bookmarkEnd w:id="22"/>
      <w:bookmarkEnd w:id="23"/>
      <w:bookmarkStart w:id="24" w:name="_Toc15396602"/>
      <w:bookmarkStart w:id="25" w:name="_Toc15377204"/>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rPr>
      </w:pPr>
    </w:p>
    <w:p>
      <w:pPr>
        <w:ind w:firstLine="880" w:firstLineChars="200"/>
        <w:rPr>
          <w:rStyle w:val="29"/>
          <w:rFonts w:hint="default" w:ascii="Times New Roman" w:hAnsi="Times New Roman" w:eastAsia="黑体" w:cs="Times New Roman"/>
          <w:b w:val="0"/>
          <w:bCs w:val="0"/>
          <w:kern w:val="2"/>
        </w:rPr>
      </w:pPr>
      <w:r>
        <w:rPr>
          <w:rFonts w:hint="default" w:ascii="Times New Roman" w:hAnsi="Times New Roman" w:eastAsia="黑体" w:cs="Times New Roman"/>
          <w:sz w:val="44"/>
          <w:szCs w:val="44"/>
        </w:rPr>
        <w:t>第二部分</w:t>
      </w:r>
      <w:r>
        <w:rPr>
          <w:rFonts w:hint="eastAsia" w:eastAsia="黑体" w:cs="Times New Roman"/>
          <w:sz w:val="44"/>
          <w:szCs w:val="44"/>
          <w:lang w:eastAsia="zh-CN"/>
        </w:rPr>
        <w:t>2024</w:t>
      </w:r>
      <w:r>
        <w:rPr>
          <w:rFonts w:hint="default" w:ascii="Times New Roman" w:hAnsi="Times New Roman" w:eastAsia="黑体" w:cs="Times New Roman"/>
          <w:sz w:val="44"/>
          <w:szCs w:val="44"/>
        </w:rPr>
        <w:t>年度</w:t>
      </w:r>
      <w:r>
        <w:rPr>
          <w:rStyle w:val="29"/>
          <w:rFonts w:hint="eastAsia" w:eastAsia="黑体" w:cs="Times New Roman"/>
          <w:b w:val="0"/>
          <w:lang w:eastAsia="zh-CN"/>
        </w:rPr>
        <w:t>单位</w:t>
      </w:r>
      <w:r>
        <w:rPr>
          <w:rStyle w:val="29"/>
          <w:rFonts w:hint="default" w:ascii="Times New Roman" w:hAnsi="Times New Roman" w:eastAsia="黑体" w:cs="Times New Roman"/>
          <w:b w:val="0"/>
        </w:rPr>
        <w:t>决算情况说明</w:t>
      </w:r>
      <w:bookmarkEnd w:id="24"/>
      <w:bookmarkEnd w:id="25"/>
    </w:p>
    <w:p>
      <w:pPr>
        <w:rPr>
          <w:rFonts w:hint="default" w:ascii="Times New Roman" w:hAnsi="Times New Roman" w:eastAsia="黑体" w:cs="Times New Roman"/>
          <w:sz w:val="44"/>
          <w:szCs w:val="44"/>
        </w:rPr>
      </w:pPr>
    </w:p>
    <w:p>
      <w:pPr>
        <w:pStyle w:val="28"/>
        <w:numPr>
          <w:ilvl w:val="0"/>
          <w:numId w:val="1"/>
        </w:numPr>
        <w:spacing w:line="600" w:lineRule="exact"/>
        <w:ind w:firstLineChars="0"/>
        <w:outlineLvl w:val="1"/>
        <w:rPr>
          <w:rStyle w:val="30"/>
          <w:rFonts w:hint="default" w:ascii="Times New Roman" w:hAnsi="Times New Roman" w:eastAsia="黑体" w:cs="Times New Roman"/>
          <w:b w:val="0"/>
        </w:rPr>
      </w:pPr>
      <w:bookmarkStart w:id="26" w:name="_Toc15377205"/>
      <w:bookmarkStart w:id="27" w:name="_Toc15396603"/>
      <w:r>
        <w:rPr>
          <w:rFonts w:hint="default" w:ascii="Times New Roman" w:hAnsi="Times New Roman" w:eastAsia="黑体" w:cs="Times New Roman"/>
          <w:sz w:val="32"/>
          <w:szCs w:val="32"/>
        </w:rPr>
        <w:t>收</w:t>
      </w:r>
      <w:r>
        <w:rPr>
          <w:rStyle w:val="30"/>
          <w:rFonts w:hint="default" w:ascii="Times New Roman" w:hAnsi="Times New Roman" w:eastAsia="黑体" w:cs="Times New Roman"/>
          <w:b w:val="0"/>
        </w:rPr>
        <w:t>入支出决算总体情况说明</w:t>
      </w:r>
      <w:bookmarkEnd w:id="26"/>
      <w:bookmarkEnd w:id="27"/>
    </w:p>
    <w:p>
      <w:pPr>
        <w:spacing w:line="600" w:lineRule="exact"/>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年度</w:t>
      </w:r>
      <w:r>
        <w:rPr>
          <w:rFonts w:hint="eastAsia" w:eastAsia="仿宋" w:cs="Times New Roman"/>
          <w:sz w:val="32"/>
          <w:szCs w:val="32"/>
          <w:lang w:eastAsia="zh-CN"/>
        </w:rPr>
        <w:t>年初结余</w:t>
      </w:r>
      <w:r>
        <w:rPr>
          <w:rFonts w:hint="eastAsia" w:eastAsia="仿宋" w:cs="Times New Roman"/>
          <w:sz w:val="32"/>
          <w:szCs w:val="32"/>
          <w:lang w:val="en-US" w:eastAsia="zh-CN"/>
        </w:rPr>
        <w:t>13.82</w:t>
      </w:r>
      <w:r>
        <w:rPr>
          <w:rFonts w:hint="default" w:ascii="Times New Roman" w:hAnsi="Times New Roman" w:eastAsia="仿宋" w:cs="Times New Roman"/>
          <w:sz w:val="32"/>
          <w:szCs w:val="32"/>
        </w:rPr>
        <w:t>万元</w:t>
      </w:r>
      <w:r>
        <w:rPr>
          <w:rFonts w:hint="eastAsia" w:eastAsia="仿宋" w:cs="Times New Roman"/>
          <w:sz w:val="32"/>
          <w:szCs w:val="32"/>
          <w:lang w:eastAsia="zh-CN"/>
        </w:rPr>
        <w:t>，</w:t>
      </w:r>
      <w:r>
        <w:rPr>
          <w:rFonts w:hint="default" w:ascii="Times New Roman" w:hAnsi="Times New Roman" w:eastAsia="仿宋" w:cs="Times New Roman"/>
          <w:sz w:val="32"/>
          <w:szCs w:val="32"/>
        </w:rPr>
        <w:t>收入总计</w:t>
      </w:r>
      <w:r>
        <w:rPr>
          <w:rFonts w:hint="eastAsia" w:eastAsia="仿宋" w:cs="Times New Roman"/>
          <w:sz w:val="32"/>
          <w:szCs w:val="32"/>
          <w:lang w:eastAsia="zh-CN"/>
        </w:rPr>
        <w:t>3,204.02</w:t>
      </w:r>
      <w:r>
        <w:rPr>
          <w:rFonts w:hint="default" w:ascii="Times New Roman" w:hAnsi="Times New Roman" w:eastAsia="仿宋" w:cs="Times New Roman"/>
          <w:sz w:val="32"/>
          <w:szCs w:val="32"/>
        </w:rPr>
        <w:t>万元、支出总计</w:t>
      </w:r>
      <w:r>
        <w:rPr>
          <w:rFonts w:hint="eastAsia" w:eastAsia="仿宋" w:cs="Times New Roman"/>
          <w:sz w:val="32"/>
          <w:szCs w:val="32"/>
          <w:lang w:eastAsia="zh-CN"/>
        </w:rPr>
        <w:t>3,217.84</w:t>
      </w:r>
      <w:r>
        <w:rPr>
          <w:rFonts w:hint="default" w:ascii="Times New Roman" w:hAnsi="Times New Roman" w:eastAsia="仿宋" w:cs="Times New Roman"/>
          <w:sz w:val="32"/>
          <w:szCs w:val="32"/>
        </w:rPr>
        <w:t>万元。与202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年相比，收入</w:t>
      </w:r>
      <w:r>
        <w:rPr>
          <w:rFonts w:hint="eastAsia" w:eastAsia="仿宋" w:cs="Times New Roman"/>
          <w:sz w:val="32"/>
          <w:szCs w:val="32"/>
          <w:lang w:eastAsia="zh-CN"/>
        </w:rPr>
        <w:t>增加</w:t>
      </w:r>
      <w:r>
        <w:rPr>
          <w:rFonts w:hint="default" w:ascii="Times New Roman" w:hAnsi="Times New Roman" w:eastAsia="仿宋" w:cs="Times New Roman"/>
          <w:sz w:val="32"/>
          <w:szCs w:val="32"/>
        </w:rPr>
        <w:t>总计</w:t>
      </w:r>
      <w:r>
        <w:rPr>
          <w:rFonts w:hint="eastAsia" w:eastAsia="仿宋" w:cs="Times New Roman"/>
          <w:sz w:val="32"/>
          <w:szCs w:val="32"/>
          <w:lang w:val="en-US" w:eastAsia="zh-CN"/>
        </w:rPr>
        <w:t>2773.23</w:t>
      </w:r>
      <w:r>
        <w:rPr>
          <w:rFonts w:hint="default" w:ascii="Times New Roman" w:hAnsi="Times New Roman" w:eastAsia="仿宋" w:cs="Times New Roman"/>
          <w:sz w:val="32"/>
          <w:szCs w:val="32"/>
        </w:rPr>
        <w:t>万元，</w:t>
      </w:r>
      <w:r>
        <w:rPr>
          <w:rFonts w:hint="eastAsia" w:eastAsia="仿宋" w:cs="Times New Roman"/>
          <w:sz w:val="32"/>
          <w:szCs w:val="32"/>
          <w:lang w:eastAsia="zh-CN"/>
        </w:rPr>
        <w:t>上升</w:t>
      </w:r>
      <w:r>
        <w:rPr>
          <w:rFonts w:hint="eastAsia" w:eastAsia="仿宋" w:cs="Times New Roman"/>
          <w:sz w:val="32"/>
          <w:szCs w:val="32"/>
          <w:lang w:val="en-US" w:eastAsia="zh-CN"/>
        </w:rPr>
        <w:t>643.75</w:t>
      </w:r>
      <w:r>
        <w:rPr>
          <w:rFonts w:hint="default" w:ascii="Times New Roman" w:hAnsi="Times New Roman" w:eastAsia="仿宋" w:cs="Times New Roman"/>
          <w:sz w:val="32"/>
          <w:szCs w:val="32"/>
        </w:rPr>
        <w:t>%；支出总计</w:t>
      </w:r>
      <w:r>
        <w:rPr>
          <w:rFonts w:hint="eastAsia" w:eastAsia="仿宋" w:cs="Times New Roman"/>
          <w:sz w:val="32"/>
          <w:szCs w:val="32"/>
          <w:lang w:eastAsia="zh-CN"/>
        </w:rPr>
        <w:t>增加</w:t>
      </w:r>
      <w:r>
        <w:rPr>
          <w:rFonts w:hint="eastAsia" w:eastAsia="仿宋" w:cs="Times New Roman"/>
          <w:sz w:val="32"/>
          <w:szCs w:val="32"/>
          <w:lang w:val="en-US" w:eastAsia="zh-CN"/>
        </w:rPr>
        <w:t>2683.5</w:t>
      </w:r>
      <w:r>
        <w:rPr>
          <w:rFonts w:hint="default" w:ascii="Times New Roman" w:hAnsi="Times New Roman" w:eastAsia="仿宋" w:cs="Times New Roman"/>
          <w:sz w:val="32"/>
          <w:szCs w:val="32"/>
        </w:rPr>
        <w:t>万元，</w:t>
      </w:r>
      <w:r>
        <w:rPr>
          <w:rFonts w:hint="eastAsia" w:eastAsia="仿宋" w:cs="Times New Roman"/>
          <w:sz w:val="32"/>
          <w:szCs w:val="32"/>
          <w:lang w:eastAsia="zh-CN"/>
        </w:rPr>
        <w:t>上升</w:t>
      </w:r>
      <w:r>
        <w:rPr>
          <w:rFonts w:hint="eastAsia" w:eastAsia="仿宋" w:cs="Times New Roman"/>
          <w:sz w:val="32"/>
          <w:szCs w:val="32"/>
          <w:lang w:val="en-US" w:eastAsia="zh-CN"/>
        </w:rPr>
        <w:t>502.21</w:t>
      </w:r>
      <w:r>
        <w:rPr>
          <w:rFonts w:hint="default" w:ascii="Times New Roman" w:hAnsi="Times New Roman" w:eastAsia="仿宋" w:cs="Times New Roman"/>
          <w:sz w:val="32"/>
          <w:szCs w:val="32"/>
        </w:rPr>
        <w:t>%。主要变动原因是项目收入财政拨款</w:t>
      </w:r>
      <w:r>
        <w:rPr>
          <w:rFonts w:hint="eastAsia" w:eastAsia="仿宋" w:cs="Times New Roman"/>
          <w:sz w:val="32"/>
          <w:szCs w:val="32"/>
          <w:lang w:eastAsia="zh-CN"/>
        </w:rPr>
        <w:t>增加</w:t>
      </w:r>
      <w:r>
        <w:rPr>
          <w:rFonts w:hint="default" w:ascii="Times New Roman" w:hAnsi="Times New Roman" w:eastAsia="仿宋" w:cs="Times New Roman"/>
          <w:sz w:val="32"/>
          <w:szCs w:val="32"/>
        </w:rPr>
        <w:t>，项目建设支出</w:t>
      </w:r>
      <w:r>
        <w:rPr>
          <w:rFonts w:hint="eastAsia" w:eastAsia="仿宋" w:cs="Times New Roman"/>
          <w:sz w:val="32"/>
          <w:szCs w:val="32"/>
          <w:lang w:eastAsia="zh-CN"/>
        </w:rPr>
        <w:t>增加</w:t>
      </w:r>
      <w:r>
        <w:rPr>
          <w:rFonts w:hint="default" w:ascii="Times New Roman" w:hAnsi="Times New Roman" w:eastAsia="仿宋" w:cs="Times New Roman"/>
          <w:sz w:val="32"/>
          <w:szCs w:val="32"/>
        </w:rPr>
        <w:t>。</w:t>
      </w:r>
    </w:p>
    <w:p>
      <w:pPr>
        <w:spacing w:line="600" w:lineRule="exact"/>
        <w:ind w:firstLine="1600" w:firstLineChars="5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图1：收、支决算总计变动情况图</w:t>
      </w:r>
    </w:p>
    <w:p>
      <w:pPr>
        <w:pStyle w:val="9"/>
        <w:keepNext/>
        <w:spacing w:before="93"/>
        <w:jc w:val="center"/>
        <w:rPr>
          <w:rFonts w:hint="default" w:ascii="Times New Roman" w:hAnsi="Times New Roman" w:cs="Times New Roman"/>
        </w:rPr>
      </w:pPr>
      <w:r>
        <w:rPr>
          <w:rFonts w:hint="default" w:ascii="Times New Roman" w:hAnsi="Times New Roman" w:cs="Times New Roman"/>
        </w:rPr>
        <w:drawing>
          <wp:inline distT="0" distB="0" distL="0" distR="0">
            <wp:extent cx="4744085" cy="2545715"/>
            <wp:effectExtent l="19050" t="0" r="18415"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8"/>
        <w:jc w:val="center"/>
        <w:rPr>
          <w:rFonts w:hint="default" w:ascii="Times New Roman" w:hAnsi="Times New Roman" w:cs="Times New Roman"/>
        </w:rPr>
      </w:pPr>
      <w:r>
        <w:rPr>
          <w:rFonts w:hint="default" w:ascii="Times New Roman" w:hAnsi="Times New Roman" w:cs="Times New Roman"/>
        </w:rPr>
        <w:t xml:space="preserve">图表 </w:t>
      </w:r>
      <w:r>
        <w:rPr>
          <w:rFonts w:hint="default" w:ascii="Times New Roman" w:hAnsi="Times New Roman" w:cs="Times New Roman"/>
        </w:rPr>
        <w:fldChar w:fldCharType="begin"/>
      </w:r>
      <w:r>
        <w:rPr>
          <w:rFonts w:hint="default" w:ascii="Times New Roman" w:hAnsi="Times New Roman" w:cs="Times New Roman"/>
        </w:rPr>
        <w:instrText xml:space="preserve"> SEQ 图表 \* ARABIC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单位：万元</w:t>
      </w:r>
    </w:p>
    <w:p>
      <w:pPr>
        <w:pStyle w:val="28"/>
        <w:numPr>
          <w:ilvl w:val="0"/>
          <w:numId w:val="1"/>
        </w:numPr>
        <w:spacing w:line="600" w:lineRule="exact"/>
        <w:ind w:firstLineChars="0"/>
        <w:outlineLvl w:val="1"/>
        <w:rPr>
          <w:rStyle w:val="30"/>
          <w:rFonts w:hint="default" w:ascii="Times New Roman" w:hAnsi="Times New Roman" w:eastAsia="黑体" w:cs="Times New Roman"/>
          <w:b w:val="0"/>
        </w:rPr>
      </w:pPr>
      <w:bookmarkStart w:id="28" w:name="_Toc15396604"/>
      <w:bookmarkStart w:id="29" w:name="_Toc15377206"/>
      <w:r>
        <w:rPr>
          <w:rFonts w:hint="default" w:ascii="Times New Roman" w:hAnsi="Times New Roman" w:eastAsia="黑体" w:cs="Times New Roman"/>
          <w:sz w:val="32"/>
          <w:szCs w:val="32"/>
        </w:rPr>
        <w:t>收</w:t>
      </w:r>
      <w:r>
        <w:rPr>
          <w:rStyle w:val="30"/>
          <w:rFonts w:hint="default" w:ascii="Times New Roman" w:hAnsi="Times New Roman" w:eastAsia="黑体" w:cs="Times New Roman"/>
          <w:b w:val="0"/>
        </w:rPr>
        <w:t>入决算情况说明</w:t>
      </w:r>
      <w:bookmarkEnd w:id="28"/>
      <w:bookmarkEnd w:id="29"/>
    </w:p>
    <w:p>
      <w:pPr>
        <w:spacing w:line="600" w:lineRule="exact"/>
        <w:ind w:firstLine="640" w:firstLineChars="200"/>
        <w:outlineLvl w:val="1"/>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年本年收入合计</w:t>
      </w:r>
      <w:r>
        <w:rPr>
          <w:rFonts w:hint="eastAsia" w:eastAsia="仿宋" w:cs="Times New Roman"/>
          <w:sz w:val="32"/>
          <w:szCs w:val="32"/>
          <w:lang w:eastAsia="zh-CN"/>
        </w:rPr>
        <w:t>3,204.02</w:t>
      </w:r>
      <w:r>
        <w:rPr>
          <w:rFonts w:hint="default" w:ascii="Times New Roman" w:hAnsi="Times New Roman" w:eastAsia="仿宋" w:cs="Times New Roman"/>
          <w:sz w:val="32"/>
          <w:szCs w:val="32"/>
        </w:rPr>
        <w:t>万元，其中：一般公共预算财政拨款收入</w:t>
      </w:r>
      <w:r>
        <w:rPr>
          <w:rFonts w:hint="eastAsia" w:eastAsia="仿宋" w:cs="Times New Roman"/>
          <w:sz w:val="32"/>
          <w:szCs w:val="32"/>
          <w:lang w:val="en-US" w:eastAsia="zh-CN"/>
        </w:rPr>
        <w:t>2461.50</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76.83</w:t>
      </w:r>
      <w:r>
        <w:rPr>
          <w:rFonts w:hint="default" w:ascii="Times New Roman" w:hAnsi="Times New Roman" w:eastAsia="仿宋" w:cs="Times New Roman"/>
          <w:sz w:val="32"/>
          <w:szCs w:val="32"/>
        </w:rPr>
        <w:t>%；政府性基金预算财政拨款收入</w:t>
      </w:r>
      <w:r>
        <w:rPr>
          <w:rFonts w:hint="eastAsia" w:eastAsia="仿宋" w:cs="Times New Roman"/>
          <w:sz w:val="32"/>
          <w:szCs w:val="32"/>
          <w:lang w:val="en-US" w:eastAsia="zh-CN"/>
        </w:rPr>
        <w:t>742.52</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23.17</w:t>
      </w:r>
      <w:r>
        <w:rPr>
          <w:rFonts w:hint="default" w:ascii="Times New Roman" w:hAnsi="Times New Roman" w:eastAsia="仿宋" w:cs="Times New Roman"/>
          <w:sz w:val="32"/>
          <w:szCs w:val="32"/>
        </w:rPr>
        <w:t>%；上级补助收入0万元，占0%；事业收入0万元，占0%；经营收入0万元，占0%；附属单位上缴收入0万元，占0%；其他收入0万元，占0%。</w:t>
      </w:r>
    </w:p>
    <w:p>
      <w:pPr>
        <w:spacing w:line="600" w:lineRule="exact"/>
        <w:ind w:firstLine="2560" w:firstLineChars="8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图2：收入决算结构图</w:t>
      </w:r>
    </w:p>
    <w:p>
      <w:pPr>
        <w:pStyle w:val="9"/>
        <w:keepNext/>
        <w:spacing w:before="93"/>
        <w:jc w:val="center"/>
        <w:rPr>
          <w:rFonts w:hint="default" w:ascii="Times New Roman" w:hAnsi="Times New Roman" w:cs="Times New Roman"/>
        </w:rPr>
      </w:pPr>
      <w:r>
        <w:rPr>
          <w:rFonts w:hint="default" w:ascii="Times New Roman" w:hAnsi="Times New Roman" w:cs="Times New Roman"/>
        </w:rPr>
        <w:drawing>
          <wp:inline distT="0" distB="0" distL="0" distR="0">
            <wp:extent cx="4028440" cy="2285365"/>
            <wp:effectExtent l="4445" t="4445" r="5715" b="1143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8"/>
        <w:jc w:val="center"/>
        <w:rPr>
          <w:rFonts w:hint="default" w:ascii="Times New Roman" w:hAnsi="Times New Roman" w:cs="Times New Roman"/>
        </w:rPr>
      </w:pPr>
      <w:r>
        <w:rPr>
          <w:rFonts w:hint="default" w:ascii="Times New Roman" w:hAnsi="Times New Roman" w:cs="Times New Roman"/>
        </w:rPr>
        <w:t>图表 3   单位：万元</w:t>
      </w:r>
    </w:p>
    <w:p>
      <w:pPr>
        <w:pStyle w:val="28"/>
        <w:numPr>
          <w:ilvl w:val="0"/>
          <w:numId w:val="1"/>
        </w:numPr>
        <w:spacing w:line="600" w:lineRule="exact"/>
        <w:ind w:firstLineChars="0"/>
        <w:outlineLvl w:val="1"/>
        <w:rPr>
          <w:rStyle w:val="30"/>
          <w:rFonts w:hint="default" w:ascii="Times New Roman" w:hAnsi="Times New Roman" w:eastAsia="黑体" w:cs="Times New Roman"/>
          <w:b w:val="0"/>
        </w:rPr>
      </w:pPr>
      <w:bookmarkStart w:id="30" w:name="_Toc15396605"/>
      <w:bookmarkStart w:id="31" w:name="_Toc15377207"/>
      <w:r>
        <w:rPr>
          <w:rFonts w:hint="default" w:ascii="Times New Roman" w:hAnsi="Times New Roman" w:eastAsia="黑体" w:cs="Times New Roman"/>
          <w:sz w:val="32"/>
          <w:szCs w:val="32"/>
        </w:rPr>
        <w:t>支</w:t>
      </w:r>
      <w:r>
        <w:rPr>
          <w:rStyle w:val="30"/>
          <w:rFonts w:hint="default" w:ascii="Times New Roman" w:hAnsi="Times New Roman" w:eastAsia="黑体" w:cs="Times New Roman"/>
          <w:b w:val="0"/>
        </w:rPr>
        <w:t>出决算情况说明</w:t>
      </w:r>
      <w:bookmarkEnd w:id="30"/>
      <w:bookmarkEnd w:id="31"/>
    </w:p>
    <w:p>
      <w:pPr>
        <w:spacing w:line="600" w:lineRule="exact"/>
        <w:ind w:firstLine="640" w:firstLineChars="200"/>
        <w:outlineLvl w:val="1"/>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年本年支出合计</w:t>
      </w:r>
      <w:r>
        <w:rPr>
          <w:rFonts w:hint="eastAsia" w:eastAsia="仿宋" w:cs="Times New Roman"/>
          <w:sz w:val="32"/>
          <w:szCs w:val="32"/>
          <w:lang w:val="en-US" w:eastAsia="zh-CN"/>
        </w:rPr>
        <w:t>3217.84</w:t>
      </w:r>
      <w:r>
        <w:rPr>
          <w:rFonts w:hint="default" w:ascii="Times New Roman" w:hAnsi="Times New Roman" w:eastAsia="仿宋" w:cs="Times New Roman"/>
          <w:sz w:val="32"/>
          <w:szCs w:val="32"/>
        </w:rPr>
        <w:t>万元，其中：基本支出</w:t>
      </w:r>
      <w:r>
        <w:rPr>
          <w:rFonts w:hint="eastAsia" w:eastAsia="仿宋" w:cs="Times New Roman"/>
          <w:sz w:val="32"/>
          <w:szCs w:val="32"/>
          <w:lang w:val="en-US" w:eastAsia="zh-CN"/>
        </w:rPr>
        <w:t>316.47</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9.83</w:t>
      </w:r>
      <w:r>
        <w:rPr>
          <w:rFonts w:hint="default" w:ascii="Times New Roman" w:hAnsi="Times New Roman" w:eastAsia="仿宋" w:cs="Times New Roman"/>
          <w:sz w:val="32"/>
          <w:szCs w:val="32"/>
        </w:rPr>
        <w:t>%；项目支出</w:t>
      </w:r>
      <w:r>
        <w:rPr>
          <w:rFonts w:hint="eastAsia" w:eastAsia="仿宋" w:cs="Times New Roman"/>
          <w:sz w:val="32"/>
          <w:szCs w:val="32"/>
          <w:lang w:val="en-US" w:eastAsia="zh-CN"/>
        </w:rPr>
        <w:t>2901.37</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90.17</w:t>
      </w:r>
      <w:r>
        <w:rPr>
          <w:rFonts w:hint="default" w:ascii="Times New Roman" w:hAnsi="Times New Roman" w:eastAsia="仿宋" w:cs="Times New Roman"/>
          <w:sz w:val="32"/>
          <w:szCs w:val="32"/>
        </w:rPr>
        <w:t>%；上缴上级支出0万元，占0%；经营支出0万元，占0%；对附属单位补助支出0万元，占0%。</w:t>
      </w:r>
    </w:p>
    <w:p>
      <w:pPr>
        <w:spacing w:line="600" w:lineRule="exact"/>
        <w:ind w:firstLine="2880" w:firstLineChars="9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图3：支出决算结构图</w:t>
      </w:r>
    </w:p>
    <w:p>
      <w:pPr>
        <w:pStyle w:val="9"/>
        <w:keepNext/>
        <w:spacing w:before="93"/>
        <w:jc w:val="both"/>
        <w:rPr>
          <w:rFonts w:hint="default" w:ascii="Times New Roman" w:hAnsi="Times New Roman" w:cs="Times New Roman"/>
        </w:rPr>
      </w:pPr>
      <w:r>
        <w:rPr>
          <w:rFonts w:hint="eastAsia" w:ascii="Times New Roman" w:cs="Times New Roman"/>
          <w:lang w:val="en-US" w:eastAsia="zh-CN"/>
        </w:rPr>
        <w:t xml:space="preserve">           </w:t>
      </w:r>
      <w:r>
        <w:rPr>
          <w:rFonts w:hint="default" w:ascii="Times New Roman" w:hAnsi="Times New Roman" w:cs="Times New Roman"/>
        </w:rPr>
        <w:drawing>
          <wp:inline distT="0" distB="0" distL="0" distR="0">
            <wp:extent cx="3375025" cy="1670685"/>
            <wp:effectExtent l="4445" t="5080" r="19050" b="1587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8"/>
        <w:jc w:val="center"/>
        <w:rPr>
          <w:rFonts w:hint="default" w:ascii="Times New Roman" w:hAnsi="Times New Roman" w:cs="Times New Roman"/>
        </w:rPr>
      </w:pPr>
      <w:r>
        <w:rPr>
          <w:rFonts w:hint="default" w:ascii="Times New Roman" w:hAnsi="Times New Roman" w:cs="Times New Roman"/>
        </w:rPr>
        <w:t>图表 3   单位：万元</w:t>
      </w:r>
    </w:p>
    <w:p>
      <w:pPr>
        <w:spacing w:line="600" w:lineRule="exact"/>
        <w:ind w:firstLine="640" w:firstLineChars="200"/>
        <w:outlineLvl w:val="1"/>
        <w:rPr>
          <w:rStyle w:val="30"/>
          <w:rFonts w:hint="default" w:ascii="Times New Roman" w:hAnsi="Times New Roman" w:eastAsia="黑体" w:cs="Times New Roman"/>
          <w:b w:val="0"/>
        </w:rPr>
      </w:pPr>
      <w:bookmarkStart w:id="32" w:name="_Toc15377208"/>
      <w:bookmarkStart w:id="33" w:name="_Toc15396606"/>
      <w:r>
        <w:rPr>
          <w:rFonts w:hint="default" w:ascii="Times New Roman" w:hAnsi="Times New Roman" w:eastAsia="黑体" w:cs="Times New Roman"/>
          <w:sz w:val="32"/>
          <w:szCs w:val="32"/>
        </w:rPr>
        <w:t>四、财</w:t>
      </w:r>
      <w:r>
        <w:rPr>
          <w:rStyle w:val="30"/>
          <w:rFonts w:hint="default" w:ascii="Times New Roman" w:hAnsi="Times New Roman" w:eastAsia="黑体" w:cs="Times New Roman"/>
          <w:b w:val="0"/>
        </w:rPr>
        <w:t>政拨款收入支出决算总体情况说明</w:t>
      </w:r>
      <w:bookmarkEnd w:id="32"/>
      <w:bookmarkEnd w:id="33"/>
    </w:p>
    <w:p>
      <w:pPr>
        <w:spacing w:line="600" w:lineRule="exact"/>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年财政拨款收入总计</w:t>
      </w:r>
      <w:r>
        <w:rPr>
          <w:rFonts w:hint="eastAsia" w:eastAsia="仿宋" w:cs="Times New Roman"/>
          <w:sz w:val="32"/>
          <w:szCs w:val="32"/>
          <w:lang w:val="en-US" w:eastAsia="zh-CN"/>
        </w:rPr>
        <w:t>3204.02</w:t>
      </w:r>
      <w:r>
        <w:rPr>
          <w:rFonts w:hint="default" w:ascii="Times New Roman" w:hAnsi="Times New Roman" w:eastAsia="仿宋" w:cs="Times New Roman"/>
          <w:sz w:val="32"/>
          <w:szCs w:val="32"/>
        </w:rPr>
        <w:t>万元、支出总计</w:t>
      </w:r>
      <w:r>
        <w:rPr>
          <w:rFonts w:hint="eastAsia" w:eastAsia="仿宋" w:cs="Times New Roman"/>
          <w:sz w:val="32"/>
          <w:szCs w:val="32"/>
          <w:lang w:val="en-US" w:eastAsia="zh-CN"/>
        </w:rPr>
        <w:t>3217.84</w:t>
      </w:r>
      <w:r>
        <w:rPr>
          <w:rFonts w:hint="default" w:ascii="Times New Roman" w:hAnsi="Times New Roman" w:eastAsia="仿宋" w:cs="Times New Roman"/>
          <w:sz w:val="32"/>
          <w:szCs w:val="32"/>
        </w:rPr>
        <w:t>万元。与</w:t>
      </w:r>
      <w:r>
        <w:rPr>
          <w:rFonts w:hint="eastAsia" w:eastAsia="仿宋" w:cs="Times New Roman"/>
          <w:sz w:val="32"/>
          <w:szCs w:val="32"/>
          <w:lang w:eastAsia="zh-CN"/>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年相比，财政拨款收入</w:t>
      </w:r>
      <w:r>
        <w:rPr>
          <w:rFonts w:hint="eastAsia" w:eastAsia="仿宋" w:cs="Times New Roman"/>
          <w:sz w:val="32"/>
          <w:szCs w:val="32"/>
          <w:lang w:eastAsia="zh-CN"/>
        </w:rPr>
        <w:t>增加</w:t>
      </w:r>
      <w:r>
        <w:rPr>
          <w:rFonts w:hint="default" w:ascii="Times New Roman" w:hAnsi="Times New Roman" w:eastAsia="仿宋" w:cs="Times New Roman"/>
          <w:sz w:val="32"/>
          <w:szCs w:val="32"/>
        </w:rPr>
        <w:t>总计</w:t>
      </w:r>
      <w:r>
        <w:rPr>
          <w:rFonts w:hint="eastAsia" w:eastAsia="仿宋" w:cs="Times New Roman"/>
          <w:sz w:val="32"/>
          <w:szCs w:val="32"/>
          <w:lang w:val="en-US" w:eastAsia="zh-CN"/>
        </w:rPr>
        <w:t>2773.23</w:t>
      </w:r>
      <w:r>
        <w:rPr>
          <w:rFonts w:hint="default" w:ascii="Times New Roman" w:hAnsi="Times New Roman" w:eastAsia="仿宋" w:cs="Times New Roman"/>
          <w:sz w:val="32"/>
          <w:szCs w:val="32"/>
        </w:rPr>
        <w:t>万元，</w:t>
      </w:r>
      <w:r>
        <w:rPr>
          <w:rFonts w:hint="eastAsia" w:eastAsia="仿宋" w:cs="Times New Roman"/>
          <w:sz w:val="32"/>
          <w:szCs w:val="32"/>
          <w:lang w:eastAsia="zh-CN"/>
        </w:rPr>
        <w:t>上升</w:t>
      </w:r>
      <w:r>
        <w:rPr>
          <w:rFonts w:hint="eastAsia" w:eastAsia="仿宋" w:cs="Times New Roman"/>
          <w:sz w:val="32"/>
          <w:szCs w:val="32"/>
          <w:lang w:val="en-US" w:eastAsia="zh-CN"/>
        </w:rPr>
        <w:t>643.75</w:t>
      </w:r>
      <w:r>
        <w:rPr>
          <w:rFonts w:hint="default" w:ascii="Times New Roman" w:hAnsi="Times New Roman" w:eastAsia="仿宋" w:cs="Times New Roman"/>
          <w:sz w:val="32"/>
          <w:szCs w:val="32"/>
        </w:rPr>
        <w:t>%；支出总计</w:t>
      </w:r>
      <w:r>
        <w:rPr>
          <w:rFonts w:hint="eastAsia" w:eastAsia="仿宋" w:cs="Times New Roman"/>
          <w:sz w:val="32"/>
          <w:szCs w:val="32"/>
          <w:lang w:eastAsia="zh-CN"/>
        </w:rPr>
        <w:t>增加</w:t>
      </w:r>
      <w:r>
        <w:rPr>
          <w:rFonts w:hint="eastAsia" w:eastAsia="仿宋" w:cs="Times New Roman"/>
          <w:sz w:val="32"/>
          <w:szCs w:val="32"/>
          <w:lang w:val="en-US" w:eastAsia="zh-CN"/>
        </w:rPr>
        <w:t>2683.5</w:t>
      </w:r>
      <w:r>
        <w:rPr>
          <w:rFonts w:hint="default" w:ascii="Times New Roman" w:hAnsi="Times New Roman" w:eastAsia="仿宋" w:cs="Times New Roman"/>
          <w:sz w:val="32"/>
          <w:szCs w:val="32"/>
        </w:rPr>
        <w:t>万元，</w:t>
      </w:r>
      <w:r>
        <w:rPr>
          <w:rFonts w:hint="eastAsia" w:eastAsia="仿宋" w:cs="Times New Roman"/>
          <w:sz w:val="32"/>
          <w:szCs w:val="32"/>
          <w:lang w:eastAsia="zh-CN"/>
        </w:rPr>
        <w:t>上升</w:t>
      </w:r>
      <w:r>
        <w:rPr>
          <w:rFonts w:hint="eastAsia" w:eastAsia="仿宋" w:cs="Times New Roman"/>
          <w:sz w:val="32"/>
          <w:szCs w:val="32"/>
          <w:lang w:val="en-US" w:eastAsia="zh-CN"/>
        </w:rPr>
        <w:t>502.21</w:t>
      </w:r>
      <w:r>
        <w:rPr>
          <w:rFonts w:hint="default" w:ascii="Times New Roman" w:hAnsi="Times New Roman" w:eastAsia="仿宋" w:cs="Times New Roman"/>
          <w:sz w:val="32"/>
          <w:szCs w:val="32"/>
        </w:rPr>
        <w:t>%。主要变动原因是项目收入</w:t>
      </w:r>
      <w:r>
        <w:rPr>
          <w:rFonts w:hint="eastAsia" w:eastAsia="仿宋" w:cs="Times New Roman"/>
          <w:sz w:val="32"/>
          <w:szCs w:val="32"/>
          <w:lang w:eastAsia="zh-CN"/>
        </w:rPr>
        <w:t>增加</w:t>
      </w:r>
      <w:r>
        <w:rPr>
          <w:rFonts w:hint="default" w:ascii="Times New Roman" w:hAnsi="Times New Roman" w:eastAsia="仿宋" w:cs="Times New Roman"/>
          <w:sz w:val="32"/>
          <w:szCs w:val="32"/>
        </w:rPr>
        <w:t>，支出</w:t>
      </w:r>
      <w:r>
        <w:rPr>
          <w:rFonts w:hint="eastAsia" w:eastAsia="仿宋" w:cs="Times New Roman"/>
          <w:sz w:val="32"/>
          <w:szCs w:val="32"/>
          <w:lang w:eastAsia="zh-CN"/>
        </w:rPr>
        <w:t>增加</w:t>
      </w:r>
      <w:r>
        <w:rPr>
          <w:rFonts w:hint="default" w:ascii="Times New Roman" w:hAnsi="Times New Roman" w:eastAsia="仿宋" w:cs="Times New Roman"/>
          <w:sz w:val="32"/>
          <w:szCs w:val="32"/>
        </w:rPr>
        <w:t>。</w:t>
      </w:r>
    </w:p>
    <w:p>
      <w:pPr>
        <w:spacing w:line="600" w:lineRule="exact"/>
        <w:ind w:firstLine="1280" w:firstLineChars="4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（图4：财政拨款收、支决算总计变动情况）</w:t>
      </w:r>
    </w:p>
    <w:p>
      <w:pPr>
        <w:pStyle w:val="9"/>
        <w:keepNext/>
        <w:spacing w:before="93"/>
        <w:jc w:val="center"/>
        <w:rPr>
          <w:rFonts w:hint="default" w:ascii="Times New Roman" w:hAnsi="Times New Roman" w:cs="Times New Roman"/>
        </w:rPr>
      </w:pPr>
      <w:r>
        <w:rPr>
          <w:rFonts w:hint="default" w:ascii="Times New Roman" w:hAnsi="Times New Roman" w:cs="Times New Roman"/>
        </w:rPr>
        <w:drawing>
          <wp:inline distT="0" distB="0" distL="0" distR="0">
            <wp:extent cx="4613275" cy="2383790"/>
            <wp:effectExtent l="4445" t="5080" r="15240" b="1905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8"/>
        <w:jc w:val="center"/>
        <w:rPr>
          <w:rFonts w:hint="default" w:ascii="Times New Roman" w:hAnsi="Times New Roman" w:cs="Times New Roman"/>
        </w:rPr>
      </w:pPr>
      <w:r>
        <w:rPr>
          <w:rFonts w:hint="default" w:ascii="Times New Roman" w:hAnsi="Times New Roman" w:cs="Times New Roman"/>
        </w:rPr>
        <w:t>图表 4  单位：万元</w:t>
      </w:r>
    </w:p>
    <w:p>
      <w:pPr>
        <w:spacing w:line="600" w:lineRule="exact"/>
        <w:ind w:firstLine="640" w:firstLineChars="200"/>
        <w:outlineLvl w:val="1"/>
        <w:rPr>
          <w:rStyle w:val="30"/>
          <w:rFonts w:hint="default" w:ascii="Times New Roman" w:hAnsi="Times New Roman" w:eastAsia="黑体" w:cs="Times New Roman"/>
          <w:b w:val="0"/>
        </w:rPr>
      </w:pPr>
      <w:bookmarkStart w:id="34" w:name="_Toc15377209"/>
      <w:bookmarkStart w:id="35"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般公共预算财政拨款支出决算情况说明</w:t>
      </w:r>
      <w:bookmarkEnd w:id="34"/>
      <w:bookmarkEnd w:id="35"/>
    </w:p>
    <w:p>
      <w:pPr>
        <w:spacing w:line="600" w:lineRule="exact"/>
        <w:ind w:firstLine="643" w:firstLineChars="200"/>
        <w:outlineLvl w:val="2"/>
        <w:rPr>
          <w:rFonts w:hint="default" w:ascii="Times New Roman" w:hAnsi="Times New Roman" w:eastAsia="仿宋" w:cs="Times New Roman"/>
          <w:b/>
          <w:sz w:val="32"/>
          <w:szCs w:val="32"/>
        </w:rPr>
      </w:pPr>
      <w:bookmarkStart w:id="36" w:name="_Toc15377210"/>
      <w:r>
        <w:rPr>
          <w:rFonts w:hint="default" w:ascii="Times New Roman" w:hAnsi="Times New Roman" w:eastAsia="仿宋" w:cs="Times New Roman"/>
          <w:b/>
          <w:sz w:val="32"/>
          <w:szCs w:val="32"/>
        </w:rPr>
        <w:t>（一）一般公共预算财政拨款支出决算总体情况</w:t>
      </w:r>
      <w:bookmarkEnd w:id="36"/>
    </w:p>
    <w:p>
      <w:pPr>
        <w:spacing w:line="600" w:lineRule="exact"/>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年一般公共预算财政拨款支出</w:t>
      </w:r>
      <w:r>
        <w:rPr>
          <w:rFonts w:hint="eastAsia" w:eastAsia="仿宋" w:cs="Times New Roman"/>
          <w:sz w:val="32"/>
          <w:szCs w:val="32"/>
          <w:lang w:val="en-US" w:eastAsia="zh-CN"/>
        </w:rPr>
        <w:t>2475.32</w:t>
      </w:r>
      <w:r>
        <w:rPr>
          <w:rFonts w:hint="default" w:ascii="Times New Roman" w:hAnsi="Times New Roman" w:eastAsia="仿宋" w:cs="Times New Roman"/>
          <w:sz w:val="32"/>
          <w:szCs w:val="32"/>
        </w:rPr>
        <w:t>万元，占本年支出合计的</w:t>
      </w:r>
      <w:r>
        <w:rPr>
          <w:rFonts w:hint="eastAsia" w:eastAsia="仿宋" w:cs="Times New Roman"/>
          <w:sz w:val="32"/>
          <w:szCs w:val="32"/>
          <w:lang w:val="en-US" w:eastAsia="zh-CN"/>
        </w:rPr>
        <w:t>76.92</w:t>
      </w:r>
      <w:r>
        <w:rPr>
          <w:rFonts w:hint="default" w:ascii="Times New Roman" w:hAnsi="Times New Roman" w:eastAsia="仿宋" w:cs="Times New Roman"/>
          <w:sz w:val="32"/>
          <w:szCs w:val="32"/>
        </w:rPr>
        <w:t>%。与</w:t>
      </w:r>
      <w:r>
        <w:rPr>
          <w:rFonts w:hint="eastAsia" w:eastAsia="仿宋" w:cs="Times New Roman"/>
          <w:sz w:val="32"/>
          <w:szCs w:val="32"/>
          <w:lang w:eastAsia="zh-CN"/>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年相比，一般公共预算财政拨款支出增加</w:t>
      </w:r>
      <w:r>
        <w:rPr>
          <w:rFonts w:hint="eastAsia" w:eastAsia="仿宋" w:cs="Times New Roman"/>
          <w:sz w:val="32"/>
          <w:szCs w:val="32"/>
          <w:lang w:val="en-US" w:eastAsia="zh-CN"/>
        </w:rPr>
        <w:t>1953.9</w:t>
      </w:r>
      <w:r>
        <w:rPr>
          <w:rFonts w:hint="default" w:ascii="Times New Roman" w:hAnsi="Times New Roman" w:eastAsia="仿宋" w:cs="Times New Roman"/>
          <w:sz w:val="32"/>
          <w:szCs w:val="32"/>
        </w:rPr>
        <w:t>万元，增长</w:t>
      </w:r>
      <w:r>
        <w:rPr>
          <w:rFonts w:hint="eastAsia" w:eastAsia="仿宋" w:cs="Times New Roman"/>
          <w:sz w:val="32"/>
          <w:szCs w:val="32"/>
          <w:lang w:val="en-US" w:eastAsia="zh-CN"/>
        </w:rPr>
        <w:t>374.73</w:t>
      </w:r>
      <w:r>
        <w:rPr>
          <w:rFonts w:hint="default" w:ascii="Times New Roman" w:hAnsi="Times New Roman" w:eastAsia="仿宋" w:cs="Times New Roman"/>
          <w:sz w:val="32"/>
          <w:szCs w:val="32"/>
        </w:rPr>
        <w:t>%。主要变动原因是</w:t>
      </w:r>
      <w:r>
        <w:rPr>
          <w:rFonts w:hint="eastAsia" w:eastAsia="仿宋" w:cs="Times New Roman"/>
          <w:sz w:val="32"/>
          <w:szCs w:val="32"/>
          <w:lang w:eastAsia="zh-CN"/>
        </w:rPr>
        <w:t>项目支出</w:t>
      </w:r>
      <w:r>
        <w:rPr>
          <w:rFonts w:hint="default" w:ascii="Times New Roman" w:hAnsi="Times New Roman" w:eastAsia="仿宋" w:cs="Times New Roman"/>
          <w:sz w:val="32"/>
          <w:szCs w:val="32"/>
        </w:rPr>
        <w:t>增加导致一般公共预算财政拨款支出增加</w:t>
      </w:r>
      <w:r>
        <w:rPr>
          <w:rFonts w:hint="eastAsia" w:eastAsia="仿宋" w:cs="Times New Roman"/>
          <w:sz w:val="32"/>
          <w:szCs w:val="32"/>
          <w:lang w:val="en-US" w:eastAsia="zh-CN"/>
        </w:rPr>
        <w:t>1953.9万元</w:t>
      </w:r>
      <w:r>
        <w:rPr>
          <w:rFonts w:hint="default" w:ascii="Times New Roman" w:hAnsi="Times New Roman" w:eastAsia="仿宋" w:cs="Times New Roman"/>
          <w:sz w:val="32"/>
          <w:szCs w:val="32"/>
        </w:rPr>
        <w:t>。</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（图5：一般公共预算财政拨款支出决算变动情况）</w:t>
      </w:r>
    </w:p>
    <w:p>
      <w:pPr>
        <w:pStyle w:val="9"/>
        <w:keepNext/>
        <w:spacing w:before="93"/>
        <w:jc w:val="center"/>
        <w:rPr>
          <w:rFonts w:hint="default" w:ascii="Times New Roman" w:hAnsi="Times New Roman" w:cs="Times New Roman"/>
        </w:rPr>
      </w:pPr>
      <w:r>
        <w:rPr>
          <w:rFonts w:hint="default" w:ascii="Times New Roman" w:hAnsi="Times New Roman" w:cs="Times New Roman"/>
        </w:rPr>
        <w:drawing>
          <wp:inline distT="0" distB="0" distL="0" distR="0">
            <wp:extent cx="3662680" cy="1586230"/>
            <wp:effectExtent l="4445" t="4445" r="15875"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8"/>
        <w:jc w:val="center"/>
        <w:rPr>
          <w:rFonts w:hint="default" w:ascii="Times New Roman" w:hAnsi="Times New Roman" w:cs="Times New Roman"/>
        </w:rPr>
      </w:pPr>
      <w:r>
        <w:rPr>
          <w:rFonts w:hint="default" w:ascii="Times New Roman" w:hAnsi="Times New Roman" w:cs="Times New Roman"/>
        </w:rPr>
        <w:t>图表 5   单位：万元</w:t>
      </w:r>
    </w:p>
    <w:p>
      <w:pPr>
        <w:spacing w:line="600" w:lineRule="exact"/>
        <w:ind w:firstLine="643" w:firstLineChars="200"/>
        <w:outlineLvl w:val="2"/>
        <w:rPr>
          <w:rFonts w:hint="default" w:ascii="Times New Roman" w:hAnsi="Times New Roman" w:eastAsia="仿宋" w:cs="Times New Roman"/>
          <w:b/>
          <w:sz w:val="32"/>
          <w:szCs w:val="32"/>
        </w:rPr>
      </w:pPr>
      <w:bookmarkStart w:id="37" w:name="_Toc15377211"/>
      <w:r>
        <w:rPr>
          <w:rFonts w:hint="default" w:ascii="Times New Roman" w:hAnsi="Times New Roman" w:eastAsia="仿宋" w:cs="Times New Roman"/>
          <w:b/>
          <w:sz w:val="32"/>
          <w:szCs w:val="32"/>
        </w:rPr>
        <w:t>（二）一般公共预算财政拨款支出决算结构情况</w:t>
      </w:r>
      <w:bookmarkEnd w:id="37"/>
    </w:p>
    <w:p>
      <w:pPr>
        <w:widowControl/>
        <w:spacing w:line="600" w:lineRule="atLeast"/>
        <w:ind w:firstLine="640"/>
        <w:jc w:val="left"/>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w:t>
      </w:r>
      <w:r>
        <w:rPr>
          <w:rFonts w:hint="default" w:ascii="Times New Roman" w:hAnsi="Times New Roman" w:eastAsia="仿宋" w:cs="Times New Roman"/>
          <w:color w:val="000000"/>
          <w:kern w:val="0"/>
          <w:sz w:val="32"/>
          <w:szCs w:val="32"/>
        </w:rPr>
        <w:t>一般公共预算财政拨款支出</w:t>
      </w:r>
      <w:r>
        <w:rPr>
          <w:rFonts w:hint="eastAsia" w:eastAsia="仿宋" w:cs="Times New Roman"/>
          <w:color w:val="000000"/>
          <w:kern w:val="0"/>
          <w:sz w:val="32"/>
          <w:szCs w:val="32"/>
          <w:lang w:val="en-US" w:eastAsia="zh-CN"/>
        </w:rPr>
        <w:t>2475.32</w:t>
      </w:r>
      <w:r>
        <w:rPr>
          <w:rFonts w:hint="default" w:ascii="Times New Roman" w:hAnsi="Times New Roman" w:eastAsia="仿宋" w:cs="Times New Roman"/>
          <w:color w:val="000000"/>
          <w:kern w:val="0"/>
          <w:sz w:val="32"/>
          <w:szCs w:val="32"/>
        </w:rPr>
        <w:t>万元，主要用于以下方面:</w:t>
      </w:r>
      <w:r>
        <w:rPr>
          <w:rFonts w:hint="default" w:ascii="Times New Roman" w:hAnsi="Times New Roman" w:eastAsia="仿宋" w:cs="Times New Roman"/>
          <w:bCs/>
          <w:color w:val="000000"/>
          <w:kern w:val="0"/>
          <w:sz w:val="32"/>
        </w:rPr>
        <w:t>一般公共服务（类）</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235.82</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9.53</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bCs/>
          <w:color w:val="000000"/>
          <w:kern w:val="0"/>
          <w:sz w:val="32"/>
        </w:rPr>
        <w:t>社会保障和就业（类）</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28.06</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1.13</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bCs/>
          <w:color w:val="000000"/>
          <w:kern w:val="0"/>
          <w:sz w:val="32"/>
        </w:rPr>
        <w:t>卫生健康（类）</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27.05</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1.1</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bCs/>
          <w:color w:val="000000"/>
          <w:kern w:val="0"/>
          <w:sz w:val="32"/>
        </w:rPr>
        <w:t>住房保障（类）</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25.54</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1.03</w:t>
      </w:r>
      <w:r>
        <w:rPr>
          <w:rFonts w:hint="default" w:ascii="Times New Roman" w:hAnsi="Times New Roman" w:eastAsia="仿宋" w:cs="Times New Roman"/>
          <w:color w:val="000000"/>
          <w:kern w:val="0"/>
          <w:sz w:val="32"/>
          <w:szCs w:val="32"/>
        </w:rPr>
        <w:t>%；</w:t>
      </w:r>
      <w:r>
        <w:rPr>
          <w:rFonts w:hint="eastAsia" w:eastAsia="仿宋" w:cs="Times New Roman"/>
          <w:bCs/>
          <w:color w:val="000000"/>
          <w:kern w:val="0"/>
          <w:sz w:val="32"/>
          <w:lang w:eastAsia="zh-CN"/>
        </w:rPr>
        <w:t>商业服务业</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48.7</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1.97</w:t>
      </w:r>
      <w:r>
        <w:rPr>
          <w:rFonts w:hint="default" w:ascii="Times New Roman" w:hAnsi="Times New Roman" w:eastAsia="仿宋" w:cs="Times New Roman"/>
          <w:color w:val="000000"/>
          <w:kern w:val="0"/>
          <w:sz w:val="32"/>
          <w:szCs w:val="32"/>
        </w:rPr>
        <w:t>%</w:t>
      </w:r>
      <w:r>
        <w:rPr>
          <w:rFonts w:hint="eastAsia" w:eastAsia="仿宋" w:cs="Times New Roman"/>
          <w:color w:val="000000"/>
          <w:kern w:val="0"/>
          <w:sz w:val="32"/>
          <w:szCs w:val="32"/>
          <w:lang w:eastAsia="zh-CN"/>
        </w:rPr>
        <w:t>，中央预算内基本建设投资（国际铁路港承载转运中心建设项目）列支其他</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1600</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64.64</w:t>
      </w:r>
      <w:r>
        <w:rPr>
          <w:rFonts w:hint="default" w:ascii="Times New Roman" w:hAnsi="Times New Roman" w:eastAsia="仿宋" w:cs="Times New Roman"/>
          <w:color w:val="000000"/>
          <w:kern w:val="0"/>
          <w:sz w:val="32"/>
          <w:szCs w:val="32"/>
        </w:rPr>
        <w:t>%</w:t>
      </w:r>
      <w:r>
        <w:rPr>
          <w:rFonts w:hint="eastAsia" w:eastAsia="仿宋" w:cs="Times New Roman"/>
          <w:color w:val="000000"/>
          <w:kern w:val="0"/>
          <w:sz w:val="32"/>
          <w:szCs w:val="32"/>
          <w:lang w:eastAsia="zh-CN"/>
        </w:rPr>
        <w:t>，交通运输</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500</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20.20</w:t>
      </w:r>
      <w:r>
        <w:rPr>
          <w:rFonts w:hint="default" w:ascii="Times New Roman" w:hAnsi="Times New Roman" w:eastAsia="仿宋" w:cs="Times New Roman"/>
          <w:color w:val="000000"/>
          <w:kern w:val="0"/>
          <w:sz w:val="32"/>
          <w:szCs w:val="32"/>
        </w:rPr>
        <w:t>%</w:t>
      </w:r>
      <w:r>
        <w:rPr>
          <w:rFonts w:hint="eastAsia" w:eastAsia="仿宋" w:cs="Times New Roman"/>
          <w:color w:val="000000"/>
          <w:kern w:val="0"/>
          <w:sz w:val="32"/>
          <w:szCs w:val="32"/>
          <w:lang w:eastAsia="zh-CN"/>
        </w:rPr>
        <w:t>，资源勘探工业信息等</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10.15</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0.41</w:t>
      </w:r>
      <w:r>
        <w:rPr>
          <w:rFonts w:hint="default" w:ascii="Times New Roman" w:hAnsi="Times New Roman" w:eastAsia="仿宋" w:cs="Times New Roman"/>
          <w:color w:val="000000"/>
          <w:kern w:val="0"/>
          <w:sz w:val="32"/>
          <w:szCs w:val="32"/>
        </w:rPr>
        <w:t>%。</w:t>
      </w:r>
    </w:p>
    <w:p>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（图6：一般公共预算财政拨款支出决算结构）</w:t>
      </w:r>
    </w:p>
    <w:p>
      <w:pPr>
        <w:pStyle w:val="9"/>
        <w:keepNext/>
        <w:spacing w:before="93"/>
        <w:rPr>
          <w:rFonts w:hint="default" w:ascii="Times New Roman" w:hAnsi="Times New Roman" w:cs="Times New Roman"/>
        </w:rPr>
      </w:pPr>
      <w:r>
        <w:rPr>
          <w:rFonts w:hint="eastAsia" w:ascii="Times New Roman" w:cs="Times New Roman"/>
          <w:lang w:val="en-US" w:eastAsia="zh-CN"/>
        </w:rPr>
        <w:t xml:space="preserve">    </w:t>
      </w:r>
      <w:r>
        <w:rPr>
          <w:rFonts w:hint="default" w:ascii="Times New Roman" w:hAnsi="Times New Roman" w:cs="Times New Roman"/>
        </w:rPr>
        <w:drawing>
          <wp:inline distT="0" distB="0" distL="0" distR="0">
            <wp:extent cx="5437505" cy="3789045"/>
            <wp:effectExtent l="5080" t="4445" r="13335"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8"/>
        <w:jc w:val="center"/>
        <w:rPr>
          <w:rFonts w:hint="default" w:ascii="Times New Roman" w:hAnsi="Times New Roman" w:eastAsia="仿宋" w:cs="Times New Roman"/>
          <w:b/>
          <w:sz w:val="32"/>
          <w:szCs w:val="32"/>
        </w:rPr>
      </w:pPr>
      <w:r>
        <w:rPr>
          <w:rFonts w:hint="default" w:ascii="Times New Roman" w:hAnsi="Times New Roman" w:cs="Times New Roman"/>
        </w:rPr>
        <w:t>图表 6    单位：万元</w:t>
      </w:r>
      <w:bookmarkStart w:id="38" w:name="_Toc15377212"/>
    </w:p>
    <w:p>
      <w:pPr>
        <w:spacing w:line="600" w:lineRule="exact"/>
        <w:ind w:firstLine="643" w:firstLineChars="200"/>
        <w:outlineLvl w:val="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（三）一般公共预算财政拨款支出决算具体情况</w:t>
      </w:r>
      <w:bookmarkEnd w:id="38"/>
    </w:p>
    <w:p>
      <w:pPr>
        <w:spacing w:line="600" w:lineRule="exact"/>
        <w:ind w:firstLine="643" w:firstLineChars="200"/>
        <w:outlineLvl w:val="2"/>
        <w:rPr>
          <w:rFonts w:hint="default" w:ascii="Times New Roman" w:hAnsi="Times New Roman" w:eastAsia="仿宋" w:cs="Times New Roman"/>
          <w:sz w:val="32"/>
          <w:szCs w:val="32"/>
        </w:rPr>
      </w:pPr>
      <w:bookmarkStart w:id="39" w:name="_Toc15377213"/>
      <w:bookmarkStart w:id="40" w:name="_Toc15378460"/>
      <w:bookmarkStart w:id="41" w:name="_Toc15377444"/>
      <w:r>
        <w:rPr>
          <w:rFonts w:hint="default" w:ascii="Times New Roman" w:hAnsi="Times New Roman" w:eastAsia="仿宋" w:cs="Times New Roman"/>
          <w:b/>
          <w:sz w:val="32"/>
          <w:szCs w:val="32"/>
          <w:lang w:eastAsia="zh-CN"/>
        </w:rPr>
        <w:t>2024</w:t>
      </w:r>
      <w:r>
        <w:rPr>
          <w:rFonts w:hint="default" w:ascii="Times New Roman" w:hAnsi="Times New Roman" w:eastAsia="仿宋" w:cs="Times New Roman"/>
          <w:b/>
          <w:sz w:val="32"/>
          <w:szCs w:val="32"/>
        </w:rPr>
        <w:t>年一般公共预算支出决算数为</w:t>
      </w:r>
      <w:r>
        <w:rPr>
          <w:rFonts w:hint="default" w:ascii="Times New Roman" w:hAnsi="Times New Roman" w:eastAsia="仿宋" w:cs="Times New Roman"/>
          <w:b/>
          <w:sz w:val="32"/>
          <w:szCs w:val="32"/>
          <w:lang w:val="en-US" w:eastAsia="zh-CN"/>
        </w:rPr>
        <w:t>2475.32</w:t>
      </w:r>
      <w:r>
        <w:rPr>
          <w:rFonts w:hint="default" w:ascii="Times New Roman" w:hAnsi="Times New Roman" w:eastAsia="仿宋" w:cs="Times New Roman"/>
          <w:b/>
          <w:sz w:val="32"/>
          <w:szCs w:val="32"/>
        </w:rPr>
        <w:t>万元</w:t>
      </w:r>
      <w:r>
        <w:rPr>
          <w:rFonts w:hint="default" w:ascii="Times New Roman" w:hAnsi="Times New Roman" w:eastAsia="仿宋" w:cs="Times New Roman"/>
          <w:sz w:val="32"/>
          <w:szCs w:val="32"/>
        </w:rPr>
        <w:t>，</w:t>
      </w:r>
      <w:r>
        <w:rPr>
          <w:rStyle w:val="19"/>
          <w:rFonts w:hint="default" w:ascii="Times New Roman" w:hAnsi="Times New Roman" w:eastAsia="仿宋" w:cs="Times New Roman"/>
          <w:bCs/>
          <w:sz w:val="32"/>
          <w:szCs w:val="32"/>
        </w:rPr>
        <w:t>完成预算100%。其中：</w:t>
      </w:r>
      <w:bookmarkEnd w:id="39"/>
      <w:bookmarkEnd w:id="40"/>
      <w:bookmarkEnd w:id="41"/>
    </w:p>
    <w:p>
      <w:pPr>
        <w:spacing w:line="600" w:lineRule="exact"/>
        <w:ind w:firstLine="643" w:firstLineChars="200"/>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rPr>
        <w:t>1.</w:t>
      </w:r>
      <w:r>
        <w:rPr>
          <w:rFonts w:hint="default" w:ascii="Times New Roman" w:hAnsi="Times New Roman" w:eastAsia="仿宋" w:cs="Times New Roman"/>
          <w:b/>
          <w:bCs/>
          <w:sz w:val="32"/>
          <w:szCs w:val="32"/>
        </w:rPr>
        <w:t>一般公共服务（类）商贸事务（款）行政运行（项）</w:t>
      </w:r>
      <w:r>
        <w:rPr>
          <w:rStyle w:val="19"/>
          <w:rFonts w:hint="default" w:ascii="Times New Roman" w:hAnsi="Times New Roman" w:eastAsia="仿宋" w:cs="Times New Roman"/>
          <w:bCs/>
          <w:sz w:val="32"/>
          <w:szCs w:val="32"/>
        </w:rPr>
        <w:t>:</w:t>
      </w:r>
      <w:r>
        <w:rPr>
          <w:rStyle w:val="19"/>
          <w:rFonts w:hint="default" w:ascii="Times New Roman" w:hAnsi="Times New Roman" w:eastAsia="仿宋" w:cs="Times New Roman"/>
          <w:b w:val="0"/>
          <w:bCs/>
          <w:sz w:val="32"/>
          <w:szCs w:val="32"/>
        </w:rPr>
        <w:t>支出决算为</w:t>
      </w:r>
      <w:r>
        <w:rPr>
          <w:rStyle w:val="19"/>
          <w:rFonts w:hint="eastAsia" w:ascii="Times New Roman" w:hAnsi="Times New Roman" w:eastAsia="仿宋" w:cs="Times New Roman"/>
          <w:b w:val="0"/>
          <w:bCs/>
          <w:sz w:val="32"/>
          <w:szCs w:val="32"/>
          <w:lang w:val="en-US" w:eastAsia="zh-CN"/>
        </w:rPr>
        <w:t>235.82</w:t>
      </w:r>
      <w:r>
        <w:rPr>
          <w:rStyle w:val="19"/>
          <w:rFonts w:hint="default" w:ascii="Times New Roman" w:hAnsi="Times New Roman" w:eastAsia="仿宋" w:cs="Times New Roman"/>
          <w:b w:val="0"/>
          <w:bCs/>
          <w:sz w:val="32"/>
          <w:szCs w:val="32"/>
        </w:rPr>
        <w:t>万元，完成预算</w:t>
      </w:r>
      <w:r>
        <w:rPr>
          <w:rStyle w:val="19"/>
          <w:rFonts w:hint="eastAsia" w:ascii="Times New Roman" w:hAnsi="Times New Roman" w:eastAsia="仿宋" w:cs="Times New Roman"/>
          <w:b w:val="0"/>
          <w:bCs/>
          <w:sz w:val="32"/>
          <w:szCs w:val="32"/>
          <w:lang w:val="en-US" w:eastAsia="zh-CN"/>
        </w:rPr>
        <w:t>89.1</w:t>
      </w:r>
      <w:r>
        <w:rPr>
          <w:rStyle w:val="19"/>
          <w:rFonts w:hint="default" w:ascii="Times New Roman" w:hAnsi="Times New Roman" w:eastAsia="仿宋" w:cs="Times New Roman"/>
          <w:b w:val="0"/>
          <w:bCs/>
          <w:sz w:val="32"/>
          <w:szCs w:val="32"/>
        </w:rPr>
        <w:t>6%，决算数</w:t>
      </w:r>
      <w:r>
        <w:rPr>
          <w:rStyle w:val="19"/>
          <w:rFonts w:hint="eastAsia" w:ascii="Times New Roman" w:hAnsi="Times New Roman" w:eastAsia="仿宋" w:cs="Times New Roman"/>
          <w:b w:val="0"/>
          <w:bCs/>
          <w:sz w:val="32"/>
          <w:szCs w:val="32"/>
          <w:lang w:eastAsia="zh-CN"/>
        </w:rPr>
        <w:t>小</w:t>
      </w:r>
      <w:r>
        <w:rPr>
          <w:rStyle w:val="19"/>
          <w:rFonts w:hint="default" w:ascii="Times New Roman" w:hAnsi="Times New Roman" w:eastAsia="仿宋" w:cs="Times New Roman"/>
          <w:b w:val="0"/>
          <w:bCs/>
          <w:sz w:val="32"/>
          <w:szCs w:val="32"/>
        </w:rPr>
        <w:t>于预算数</w:t>
      </w:r>
      <w:r>
        <w:rPr>
          <w:rFonts w:hint="default" w:ascii="Times New Roman" w:hAnsi="Times New Roman" w:eastAsia="仿宋" w:cs="Times New Roman"/>
          <w:kern w:val="0"/>
          <w:sz w:val="32"/>
          <w:szCs w:val="32"/>
        </w:rPr>
        <w:t>，主要原因是人员减</w:t>
      </w:r>
      <w:r>
        <w:rPr>
          <w:rFonts w:hint="eastAsia" w:ascii="Times New Roman" w:hAnsi="Times New Roman" w:eastAsia="仿宋" w:cs="Times New Roman"/>
          <w:kern w:val="0"/>
          <w:sz w:val="32"/>
          <w:szCs w:val="32"/>
          <w:lang w:eastAsia="zh-CN"/>
        </w:rPr>
        <w:t>少</w:t>
      </w:r>
      <w:r>
        <w:rPr>
          <w:rStyle w:val="19"/>
          <w:rFonts w:hint="default" w:ascii="Times New Roman" w:hAnsi="Times New Roman" w:eastAsia="仿宋" w:cs="Times New Roman"/>
          <w:b w:val="0"/>
          <w:bCs/>
          <w:sz w:val="32"/>
          <w:szCs w:val="32"/>
        </w:rPr>
        <w:t>。</w:t>
      </w:r>
    </w:p>
    <w:p>
      <w:pPr>
        <w:widowControl/>
        <w:spacing w:line="221" w:lineRule="atLeast"/>
        <w:ind w:firstLine="643"/>
        <w:jc w:val="left"/>
        <w:rPr>
          <w:rFonts w:hint="default" w:ascii="Times New Roman" w:hAnsi="Times New Roman" w:eastAsia="仿宋" w:cs="Times New Roman"/>
          <w:kern w:val="0"/>
          <w:sz w:val="24"/>
        </w:rPr>
      </w:pPr>
      <w:r>
        <w:rPr>
          <w:rFonts w:hint="default" w:ascii="Times New Roman" w:hAnsi="Times New Roman" w:eastAsia="仿宋" w:cs="Times New Roman"/>
          <w:b/>
          <w:bCs/>
          <w:color w:val="000000"/>
          <w:kern w:val="0"/>
          <w:sz w:val="32"/>
        </w:rPr>
        <w:t>2.社会保障和就业支出（类）行政事业单位离退休（款）机关事业单位基本养老保险缴费支出（项）</w:t>
      </w:r>
      <w:r>
        <w:rPr>
          <w:rFonts w:hint="default" w:ascii="Times New Roman" w:hAnsi="Times New Roman" w:cs="Times New Roman"/>
          <w:b/>
          <w:bCs/>
          <w:color w:val="000000"/>
          <w:kern w:val="0"/>
          <w:sz w:val="32"/>
        </w:rPr>
        <w:t>:</w:t>
      </w:r>
      <w:r>
        <w:rPr>
          <w:rFonts w:hint="default" w:ascii="Times New Roman" w:hAnsi="Times New Roman" w:eastAsia="仿宋" w:cs="Times New Roman"/>
          <w:color w:val="000000"/>
          <w:kern w:val="0"/>
          <w:sz w:val="32"/>
          <w:szCs w:val="32"/>
        </w:rPr>
        <w:t>支出决算</w:t>
      </w:r>
      <w:r>
        <w:rPr>
          <w:rFonts w:hint="eastAsia" w:eastAsia="仿宋" w:cs="Times New Roman"/>
          <w:color w:val="000000"/>
          <w:kern w:val="0"/>
          <w:sz w:val="32"/>
          <w:szCs w:val="32"/>
          <w:lang w:val="en-US" w:eastAsia="zh-CN"/>
        </w:rPr>
        <w:t>28.06</w:t>
      </w:r>
      <w:r>
        <w:rPr>
          <w:rFonts w:hint="default" w:ascii="Times New Roman" w:hAnsi="Times New Roman" w:eastAsia="仿宋" w:cs="Times New Roman"/>
          <w:color w:val="000000"/>
          <w:kern w:val="0"/>
          <w:sz w:val="32"/>
          <w:szCs w:val="32"/>
        </w:rPr>
        <w:t>万元，完成预算</w:t>
      </w:r>
      <w:r>
        <w:rPr>
          <w:rFonts w:hint="eastAsia" w:eastAsia="仿宋" w:cs="Times New Roman"/>
          <w:color w:val="000000"/>
          <w:kern w:val="0"/>
          <w:sz w:val="32"/>
          <w:szCs w:val="32"/>
          <w:lang w:val="en-US" w:eastAsia="zh-CN"/>
        </w:rPr>
        <w:t>83.99</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kern w:val="0"/>
          <w:sz w:val="32"/>
          <w:szCs w:val="32"/>
        </w:rPr>
        <w:t>，决算数</w:t>
      </w:r>
      <w:r>
        <w:rPr>
          <w:rStyle w:val="19"/>
          <w:rFonts w:hint="eastAsia" w:ascii="Times New Roman" w:hAnsi="Times New Roman" w:eastAsia="仿宋" w:cs="Times New Roman"/>
          <w:b w:val="0"/>
          <w:bCs/>
          <w:sz w:val="32"/>
          <w:szCs w:val="32"/>
          <w:lang w:eastAsia="zh-CN"/>
        </w:rPr>
        <w:t>小</w:t>
      </w:r>
      <w:r>
        <w:rPr>
          <w:rStyle w:val="19"/>
          <w:rFonts w:hint="default" w:ascii="Times New Roman" w:hAnsi="Times New Roman" w:eastAsia="仿宋" w:cs="Times New Roman"/>
          <w:b w:val="0"/>
          <w:bCs/>
          <w:sz w:val="32"/>
          <w:szCs w:val="32"/>
        </w:rPr>
        <w:t>于</w:t>
      </w:r>
      <w:r>
        <w:rPr>
          <w:rFonts w:hint="default" w:ascii="Times New Roman" w:hAnsi="Times New Roman" w:eastAsia="仿宋" w:cs="Times New Roman"/>
          <w:kern w:val="0"/>
          <w:sz w:val="32"/>
          <w:szCs w:val="32"/>
        </w:rPr>
        <w:t>预算数，主要原因是人员减</w:t>
      </w:r>
      <w:r>
        <w:rPr>
          <w:rFonts w:hint="eastAsia" w:ascii="Times New Roman" w:hAnsi="Times New Roman" w:eastAsia="仿宋" w:cs="Times New Roman"/>
          <w:kern w:val="0"/>
          <w:sz w:val="32"/>
          <w:szCs w:val="32"/>
          <w:lang w:eastAsia="zh-CN"/>
        </w:rPr>
        <w:t>少</w:t>
      </w:r>
      <w:r>
        <w:rPr>
          <w:rFonts w:hint="default" w:ascii="Times New Roman" w:hAnsi="Times New Roman" w:eastAsia="仿宋" w:cs="Times New Roman"/>
          <w:color w:val="000000"/>
          <w:kern w:val="0"/>
          <w:sz w:val="32"/>
          <w:szCs w:val="32"/>
        </w:rPr>
        <w:t>。</w:t>
      </w:r>
    </w:p>
    <w:p>
      <w:pPr>
        <w:spacing w:line="600" w:lineRule="exact"/>
        <w:ind w:firstLine="643" w:firstLineChars="200"/>
        <w:rPr>
          <w:rFonts w:hint="default" w:ascii="Times New Roman" w:hAnsi="Times New Roman" w:eastAsia="仿宋" w:cs="Times New Roman"/>
          <w:sz w:val="32"/>
          <w:szCs w:val="32"/>
        </w:rPr>
      </w:pPr>
      <w:r>
        <w:rPr>
          <w:rStyle w:val="19"/>
          <w:rFonts w:hint="default" w:ascii="Times New Roman" w:hAnsi="Times New Roman" w:eastAsia="仿宋" w:cs="Times New Roman"/>
          <w:bCs/>
          <w:sz w:val="32"/>
          <w:szCs w:val="32"/>
        </w:rPr>
        <w:t>3.</w:t>
      </w:r>
      <w:r>
        <w:rPr>
          <w:rFonts w:hint="default" w:ascii="Times New Roman" w:hAnsi="Times New Roman" w:eastAsia="仿宋" w:cs="Times New Roman"/>
          <w:b/>
          <w:bCs/>
          <w:sz w:val="32"/>
          <w:szCs w:val="32"/>
        </w:rPr>
        <w:t>卫生健康支出（类）行政事业单位医疗（款）行政单位医疗（项）:</w:t>
      </w:r>
      <w:r>
        <w:rPr>
          <w:rFonts w:hint="default" w:ascii="Times New Roman" w:hAnsi="Times New Roman" w:eastAsia="仿宋" w:cs="Times New Roman"/>
          <w:bCs/>
          <w:sz w:val="32"/>
          <w:szCs w:val="32"/>
        </w:rPr>
        <w:t>支出决算为</w:t>
      </w:r>
      <w:r>
        <w:rPr>
          <w:rFonts w:hint="eastAsia" w:eastAsia="仿宋" w:cs="Times New Roman"/>
          <w:bCs/>
          <w:sz w:val="32"/>
          <w:szCs w:val="32"/>
          <w:lang w:val="en-US" w:eastAsia="zh-CN"/>
        </w:rPr>
        <w:t>7.26</w:t>
      </w:r>
      <w:r>
        <w:rPr>
          <w:rFonts w:hint="default" w:ascii="Times New Roman" w:hAnsi="Times New Roman" w:eastAsia="仿宋" w:cs="Times New Roman"/>
          <w:bCs/>
          <w:sz w:val="32"/>
          <w:szCs w:val="32"/>
        </w:rPr>
        <w:t>万元，完成预算</w:t>
      </w:r>
      <w:r>
        <w:rPr>
          <w:rFonts w:hint="eastAsia" w:eastAsia="仿宋" w:cs="Times New Roman"/>
          <w:bCs/>
          <w:sz w:val="32"/>
          <w:szCs w:val="32"/>
          <w:lang w:val="en-US" w:eastAsia="zh-CN"/>
        </w:rPr>
        <w:t>97.42</w:t>
      </w:r>
      <w:r>
        <w:rPr>
          <w:rFonts w:hint="default" w:ascii="Times New Roman" w:hAnsi="Times New Roman" w:eastAsia="仿宋" w:cs="Times New Roman"/>
          <w:bCs/>
          <w:sz w:val="32"/>
          <w:szCs w:val="32"/>
        </w:rPr>
        <w:t>%，决算数</w:t>
      </w:r>
      <w:r>
        <w:rPr>
          <w:rFonts w:hint="eastAsia" w:eastAsia="仿宋" w:cs="Times New Roman"/>
          <w:kern w:val="0"/>
          <w:sz w:val="32"/>
          <w:szCs w:val="32"/>
          <w:lang w:eastAsia="zh-CN"/>
        </w:rPr>
        <w:t>小</w:t>
      </w:r>
      <w:r>
        <w:rPr>
          <w:rFonts w:hint="default" w:ascii="Times New Roman" w:hAnsi="Times New Roman" w:eastAsia="仿宋" w:cs="Times New Roman"/>
          <w:kern w:val="0"/>
          <w:sz w:val="32"/>
          <w:szCs w:val="32"/>
        </w:rPr>
        <w:t>于</w:t>
      </w:r>
      <w:r>
        <w:rPr>
          <w:rFonts w:hint="default" w:ascii="Times New Roman" w:hAnsi="Times New Roman" w:eastAsia="仿宋" w:cs="Times New Roman"/>
          <w:bCs/>
          <w:sz w:val="32"/>
          <w:szCs w:val="32"/>
        </w:rPr>
        <w:t>预算数，</w:t>
      </w:r>
      <w:r>
        <w:rPr>
          <w:rFonts w:hint="default" w:ascii="Times New Roman" w:hAnsi="Times New Roman" w:eastAsia="仿宋" w:cs="Times New Roman"/>
          <w:kern w:val="0"/>
          <w:sz w:val="32"/>
          <w:szCs w:val="32"/>
        </w:rPr>
        <w:t>主要原因是人员减</w:t>
      </w:r>
      <w:r>
        <w:rPr>
          <w:rFonts w:hint="eastAsia" w:ascii="Times New Roman" w:hAnsi="Times New Roman" w:eastAsia="仿宋" w:cs="Times New Roman"/>
          <w:kern w:val="0"/>
          <w:sz w:val="32"/>
          <w:szCs w:val="32"/>
          <w:lang w:eastAsia="zh-CN"/>
        </w:rPr>
        <w:t>少</w:t>
      </w:r>
      <w:r>
        <w:rPr>
          <w:rFonts w:hint="default" w:ascii="Times New Roman" w:hAnsi="Times New Roman" w:eastAsia="仿宋" w:cs="Times New Roman"/>
          <w:color w:val="000000"/>
          <w:kern w:val="0"/>
          <w:sz w:val="32"/>
          <w:szCs w:val="32"/>
        </w:rPr>
        <w:t>。</w:t>
      </w:r>
    </w:p>
    <w:p>
      <w:pPr>
        <w:spacing w:line="600" w:lineRule="exact"/>
        <w:ind w:firstLine="643" w:firstLineChars="200"/>
        <w:rPr>
          <w:rFonts w:hint="default" w:ascii="Times New Roman" w:hAnsi="Times New Roman" w:eastAsia="仿宋" w:cs="Times New Roman"/>
          <w:b/>
          <w:bCs/>
          <w:sz w:val="32"/>
          <w:szCs w:val="32"/>
        </w:rPr>
      </w:pPr>
      <w:r>
        <w:rPr>
          <w:rStyle w:val="19"/>
          <w:rFonts w:hint="default" w:ascii="Times New Roman" w:hAnsi="Times New Roman" w:eastAsia="仿宋" w:cs="Times New Roman"/>
          <w:bCs/>
          <w:sz w:val="32"/>
          <w:szCs w:val="32"/>
        </w:rPr>
        <w:t>4.</w:t>
      </w:r>
      <w:r>
        <w:rPr>
          <w:rFonts w:hint="default" w:ascii="Times New Roman" w:hAnsi="Times New Roman" w:eastAsia="仿宋" w:cs="Times New Roman"/>
          <w:b/>
          <w:bCs/>
          <w:sz w:val="32"/>
          <w:szCs w:val="32"/>
        </w:rPr>
        <w:t>卫生健康支出（类）行政事业单位医疗（款）事业单位医疗（项）:</w:t>
      </w:r>
      <w:r>
        <w:rPr>
          <w:rFonts w:hint="default" w:ascii="Times New Roman" w:hAnsi="Times New Roman" w:eastAsia="仿宋" w:cs="Times New Roman"/>
          <w:bCs/>
          <w:sz w:val="32"/>
          <w:szCs w:val="32"/>
        </w:rPr>
        <w:t>支出决算为</w:t>
      </w:r>
      <w:r>
        <w:rPr>
          <w:rFonts w:hint="eastAsia" w:eastAsia="仿宋" w:cs="Times New Roman"/>
          <w:bCs/>
          <w:sz w:val="32"/>
          <w:szCs w:val="32"/>
          <w:lang w:val="en-US" w:eastAsia="zh-CN"/>
        </w:rPr>
        <w:t>9.8</w:t>
      </w:r>
      <w:r>
        <w:rPr>
          <w:rFonts w:hint="default" w:ascii="Times New Roman" w:hAnsi="Times New Roman" w:eastAsia="仿宋" w:cs="Times New Roman"/>
          <w:bCs/>
          <w:sz w:val="32"/>
          <w:szCs w:val="32"/>
        </w:rPr>
        <w:t>万元，完成预算</w:t>
      </w:r>
      <w:r>
        <w:rPr>
          <w:rFonts w:hint="eastAsia" w:eastAsia="仿宋" w:cs="Times New Roman"/>
          <w:bCs/>
          <w:sz w:val="32"/>
          <w:szCs w:val="32"/>
          <w:lang w:val="en-US" w:eastAsia="zh-CN"/>
        </w:rPr>
        <w:t>103.16</w:t>
      </w:r>
      <w:r>
        <w:rPr>
          <w:rFonts w:hint="default" w:ascii="Times New Roman" w:hAnsi="Times New Roman" w:eastAsia="仿宋" w:cs="Times New Roman"/>
          <w:bCs/>
          <w:sz w:val="32"/>
          <w:szCs w:val="32"/>
        </w:rPr>
        <w:t>%，决算数大于预算数，</w:t>
      </w:r>
      <w:r>
        <w:rPr>
          <w:rFonts w:hint="default" w:ascii="Times New Roman" w:hAnsi="Times New Roman" w:eastAsia="仿宋" w:cs="Times New Roman"/>
          <w:kern w:val="0"/>
          <w:sz w:val="32"/>
          <w:szCs w:val="32"/>
        </w:rPr>
        <w:t>主要原因是缴费基数变动</w:t>
      </w:r>
      <w:r>
        <w:rPr>
          <w:rFonts w:hint="default" w:ascii="Times New Roman" w:hAnsi="Times New Roman" w:eastAsia="仿宋" w:cs="Times New Roman"/>
          <w:color w:val="000000"/>
          <w:kern w:val="0"/>
          <w:sz w:val="32"/>
          <w:szCs w:val="32"/>
        </w:rPr>
        <w:t>。</w:t>
      </w:r>
    </w:p>
    <w:p>
      <w:pPr>
        <w:widowControl/>
        <w:spacing w:line="221" w:lineRule="atLeast"/>
        <w:ind w:firstLine="643"/>
        <w:jc w:val="left"/>
        <w:rPr>
          <w:rFonts w:hint="default" w:ascii="Times New Roman" w:hAnsi="Times New Roman" w:eastAsia="仿宋" w:cs="Times New Roman"/>
          <w:color w:val="000000"/>
          <w:kern w:val="0"/>
          <w:sz w:val="32"/>
          <w:szCs w:val="32"/>
        </w:rPr>
      </w:pPr>
      <w:r>
        <w:rPr>
          <w:rStyle w:val="19"/>
          <w:rFonts w:hint="default" w:ascii="Times New Roman" w:hAnsi="Times New Roman" w:eastAsia="仿宋" w:cs="Times New Roman"/>
          <w:bCs/>
          <w:sz w:val="32"/>
          <w:szCs w:val="32"/>
        </w:rPr>
        <w:t>5.</w:t>
      </w:r>
      <w:r>
        <w:rPr>
          <w:rFonts w:hint="default" w:ascii="Times New Roman" w:hAnsi="Times New Roman" w:eastAsia="仿宋" w:cs="Times New Roman"/>
          <w:b/>
          <w:bCs/>
          <w:color w:val="000000"/>
          <w:kern w:val="0"/>
          <w:sz w:val="32"/>
        </w:rPr>
        <w:t xml:space="preserve"> 卫生健康支出（类）行政事业单位医疗（款）公务员医疗补助（项）</w:t>
      </w:r>
      <w:r>
        <w:rPr>
          <w:rFonts w:hint="default" w:ascii="Times New Roman" w:hAnsi="Times New Roman" w:cs="Times New Roman"/>
          <w:b/>
          <w:bCs/>
          <w:color w:val="000000"/>
          <w:kern w:val="0"/>
          <w:sz w:val="32"/>
        </w:rPr>
        <w:t>:</w:t>
      </w:r>
      <w:r>
        <w:rPr>
          <w:rFonts w:hint="default" w:ascii="Times New Roman" w:hAnsi="Times New Roman" w:eastAsia="仿宋" w:cs="Times New Roman"/>
          <w:color w:val="000000"/>
          <w:kern w:val="0"/>
          <w:sz w:val="32"/>
          <w:szCs w:val="32"/>
        </w:rPr>
        <w:t>支出决算为</w:t>
      </w:r>
      <w:r>
        <w:rPr>
          <w:rFonts w:hint="eastAsia" w:eastAsia="仿宋" w:cs="Times New Roman"/>
          <w:color w:val="000000"/>
          <w:kern w:val="0"/>
          <w:sz w:val="32"/>
          <w:szCs w:val="32"/>
          <w:lang w:val="en-US" w:eastAsia="zh-CN"/>
        </w:rPr>
        <w:t>5.01</w:t>
      </w:r>
      <w:r>
        <w:rPr>
          <w:rFonts w:hint="default" w:ascii="Times New Roman" w:hAnsi="Times New Roman" w:eastAsia="仿宋" w:cs="Times New Roman"/>
          <w:color w:val="000000"/>
          <w:kern w:val="0"/>
          <w:sz w:val="32"/>
          <w:szCs w:val="32"/>
        </w:rPr>
        <w:t>万元，完成预算</w:t>
      </w:r>
      <w:r>
        <w:rPr>
          <w:rFonts w:hint="eastAsia" w:eastAsia="仿宋" w:cs="Times New Roman"/>
          <w:color w:val="000000"/>
          <w:kern w:val="0"/>
          <w:sz w:val="32"/>
          <w:szCs w:val="32"/>
          <w:lang w:val="en-US" w:eastAsia="zh-CN"/>
        </w:rPr>
        <w:t>521.88</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kern w:val="0"/>
          <w:sz w:val="32"/>
          <w:szCs w:val="32"/>
        </w:rPr>
        <w:t>，决算数</w:t>
      </w:r>
      <w:r>
        <w:rPr>
          <w:rFonts w:hint="eastAsia" w:eastAsia="仿宋" w:cs="Times New Roman"/>
          <w:kern w:val="0"/>
          <w:sz w:val="32"/>
          <w:szCs w:val="32"/>
          <w:lang w:eastAsia="zh-CN"/>
        </w:rPr>
        <w:t>大</w:t>
      </w:r>
      <w:r>
        <w:rPr>
          <w:rFonts w:hint="default" w:ascii="Times New Roman" w:hAnsi="Times New Roman" w:eastAsia="仿宋" w:cs="Times New Roman"/>
          <w:kern w:val="0"/>
          <w:sz w:val="32"/>
          <w:szCs w:val="32"/>
        </w:rPr>
        <w:t>于预算数</w:t>
      </w:r>
      <w:r>
        <w:rPr>
          <w:rFonts w:hint="default" w:ascii="Times New Roman" w:hAnsi="Times New Roman" w:eastAsia="仿宋" w:cs="Times New Roman"/>
          <w:bCs/>
          <w:sz w:val="32"/>
          <w:szCs w:val="32"/>
        </w:rPr>
        <w:t>，</w:t>
      </w:r>
      <w:r>
        <w:rPr>
          <w:rFonts w:hint="default" w:ascii="Times New Roman" w:hAnsi="Times New Roman" w:eastAsia="仿宋" w:cs="Times New Roman"/>
          <w:kern w:val="0"/>
          <w:sz w:val="32"/>
          <w:szCs w:val="32"/>
        </w:rPr>
        <w:t>主要原因是</w:t>
      </w:r>
      <w:r>
        <w:rPr>
          <w:rFonts w:hint="eastAsia" w:eastAsia="仿宋" w:cs="Times New Roman"/>
          <w:kern w:val="0"/>
          <w:sz w:val="32"/>
          <w:szCs w:val="32"/>
          <w:lang w:eastAsia="zh-CN"/>
        </w:rPr>
        <w:t>补</w:t>
      </w:r>
      <w:r>
        <w:rPr>
          <w:rFonts w:hint="default" w:ascii="Times New Roman" w:hAnsi="Times New Roman" w:eastAsia="仿宋" w:cs="Times New Roman"/>
          <w:kern w:val="0"/>
          <w:sz w:val="32"/>
          <w:szCs w:val="32"/>
        </w:rPr>
        <w:t>缴费</w:t>
      </w:r>
      <w:r>
        <w:rPr>
          <w:rFonts w:hint="eastAsia" w:eastAsia="仿宋" w:cs="Times New Roman"/>
          <w:kern w:val="0"/>
          <w:sz w:val="32"/>
          <w:szCs w:val="32"/>
          <w:lang w:eastAsia="zh-CN"/>
        </w:rPr>
        <w:t>用</w:t>
      </w:r>
      <w:r>
        <w:rPr>
          <w:rFonts w:hint="default" w:ascii="Times New Roman" w:hAnsi="Times New Roman" w:eastAsia="仿宋" w:cs="Times New Roman"/>
          <w:color w:val="000000"/>
          <w:kern w:val="0"/>
          <w:sz w:val="32"/>
          <w:szCs w:val="32"/>
        </w:rPr>
        <w:t>。</w:t>
      </w:r>
    </w:p>
    <w:p>
      <w:pPr>
        <w:widowControl/>
        <w:spacing w:line="221" w:lineRule="atLeast"/>
        <w:ind w:firstLine="643"/>
        <w:jc w:val="left"/>
        <w:rPr>
          <w:rFonts w:hint="default" w:ascii="Times New Roman" w:hAnsi="Times New Roman" w:eastAsia="仿宋" w:cs="Times New Roman"/>
          <w:color w:val="000000"/>
          <w:kern w:val="0"/>
          <w:sz w:val="32"/>
          <w:szCs w:val="32"/>
        </w:rPr>
      </w:pPr>
      <w:r>
        <w:rPr>
          <w:rStyle w:val="19"/>
          <w:rFonts w:hint="default" w:ascii="Times New Roman" w:hAnsi="Times New Roman" w:eastAsia="仿宋" w:cs="Times New Roman"/>
          <w:bCs/>
          <w:sz w:val="32"/>
          <w:szCs w:val="32"/>
        </w:rPr>
        <w:t>6.</w:t>
      </w:r>
      <w:r>
        <w:rPr>
          <w:rFonts w:hint="default" w:ascii="Times New Roman" w:hAnsi="Times New Roman" w:eastAsia="仿宋" w:cs="Times New Roman"/>
          <w:b/>
          <w:bCs/>
          <w:color w:val="000000"/>
          <w:kern w:val="0"/>
          <w:sz w:val="32"/>
        </w:rPr>
        <w:t xml:space="preserve"> 卫生健康支出（类）行政事业单位医疗（款）其他行政事业单位医疗支出（项）</w:t>
      </w:r>
      <w:r>
        <w:rPr>
          <w:rFonts w:hint="default" w:ascii="Times New Roman" w:hAnsi="Times New Roman" w:cs="Times New Roman"/>
          <w:b/>
          <w:bCs/>
          <w:color w:val="000000"/>
          <w:kern w:val="0"/>
          <w:sz w:val="32"/>
        </w:rPr>
        <w:t>:</w:t>
      </w:r>
      <w:r>
        <w:rPr>
          <w:rFonts w:hint="default" w:ascii="Times New Roman" w:hAnsi="Times New Roman" w:eastAsia="仿宋" w:cs="Times New Roman"/>
          <w:color w:val="000000"/>
          <w:kern w:val="0"/>
          <w:sz w:val="32"/>
          <w:szCs w:val="32"/>
        </w:rPr>
        <w:t>支出决算为</w:t>
      </w:r>
      <w:r>
        <w:rPr>
          <w:rFonts w:hint="eastAsia" w:eastAsia="仿宋" w:cs="Times New Roman"/>
          <w:color w:val="000000"/>
          <w:kern w:val="0"/>
          <w:sz w:val="32"/>
          <w:szCs w:val="32"/>
          <w:lang w:val="en-US" w:eastAsia="zh-CN"/>
        </w:rPr>
        <w:t>4.98</w:t>
      </w:r>
      <w:r>
        <w:rPr>
          <w:rFonts w:hint="default" w:ascii="Times New Roman" w:hAnsi="Times New Roman" w:eastAsia="仿宋" w:cs="Times New Roman"/>
          <w:color w:val="000000"/>
          <w:kern w:val="0"/>
          <w:sz w:val="32"/>
          <w:szCs w:val="32"/>
        </w:rPr>
        <w:t>万元，完成预算</w:t>
      </w:r>
      <w:r>
        <w:rPr>
          <w:rFonts w:hint="eastAsia" w:eastAsia="仿宋" w:cs="Times New Roman"/>
          <w:color w:val="000000"/>
          <w:kern w:val="0"/>
          <w:sz w:val="32"/>
          <w:szCs w:val="32"/>
          <w:lang w:val="en-US" w:eastAsia="zh-CN"/>
        </w:rPr>
        <w:t>415</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kern w:val="0"/>
          <w:sz w:val="32"/>
          <w:szCs w:val="32"/>
        </w:rPr>
        <w:t>，决算数大于预算数</w:t>
      </w:r>
      <w:r>
        <w:rPr>
          <w:rFonts w:hint="default" w:ascii="Times New Roman" w:hAnsi="Times New Roman" w:eastAsia="仿宋" w:cs="Times New Roman"/>
          <w:bCs/>
          <w:sz w:val="32"/>
          <w:szCs w:val="32"/>
        </w:rPr>
        <w:t>，</w:t>
      </w:r>
      <w:r>
        <w:rPr>
          <w:rFonts w:hint="default" w:ascii="Times New Roman" w:hAnsi="Times New Roman" w:eastAsia="仿宋" w:cs="Times New Roman"/>
          <w:kern w:val="0"/>
          <w:sz w:val="32"/>
          <w:szCs w:val="32"/>
        </w:rPr>
        <w:t>主要原因是</w:t>
      </w:r>
      <w:r>
        <w:rPr>
          <w:rFonts w:hint="eastAsia" w:eastAsia="仿宋" w:cs="Times New Roman"/>
          <w:kern w:val="0"/>
          <w:sz w:val="32"/>
          <w:szCs w:val="32"/>
          <w:lang w:eastAsia="zh-CN"/>
        </w:rPr>
        <w:t>补</w:t>
      </w:r>
      <w:r>
        <w:rPr>
          <w:rFonts w:hint="default" w:ascii="Times New Roman" w:hAnsi="Times New Roman" w:eastAsia="仿宋" w:cs="Times New Roman"/>
          <w:kern w:val="0"/>
          <w:sz w:val="32"/>
          <w:szCs w:val="32"/>
        </w:rPr>
        <w:t>缴费</w:t>
      </w:r>
      <w:r>
        <w:rPr>
          <w:rFonts w:hint="eastAsia" w:eastAsia="仿宋" w:cs="Times New Roman"/>
          <w:kern w:val="0"/>
          <w:sz w:val="32"/>
          <w:szCs w:val="32"/>
          <w:lang w:eastAsia="zh-CN"/>
        </w:rPr>
        <w:t>用</w:t>
      </w:r>
      <w:r>
        <w:rPr>
          <w:rFonts w:hint="default" w:ascii="Times New Roman" w:hAnsi="Times New Roman" w:eastAsia="仿宋" w:cs="Times New Roman"/>
          <w:color w:val="000000"/>
          <w:kern w:val="0"/>
          <w:sz w:val="32"/>
          <w:szCs w:val="32"/>
        </w:rPr>
        <w:t>。</w:t>
      </w:r>
    </w:p>
    <w:p>
      <w:pPr>
        <w:widowControl/>
        <w:spacing w:line="221" w:lineRule="atLeast"/>
        <w:ind w:firstLine="643"/>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b/>
          <w:bCs/>
          <w:color w:val="000000"/>
          <w:kern w:val="0"/>
          <w:sz w:val="32"/>
        </w:rPr>
        <w:t>7.住房保障支出（类）住房改革支出（款）住房公积金（项）</w:t>
      </w:r>
      <w:r>
        <w:rPr>
          <w:rFonts w:hint="default" w:ascii="Times New Roman" w:hAnsi="Times New Roman" w:cs="Times New Roman"/>
          <w:b/>
          <w:bCs/>
          <w:color w:val="000000"/>
          <w:kern w:val="0"/>
          <w:sz w:val="32"/>
        </w:rPr>
        <w:t>:</w:t>
      </w:r>
      <w:r>
        <w:rPr>
          <w:rFonts w:hint="default" w:ascii="Times New Roman" w:hAnsi="Times New Roman" w:eastAsia="仿宋" w:cs="Times New Roman"/>
          <w:color w:val="000000"/>
          <w:kern w:val="0"/>
          <w:sz w:val="32"/>
          <w:szCs w:val="32"/>
        </w:rPr>
        <w:t>支出决算为</w:t>
      </w:r>
      <w:r>
        <w:rPr>
          <w:rFonts w:hint="eastAsia" w:eastAsia="仿宋" w:cs="Times New Roman"/>
          <w:color w:val="000000"/>
          <w:kern w:val="0"/>
          <w:sz w:val="32"/>
          <w:szCs w:val="32"/>
          <w:lang w:val="en-US" w:eastAsia="zh-CN"/>
        </w:rPr>
        <w:t>25.54</w:t>
      </w:r>
      <w:r>
        <w:rPr>
          <w:rFonts w:hint="default" w:ascii="Times New Roman" w:hAnsi="Times New Roman" w:eastAsia="仿宋" w:cs="Times New Roman"/>
          <w:color w:val="000000"/>
          <w:kern w:val="0"/>
          <w:sz w:val="32"/>
          <w:szCs w:val="32"/>
        </w:rPr>
        <w:t>万元，完成预算</w:t>
      </w:r>
      <w:r>
        <w:rPr>
          <w:rFonts w:hint="eastAsia" w:eastAsia="仿宋" w:cs="Times New Roman"/>
          <w:color w:val="000000"/>
          <w:kern w:val="0"/>
          <w:sz w:val="32"/>
          <w:szCs w:val="32"/>
          <w:lang w:val="en-US" w:eastAsia="zh-CN"/>
        </w:rPr>
        <w:t>96.63</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kern w:val="0"/>
          <w:sz w:val="32"/>
          <w:szCs w:val="32"/>
        </w:rPr>
        <w:t>，决算数</w:t>
      </w:r>
      <w:r>
        <w:rPr>
          <w:rFonts w:hint="eastAsia" w:eastAsia="仿宋" w:cs="Times New Roman"/>
          <w:kern w:val="0"/>
          <w:sz w:val="32"/>
          <w:szCs w:val="32"/>
          <w:lang w:eastAsia="zh-CN"/>
        </w:rPr>
        <w:t>小</w:t>
      </w:r>
      <w:r>
        <w:rPr>
          <w:rFonts w:hint="default" w:ascii="Times New Roman" w:hAnsi="Times New Roman" w:eastAsia="仿宋" w:cs="Times New Roman"/>
          <w:kern w:val="0"/>
          <w:sz w:val="32"/>
          <w:szCs w:val="32"/>
        </w:rPr>
        <w:t>于预算数</w:t>
      </w:r>
      <w:bookmarkStart w:id="42" w:name="_Toc15396608"/>
      <w:bookmarkStart w:id="43" w:name="_Toc15377214"/>
      <w:r>
        <w:rPr>
          <w:rFonts w:hint="default" w:ascii="Times New Roman" w:hAnsi="Times New Roman" w:eastAsia="仿宋" w:cs="Times New Roman"/>
          <w:bCs/>
          <w:sz w:val="32"/>
          <w:szCs w:val="32"/>
        </w:rPr>
        <w:t>，</w:t>
      </w:r>
      <w:r>
        <w:rPr>
          <w:rFonts w:hint="default" w:ascii="Times New Roman" w:hAnsi="Times New Roman" w:eastAsia="仿宋" w:cs="Times New Roman"/>
          <w:kern w:val="0"/>
          <w:sz w:val="32"/>
          <w:szCs w:val="32"/>
        </w:rPr>
        <w:t>主要原因是</w:t>
      </w:r>
      <w:r>
        <w:rPr>
          <w:rFonts w:hint="eastAsia" w:eastAsia="仿宋" w:cs="Times New Roman"/>
          <w:kern w:val="0"/>
          <w:sz w:val="32"/>
          <w:szCs w:val="32"/>
          <w:lang w:eastAsia="zh-CN"/>
        </w:rPr>
        <w:t>人员减少</w:t>
      </w:r>
      <w:r>
        <w:rPr>
          <w:rFonts w:hint="default" w:ascii="Times New Roman" w:hAnsi="Times New Roman" w:eastAsia="仿宋" w:cs="Times New Roman"/>
          <w:color w:val="000000"/>
          <w:kern w:val="0"/>
          <w:sz w:val="32"/>
          <w:szCs w:val="32"/>
        </w:rPr>
        <w:t>。</w:t>
      </w:r>
    </w:p>
    <w:p>
      <w:pPr>
        <w:pStyle w:val="9"/>
        <w:rPr>
          <w:rFonts w:hint="default" w:ascii="Times New Roman" w:hAnsi="Times New Roman" w:eastAsia="仿宋" w:cs="Times New Roman"/>
          <w:lang w:val="en-US" w:eastAsia="zh-CN"/>
        </w:rPr>
      </w:pPr>
      <w:r>
        <w:rPr>
          <w:rFonts w:hint="eastAsia" w:ascii="Times New Roman" w:eastAsia="仿宋" w:cs="Times New Roman"/>
          <w:color w:val="000000"/>
          <w:kern w:val="0"/>
          <w:sz w:val="32"/>
          <w:szCs w:val="32"/>
          <w:lang w:val="en-US" w:eastAsia="zh-CN"/>
        </w:rPr>
        <w:t xml:space="preserve">   </w:t>
      </w:r>
      <w:r>
        <w:rPr>
          <w:rFonts w:hint="default" w:ascii="Times New Roman" w:hAnsi="Times New Roman" w:eastAsia="仿宋" w:cs="Times New Roman"/>
          <w:b/>
          <w:bCs/>
          <w:color w:val="000000"/>
          <w:kern w:val="0"/>
          <w:sz w:val="32"/>
          <w:szCs w:val="32"/>
          <w:lang w:val="en-US" w:eastAsia="zh-CN"/>
        </w:rPr>
        <w:t xml:space="preserve"> 8.</w:t>
      </w:r>
      <w:r>
        <w:rPr>
          <w:rFonts w:hint="default" w:ascii="Times New Roman" w:hAnsi="Times New Roman" w:eastAsia="仿宋" w:cs="Times New Roman"/>
          <w:b/>
          <w:bCs/>
          <w:color w:val="000000"/>
          <w:kern w:val="0"/>
          <w:sz w:val="32"/>
          <w:lang w:eastAsia="zh-CN"/>
        </w:rPr>
        <w:t>商业服务业等项目</w:t>
      </w:r>
      <w:r>
        <w:rPr>
          <w:rFonts w:hint="default" w:ascii="Times New Roman" w:hAnsi="Times New Roman" w:eastAsia="仿宋" w:cs="Times New Roman"/>
          <w:b/>
          <w:bCs/>
          <w:color w:val="000000"/>
          <w:kern w:val="0"/>
          <w:sz w:val="32"/>
          <w:szCs w:val="32"/>
        </w:rPr>
        <w:t>支出</w:t>
      </w:r>
      <w:r>
        <w:rPr>
          <w:rFonts w:hint="default" w:ascii="Times New Roman" w:hAnsi="Times New Roman" w:eastAsia="仿宋" w:cs="Times New Roman"/>
          <w:b/>
          <w:bCs/>
          <w:color w:val="000000"/>
          <w:kern w:val="0"/>
          <w:sz w:val="32"/>
          <w:szCs w:val="32"/>
          <w:lang w:val="en-US" w:eastAsia="zh-CN"/>
        </w:rPr>
        <w:t>2158.85</w:t>
      </w:r>
      <w:r>
        <w:rPr>
          <w:rFonts w:hint="default" w:ascii="Times New Roman" w:hAnsi="Times New Roman" w:eastAsia="仿宋" w:cs="Times New Roman"/>
          <w:b/>
          <w:bCs/>
          <w:color w:val="000000"/>
          <w:kern w:val="0"/>
          <w:sz w:val="32"/>
          <w:szCs w:val="32"/>
        </w:rPr>
        <w:t>万元</w:t>
      </w:r>
      <w:r>
        <w:rPr>
          <w:rFonts w:hint="default" w:ascii="Times New Roman" w:hAnsi="Times New Roman" w:eastAsia="仿宋" w:cs="Times New Roman"/>
          <w:color w:val="000000"/>
          <w:kern w:val="0"/>
          <w:sz w:val="32"/>
          <w:szCs w:val="32"/>
        </w:rPr>
        <w:t>，占</w:t>
      </w:r>
      <w:r>
        <w:rPr>
          <w:rFonts w:hint="default" w:ascii="Times New Roman" w:hAnsi="Times New Roman" w:eastAsia="仿宋" w:cs="Times New Roman"/>
          <w:color w:val="000000"/>
          <w:kern w:val="0"/>
          <w:sz w:val="32"/>
          <w:szCs w:val="32"/>
          <w:lang w:val="en-US" w:eastAsia="zh-CN"/>
        </w:rPr>
        <w:t>87.21</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color w:val="000000"/>
          <w:kern w:val="0"/>
          <w:sz w:val="32"/>
          <w:szCs w:val="32"/>
          <w:lang w:eastAsia="zh-CN"/>
        </w:rPr>
        <w:t>，主要原因是项目建设增加</w:t>
      </w:r>
      <w:r>
        <w:rPr>
          <w:rFonts w:hint="default" w:ascii="Times New Roman" w:hAnsi="Times New Roman" w:eastAsia="仿宋" w:cs="Times New Roman"/>
          <w:color w:val="000000"/>
          <w:kern w:val="0"/>
          <w:sz w:val="32"/>
          <w:szCs w:val="32"/>
        </w:rPr>
        <w:t>。</w:t>
      </w:r>
    </w:p>
    <w:p>
      <w:pPr>
        <w:widowControl/>
        <w:spacing w:line="221" w:lineRule="atLeast"/>
        <w:ind w:firstLine="643"/>
        <w:jc w:val="left"/>
        <w:rPr>
          <w:rStyle w:val="30"/>
          <w:rFonts w:hint="default" w:ascii="Times New Roman" w:hAnsi="Times New Roman" w:cs="Times New Roman"/>
        </w:rPr>
      </w:pPr>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般公共预算财政拨款基本支出决算情况说明</w:t>
      </w:r>
      <w:bookmarkEnd w:id="42"/>
      <w:bookmarkEnd w:id="43"/>
      <w:r>
        <w:rPr>
          <w:rStyle w:val="30"/>
          <w:rFonts w:hint="default" w:ascii="Times New Roman" w:hAnsi="Times New Roman" w:eastAsia="黑体" w:cs="Times New Roman"/>
          <w:b w:val="0"/>
        </w:rPr>
        <w:tab/>
      </w:r>
    </w:p>
    <w:p>
      <w:pPr>
        <w:spacing w:line="600" w:lineRule="exact"/>
        <w:ind w:firstLine="645"/>
        <w:rPr>
          <w:rFonts w:hint="default" w:ascii="Times New Roman" w:hAnsi="Times New Roman" w:eastAsia="仿宋" w:cs="Times New Roman"/>
          <w:color w:val="000000" w:themeColor="text1"/>
          <w:sz w:val="32"/>
          <w:szCs w:val="32"/>
          <w14:textFill>
            <w14:solidFill>
              <w14:schemeClr w14:val="tx1"/>
            </w14:solidFill>
          </w14:textFill>
        </w:rPr>
      </w:pPr>
      <w:r>
        <w:rPr>
          <w:rFonts w:hint="eastAsia" w:eastAsia="仿宋" w:cs="Times New Roman"/>
          <w:color w:val="000000" w:themeColor="text1"/>
          <w:sz w:val="32"/>
          <w:szCs w:val="32"/>
          <w:lang w:eastAsia="zh-CN"/>
          <w14:textFill>
            <w14:solidFill>
              <w14:schemeClr w14:val="tx1"/>
            </w14:solidFill>
          </w14:textFill>
        </w:rPr>
        <w:t>2024</w:t>
      </w:r>
      <w:r>
        <w:rPr>
          <w:rFonts w:hint="default" w:ascii="Times New Roman" w:hAnsi="Times New Roman" w:eastAsia="仿宋" w:cs="Times New Roman"/>
          <w:color w:val="000000" w:themeColor="text1"/>
          <w:sz w:val="32"/>
          <w:szCs w:val="32"/>
          <w14:textFill>
            <w14:solidFill>
              <w14:schemeClr w14:val="tx1"/>
            </w14:solidFill>
          </w14:textFill>
        </w:rPr>
        <w:t>年一般公共预算财政拨款基本支出</w:t>
      </w:r>
      <w:r>
        <w:rPr>
          <w:rFonts w:hint="eastAsia" w:eastAsia="仿宋" w:cs="Times New Roman"/>
          <w:color w:val="000000" w:themeColor="text1"/>
          <w:sz w:val="32"/>
          <w:szCs w:val="32"/>
          <w:lang w:val="en-US" w:eastAsia="zh-CN"/>
          <w14:textFill>
            <w14:solidFill>
              <w14:schemeClr w14:val="tx1"/>
            </w14:solidFill>
          </w14:textFill>
        </w:rPr>
        <w:t>2475.32</w:t>
      </w:r>
      <w:r>
        <w:rPr>
          <w:rFonts w:hint="default" w:ascii="Times New Roman" w:hAnsi="Times New Roman" w:eastAsia="仿宋" w:cs="Times New Roman"/>
          <w:color w:val="000000" w:themeColor="text1"/>
          <w:sz w:val="32"/>
          <w:szCs w:val="32"/>
          <w14:textFill>
            <w14:solidFill>
              <w14:schemeClr w14:val="tx1"/>
            </w14:solidFill>
          </w14:textFill>
        </w:rPr>
        <w:t>万元，其中：</w:t>
      </w:r>
    </w:p>
    <w:p>
      <w:pPr>
        <w:spacing w:line="600" w:lineRule="exact"/>
        <w:ind w:firstLine="645"/>
        <w:rPr>
          <w:rFonts w:hint="default" w:ascii="Times New Roman" w:hAnsi="Times New Roman" w:cs="Times New Roman"/>
        </w:rPr>
      </w:pPr>
      <w:r>
        <w:rPr>
          <w:rFonts w:hint="default" w:ascii="Times New Roman" w:hAnsi="Times New Roman" w:eastAsia="仿宋" w:cs="Times New Roman"/>
          <w:color w:val="000000" w:themeColor="text1"/>
          <w:sz w:val="32"/>
          <w:szCs w:val="32"/>
          <w14:textFill>
            <w14:solidFill>
              <w14:schemeClr w14:val="tx1"/>
            </w14:solidFill>
          </w14:textFill>
        </w:rPr>
        <w:t>人员经费</w:t>
      </w:r>
      <w:r>
        <w:rPr>
          <w:rFonts w:hint="eastAsia" w:eastAsia="仿宋" w:cs="Times New Roman"/>
          <w:color w:val="000000" w:themeColor="text1"/>
          <w:sz w:val="32"/>
          <w:szCs w:val="32"/>
          <w:lang w:val="en-US" w:eastAsia="zh-CN"/>
          <w14:textFill>
            <w14:solidFill>
              <w14:schemeClr w14:val="tx1"/>
            </w14:solidFill>
          </w14:textFill>
        </w:rPr>
        <w:t>298.27</w:t>
      </w:r>
      <w:r>
        <w:rPr>
          <w:rFonts w:hint="default" w:ascii="Times New Roman" w:hAnsi="Times New Roman" w:eastAsia="仿宋" w:cs="Times New Roman"/>
          <w:color w:val="000000" w:themeColor="text1"/>
          <w:sz w:val="32"/>
          <w:szCs w:val="32"/>
          <w14:textFill>
            <w14:solidFill>
              <w14:schemeClr w14:val="tx1"/>
            </w14:solidFill>
          </w14:textFill>
        </w:rPr>
        <w:t>万元，主要包括：基本工资、津贴补贴、奖金、绩效工资、机关事业单位基本养老保险缴</w:t>
      </w:r>
      <w:r>
        <w:rPr>
          <w:rFonts w:hint="default" w:ascii="Times New Roman" w:hAnsi="Times New Roman" w:eastAsia="仿宋" w:cs="Times New Roman"/>
          <w:sz w:val="32"/>
          <w:szCs w:val="32"/>
        </w:rPr>
        <w:t>费、职工基本医疗保险缴费、公务员医疗补助缴费、其他社会保障缴费、其他工资福利支出、住房公积金等。</w:t>
      </w:r>
      <w:r>
        <w:rPr>
          <w:rFonts w:hint="default" w:ascii="Times New Roman" w:hAnsi="Times New Roman" w:eastAsia="仿宋" w:cs="Times New Roman"/>
          <w:sz w:val="32"/>
          <w:szCs w:val="32"/>
        </w:rPr>
        <w:br w:type="textWrapping"/>
      </w:r>
      <w:r>
        <w:rPr>
          <w:rFonts w:hint="default" w:ascii="Times New Roman" w:hAnsi="Times New Roman" w:eastAsia="仿宋" w:cs="Times New Roman"/>
          <w:sz w:val="32"/>
          <w:szCs w:val="32"/>
        </w:rPr>
        <w:t>　　公用经</w:t>
      </w:r>
      <w:r>
        <w:rPr>
          <w:rFonts w:hint="default" w:ascii="Times New Roman" w:hAnsi="Times New Roman" w:eastAsia="仿宋" w:cs="Times New Roman"/>
          <w:color w:val="000000" w:themeColor="text1"/>
          <w:sz w:val="32"/>
          <w:szCs w:val="32"/>
          <w14:textFill>
            <w14:solidFill>
              <w14:schemeClr w14:val="tx1"/>
            </w14:solidFill>
          </w14:textFill>
        </w:rPr>
        <w:t>费</w:t>
      </w:r>
      <w:r>
        <w:rPr>
          <w:rFonts w:hint="eastAsia" w:eastAsia="仿宋" w:cs="Times New Roman"/>
          <w:color w:val="000000" w:themeColor="text1"/>
          <w:sz w:val="32"/>
          <w:szCs w:val="32"/>
          <w:lang w:val="en-US" w:eastAsia="zh-CN"/>
          <w14:textFill>
            <w14:solidFill>
              <w14:schemeClr w14:val="tx1"/>
            </w14:solidFill>
          </w14:textFill>
        </w:rPr>
        <w:t>18.20</w:t>
      </w:r>
      <w:r>
        <w:rPr>
          <w:rFonts w:hint="default" w:ascii="Times New Roman" w:hAnsi="Times New Roman" w:eastAsia="仿宋" w:cs="Times New Roman"/>
          <w:color w:val="000000" w:themeColor="text1"/>
          <w:sz w:val="32"/>
          <w:szCs w:val="32"/>
          <w14:textFill>
            <w14:solidFill>
              <w14:schemeClr w14:val="tx1"/>
            </w14:solidFill>
          </w14:textFill>
        </w:rPr>
        <w:t>万元，主要包括：办公费、差旅费、工会经费、福利费、其他交通费、</w:t>
      </w:r>
      <w:r>
        <w:rPr>
          <w:rFonts w:hint="default" w:ascii="Times New Roman" w:hAnsi="Times New Roman" w:eastAsia="仿宋" w:cs="Times New Roman"/>
          <w:sz w:val="32"/>
          <w:szCs w:val="32"/>
        </w:rPr>
        <w:t>其他商品和服务支出等。</w:t>
      </w:r>
    </w:p>
    <w:p>
      <w:pPr>
        <w:spacing w:line="600" w:lineRule="exact"/>
        <w:ind w:firstLine="640"/>
        <w:outlineLvl w:val="1"/>
        <w:rPr>
          <w:rStyle w:val="30"/>
          <w:rFonts w:hint="default" w:ascii="Times New Roman" w:hAnsi="Times New Roman" w:eastAsia="黑体" w:cs="Times New Roman"/>
          <w:b w:val="0"/>
        </w:rPr>
      </w:pPr>
      <w:bookmarkStart w:id="44" w:name="_Toc15377215"/>
      <w:bookmarkStart w:id="45" w:name="_Toc15396609"/>
      <w:r>
        <w:rPr>
          <w:rFonts w:hint="default" w:ascii="Times New Roman" w:hAnsi="Times New Roman" w:eastAsia="黑体" w:cs="Times New Roman"/>
          <w:sz w:val="32"/>
          <w:szCs w:val="32"/>
        </w:rPr>
        <w:t>七、</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三公”经费财政拨款支出决算情况说明</w:t>
      </w:r>
      <w:bookmarkEnd w:id="44"/>
      <w:bookmarkEnd w:id="45"/>
    </w:p>
    <w:p>
      <w:pPr>
        <w:spacing w:line="600" w:lineRule="exact"/>
        <w:ind w:firstLine="640"/>
        <w:outlineLvl w:val="2"/>
        <w:rPr>
          <w:rFonts w:hint="default" w:ascii="Times New Roman" w:hAnsi="Times New Roman" w:eastAsia="仿宋" w:cs="Times New Roman"/>
          <w:b/>
          <w:sz w:val="32"/>
          <w:szCs w:val="32"/>
        </w:rPr>
      </w:pPr>
      <w:bookmarkStart w:id="46" w:name="_Toc15377216"/>
      <w:r>
        <w:rPr>
          <w:rFonts w:hint="default" w:ascii="Times New Roman" w:hAnsi="Times New Roman" w:eastAsia="仿宋" w:cs="Times New Roman"/>
          <w:b/>
          <w:sz w:val="32"/>
          <w:szCs w:val="32"/>
        </w:rPr>
        <w:t>（一）“三公”经费财政拨款支出决算总体情况说明</w:t>
      </w:r>
      <w:bookmarkEnd w:id="46"/>
    </w:p>
    <w:p>
      <w:pPr>
        <w:spacing w:line="600" w:lineRule="exact"/>
        <w:ind w:firstLine="640"/>
        <w:outlineLvl w:val="2"/>
        <w:rPr>
          <w:rFonts w:hint="default" w:ascii="Times New Roman" w:hAnsi="Times New Roman" w:eastAsia="仿宋" w:cs="Times New Roman"/>
          <w:sz w:val="32"/>
          <w:szCs w:val="32"/>
        </w:rPr>
      </w:pPr>
      <w:bookmarkStart w:id="47" w:name="_Toc15377217"/>
      <w:r>
        <w:rPr>
          <w:rFonts w:hint="eastAsia" w:eastAsia="仿宋" w:cs="Times New Roman"/>
          <w:sz w:val="32"/>
          <w:szCs w:val="32"/>
          <w:lang w:eastAsia="zh-CN"/>
        </w:rPr>
        <w:t>2024</w:t>
      </w:r>
      <w:r>
        <w:rPr>
          <w:rFonts w:hint="default" w:ascii="Times New Roman" w:hAnsi="Times New Roman" w:eastAsia="仿宋" w:cs="Times New Roman"/>
          <w:sz w:val="32"/>
          <w:szCs w:val="32"/>
        </w:rPr>
        <w:t>年“三公”经费财政拨款支出决算为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万元，完成预算</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%，较上年增加/减少</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万元，增长/下降</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w:t>
      </w:r>
    </w:p>
    <w:p>
      <w:pPr>
        <w:spacing w:line="600" w:lineRule="exact"/>
        <w:ind w:firstLine="640"/>
        <w:outlineLvl w:val="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（二）“三公”经费财政拨款支出决算具体情况说明</w:t>
      </w:r>
      <w:bookmarkEnd w:id="47"/>
    </w:p>
    <w:p>
      <w:pPr>
        <w:spacing w:line="600" w:lineRule="exact"/>
        <w:ind w:firstLine="640"/>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年“三公”经费财政拨款支出决算中，因公出国（境）费支出决算0万元，占0%；公务用车购置及运行维护费支出决算0万元，占0%；公务接待费支出决算0万元，占0%。与去年相比持平，具体情况如下：</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1.因公出国（境）经费支出</w:t>
      </w:r>
      <w:r>
        <w:rPr>
          <w:rFonts w:hint="default" w:ascii="Times New Roman" w:hAnsi="Times New Roman" w:eastAsia="仿宋_GB2312" w:cs="Times New Roman"/>
          <w:sz w:val="32"/>
          <w:szCs w:val="32"/>
        </w:rPr>
        <w:t>0万元</w:t>
      </w:r>
      <w:r>
        <w:rPr>
          <w:rStyle w:val="19"/>
          <w:rFonts w:hint="default" w:ascii="Times New Roman" w:hAnsi="Times New Roman" w:eastAsia="仿宋" w:cs="Times New Roman"/>
          <w:b w:val="0"/>
          <w:bCs/>
          <w:sz w:val="32"/>
          <w:szCs w:val="32"/>
        </w:rPr>
        <w:t>。</w:t>
      </w:r>
    </w:p>
    <w:p>
      <w:pPr>
        <w:spacing w:line="600" w:lineRule="exact"/>
        <w:ind w:firstLine="64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2.公务用车购置及运行维护费支出</w:t>
      </w:r>
      <w:r>
        <w:rPr>
          <w:rFonts w:hint="default" w:ascii="Times New Roman" w:hAnsi="Times New Roman" w:eastAsia="仿宋_GB2312" w:cs="Times New Roman"/>
          <w:sz w:val="32"/>
          <w:szCs w:val="32"/>
        </w:rPr>
        <w:t>0万元。</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3.公务接待费支出</w:t>
      </w:r>
      <w:r>
        <w:rPr>
          <w:rFonts w:hint="default" w:ascii="Times New Roman" w:hAnsi="Times New Roman" w:eastAsia="仿宋_GB2312" w:cs="Times New Roman"/>
          <w:sz w:val="32"/>
          <w:szCs w:val="32"/>
        </w:rPr>
        <w:t>0万元。</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rPr>
        <w:t>国内公务接待支出</w:t>
      </w:r>
      <w:r>
        <w:rPr>
          <w:rFonts w:hint="default" w:ascii="Times New Roman" w:hAnsi="Times New Roman" w:eastAsia="仿宋" w:cs="Times New Roman"/>
          <w:sz w:val="32"/>
          <w:szCs w:val="32"/>
        </w:rPr>
        <w:t>0</w:t>
      </w:r>
      <w:r>
        <w:rPr>
          <w:rFonts w:hint="default" w:ascii="Times New Roman" w:hAnsi="Times New Roman" w:eastAsia="仿宋_GB2312" w:cs="Times New Roman"/>
          <w:sz w:val="32"/>
          <w:szCs w:val="32"/>
        </w:rPr>
        <w:t>万元。</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rPr>
        <w:t>外事接待支出</w:t>
      </w:r>
      <w:r>
        <w:rPr>
          <w:rFonts w:hint="default" w:ascii="Times New Roman" w:hAnsi="Times New Roman" w:eastAsia="仿宋" w:cs="Times New Roman"/>
          <w:sz w:val="32"/>
          <w:szCs w:val="32"/>
        </w:rPr>
        <w:t>0</w:t>
      </w:r>
      <w:r>
        <w:rPr>
          <w:rFonts w:hint="default" w:ascii="Times New Roman" w:hAnsi="Times New Roman" w:eastAsia="仿宋_GB2312" w:cs="Times New Roman"/>
          <w:sz w:val="32"/>
          <w:szCs w:val="32"/>
        </w:rPr>
        <w:t>万元。</w:t>
      </w:r>
      <w:bookmarkStart w:id="48" w:name="_Toc15396610"/>
      <w:bookmarkStart w:id="49" w:name="_Toc15377218"/>
    </w:p>
    <w:p>
      <w:pPr>
        <w:spacing w:line="600" w:lineRule="exact"/>
        <w:ind w:firstLine="640"/>
        <w:outlineLvl w:val="1"/>
        <w:rPr>
          <w:rStyle w:val="30"/>
          <w:rFonts w:hint="default" w:ascii="Times New Roman" w:hAnsi="Times New Roman" w:eastAsia="黑体" w:cs="Times New Roman"/>
        </w:rPr>
      </w:pPr>
      <w:r>
        <w:rPr>
          <w:rFonts w:hint="default" w:ascii="Times New Roman" w:hAnsi="Times New Roman" w:eastAsia="黑体" w:cs="Times New Roman"/>
          <w:sz w:val="32"/>
          <w:szCs w:val="32"/>
        </w:rPr>
        <w:t>八、</w:t>
      </w:r>
      <w:r>
        <w:rPr>
          <w:rStyle w:val="30"/>
          <w:rFonts w:hint="default" w:ascii="Times New Roman" w:hAnsi="Times New Roman" w:eastAsia="黑体" w:cs="Times New Roman"/>
          <w:b w:val="0"/>
        </w:rPr>
        <w:t>政府性基金预算支出决算情况说明</w:t>
      </w:r>
      <w:bookmarkEnd w:id="48"/>
      <w:bookmarkEnd w:id="49"/>
    </w:p>
    <w:p>
      <w:pPr>
        <w:spacing w:line="600" w:lineRule="exact"/>
        <w:ind w:firstLine="640"/>
        <w:rPr>
          <w:rFonts w:hint="default" w:ascii="Times New Roman" w:hAnsi="Times New Roman" w:cs="Times New Roman"/>
        </w:rPr>
      </w:pP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年政府性基金预算财政拨款支出</w:t>
      </w:r>
      <w:r>
        <w:rPr>
          <w:rFonts w:hint="eastAsia" w:eastAsia="仿宋_GB2312" w:cs="Times New Roman"/>
          <w:sz w:val="32"/>
          <w:szCs w:val="32"/>
          <w:lang w:val="en-US" w:eastAsia="zh-CN"/>
        </w:rPr>
        <w:t>742.52</w:t>
      </w:r>
      <w:r>
        <w:rPr>
          <w:rFonts w:hint="default" w:ascii="Times New Roman" w:hAnsi="Times New Roman" w:eastAsia="仿宋_GB2312" w:cs="Times New Roman"/>
          <w:sz w:val="32"/>
          <w:szCs w:val="32"/>
        </w:rPr>
        <w:t>万元，其中用于</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年会展服务业发展项目经费工作经费支出</w:t>
      </w:r>
      <w:r>
        <w:rPr>
          <w:rFonts w:hint="eastAsia" w:eastAsia="仿宋_GB2312" w:cs="Times New Roman"/>
          <w:sz w:val="32"/>
          <w:szCs w:val="32"/>
          <w:lang w:val="en-US" w:eastAsia="zh-CN"/>
        </w:rPr>
        <w:t>0.66</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年执法办案经费</w:t>
      </w:r>
      <w:r>
        <w:rPr>
          <w:rFonts w:hint="eastAsia" w:eastAsia="仿宋_GB2312" w:cs="Times New Roman"/>
          <w:sz w:val="32"/>
          <w:szCs w:val="32"/>
          <w:lang w:val="en-US" w:eastAsia="zh-CN"/>
        </w:rPr>
        <w:t>0.19</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年项目</w:t>
      </w:r>
      <w:r>
        <w:rPr>
          <w:rFonts w:hint="eastAsia" w:eastAsia="仿宋_GB2312" w:cs="Times New Roman"/>
          <w:sz w:val="32"/>
          <w:szCs w:val="32"/>
          <w:lang w:eastAsia="zh-CN"/>
        </w:rPr>
        <w:t>包装、</w:t>
      </w:r>
      <w:r>
        <w:rPr>
          <w:rFonts w:hint="default" w:ascii="Times New Roman" w:hAnsi="Times New Roman" w:eastAsia="仿宋_GB2312" w:cs="Times New Roman"/>
          <w:sz w:val="32"/>
          <w:szCs w:val="32"/>
        </w:rPr>
        <w:t>协调经费</w:t>
      </w:r>
      <w:r>
        <w:rPr>
          <w:rFonts w:hint="eastAsia" w:eastAsia="仿宋_GB2312" w:cs="Times New Roman"/>
          <w:sz w:val="32"/>
          <w:szCs w:val="32"/>
          <w:lang w:val="en-US" w:eastAsia="zh-CN"/>
        </w:rPr>
        <w:t>0.81</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年重点服务业及商贸企业升规入库培育项目经费</w:t>
      </w:r>
      <w:r>
        <w:rPr>
          <w:rFonts w:hint="eastAsia" w:eastAsia="仿宋_GB2312" w:cs="Times New Roman"/>
          <w:sz w:val="32"/>
          <w:szCs w:val="32"/>
          <w:lang w:val="en-US" w:eastAsia="zh-CN"/>
        </w:rPr>
        <w:t>3.55</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，大规模设备更新和消费品以旧换新</w:t>
      </w:r>
      <w:r>
        <w:rPr>
          <w:rFonts w:hint="eastAsia" w:eastAsia="仿宋_GB2312" w:cs="Times New Roman"/>
          <w:sz w:val="32"/>
          <w:szCs w:val="32"/>
          <w:lang w:val="en-US" w:eastAsia="zh-CN"/>
        </w:rPr>
        <w:t>727.33万元，2019年企业升规市级奖补资金5万元，2024年争取资金工作经费4.98万元，</w:t>
      </w:r>
      <w:r>
        <w:rPr>
          <w:rFonts w:hint="default" w:ascii="Times New Roman" w:hAnsi="Times New Roman" w:eastAsia="仿宋_GB2312" w:cs="Times New Roman"/>
          <w:sz w:val="32"/>
          <w:szCs w:val="32"/>
        </w:rPr>
        <w:t>。</w:t>
      </w:r>
    </w:p>
    <w:p>
      <w:pPr>
        <w:numPr>
          <w:ilvl w:val="0"/>
          <w:numId w:val="2"/>
        </w:numPr>
        <w:spacing w:line="600" w:lineRule="exact"/>
        <w:ind w:firstLine="640"/>
        <w:outlineLvl w:val="1"/>
        <w:rPr>
          <w:rStyle w:val="30"/>
          <w:rFonts w:hint="default" w:ascii="Times New Roman" w:hAnsi="Times New Roman" w:eastAsia="黑体" w:cs="Times New Roman"/>
          <w:b w:val="0"/>
        </w:rPr>
      </w:pPr>
      <w:bookmarkStart w:id="50" w:name="_Toc15377219"/>
      <w:bookmarkStart w:id="51" w:name="_Toc15396611"/>
      <w:r>
        <w:rPr>
          <w:rStyle w:val="30"/>
          <w:rFonts w:hint="default" w:ascii="Times New Roman" w:hAnsi="Times New Roman" w:eastAsia="黑体" w:cs="Times New Roman"/>
          <w:b w:val="0"/>
        </w:rPr>
        <w:t>国有资本经营预算支出决算情况说明</w:t>
      </w:r>
      <w:bookmarkEnd w:id="50"/>
      <w:bookmarkEnd w:id="51"/>
    </w:p>
    <w:p>
      <w:pPr>
        <w:spacing w:line="600" w:lineRule="exact"/>
        <w:ind w:firstLine="640"/>
        <w:rPr>
          <w:rFonts w:hint="default" w:ascii="Times New Roman" w:hAnsi="Times New Roman" w:eastAsia="仿宋_GB2312" w:cs="Times New Roman"/>
          <w:sz w:val="32"/>
          <w:szCs w:val="32"/>
        </w:rPr>
      </w:pP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年国有资本经营预算财政拨款支出0万元。</w:t>
      </w:r>
    </w:p>
    <w:p>
      <w:pPr>
        <w:numPr>
          <w:ilvl w:val="0"/>
          <w:numId w:val="2"/>
        </w:numPr>
        <w:spacing w:line="600" w:lineRule="exact"/>
        <w:ind w:firstLine="640"/>
        <w:outlineLvl w:val="1"/>
        <w:rPr>
          <w:rStyle w:val="30"/>
          <w:rFonts w:hint="default" w:ascii="Times New Roman" w:hAnsi="Times New Roman" w:eastAsia="黑体" w:cs="Times New Roman"/>
          <w:b w:val="0"/>
        </w:rPr>
      </w:pPr>
      <w:bookmarkStart w:id="52" w:name="_Toc15396612"/>
      <w:bookmarkStart w:id="53" w:name="_Toc15377221"/>
      <w:r>
        <w:rPr>
          <w:rStyle w:val="30"/>
          <w:rFonts w:hint="default" w:ascii="Times New Roman" w:hAnsi="Times New Roman" w:eastAsia="黑体" w:cs="Times New Roman"/>
          <w:b w:val="0"/>
        </w:rPr>
        <w:t>其他重要事项的情况说明</w:t>
      </w:r>
      <w:bookmarkEnd w:id="52"/>
      <w:bookmarkEnd w:id="53"/>
    </w:p>
    <w:p>
      <w:pPr>
        <w:spacing w:line="600" w:lineRule="exact"/>
        <w:ind w:firstLine="643" w:firstLineChars="200"/>
        <w:outlineLvl w:val="2"/>
        <w:rPr>
          <w:rFonts w:hint="default" w:ascii="Times New Roman" w:hAnsi="Times New Roman" w:eastAsia="仿宋" w:cs="Times New Roman"/>
          <w:sz w:val="32"/>
          <w:szCs w:val="32"/>
        </w:rPr>
      </w:pPr>
      <w:bookmarkStart w:id="54" w:name="_Toc15377222"/>
      <w:r>
        <w:rPr>
          <w:rFonts w:hint="default" w:ascii="Times New Roman" w:hAnsi="Times New Roman" w:eastAsia="仿宋" w:cs="Times New Roman"/>
          <w:b/>
          <w:sz w:val="32"/>
          <w:szCs w:val="32"/>
        </w:rPr>
        <w:t>（一）机关运行经费支出情况</w:t>
      </w:r>
      <w:bookmarkEnd w:id="54"/>
    </w:p>
    <w:p>
      <w:pPr>
        <w:spacing w:line="60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22024</w:t>
      </w:r>
      <w:r>
        <w:rPr>
          <w:rFonts w:hint="default" w:ascii="Times New Roman" w:hAnsi="Times New Roman" w:eastAsia="仿宋_GB2312" w:cs="Times New Roman"/>
          <w:sz w:val="32"/>
          <w:szCs w:val="32"/>
        </w:rPr>
        <w:t>年，攀枝花市西区商务局机关运行经费支出</w:t>
      </w:r>
      <w:r>
        <w:rPr>
          <w:rFonts w:hint="default" w:ascii="Times New Roman" w:hAnsi="Times New Roman" w:eastAsia="仿宋_GB2312" w:cs="Times New Roman"/>
          <w:sz w:val="32"/>
          <w:szCs w:val="32"/>
          <w:lang w:val="en-US" w:eastAsia="zh-CN"/>
        </w:rPr>
        <w:t>18.</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lang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年增加</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万元，上升</w:t>
      </w:r>
      <w:r>
        <w:rPr>
          <w:rFonts w:hint="default" w:ascii="Times New Roman" w:hAnsi="Times New Roman" w:eastAsia="仿宋_GB2312" w:cs="Times New Roman"/>
          <w:sz w:val="32"/>
          <w:szCs w:val="32"/>
          <w:lang w:val="en-US" w:eastAsia="zh-CN"/>
        </w:rPr>
        <w:t>0.</w:t>
      </w:r>
      <w:r>
        <w:rPr>
          <w:rFonts w:hint="eastAsia" w:eastAsia="仿宋_GB2312" w:cs="Times New Roman"/>
          <w:sz w:val="32"/>
          <w:szCs w:val="32"/>
          <w:lang w:val="en-US" w:eastAsia="zh-CN"/>
        </w:rPr>
        <w:t>06</w:t>
      </w:r>
      <w:r>
        <w:rPr>
          <w:rFonts w:hint="default" w:ascii="Times New Roman" w:hAnsi="Times New Roman" w:eastAsia="仿宋_GB2312" w:cs="Times New Roman"/>
          <w:sz w:val="32"/>
          <w:szCs w:val="32"/>
        </w:rPr>
        <w:t>%。主要原因是征订报刊杂志</w:t>
      </w:r>
      <w:r>
        <w:rPr>
          <w:rFonts w:hint="default" w:ascii="Times New Roman" w:hAnsi="Times New Roman" w:eastAsia="仿宋_GB2312" w:cs="Times New Roman"/>
          <w:sz w:val="32"/>
          <w:szCs w:val="32"/>
          <w:lang w:eastAsia="zh-CN"/>
        </w:rPr>
        <w:t>等办公</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bookmarkStart w:id="55" w:name="_Toc15377223"/>
      <w:r>
        <w:rPr>
          <w:rFonts w:hint="default" w:ascii="Times New Roman" w:hAnsi="Times New Roman" w:eastAsia="仿宋" w:cs="Times New Roman"/>
          <w:b/>
          <w:sz w:val="32"/>
          <w:szCs w:val="32"/>
        </w:rPr>
        <w:t>（二）政府采购支出情况</w:t>
      </w:r>
      <w:bookmarkEnd w:id="55"/>
    </w:p>
    <w:p>
      <w:pPr>
        <w:spacing w:line="60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年，攀枝花市西区商务局政府采购支出总额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万元，与</w:t>
      </w:r>
      <w:r>
        <w:rPr>
          <w:rFonts w:hint="eastAsia" w:eastAsia="仿宋_GB2312" w:cs="Times New Roman"/>
          <w:sz w:val="32"/>
          <w:szCs w:val="32"/>
          <w:lang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年相比减少</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%，其中：政府采购货物支出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万元、政府采购工程支出0万元、政府采购服务支出0万元。主要用于日常办公使用。授予中小企业合同金额0万元，占政府采购支出总额的</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%，其中：授予小微企业合同金额0万元，占政府采购支出总额的</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bookmarkStart w:id="56" w:name="_Toc15377224"/>
      <w:r>
        <w:rPr>
          <w:rFonts w:hint="default" w:ascii="Times New Roman" w:hAnsi="Times New Roman" w:eastAsia="仿宋" w:cs="Times New Roman"/>
          <w:b/>
          <w:sz w:val="32"/>
          <w:szCs w:val="32"/>
        </w:rPr>
        <w:t>（三）国有资产占有使用情况</w:t>
      </w:r>
      <w:bookmarkEnd w:id="56"/>
    </w:p>
    <w:p>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年12月31日，攀枝花市西区商务局共有车辆0辆。</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（四）预算绩效管理情况</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w:t>
      </w:r>
      <w:r>
        <w:rPr>
          <w:rFonts w:hint="eastAsia" w:eastAsia="仿宋_GB2312" w:cs="Times New Roman"/>
          <w:sz w:val="32"/>
          <w:szCs w:val="32"/>
          <w:lang w:eastAsia="zh-CN"/>
        </w:rPr>
        <w:t>单位</w:t>
      </w:r>
      <w:r>
        <w:rPr>
          <w:rFonts w:hint="default" w:ascii="Times New Roman" w:hAnsi="Times New Roman" w:eastAsia="仿宋_GB2312" w:cs="Times New Roman"/>
          <w:sz w:val="32"/>
          <w:szCs w:val="32"/>
        </w:rPr>
        <w:t>在</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年度预算编制阶段，组织对</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kern w:val="0"/>
          <w:sz w:val="32"/>
          <w:szCs w:val="32"/>
        </w:rPr>
        <w:t>会展服务业发展项目经费、</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kern w:val="0"/>
          <w:sz w:val="32"/>
          <w:szCs w:val="32"/>
        </w:rPr>
        <w:t>项目协调经费、</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kern w:val="0"/>
          <w:sz w:val="32"/>
          <w:szCs w:val="32"/>
        </w:rPr>
        <w:t>重点服务业及商贸企业升规入库培训经费、</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kern w:val="0"/>
          <w:sz w:val="32"/>
          <w:szCs w:val="32"/>
        </w:rPr>
        <w:t>执法办案经费、</w:t>
      </w:r>
      <w:r>
        <w:rPr>
          <w:rFonts w:hint="eastAsia" w:eastAsia="仿宋_GB2312" w:cs="Times New Roman"/>
          <w:sz w:val="32"/>
          <w:szCs w:val="32"/>
          <w:lang w:eastAsia="zh-CN"/>
        </w:rPr>
        <w:t>大规模设备更新和消费品以旧换新</w:t>
      </w:r>
      <w:r>
        <w:rPr>
          <w:rFonts w:hint="default" w:ascii="Times New Roman" w:hAnsi="Times New Roman" w:eastAsia="仿宋_GB2312" w:cs="Times New Roman"/>
          <w:sz w:val="32"/>
          <w:szCs w:val="32"/>
        </w:rPr>
        <w:t>等5个项目开展了预算事前绩效评估，对5个项目编制了绩效目标，预算执行过程中，选取5个项目开展绩效监控，年终执行完毕后，对5个项目开展了绩效自评。</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同时，本</w:t>
      </w:r>
      <w:r>
        <w:rPr>
          <w:rFonts w:hint="eastAsia" w:eastAsia="仿宋_GB2312" w:cs="Times New Roman"/>
          <w:sz w:val="32"/>
          <w:szCs w:val="32"/>
          <w:lang w:eastAsia="zh-CN"/>
        </w:rPr>
        <w:t>单位</w:t>
      </w:r>
      <w:r>
        <w:rPr>
          <w:rFonts w:hint="default" w:ascii="Times New Roman" w:hAnsi="Times New Roman" w:eastAsia="仿宋_GB2312" w:cs="Times New Roman"/>
          <w:sz w:val="32"/>
          <w:szCs w:val="32"/>
        </w:rPr>
        <w:t>组织</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年度一般公共预算、政府性基金预算、国有资本经营预算、社会保险基金预算以及资本资产等全面开展绩效自评，形成攀枝花市西区商务局</w:t>
      </w:r>
      <w:r>
        <w:rPr>
          <w:rFonts w:hint="eastAsia" w:eastAsia="仿宋_GB2312" w:cs="Times New Roman"/>
          <w:sz w:val="32"/>
          <w:szCs w:val="32"/>
          <w:lang w:eastAsia="zh-CN"/>
        </w:rPr>
        <w:t>单位</w:t>
      </w:r>
      <w:r>
        <w:rPr>
          <w:rFonts w:hint="default" w:ascii="Times New Roman" w:hAnsi="Times New Roman" w:eastAsia="仿宋_GB2312" w:cs="Times New Roman"/>
          <w:sz w:val="32"/>
          <w:szCs w:val="32"/>
        </w:rPr>
        <w:t>整体（含</w:t>
      </w:r>
      <w:r>
        <w:rPr>
          <w:rFonts w:hint="eastAsia" w:eastAsia="仿宋_GB2312" w:cs="Times New Roman"/>
          <w:sz w:val="32"/>
          <w:szCs w:val="32"/>
          <w:lang w:eastAsia="zh-CN"/>
        </w:rPr>
        <w:t>单位</w:t>
      </w:r>
      <w:r>
        <w:rPr>
          <w:rFonts w:hint="default" w:ascii="Times New Roman" w:hAnsi="Times New Roman" w:eastAsia="仿宋_GB2312" w:cs="Times New Roman"/>
          <w:sz w:val="32"/>
          <w:szCs w:val="32"/>
        </w:rPr>
        <w:t>预算项目）绩效自评报告、攀枝花市西区商务局</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年项目协调经费等专项预算项目绩效自评报告，其中，攀枝花市西区商务局</w:t>
      </w:r>
      <w:r>
        <w:rPr>
          <w:rFonts w:hint="eastAsia" w:eastAsia="仿宋_GB2312" w:cs="Times New Roman"/>
          <w:sz w:val="32"/>
          <w:szCs w:val="32"/>
          <w:lang w:eastAsia="zh-CN"/>
        </w:rPr>
        <w:t>单位</w:t>
      </w:r>
      <w:r>
        <w:rPr>
          <w:rFonts w:hint="default" w:ascii="Times New Roman" w:hAnsi="Times New Roman" w:eastAsia="仿宋_GB2312" w:cs="Times New Roman"/>
          <w:sz w:val="32"/>
          <w:szCs w:val="32"/>
        </w:rPr>
        <w:t>整体（含</w:t>
      </w:r>
      <w:r>
        <w:rPr>
          <w:rFonts w:hint="eastAsia" w:eastAsia="仿宋_GB2312" w:cs="Times New Roman"/>
          <w:sz w:val="32"/>
          <w:szCs w:val="32"/>
          <w:lang w:eastAsia="zh-CN"/>
        </w:rPr>
        <w:t>单位</w:t>
      </w:r>
      <w:r>
        <w:rPr>
          <w:rFonts w:hint="default" w:ascii="Times New Roman" w:hAnsi="Times New Roman" w:eastAsia="仿宋_GB2312" w:cs="Times New Roman"/>
          <w:sz w:val="32"/>
          <w:szCs w:val="32"/>
        </w:rPr>
        <w:t>预算项目）绩效自评得分为95分，绩效自评综述：</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 xml:space="preserve"> 年,西区商务局在项目实施过程中,项目资金预算编制准确,</w:t>
      </w:r>
      <w:r>
        <w:rPr>
          <w:rFonts w:hint="eastAsia" w:eastAsia="仿宋_GB2312" w:cs="Times New Roman"/>
          <w:sz w:val="32"/>
          <w:szCs w:val="32"/>
          <w:lang w:eastAsia="zh-CN"/>
        </w:rPr>
        <w:t>单位</w:t>
      </w:r>
      <w:r>
        <w:rPr>
          <w:rFonts w:hint="default" w:ascii="Times New Roman" w:hAnsi="Times New Roman" w:eastAsia="仿宋_GB2312" w:cs="Times New Roman"/>
          <w:sz w:val="32"/>
          <w:szCs w:val="32"/>
        </w:rPr>
        <w:t>整体绩效目标编制完整、合理,项目绩效目标编制明确,执行预算制度到位,取得了良好的经济、社会和生态效益,有力助推了攀枝花市西区商务工作的持续高效开展。绩效自评报告详见附件。</w:t>
      </w:r>
    </w:p>
    <w:p>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pPr>
        <w:numPr>
          <w:ilvl w:val="0"/>
          <w:numId w:val="3"/>
        </w:numPr>
        <w:spacing w:line="600" w:lineRule="exact"/>
        <w:ind w:firstLine="660" w:firstLineChars="150"/>
        <w:jc w:val="center"/>
        <w:outlineLvl w:val="0"/>
        <w:rPr>
          <w:rStyle w:val="29"/>
          <w:rFonts w:hint="default" w:ascii="Times New Roman" w:hAnsi="Times New Roman" w:eastAsia="黑体" w:cs="Times New Roman"/>
          <w:b w:val="0"/>
        </w:rPr>
      </w:pPr>
      <w:bookmarkStart w:id="57" w:name="_Toc15396613"/>
      <w:bookmarkStart w:id="58" w:name="_Toc15377225"/>
      <w:r>
        <w:rPr>
          <w:rFonts w:hint="default" w:ascii="Times New Roman" w:hAnsi="Times New Roman" w:eastAsia="黑体" w:cs="Times New Roman"/>
          <w:sz w:val="44"/>
          <w:szCs w:val="44"/>
        </w:rPr>
        <w:t>名</w:t>
      </w:r>
      <w:r>
        <w:rPr>
          <w:rStyle w:val="29"/>
          <w:rFonts w:hint="default" w:ascii="Times New Roman" w:hAnsi="Times New Roman" w:eastAsia="黑体" w:cs="Times New Roman"/>
          <w:b w:val="0"/>
        </w:rPr>
        <w:t>词解释</w:t>
      </w:r>
      <w:bookmarkEnd w:id="57"/>
      <w:bookmarkEnd w:id="58"/>
    </w:p>
    <w:p>
      <w:pPr>
        <w:spacing w:line="600" w:lineRule="exact"/>
        <w:jc w:val="left"/>
        <w:rPr>
          <w:rFonts w:hint="default" w:ascii="Times New Roman" w:hAnsi="Times New Roman" w:cs="Times New Roman"/>
          <w:b/>
          <w:sz w:val="44"/>
          <w:szCs w:val="44"/>
        </w:rPr>
      </w:pPr>
    </w:p>
    <w:p>
      <w:pPr>
        <w:widowControl/>
        <w:spacing w:before="240" w:after="240" w:line="560" w:lineRule="atLeast"/>
        <w:ind w:firstLine="640"/>
        <w:jc w:val="left"/>
        <w:rPr>
          <w:rFonts w:hint="default" w:ascii="Times New Roman" w:hAnsi="Times New Roman" w:cs="Times New Roman"/>
          <w:kern w:val="0"/>
          <w:sz w:val="24"/>
        </w:rPr>
      </w:pPr>
      <w:bookmarkStart w:id="59" w:name="_Toc15377226"/>
      <w:r>
        <w:rPr>
          <w:rFonts w:hint="default" w:ascii="Times New Roman" w:hAnsi="Times New Roman" w:cs="Times New Roman"/>
          <w:b/>
          <w:bCs/>
          <w:color w:val="000000"/>
          <w:kern w:val="0"/>
          <w:sz w:val="32"/>
          <w:szCs w:val="32"/>
        </w:rPr>
        <w:t>1.</w:t>
      </w:r>
      <w:r>
        <w:rPr>
          <w:rFonts w:hint="default" w:ascii="Times New Roman" w:hAnsi="Times New Roman" w:eastAsia="仿宋_GB2312" w:cs="Times New Roman"/>
          <w:b/>
          <w:bCs/>
          <w:color w:val="000000"/>
          <w:kern w:val="0"/>
          <w:sz w:val="32"/>
          <w:szCs w:val="32"/>
        </w:rPr>
        <w:t>财政拨款收入</w:t>
      </w:r>
      <w:r>
        <w:rPr>
          <w:rFonts w:hint="default" w:ascii="Times New Roman" w:hAnsi="Times New Roman" w:eastAsia="仿宋_GB2312" w:cs="Times New Roman"/>
          <w:color w:val="000000"/>
          <w:kern w:val="0"/>
          <w:sz w:val="32"/>
          <w:szCs w:val="32"/>
        </w:rPr>
        <w:t>：指单位从同级财政</w:t>
      </w:r>
      <w:r>
        <w:rPr>
          <w:rFonts w:hint="eastAsia" w:eastAsia="仿宋_GB2312" w:cs="Times New Roman"/>
          <w:color w:val="000000"/>
          <w:kern w:val="0"/>
          <w:sz w:val="32"/>
          <w:szCs w:val="32"/>
          <w:lang w:eastAsia="zh-CN"/>
        </w:rPr>
        <w:t>单位</w:t>
      </w:r>
      <w:r>
        <w:rPr>
          <w:rFonts w:hint="default" w:ascii="Times New Roman" w:hAnsi="Times New Roman" w:eastAsia="仿宋_GB2312" w:cs="Times New Roman"/>
          <w:color w:val="000000"/>
          <w:kern w:val="0"/>
          <w:sz w:val="32"/>
          <w:szCs w:val="32"/>
        </w:rPr>
        <w:t>取得的财政预算资金。</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b/>
          <w:bCs/>
          <w:color w:val="000000"/>
          <w:kern w:val="0"/>
          <w:sz w:val="32"/>
          <w:szCs w:val="32"/>
        </w:rPr>
        <w:t>2.</w:t>
      </w:r>
      <w:r>
        <w:rPr>
          <w:rFonts w:hint="default" w:ascii="Times New Roman" w:hAnsi="Times New Roman" w:eastAsia="仿宋_GB2312" w:cs="Times New Roman"/>
          <w:b/>
          <w:bCs/>
          <w:color w:val="000000"/>
          <w:kern w:val="0"/>
          <w:sz w:val="32"/>
          <w:szCs w:val="32"/>
        </w:rPr>
        <w:t>年初结转和结余</w:t>
      </w:r>
      <w:r>
        <w:rPr>
          <w:rFonts w:hint="default" w:ascii="Times New Roman" w:hAnsi="Times New Roman" w:eastAsia="仿宋_GB2312" w:cs="Times New Roman"/>
          <w:color w:val="000000"/>
          <w:kern w:val="0"/>
          <w:sz w:val="32"/>
          <w:szCs w:val="32"/>
        </w:rPr>
        <w:t>：指以前年度尚未完成、结转到本年按有关规定继续使用的资金。</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b/>
          <w:bCs/>
          <w:color w:val="000000"/>
          <w:kern w:val="0"/>
          <w:sz w:val="32"/>
          <w:szCs w:val="32"/>
        </w:rPr>
        <w:t>3.</w:t>
      </w:r>
      <w:r>
        <w:rPr>
          <w:rFonts w:hint="default" w:ascii="Times New Roman" w:hAnsi="Times New Roman" w:eastAsia="仿宋_GB2312" w:cs="Times New Roman"/>
          <w:b/>
          <w:bCs/>
          <w:color w:val="000000"/>
          <w:kern w:val="0"/>
          <w:sz w:val="32"/>
          <w:szCs w:val="32"/>
        </w:rPr>
        <w:t>结余分配</w:t>
      </w:r>
      <w:r>
        <w:rPr>
          <w:rFonts w:hint="default" w:ascii="Times New Roman" w:hAnsi="Times New Roman" w:eastAsia="仿宋_GB2312" w:cs="Times New Roman"/>
          <w:color w:val="000000"/>
          <w:kern w:val="0"/>
          <w:sz w:val="32"/>
          <w:szCs w:val="32"/>
        </w:rPr>
        <w:t>：指事业单位按照事业单位会计制度的规定从非财政补助结余中分配的事业基金和职工福利基金等。</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b/>
          <w:bCs/>
          <w:color w:val="000000"/>
          <w:kern w:val="0"/>
          <w:sz w:val="32"/>
          <w:szCs w:val="32"/>
        </w:rPr>
        <w:t>4</w:t>
      </w:r>
      <w:r>
        <w:rPr>
          <w:rFonts w:hint="default" w:ascii="Times New Roman" w:hAnsi="Times New Roman" w:cs="Times New Roman"/>
          <w:b/>
          <w:bCs/>
          <w:color w:val="000000"/>
          <w:kern w:val="0"/>
          <w:sz w:val="32"/>
          <w:szCs w:val="32"/>
          <w:lang w:val="en-US" w:eastAsia="zh-CN"/>
        </w:rPr>
        <w:t>.</w:t>
      </w:r>
      <w:r>
        <w:rPr>
          <w:rFonts w:hint="default" w:ascii="Times New Roman" w:hAnsi="Times New Roman" w:eastAsia="仿宋_GB2312" w:cs="Times New Roman"/>
          <w:b/>
          <w:bCs/>
          <w:color w:val="000000"/>
          <w:kern w:val="0"/>
          <w:sz w:val="32"/>
          <w:szCs w:val="32"/>
        </w:rPr>
        <w:t>年末结转和结余</w:t>
      </w:r>
      <w:r>
        <w:rPr>
          <w:rFonts w:hint="default" w:ascii="Times New Roman" w:hAnsi="Times New Roman" w:eastAsia="仿宋_GB2312" w:cs="Times New Roman"/>
          <w:color w:val="000000"/>
          <w:kern w:val="0"/>
          <w:sz w:val="32"/>
          <w:szCs w:val="32"/>
        </w:rPr>
        <w:t>：指单位按有关规定结转到下年或以后年度继续使用的资金。</w:t>
      </w:r>
    </w:p>
    <w:p>
      <w:pPr>
        <w:widowControl/>
        <w:spacing w:before="240" w:after="240" w:line="560" w:lineRule="atLeast"/>
        <w:ind w:firstLine="640"/>
        <w:jc w:val="left"/>
        <w:rPr>
          <w:rFonts w:hint="default" w:ascii="Times New Roman" w:hAnsi="Times New Roman" w:eastAsia="仿宋_GB2312" w:cs="Times New Roman"/>
          <w:color w:val="auto"/>
          <w:sz w:val="32"/>
          <w:szCs w:val="32"/>
          <w:highlight w:val="none"/>
        </w:rPr>
      </w:pPr>
      <w:r>
        <w:rPr>
          <w:rFonts w:hint="default" w:ascii="Times New Roman" w:hAnsi="Times New Roman" w:cs="Times New Roman"/>
          <w:b/>
          <w:bCs/>
          <w:color w:val="000000"/>
          <w:kern w:val="0"/>
          <w:sz w:val="32"/>
          <w:szCs w:val="32"/>
        </w:rPr>
        <w:t>5.</w:t>
      </w:r>
      <w:r>
        <w:rPr>
          <w:rFonts w:hint="default" w:ascii="Times New Roman" w:hAnsi="Times New Roman" w:eastAsia="仿宋_GB2312" w:cs="Times New Roman"/>
          <w:b/>
          <w:bCs/>
          <w:sz w:val="32"/>
          <w:szCs w:val="32"/>
        </w:rPr>
        <w:t>一般公共服务（类）商贸事务（款）行政运行（项）</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000000"/>
          <w:kern w:val="0"/>
          <w:sz w:val="32"/>
          <w:szCs w:val="32"/>
        </w:rPr>
        <w:t>反映</w:t>
      </w:r>
      <w:r>
        <w:rPr>
          <w:rFonts w:hint="default" w:ascii="Times New Roman" w:hAnsi="Times New Roman" w:eastAsia="仿宋_GB2312" w:cs="Times New Roman"/>
          <w:color w:val="000000"/>
          <w:sz w:val="32"/>
          <w:szCs w:val="32"/>
        </w:rPr>
        <w:t>行政单位（包括实行公务员管理的事业单位）的基本支出</w:t>
      </w:r>
      <w:r>
        <w:rPr>
          <w:rFonts w:hint="default" w:ascii="Times New Roman" w:hAnsi="Times New Roman" w:eastAsia="仿宋_GB2312" w:cs="Times New Roman"/>
          <w:color w:val="auto"/>
          <w:sz w:val="32"/>
          <w:szCs w:val="32"/>
          <w:highlight w:val="none"/>
        </w:rPr>
        <w:t>。</w:t>
      </w:r>
    </w:p>
    <w:p>
      <w:pPr>
        <w:widowControl/>
        <w:spacing w:line="240" w:lineRule="auto"/>
        <w:ind w:firstLine="643"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b/>
          <w:bCs/>
          <w:sz w:val="32"/>
          <w:szCs w:val="32"/>
        </w:rPr>
        <w:t>一般公共服务（类）商贸事务（款）</w:t>
      </w:r>
      <w:r>
        <w:rPr>
          <w:rFonts w:hint="default" w:ascii="Times New Roman" w:hAnsi="Times New Roman" w:eastAsia="仿宋_GB2312" w:cs="Times New Roman"/>
          <w:b/>
          <w:bCs/>
          <w:sz w:val="32"/>
          <w:szCs w:val="32"/>
          <w:lang w:eastAsia="zh-CN"/>
        </w:rPr>
        <w:t>事业</w:t>
      </w:r>
      <w:r>
        <w:rPr>
          <w:rFonts w:hint="default" w:ascii="Times New Roman" w:hAnsi="Times New Roman" w:eastAsia="仿宋_GB2312" w:cs="Times New Roman"/>
          <w:b/>
          <w:bCs/>
          <w:sz w:val="32"/>
          <w:szCs w:val="32"/>
        </w:rPr>
        <w:t>运行（项）</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000000"/>
          <w:kern w:val="0"/>
          <w:sz w:val="32"/>
          <w:szCs w:val="32"/>
        </w:rPr>
        <w:t>反映事业单位的基本支出，不包括行政单位（包括实行公务员管理的事业单位）后勤服务中心、医务室等附属事业单位；</w:t>
      </w:r>
    </w:p>
    <w:p>
      <w:pPr>
        <w:widowControl/>
        <w:spacing w:line="240" w:lineRule="auto"/>
        <w:ind w:firstLine="643"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cs="Times New Roman"/>
          <w:b/>
          <w:bCs/>
          <w:color w:val="000000"/>
          <w:kern w:val="0"/>
          <w:sz w:val="32"/>
          <w:szCs w:val="32"/>
          <w:lang w:val="en-US" w:eastAsia="zh-CN"/>
        </w:rPr>
        <w:t>7</w:t>
      </w:r>
      <w:r>
        <w:rPr>
          <w:rFonts w:hint="default" w:ascii="Times New Roman" w:hAnsi="Times New Roman" w:cs="Times New Roman"/>
          <w:b/>
          <w:bCs/>
          <w:color w:val="000000"/>
          <w:kern w:val="0"/>
          <w:sz w:val="32"/>
          <w:szCs w:val="32"/>
        </w:rPr>
        <w:t>.</w:t>
      </w:r>
      <w:r>
        <w:rPr>
          <w:rFonts w:hint="default" w:ascii="Times New Roman" w:hAnsi="Times New Roman" w:eastAsia="仿宋_GB2312" w:cs="Times New Roman"/>
          <w:b/>
          <w:bCs/>
          <w:color w:val="auto"/>
          <w:sz w:val="32"/>
          <w:szCs w:val="32"/>
          <w:highlight w:val="none"/>
        </w:rPr>
        <w:t>社会保障和就业支出（类）行政事业单位养老支出（款）机关事业单位基本养老保险缴费支出（项）</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kern w:val="0"/>
          <w:sz w:val="32"/>
          <w:szCs w:val="32"/>
        </w:rPr>
        <w:t>指反映机关事业单位实施养老保险制度由单位缴纳的基本养老保险费支出。</w:t>
      </w:r>
    </w:p>
    <w:p>
      <w:pPr>
        <w:pStyle w:val="9"/>
        <w:ind w:firstLine="640"/>
        <w:rPr>
          <w:rFonts w:hint="default" w:ascii="Times New Roman" w:hAnsi="Times New Roman" w:cs="Times New Roman"/>
          <w:color w:val="000000"/>
          <w:sz w:val="32"/>
          <w:szCs w:val="32"/>
          <w:lang w:eastAsia="zh-CN"/>
        </w:rPr>
      </w:pPr>
      <w:r>
        <w:rPr>
          <w:rFonts w:hint="default" w:ascii="Times New Roman" w:hAnsi="Times New Roman" w:cs="Times New Roman"/>
          <w:b/>
          <w:bCs/>
          <w:color w:val="000000"/>
          <w:kern w:val="0"/>
          <w:sz w:val="32"/>
          <w:szCs w:val="32"/>
          <w:lang w:val="en-US" w:eastAsia="zh-CN"/>
        </w:rPr>
        <w:t>8.</w:t>
      </w:r>
      <w:r>
        <w:rPr>
          <w:rFonts w:hint="default" w:ascii="Times New Roman" w:hAnsi="Times New Roman" w:eastAsia="仿宋_GB2312" w:cs="Times New Roman"/>
          <w:b/>
          <w:bCs/>
          <w:color w:val="auto"/>
          <w:sz w:val="32"/>
          <w:szCs w:val="32"/>
          <w:highlight w:val="none"/>
        </w:rPr>
        <w:t>卫生健康支出（类）行政事业单位医疗（款）行政单位医疗（项）：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000000"/>
          <w:sz w:val="32"/>
          <w:szCs w:val="32"/>
        </w:rPr>
        <w:t>反映财政</w:t>
      </w:r>
      <w:r>
        <w:rPr>
          <w:rFonts w:hint="eastAsia" w:ascii="Times New Roman" w:cs="Times New Roman"/>
          <w:color w:val="000000"/>
          <w:sz w:val="32"/>
          <w:szCs w:val="32"/>
          <w:lang w:eastAsia="zh-CN"/>
        </w:rPr>
        <w:t>单位</w:t>
      </w:r>
      <w:r>
        <w:rPr>
          <w:rFonts w:hint="default" w:ascii="Times New Roman" w:hAnsi="Times New Roman" w:eastAsia="仿宋_GB2312" w:cs="Times New Roman"/>
          <w:color w:val="000000"/>
          <w:sz w:val="32"/>
          <w:szCs w:val="32"/>
        </w:rPr>
        <w:t>安排的行政单位（包括实行公务员管理的事业单位、下同）基本医疗保险缴费经费</w:t>
      </w:r>
      <w:r>
        <w:rPr>
          <w:rFonts w:hint="default" w:ascii="Times New Roman" w:hAnsi="Times New Roman" w:cs="Times New Roman"/>
          <w:color w:val="000000"/>
          <w:sz w:val="32"/>
          <w:szCs w:val="32"/>
          <w:lang w:eastAsia="zh-CN"/>
        </w:rPr>
        <w:t>。</w:t>
      </w:r>
    </w:p>
    <w:p>
      <w:pPr>
        <w:pStyle w:val="9"/>
        <w:ind w:firstLine="640"/>
        <w:rPr>
          <w:rFonts w:hint="default" w:ascii="Times New Roman" w:hAnsi="Times New Roman" w:cs="Times New Roman"/>
          <w:color w:val="000000"/>
          <w:sz w:val="32"/>
          <w:szCs w:val="32"/>
          <w:lang w:eastAsia="zh-CN"/>
        </w:rPr>
      </w:pPr>
      <w:r>
        <w:rPr>
          <w:rFonts w:hint="default" w:ascii="Times New Roman" w:hAnsi="Times New Roman" w:cs="Times New Roman"/>
          <w:b/>
          <w:bCs/>
          <w:color w:val="000000"/>
          <w:sz w:val="32"/>
          <w:szCs w:val="32"/>
          <w:lang w:val="en-US" w:eastAsia="zh-CN"/>
        </w:rPr>
        <w:t>9.</w:t>
      </w:r>
      <w:r>
        <w:rPr>
          <w:rFonts w:hint="default" w:ascii="Times New Roman" w:hAnsi="Times New Roman" w:eastAsia="仿宋_GB2312" w:cs="Times New Roman"/>
          <w:b/>
          <w:bCs/>
          <w:color w:val="auto"/>
          <w:sz w:val="32"/>
          <w:szCs w:val="32"/>
          <w:highlight w:val="none"/>
        </w:rPr>
        <w:t>卫生健康支出（类）行政事业单位医疗（款）事业单位医疗（项）：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000000"/>
          <w:sz w:val="32"/>
          <w:szCs w:val="32"/>
        </w:rPr>
        <w:t>反映财政</w:t>
      </w:r>
      <w:r>
        <w:rPr>
          <w:rFonts w:hint="eastAsia" w:ascii="Times New Roman" w:cs="Times New Roman"/>
          <w:color w:val="000000"/>
          <w:sz w:val="32"/>
          <w:szCs w:val="32"/>
          <w:lang w:eastAsia="zh-CN"/>
        </w:rPr>
        <w:t>单位</w:t>
      </w:r>
      <w:r>
        <w:rPr>
          <w:rFonts w:hint="default" w:ascii="Times New Roman" w:hAnsi="Times New Roman" w:eastAsia="仿宋_GB2312" w:cs="Times New Roman"/>
          <w:color w:val="000000"/>
          <w:sz w:val="32"/>
          <w:szCs w:val="32"/>
        </w:rPr>
        <w:t>安排的事业单位基本医疗保险缴费经费</w:t>
      </w:r>
      <w:r>
        <w:rPr>
          <w:rFonts w:hint="default" w:ascii="Times New Roman" w:hAnsi="Times New Roman" w:cs="Times New Roman"/>
          <w:color w:val="000000"/>
          <w:sz w:val="32"/>
          <w:szCs w:val="32"/>
          <w:lang w:eastAsia="zh-CN"/>
        </w:rPr>
        <w:t>。</w:t>
      </w:r>
    </w:p>
    <w:p>
      <w:pPr>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b/>
          <w:bCs/>
          <w:color w:val="000000"/>
          <w:sz w:val="32"/>
          <w:szCs w:val="32"/>
          <w:lang w:val="en-US" w:eastAsia="zh-CN"/>
        </w:rPr>
        <w:t>10.</w:t>
      </w:r>
      <w:r>
        <w:rPr>
          <w:rFonts w:hint="default" w:ascii="Times New Roman" w:hAnsi="Times New Roman" w:eastAsia="仿宋_GB2312" w:cs="Times New Roman"/>
          <w:b/>
          <w:bCs/>
          <w:color w:val="auto"/>
          <w:sz w:val="32"/>
          <w:szCs w:val="32"/>
          <w:highlight w:val="none"/>
        </w:rPr>
        <w:t>卫生健康支出（类）行政事业单位医疗（款）公务员医疗补助（项）：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000000"/>
          <w:sz w:val="32"/>
          <w:szCs w:val="32"/>
        </w:rPr>
        <w:t>反映财政</w:t>
      </w:r>
      <w:r>
        <w:rPr>
          <w:rFonts w:hint="eastAsia"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安排的公务员医疗补助经费</w:t>
      </w:r>
      <w:r>
        <w:rPr>
          <w:rFonts w:hint="default" w:ascii="Times New Roman" w:hAnsi="Times New Roman" w:eastAsia="仿宋_GB2312" w:cs="Times New Roman"/>
          <w:color w:val="auto"/>
          <w:sz w:val="32"/>
          <w:szCs w:val="32"/>
          <w:highlight w:val="none"/>
        </w:rPr>
        <w:t>。</w:t>
      </w:r>
    </w:p>
    <w:p>
      <w:pPr>
        <w:pStyle w:val="27"/>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11.</w:t>
      </w:r>
      <w:r>
        <w:rPr>
          <w:rFonts w:hint="default" w:ascii="Times New Roman" w:hAnsi="Times New Roman" w:eastAsia="仿宋_GB2312" w:cs="Times New Roman"/>
          <w:b/>
          <w:bCs/>
          <w:color w:val="auto"/>
          <w:sz w:val="32"/>
          <w:szCs w:val="32"/>
          <w:highlight w:val="none"/>
        </w:rPr>
        <w:t>卫生健康支出（类）行政事业单位医疗（款）其他行政事业单位医疗支出（项）：</w:t>
      </w:r>
      <w:r>
        <w:rPr>
          <w:rFonts w:hint="default" w:ascii="Times New Roman" w:hAnsi="Times New Roman" w:eastAsia="仿宋_GB2312" w:cs="Times New Roman"/>
          <w:color w:val="auto"/>
          <w:sz w:val="32"/>
          <w:szCs w:val="32"/>
          <w:highlight w:val="none"/>
        </w:rPr>
        <w:t>指反映除上述项目以外的其他用于行政事业单位医疗方面的支出。</w:t>
      </w:r>
    </w:p>
    <w:p>
      <w:pPr>
        <w:widowControl/>
        <w:spacing w:before="240" w:after="240" w:line="560" w:lineRule="atLeast"/>
        <w:ind w:firstLine="640"/>
        <w:jc w:val="left"/>
        <w:rPr>
          <w:rFonts w:hint="default" w:ascii="Times New Roman" w:hAnsi="Times New Roman" w:eastAsia="仿宋_GB2312" w:cs="Times New Roman"/>
          <w:color w:val="000000"/>
          <w:kern w:val="0"/>
          <w:sz w:val="32"/>
          <w:szCs w:val="32"/>
        </w:rPr>
      </w:pPr>
      <w:r>
        <w:rPr>
          <w:rFonts w:hint="default" w:ascii="Times New Roman" w:hAnsi="Times New Roman" w:cs="Times New Roman"/>
          <w:color w:val="000000"/>
          <w:kern w:val="0"/>
          <w:sz w:val="32"/>
          <w:szCs w:val="32"/>
          <w:lang w:val="en-US" w:eastAsia="zh-CN"/>
        </w:rPr>
        <w:t>12</w:t>
      </w:r>
      <w:r>
        <w:rPr>
          <w:rFonts w:hint="default" w:ascii="Times New Roman" w:hAnsi="Times New Roman" w:cs="Times New Roman"/>
          <w:color w:val="000000"/>
          <w:kern w:val="0"/>
          <w:sz w:val="32"/>
          <w:szCs w:val="32"/>
        </w:rPr>
        <w:t>.</w:t>
      </w:r>
      <w:r>
        <w:rPr>
          <w:rFonts w:hint="default" w:ascii="Times New Roman" w:hAnsi="Times New Roman" w:eastAsia="仿宋_GB2312" w:cs="Times New Roman"/>
          <w:b/>
          <w:bCs/>
          <w:color w:val="auto"/>
          <w:sz w:val="32"/>
          <w:szCs w:val="32"/>
          <w:highlight w:val="none"/>
        </w:rPr>
        <w:t>住房保障支出（类）住房改革支出（款）住房公积金（项）</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000000"/>
          <w:kern w:val="0"/>
          <w:sz w:val="32"/>
          <w:szCs w:val="32"/>
        </w:rPr>
        <w:t>指反映行政事业单位按人力资源和社会保障部、财政部规定的基本工资和津贴补贴以及规定比例为职工缴纳的住房公积金。</w:t>
      </w:r>
    </w:p>
    <w:p>
      <w:pPr>
        <w:pStyle w:val="27"/>
        <w:ind w:firstLine="640"/>
        <w:rPr>
          <w:rFonts w:hint="default" w:ascii="Times New Roman" w:hAnsi="Times New Roman" w:cs="Times New Roman"/>
          <w:b w:val="0"/>
          <w:bCs w:val="0"/>
          <w:color w:val="000000"/>
          <w:kern w:val="0"/>
          <w:sz w:val="32"/>
          <w:lang w:eastAsia="zh-CN"/>
        </w:rPr>
      </w:pPr>
      <w:r>
        <w:rPr>
          <w:rFonts w:hint="default" w:ascii="Times New Roman" w:hAnsi="Times New Roman" w:eastAsia="仿宋_GB2312" w:cs="Times New Roman"/>
          <w:color w:val="000000"/>
          <w:kern w:val="0"/>
          <w:sz w:val="32"/>
          <w:szCs w:val="32"/>
          <w:lang w:val="en-US" w:eastAsia="zh-CN"/>
        </w:rPr>
        <w:t>13.</w:t>
      </w:r>
      <w:r>
        <w:rPr>
          <w:rFonts w:hint="eastAsia" w:ascii="Times New Roman" w:hAnsi="Times New Roman" w:eastAsia="仿宋_GB2312" w:cs="Times New Roman"/>
          <w:b/>
          <w:bCs/>
          <w:color w:val="000000"/>
          <w:kern w:val="0"/>
          <w:sz w:val="32"/>
          <w:lang w:eastAsia="zh-CN"/>
        </w:rPr>
        <w:t>交通运输</w:t>
      </w:r>
      <w:r>
        <w:rPr>
          <w:rFonts w:hint="default" w:ascii="Times New Roman" w:hAnsi="Times New Roman" w:eastAsia="仿宋_GB2312" w:cs="Times New Roman"/>
          <w:b/>
          <w:bCs/>
          <w:color w:val="000000"/>
          <w:kern w:val="0"/>
          <w:sz w:val="32"/>
          <w:szCs w:val="32"/>
        </w:rPr>
        <w:t>支出</w:t>
      </w:r>
      <w:r>
        <w:rPr>
          <w:rFonts w:hint="default" w:ascii="Times New Roman" w:hAnsi="Times New Roman" w:eastAsia="仿宋_GB2312" w:cs="Times New Roman"/>
          <w:b/>
          <w:bCs/>
          <w:color w:val="000000"/>
          <w:kern w:val="0"/>
          <w:sz w:val="32"/>
        </w:rPr>
        <w:t>（</w:t>
      </w:r>
      <w:r>
        <w:rPr>
          <w:rFonts w:hint="default" w:ascii="Times New Roman" w:hAnsi="Times New Roman" w:eastAsia="仿宋" w:cs="Times New Roman"/>
          <w:b/>
          <w:bCs/>
          <w:color w:val="000000"/>
          <w:kern w:val="0"/>
          <w:sz w:val="32"/>
        </w:rPr>
        <w:t>类）</w:t>
      </w:r>
      <w:r>
        <w:rPr>
          <w:rFonts w:hint="eastAsia" w:ascii="Times New Roman" w:hAnsi="Times New Roman" w:cs="Times New Roman"/>
          <w:b/>
          <w:bCs/>
          <w:color w:val="000000"/>
          <w:kern w:val="0"/>
          <w:sz w:val="32"/>
          <w:lang w:val="en-US" w:eastAsia="zh-CN"/>
        </w:rPr>
        <w:t>公路水路运输</w:t>
      </w:r>
      <w:r>
        <w:rPr>
          <w:rFonts w:hint="default" w:ascii="Times New Roman" w:hAnsi="Times New Roman" w:eastAsia="仿宋" w:cs="Times New Roman"/>
          <w:b/>
          <w:bCs/>
          <w:color w:val="000000"/>
          <w:kern w:val="0"/>
          <w:sz w:val="32"/>
        </w:rPr>
        <w:t>（款）</w:t>
      </w:r>
      <w:r>
        <w:rPr>
          <w:rFonts w:hint="eastAsia" w:ascii="Times New Roman" w:hAnsi="Times New Roman" w:cs="Times New Roman"/>
          <w:b/>
          <w:bCs/>
          <w:color w:val="000000"/>
          <w:kern w:val="0"/>
          <w:sz w:val="32"/>
          <w:lang w:eastAsia="zh-CN"/>
        </w:rPr>
        <w:t>公路运输安全</w:t>
      </w:r>
      <w:r>
        <w:rPr>
          <w:rFonts w:hint="default" w:ascii="Times New Roman" w:hAnsi="Times New Roman" w:eastAsia="仿宋" w:cs="Times New Roman"/>
          <w:b/>
          <w:bCs/>
          <w:color w:val="000000"/>
          <w:kern w:val="0"/>
          <w:sz w:val="32"/>
        </w:rPr>
        <w:t>（项）</w:t>
      </w:r>
      <w:r>
        <w:rPr>
          <w:rFonts w:hint="default" w:ascii="Times New Roman" w:hAnsi="Times New Roman" w:cs="Times New Roman"/>
          <w:b/>
          <w:bCs/>
          <w:color w:val="000000"/>
          <w:kern w:val="0"/>
          <w:sz w:val="32"/>
        </w:rPr>
        <w:t>:</w:t>
      </w:r>
      <w:r>
        <w:rPr>
          <w:rFonts w:hint="default" w:ascii="Times New Roman" w:hAnsi="Times New Roman" w:cs="Times New Roman"/>
          <w:b w:val="0"/>
          <w:bCs w:val="0"/>
          <w:color w:val="000000"/>
          <w:kern w:val="0"/>
          <w:sz w:val="32"/>
        </w:rPr>
        <w:t>反映</w:t>
      </w:r>
      <w:r>
        <w:rPr>
          <w:rFonts w:hint="eastAsia" w:ascii="Times New Roman" w:hAnsi="Times New Roman" w:cs="Times New Roman"/>
          <w:b w:val="0"/>
          <w:bCs w:val="0"/>
          <w:color w:val="000000"/>
          <w:kern w:val="0"/>
          <w:sz w:val="32"/>
          <w:lang w:eastAsia="zh-CN"/>
        </w:rPr>
        <w:t>公路运输安全</w:t>
      </w:r>
      <w:r>
        <w:rPr>
          <w:rFonts w:hint="default" w:ascii="Times New Roman" w:hAnsi="Times New Roman" w:cs="Times New Roman"/>
          <w:b w:val="0"/>
          <w:bCs w:val="0"/>
          <w:color w:val="000000"/>
          <w:kern w:val="0"/>
          <w:sz w:val="32"/>
        </w:rPr>
        <w:t>支出</w:t>
      </w:r>
      <w:r>
        <w:rPr>
          <w:rFonts w:hint="default" w:ascii="Times New Roman" w:hAnsi="Times New Roman" w:cs="Times New Roman"/>
          <w:b w:val="0"/>
          <w:bCs w:val="0"/>
          <w:color w:val="000000"/>
          <w:kern w:val="0"/>
          <w:sz w:val="32"/>
          <w:lang w:eastAsia="zh-CN"/>
        </w:rPr>
        <w:t>。</w:t>
      </w:r>
    </w:p>
    <w:p>
      <w:pPr>
        <w:pStyle w:val="27"/>
        <w:ind w:firstLine="640"/>
        <w:rPr>
          <w:rFonts w:hint="default" w:ascii="Times New Roman" w:hAnsi="Times New Roman" w:cs="Times New Roman"/>
          <w:b w:val="0"/>
          <w:bCs w:val="0"/>
          <w:color w:val="000000"/>
          <w:kern w:val="0"/>
          <w:sz w:val="32"/>
          <w:lang w:eastAsia="zh-CN"/>
        </w:rPr>
      </w:pPr>
      <w:r>
        <w:rPr>
          <w:rFonts w:hint="default" w:ascii="Times New Roman" w:hAnsi="Times New Roman" w:cs="Times New Roman"/>
          <w:b w:val="0"/>
          <w:bCs w:val="0"/>
          <w:color w:val="000000"/>
          <w:kern w:val="0"/>
          <w:sz w:val="32"/>
          <w:lang w:val="en-US" w:eastAsia="zh-CN"/>
        </w:rPr>
        <w:t>14.</w:t>
      </w:r>
      <w:r>
        <w:rPr>
          <w:rFonts w:hint="default" w:ascii="Times New Roman" w:hAnsi="Times New Roman" w:eastAsia="仿宋_GB2312" w:cs="Times New Roman"/>
          <w:b/>
          <w:bCs/>
          <w:color w:val="000000"/>
          <w:kern w:val="0"/>
          <w:sz w:val="32"/>
          <w:lang w:eastAsia="zh-CN"/>
        </w:rPr>
        <w:t>商业服务业等</w:t>
      </w:r>
      <w:r>
        <w:rPr>
          <w:rFonts w:hint="default" w:ascii="Times New Roman" w:hAnsi="Times New Roman" w:eastAsia="仿宋_GB2312" w:cs="Times New Roman"/>
          <w:b/>
          <w:bCs/>
          <w:color w:val="000000"/>
          <w:kern w:val="0"/>
          <w:sz w:val="32"/>
          <w:szCs w:val="32"/>
        </w:rPr>
        <w:t>支出</w:t>
      </w:r>
      <w:r>
        <w:rPr>
          <w:rFonts w:hint="default" w:ascii="Times New Roman" w:hAnsi="Times New Roman" w:eastAsia="仿宋_GB2312" w:cs="Times New Roman"/>
          <w:b/>
          <w:bCs/>
          <w:color w:val="000000"/>
          <w:kern w:val="0"/>
          <w:sz w:val="32"/>
        </w:rPr>
        <w:t>（</w:t>
      </w:r>
      <w:r>
        <w:rPr>
          <w:rFonts w:hint="default" w:ascii="Times New Roman" w:hAnsi="Times New Roman" w:eastAsia="仿宋" w:cs="Times New Roman"/>
          <w:b/>
          <w:bCs/>
          <w:color w:val="000000"/>
          <w:kern w:val="0"/>
          <w:sz w:val="32"/>
        </w:rPr>
        <w:t>类）</w:t>
      </w:r>
      <w:r>
        <w:rPr>
          <w:rFonts w:hint="default" w:ascii="Times New Roman" w:hAnsi="Times New Roman" w:eastAsia="仿宋" w:cs="Times New Roman"/>
          <w:b/>
          <w:bCs/>
          <w:color w:val="000000"/>
          <w:kern w:val="0"/>
          <w:sz w:val="32"/>
          <w:lang w:eastAsia="zh-CN"/>
        </w:rPr>
        <w:t>其他</w:t>
      </w:r>
      <w:r>
        <w:rPr>
          <w:rFonts w:hint="default" w:ascii="Times New Roman" w:hAnsi="Times New Roman" w:eastAsia="仿宋_GB2312" w:cs="Times New Roman"/>
          <w:b/>
          <w:bCs/>
          <w:color w:val="000000"/>
          <w:kern w:val="0"/>
          <w:sz w:val="32"/>
          <w:lang w:eastAsia="zh-CN"/>
        </w:rPr>
        <w:t>商业</w:t>
      </w:r>
      <w:r>
        <w:rPr>
          <w:rFonts w:hint="default" w:ascii="Times New Roman" w:hAnsi="Times New Roman" w:eastAsia="仿宋" w:cs="Times New Roman"/>
          <w:b/>
          <w:bCs/>
          <w:color w:val="000000"/>
          <w:kern w:val="0"/>
          <w:sz w:val="32"/>
          <w:lang w:eastAsia="zh-CN"/>
        </w:rPr>
        <w:t>服务业等支出</w:t>
      </w:r>
      <w:r>
        <w:rPr>
          <w:rFonts w:hint="default" w:ascii="Times New Roman" w:hAnsi="Times New Roman" w:eastAsia="仿宋" w:cs="Times New Roman"/>
          <w:b/>
          <w:bCs/>
          <w:color w:val="000000"/>
          <w:kern w:val="0"/>
          <w:sz w:val="32"/>
        </w:rPr>
        <w:t>（款）</w:t>
      </w:r>
      <w:r>
        <w:rPr>
          <w:rFonts w:hint="default" w:ascii="Times New Roman" w:hAnsi="Times New Roman" w:eastAsia="仿宋" w:cs="Times New Roman"/>
          <w:b/>
          <w:bCs/>
          <w:color w:val="000000"/>
          <w:kern w:val="0"/>
          <w:sz w:val="32"/>
          <w:lang w:eastAsia="zh-CN"/>
        </w:rPr>
        <w:t>其他</w:t>
      </w:r>
      <w:r>
        <w:rPr>
          <w:rFonts w:hint="default" w:ascii="Times New Roman" w:hAnsi="Times New Roman" w:eastAsia="仿宋_GB2312" w:cs="Times New Roman"/>
          <w:b/>
          <w:bCs/>
          <w:color w:val="000000"/>
          <w:kern w:val="0"/>
          <w:sz w:val="32"/>
          <w:lang w:eastAsia="zh-CN"/>
        </w:rPr>
        <w:t>商业</w:t>
      </w:r>
      <w:r>
        <w:rPr>
          <w:rFonts w:hint="default" w:ascii="Times New Roman" w:hAnsi="Times New Roman" w:eastAsia="仿宋" w:cs="Times New Roman"/>
          <w:b/>
          <w:bCs/>
          <w:color w:val="000000"/>
          <w:kern w:val="0"/>
          <w:sz w:val="32"/>
          <w:lang w:eastAsia="zh-CN"/>
        </w:rPr>
        <w:t>服务业等支出</w:t>
      </w:r>
      <w:r>
        <w:rPr>
          <w:rFonts w:hint="default" w:ascii="Times New Roman" w:hAnsi="Times New Roman" w:eastAsia="仿宋" w:cs="Times New Roman"/>
          <w:b/>
          <w:bCs/>
          <w:color w:val="000000"/>
          <w:kern w:val="0"/>
          <w:sz w:val="32"/>
        </w:rPr>
        <w:t>（项）</w:t>
      </w:r>
      <w:r>
        <w:rPr>
          <w:rFonts w:hint="default" w:ascii="Times New Roman" w:hAnsi="Times New Roman" w:eastAsia="仿宋" w:cs="Times New Roman"/>
          <w:b/>
          <w:bCs/>
          <w:color w:val="000000"/>
          <w:kern w:val="0"/>
          <w:sz w:val="32"/>
          <w:lang w:eastAsia="zh-CN"/>
        </w:rPr>
        <w:t>：</w:t>
      </w:r>
      <w:r>
        <w:rPr>
          <w:rFonts w:hint="default" w:ascii="Times New Roman" w:hAnsi="Times New Roman" w:eastAsia="仿宋" w:cs="Times New Roman"/>
          <w:b w:val="0"/>
          <w:bCs w:val="0"/>
          <w:color w:val="000000"/>
          <w:kern w:val="0"/>
          <w:sz w:val="32"/>
          <w:lang w:eastAsia="zh-CN"/>
        </w:rPr>
        <w:t>反映其他商业服务业等支出中的其他支出</w:t>
      </w:r>
      <w:r>
        <w:rPr>
          <w:rFonts w:hint="default" w:ascii="Times New Roman" w:hAnsi="Times New Roman" w:cs="Times New Roman"/>
          <w:b w:val="0"/>
          <w:bCs w:val="0"/>
          <w:color w:val="000000"/>
          <w:kern w:val="0"/>
          <w:sz w:val="32"/>
          <w:lang w:eastAsia="zh-CN"/>
        </w:rPr>
        <w:t>。</w:t>
      </w:r>
    </w:p>
    <w:p>
      <w:pPr>
        <w:pStyle w:val="27"/>
        <w:ind w:firstLine="640"/>
        <w:rPr>
          <w:rFonts w:hint="default" w:ascii="Times New Roman" w:hAnsi="Times New Roman" w:cs="Times New Roman"/>
          <w:b w:val="0"/>
          <w:bCs w:val="0"/>
          <w:color w:val="000000"/>
          <w:kern w:val="0"/>
          <w:sz w:val="32"/>
          <w:lang w:eastAsia="zh-CN"/>
        </w:rPr>
      </w:pPr>
      <w:r>
        <w:rPr>
          <w:rFonts w:hint="eastAsia" w:ascii="Times New Roman" w:hAnsi="Times New Roman" w:eastAsia="仿宋_GB2312" w:cs="Times New Roman"/>
          <w:b w:val="0"/>
          <w:bCs w:val="0"/>
          <w:color w:val="000000"/>
          <w:kern w:val="0"/>
          <w:sz w:val="32"/>
          <w:lang w:val="en-US" w:eastAsia="zh-CN"/>
        </w:rPr>
        <w:t>15</w:t>
      </w:r>
      <w:r>
        <w:rPr>
          <w:rFonts w:hint="eastAsia" w:ascii="Times New Roman" w:hAnsi="Times New Roman" w:eastAsia="仿宋_GB2312" w:cs="Times New Roman"/>
          <w:b/>
          <w:bCs/>
          <w:color w:val="000000"/>
          <w:kern w:val="0"/>
          <w:sz w:val="32"/>
          <w:lang w:val="en-US" w:eastAsia="zh-CN"/>
        </w:rPr>
        <w:t>.</w:t>
      </w:r>
      <w:r>
        <w:rPr>
          <w:rFonts w:hint="eastAsia" w:ascii="Times New Roman" w:hAnsi="Times New Roman" w:eastAsia="仿宋_GB2312" w:cs="Times New Roman"/>
          <w:b/>
          <w:bCs/>
          <w:color w:val="000000"/>
          <w:kern w:val="0"/>
          <w:sz w:val="32"/>
          <w:lang w:eastAsia="zh-CN"/>
        </w:rPr>
        <w:t>资源勘探工业信息等</w:t>
      </w:r>
      <w:r>
        <w:rPr>
          <w:rFonts w:hint="default" w:ascii="Times New Roman" w:hAnsi="Times New Roman" w:eastAsia="仿宋_GB2312" w:cs="Times New Roman"/>
          <w:b/>
          <w:bCs/>
          <w:color w:val="000000"/>
          <w:kern w:val="0"/>
          <w:sz w:val="32"/>
          <w:szCs w:val="32"/>
        </w:rPr>
        <w:t>支出</w:t>
      </w:r>
      <w:r>
        <w:rPr>
          <w:rFonts w:hint="default" w:ascii="Times New Roman" w:hAnsi="Times New Roman" w:eastAsia="仿宋_GB2312" w:cs="Times New Roman"/>
          <w:b/>
          <w:bCs/>
          <w:color w:val="000000"/>
          <w:kern w:val="0"/>
          <w:sz w:val="32"/>
        </w:rPr>
        <w:t>（</w:t>
      </w:r>
      <w:r>
        <w:rPr>
          <w:rFonts w:hint="default" w:ascii="Times New Roman" w:hAnsi="Times New Roman" w:eastAsia="仿宋" w:cs="Times New Roman"/>
          <w:b/>
          <w:bCs/>
          <w:color w:val="000000"/>
          <w:kern w:val="0"/>
          <w:sz w:val="32"/>
        </w:rPr>
        <w:t>类）</w:t>
      </w:r>
      <w:r>
        <w:rPr>
          <w:rFonts w:hint="eastAsia" w:ascii="Times New Roman" w:hAnsi="Times New Roman" w:cs="Times New Roman"/>
          <w:b/>
          <w:bCs/>
          <w:color w:val="000000"/>
          <w:kern w:val="0"/>
          <w:sz w:val="32"/>
          <w:lang w:eastAsia="zh-CN"/>
        </w:rPr>
        <w:t>支持中小企业发展和管理</w:t>
      </w:r>
      <w:r>
        <w:rPr>
          <w:rFonts w:hint="default" w:ascii="Times New Roman" w:hAnsi="Times New Roman" w:eastAsia="仿宋" w:cs="Times New Roman"/>
          <w:b/>
          <w:bCs/>
          <w:color w:val="000000"/>
          <w:kern w:val="0"/>
          <w:sz w:val="32"/>
          <w:lang w:eastAsia="zh-CN"/>
        </w:rPr>
        <w:t>支出</w:t>
      </w:r>
      <w:r>
        <w:rPr>
          <w:rFonts w:hint="default" w:ascii="Times New Roman" w:hAnsi="Times New Roman" w:eastAsia="仿宋" w:cs="Times New Roman"/>
          <w:b/>
          <w:bCs/>
          <w:color w:val="000000"/>
          <w:kern w:val="0"/>
          <w:sz w:val="32"/>
        </w:rPr>
        <w:t>（款）</w:t>
      </w:r>
      <w:r>
        <w:rPr>
          <w:rFonts w:hint="eastAsia" w:ascii="Times New Roman" w:hAnsi="Times New Roman" w:cs="Times New Roman"/>
          <w:b/>
          <w:bCs/>
          <w:color w:val="000000"/>
          <w:kern w:val="0"/>
          <w:sz w:val="32"/>
          <w:lang w:eastAsia="zh-CN"/>
        </w:rPr>
        <w:t>中小企业发展专项</w:t>
      </w:r>
      <w:r>
        <w:rPr>
          <w:rFonts w:hint="default" w:ascii="Times New Roman" w:hAnsi="Times New Roman" w:eastAsia="仿宋" w:cs="Times New Roman"/>
          <w:b/>
          <w:bCs/>
          <w:color w:val="000000"/>
          <w:kern w:val="0"/>
          <w:sz w:val="32"/>
        </w:rPr>
        <w:t>（项）</w:t>
      </w:r>
      <w:r>
        <w:rPr>
          <w:rFonts w:hint="default" w:ascii="Times New Roman" w:hAnsi="Times New Roman" w:eastAsia="仿宋" w:cs="Times New Roman"/>
          <w:b/>
          <w:bCs/>
          <w:color w:val="000000"/>
          <w:kern w:val="0"/>
          <w:sz w:val="32"/>
          <w:lang w:eastAsia="zh-CN"/>
        </w:rPr>
        <w:t>：</w:t>
      </w:r>
      <w:r>
        <w:rPr>
          <w:rFonts w:hint="default" w:ascii="Times New Roman" w:hAnsi="Times New Roman" w:eastAsia="仿宋" w:cs="Times New Roman"/>
          <w:b w:val="0"/>
          <w:bCs w:val="0"/>
          <w:color w:val="000000"/>
          <w:kern w:val="0"/>
          <w:sz w:val="32"/>
          <w:lang w:eastAsia="zh-CN"/>
        </w:rPr>
        <w:t>反映</w:t>
      </w:r>
      <w:r>
        <w:rPr>
          <w:rFonts w:hint="eastAsia" w:ascii="Times New Roman" w:hAnsi="Times New Roman" w:cs="Times New Roman"/>
          <w:b w:val="0"/>
          <w:bCs w:val="0"/>
          <w:color w:val="000000"/>
          <w:kern w:val="0"/>
          <w:sz w:val="32"/>
          <w:lang w:eastAsia="zh-CN"/>
        </w:rPr>
        <w:t>支持中小企业发展专项的</w:t>
      </w:r>
      <w:r>
        <w:rPr>
          <w:rFonts w:hint="default" w:ascii="Times New Roman" w:hAnsi="Times New Roman" w:eastAsia="仿宋" w:cs="Times New Roman"/>
          <w:b w:val="0"/>
          <w:bCs w:val="0"/>
          <w:color w:val="000000"/>
          <w:kern w:val="0"/>
          <w:sz w:val="32"/>
          <w:lang w:eastAsia="zh-CN"/>
        </w:rPr>
        <w:t>支出</w:t>
      </w:r>
      <w:r>
        <w:rPr>
          <w:rFonts w:hint="default" w:ascii="Times New Roman" w:hAnsi="Times New Roman" w:cs="Times New Roman"/>
          <w:b w:val="0"/>
          <w:bCs w:val="0"/>
          <w:color w:val="000000"/>
          <w:kern w:val="0"/>
          <w:sz w:val="32"/>
          <w:lang w:eastAsia="zh-CN"/>
        </w:rPr>
        <w:t>。</w:t>
      </w:r>
    </w:p>
    <w:p>
      <w:pPr>
        <w:pStyle w:val="27"/>
        <w:ind w:firstLine="640"/>
        <w:rPr>
          <w:rFonts w:hint="default" w:ascii="Times New Roman" w:hAnsi="Times New Roman" w:cs="Times New Roman"/>
          <w:b w:val="0"/>
          <w:bCs w:val="0"/>
          <w:color w:val="000000"/>
          <w:kern w:val="0"/>
          <w:sz w:val="32"/>
          <w:lang w:val="en-US" w:eastAsia="zh-CN"/>
        </w:rPr>
      </w:pPr>
      <w:r>
        <w:rPr>
          <w:rFonts w:hint="eastAsia" w:ascii="Times New Roman" w:hAnsi="Times New Roman" w:eastAsia="仿宋_GB2312" w:cs="Times New Roman"/>
          <w:b w:val="0"/>
          <w:bCs w:val="0"/>
          <w:color w:val="000000"/>
          <w:kern w:val="0"/>
          <w:sz w:val="32"/>
          <w:lang w:val="en-US" w:eastAsia="zh-CN"/>
        </w:rPr>
        <w:t>16</w:t>
      </w:r>
      <w:r>
        <w:rPr>
          <w:rFonts w:hint="eastAsia" w:ascii="Times New Roman" w:hAnsi="Times New Roman" w:eastAsia="仿宋_GB2312" w:cs="Times New Roman"/>
          <w:b/>
          <w:bCs/>
          <w:color w:val="000000"/>
          <w:kern w:val="0"/>
          <w:sz w:val="32"/>
          <w:lang w:val="en-US" w:eastAsia="zh-CN"/>
        </w:rPr>
        <w:t>.</w:t>
      </w:r>
      <w:r>
        <w:rPr>
          <w:rFonts w:hint="eastAsia" w:ascii="Times New Roman" w:hAnsi="Times New Roman" w:eastAsia="仿宋_GB2312" w:cs="Times New Roman"/>
          <w:b/>
          <w:bCs/>
          <w:color w:val="000000"/>
          <w:kern w:val="0"/>
          <w:sz w:val="32"/>
          <w:lang w:eastAsia="zh-CN"/>
        </w:rPr>
        <w:t>其他</w:t>
      </w:r>
      <w:r>
        <w:rPr>
          <w:rFonts w:hint="default" w:ascii="Times New Roman" w:hAnsi="Times New Roman" w:eastAsia="仿宋_GB2312" w:cs="Times New Roman"/>
          <w:b/>
          <w:bCs/>
          <w:color w:val="000000"/>
          <w:kern w:val="0"/>
          <w:sz w:val="32"/>
          <w:szCs w:val="32"/>
        </w:rPr>
        <w:t>支出</w:t>
      </w:r>
      <w:r>
        <w:rPr>
          <w:rFonts w:hint="default" w:ascii="Times New Roman" w:hAnsi="Times New Roman" w:eastAsia="仿宋_GB2312" w:cs="Times New Roman"/>
          <w:b/>
          <w:bCs/>
          <w:color w:val="000000"/>
          <w:kern w:val="0"/>
          <w:sz w:val="32"/>
        </w:rPr>
        <w:t>（</w:t>
      </w:r>
      <w:r>
        <w:rPr>
          <w:rFonts w:hint="default" w:ascii="Times New Roman" w:hAnsi="Times New Roman" w:eastAsia="仿宋" w:cs="Times New Roman"/>
          <w:b/>
          <w:bCs/>
          <w:color w:val="000000"/>
          <w:kern w:val="0"/>
          <w:sz w:val="32"/>
        </w:rPr>
        <w:t>类）</w:t>
      </w:r>
      <w:r>
        <w:rPr>
          <w:rFonts w:hint="eastAsia" w:ascii="Times New Roman" w:hAnsi="Times New Roman" w:cs="Times New Roman"/>
          <w:b/>
          <w:bCs/>
          <w:color w:val="000000"/>
          <w:kern w:val="0"/>
          <w:sz w:val="32"/>
          <w:lang w:eastAsia="zh-CN"/>
        </w:rPr>
        <w:t>其他</w:t>
      </w:r>
      <w:r>
        <w:rPr>
          <w:rFonts w:hint="default" w:ascii="Times New Roman" w:hAnsi="Times New Roman" w:eastAsia="仿宋" w:cs="Times New Roman"/>
          <w:b/>
          <w:bCs/>
          <w:color w:val="000000"/>
          <w:kern w:val="0"/>
          <w:sz w:val="32"/>
          <w:lang w:eastAsia="zh-CN"/>
        </w:rPr>
        <w:t>支出</w:t>
      </w:r>
      <w:r>
        <w:rPr>
          <w:rFonts w:hint="default" w:ascii="Times New Roman" w:hAnsi="Times New Roman" w:eastAsia="仿宋" w:cs="Times New Roman"/>
          <w:b/>
          <w:bCs/>
          <w:color w:val="000000"/>
          <w:kern w:val="0"/>
          <w:sz w:val="32"/>
        </w:rPr>
        <w:t>（款）</w:t>
      </w:r>
      <w:r>
        <w:rPr>
          <w:rFonts w:hint="eastAsia" w:ascii="Times New Roman" w:hAnsi="Times New Roman" w:cs="Times New Roman"/>
          <w:b/>
          <w:bCs/>
          <w:color w:val="000000"/>
          <w:kern w:val="0"/>
          <w:sz w:val="32"/>
          <w:lang w:eastAsia="zh-CN"/>
        </w:rPr>
        <w:t>其他支出</w:t>
      </w:r>
      <w:r>
        <w:rPr>
          <w:rFonts w:hint="default" w:ascii="Times New Roman" w:hAnsi="Times New Roman" w:eastAsia="仿宋" w:cs="Times New Roman"/>
          <w:b/>
          <w:bCs/>
          <w:color w:val="000000"/>
          <w:kern w:val="0"/>
          <w:sz w:val="32"/>
        </w:rPr>
        <w:t>（项）</w:t>
      </w:r>
      <w:r>
        <w:rPr>
          <w:rFonts w:hint="default" w:ascii="Times New Roman" w:hAnsi="Times New Roman" w:eastAsia="仿宋" w:cs="Times New Roman"/>
          <w:b/>
          <w:bCs/>
          <w:color w:val="000000"/>
          <w:kern w:val="0"/>
          <w:sz w:val="32"/>
          <w:lang w:eastAsia="zh-CN"/>
        </w:rPr>
        <w:t>：</w:t>
      </w:r>
      <w:r>
        <w:rPr>
          <w:rFonts w:hint="eastAsia" w:ascii="Times New Roman" w:hAnsi="Times New Roman" w:cs="Times New Roman"/>
          <w:b w:val="0"/>
          <w:bCs w:val="0"/>
          <w:color w:val="000000"/>
          <w:kern w:val="0"/>
          <w:sz w:val="32"/>
          <w:lang w:eastAsia="zh-CN"/>
        </w:rPr>
        <w:t>反映除上述项目以外其他不能划分到具体功能科目中的</w:t>
      </w:r>
      <w:r>
        <w:rPr>
          <w:rFonts w:hint="default" w:ascii="Times New Roman" w:hAnsi="Times New Roman" w:eastAsia="仿宋" w:cs="Times New Roman"/>
          <w:b w:val="0"/>
          <w:bCs w:val="0"/>
          <w:color w:val="000000"/>
          <w:kern w:val="0"/>
          <w:sz w:val="32"/>
          <w:lang w:eastAsia="zh-CN"/>
        </w:rPr>
        <w:t>支出</w:t>
      </w:r>
      <w:r>
        <w:rPr>
          <w:rFonts w:hint="default" w:ascii="Times New Roman" w:hAnsi="Times New Roman" w:cs="Times New Roman"/>
          <w:b w:val="0"/>
          <w:bCs w:val="0"/>
          <w:color w:val="000000"/>
          <w:kern w:val="0"/>
          <w:sz w:val="32"/>
          <w:lang w:eastAsia="zh-CN"/>
        </w:rPr>
        <w:t>。</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color w:val="000000"/>
          <w:kern w:val="0"/>
          <w:sz w:val="32"/>
          <w:szCs w:val="32"/>
          <w:lang w:val="en-US" w:eastAsia="zh-CN"/>
        </w:rPr>
        <w:t>1</w:t>
      </w:r>
      <w:r>
        <w:rPr>
          <w:rFonts w:hint="eastAsia" w:cs="Times New Roman"/>
          <w:color w:val="000000"/>
          <w:kern w:val="0"/>
          <w:sz w:val="32"/>
          <w:szCs w:val="32"/>
          <w:lang w:val="en-US" w:eastAsia="zh-CN"/>
        </w:rPr>
        <w:t>7</w:t>
      </w:r>
      <w:r>
        <w:rPr>
          <w:rFonts w:hint="default" w:ascii="Times New Roman" w:hAnsi="Times New Roman" w:cs="Times New Roman"/>
          <w:color w:val="000000"/>
          <w:kern w:val="0"/>
          <w:sz w:val="32"/>
          <w:szCs w:val="32"/>
        </w:rPr>
        <w:t>.</w:t>
      </w:r>
      <w:r>
        <w:rPr>
          <w:rFonts w:hint="default" w:ascii="Times New Roman" w:hAnsi="Times New Roman" w:eastAsia="仿宋_GB2312" w:cs="Times New Roman"/>
          <w:b/>
          <w:bCs/>
          <w:color w:val="000000"/>
          <w:kern w:val="0"/>
          <w:sz w:val="32"/>
          <w:szCs w:val="32"/>
        </w:rPr>
        <w:t>基本支出</w:t>
      </w:r>
      <w:r>
        <w:rPr>
          <w:rFonts w:hint="default" w:ascii="Times New Roman" w:hAnsi="Times New Roman" w:eastAsia="仿宋_GB2312" w:cs="Times New Roman"/>
          <w:color w:val="000000"/>
          <w:kern w:val="0"/>
          <w:sz w:val="32"/>
          <w:szCs w:val="32"/>
        </w:rPr>
        <w:t>：指为保障机构正常运转、完成日常工作任务而发生的人员支出和公用支出。</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b w:val="0"/>
          <w:bCs w:val="0"/>
          <w:color w:val="000000"/>
          <w:kern w:val="0"/>
          <w:sz w:val="32"/>
          <w:szCs w:val="32"/>
          <w:lang w:val="en-US" w:eastAsia="zh-CN"/>
        </w:rPr>
        <w:t>1</w:t>
      </w:r>
      <w:r>
        <w:rPr>
          <w:rFonts w:hint="eastAsia" w:cs="Times New Roman"/>
          <w:b w:val="0"/>
          <w:bCs w:val="0"/>
          <w:color w:val="000000"/>
          <w:kern w:val="0"/>
          <w:sz w:val="32"/>
          <w:szCs w:val="32"/>
          <w:lang w:val="en-US" w:eastAsia="zh-CN"/>
        </w:rPr>
        <w:t>8</w:t>
      </w:r>
      <w:r>
        <w:rPr>
          <w:rFonts w:hint="default" w:ascii="Times New Roman" w:hAnsi="Times New Roman" w:cs="Times New Roman"/>
          <w:b w:val="0"/>
          <w:bCs w:val="0"/>
          <w:color w:val="000000"/>
          <w:kern w:val="0"/>
          <w:sz w:val="32"/>
          <w:szCs w:val="32"/>
        </w:rPr>
        <w:t>.</w:t>
      </w:r>
      <w:r>
        <w:rPr>
          <w:rFonts w:hint="default" w:ascii="Times New Roman" w:hAnsi="Times New Roman" w:eastAsia="仿宋_GB2312" w:cs="Times New Roman"/>
          <w:b/>
          <w:bCs/>
          <w:color w:val="000000"/>
          <w:kern w:val="0"/>
          <w:sz w:val="32"/>
          <w:szCs w:val="32"/>
        </w:rPr>
        <w:t>项目支出</w:t>
      </w:r>
      <w:r>
        <w:rPr>
          <w:rFonts w:hint="default" w:ascii="Times New Roman" w:hAnsi="Times New Roman" w:eastAsia="仿宋_GB2312" w:cs="Times New Roman"/>
          <w:color w:val="000000"/>
          <w:kern w:val="0"/>
          <w:sz w:val="32"/>
          <w:szCs w:val="32"/>
        </w:rPr>
        <w:t>：指在基本支出之外为完成特定行政任务和事业发展目标所发生的支出。 </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b w:val="0"/>
          <w:bCs w:val="0"/>
          <w:color w:val="000000"/>
          <w:kern w:val="0"/>
          <w:sz w:val="32"/>
          <w:szCs w:val="32"/>
        </w:rPr>
        <w:t>1</w:t>
      </w:r>
      <w:r>
        <w:rPr>
          <w:rFonts w:hint="eastAsia" w:cs="Times New Roman"/>
          <w:b w:val="0"/>
          <w:bCs w:val="0"/>
          <w:color w:val="000000"/>
          <w:kern w:val="0"/>
          <w:sz w:val="32"/>
          <w:szCs w:val="32"/>
          <w:lang w:val="en-US" w:eastAsia="zh-CN"/>
        </w:rPr>
        <w:t>9</w:t>
      </w:r>
      <w:r>
        <w:rPr>
          <w:rFonts w:hint="default" w:ascii="Times New Roman" w:hAnsi="Times New Roman" w:cs="Times New Roman"/>
          <w:b/>
          <w:bCs/>
          <w:color w:val="000000"/>
          <w:kern w:val="0"/>
          <w:sz w:val="32"/>
          <w:szCs w:val="32"/>
        </w:rPr>
        <w:t>.“</w:t>
      </w:r>
      <w:r>
        <w:rPr>
          <w:rFonts w:hint="default" w:ascii="Times New Roman" w:hAnsi="Times New Roman" w:eastAsia="仿宋_GB2312" w:cs="Times New Roman"/>
          <w:b/>
          <w:bCs/>
          <w:color w:val="000000"/>
          <w:kern w:val="0"/>
          <w:sz w:val="32"/>
          <w:szCs w:val="32"/>
        </w:rPr>
        <w:t>三公”经费</w:t>
      </w:r>
      <w:r>
        <w:rPr>
          <w:rFonts w:hint="default" w:ascii="Times New Roman" w:hAnsi="Times New Roman" w:eastAsia="仿宋_GB2312" w:cs="Times New Roman"/>
          <w:color w:val="000000"/>
          <w:kern w:val="0"/>
          <w:sz w:val="32"/>
          <w:szCs w:val="32"/>
        </w:rPr>
        <w:t>：指</w:t>
      </w:r>
      <w:r>
        <w:rPr>
          <w:rFonts w:hint="eastAsia" w:eastAsia="仿宋_GB2312" w:cs="Times New Roman"/>
          <w:color w:val="000000"/>
          <w:kern w:val="0"/>
          <w:sz w:val="32"/>
          <w:szCs w:val="32"/>
          <w:lang w:eastAsia="zh-CN"/>
        </w:rPr>
        <w:t>单位</w:t>
      </w:r>
      <w:r>
        <w:rPr>
          <w:rFonts w:hint="default" w:ascii="Times New Roman" w:hAnsi="Times New Roman" w:eastAsia="仿宋_GB2312" w:cs="Times New Roman"/>
          <w:color w:val="000000"/>
          <w:kern w:val="0"/>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color w:val="000000"/>
          <w:kern w:val="0"/>
          <w:sz w:val="32"/>
          <w:szCs w:val="32"/>
        </w:rPr>
        <w:t> </w:t>
      </w:r>
      <w:r>
        <w:rPr>
          <w:rFonts w:hint="eastAsia" w:cs="Times New Roman"/>
          <w:color w:val="000000"/>
          <w:kern w:val="0"/>
          <w:sz w:val="32"/>
          <w:szCs w:val="32"/>
          <w:lang w:val="en-US" w:eastAsia="zh-CN"/>
        </w:rPr>
        <w:t>20</w:t>
      </w:r>
      <w:r>
        <w:rPr>
          <w:rFonts w:hint="default" w:ascii="Times New Roman" w:hAnsi="Times New Roman" w:cs="Times New Roman"/>
          <w:b/>
          <w:bCs/>
          <w:color w:val="000000"/>
          <w:kern w:val="0"/>
          <w:sz w:val="32"/>
          <w:szCs w:val="32"/>
        </w:rPr>
        <w:t>.</w:t>
      </w:r>
      <w:r>
        <w:rPr>
          <w:rFonts w:hint="default" w:ascii="Times New Roman" w:hAnsi="Times New Roman" w:eastAsia="仿宋_GB2312" w:cs="Times New Roman"/>
          <w:b/>
          <w:bCs/>
          <w:color w:val="000000"/>
          <w:kern w:val="0"/>
          <w:sz w:val="32"/>
          <w:szCs w:val="32"/>
        </w:rPr>
        <w:t>机关运行经费</w:t>
      </w:r>
      <w:r>
        <w:rPr>
          <w:rFonts w:hint="default" w:ascii="Times New Roman" w:hAnsi="Times New Roman" w:eastAsia="仿宋_GB2312" w:cs="Times New Roman"/>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hint="default" w:ascii="Times New Roman" w:hAnsi="Times New Roman" w:eastAsia="黑体" w:cs="Times New Roman"/>
          <w:b w:val="0"/>
        </w:rPr>
      </w:pPr>
      <w:r>
        <w:rPr>
          <w:rFonts w:hint="default" w:ascii="Times New Roman" w:hAnsi="Times New Roman" w:cs="Times New Roman"/>
          <w:b/>
          <w:sz w:val="44"/>
          <w:szCs w:val="44"/>
        </w:rPr>
        <w:br w:type="page"/>
      </w:r>
      <w:bookmarkStart w:id="60" w:name="_Toc15396614"/>
      <w:r>
        <w:rPr>
          <w:rFonts w:hint="default" w:ascii="Times New Roman" w:hAnsi="Times New Roman" w:eastAsia="黑体" w:cs="Times New Roman"/>
          <w:sz w:val="44"/>
          <w:szCs w:val="44"/>
        </w:rPr>
        <w:t>第</w:t>
      </w:r>
      <w:r>
        <w:rPr>
          <w:rStyle w:val="29"/>
          <w:rFonts w:hint="default" w:ascii="Times New Roman" w:hAnsi="Times New Roman" w:eastAsia="黑体" w:cs="Times New Roman"/>
          <w:b w:val="0"/>
        </w:rPr>
        <w:t>四部分附件</w:t>
      </w:r>
      <w:bookmarkEnd w:id="60"/>
    </w:p>
    <w:p>
      <w:pPr>
        <w:spacing w:line="572" w:lineRule="exact"/>
        <w:jc w:val="left"/>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spacing w:line="572" w:lineRule="exact"/>
        <w:jc w:val="center"/>
        <w:rPr>
          <w:rFonts w:hint="default" w:ascii="Times New Roman" w:hAnsi="Times New Roman" w:eastAsia="方正小标宋简体" w:cs="Times New Roman"/>
          <w:kern w:val="0"/>
          <w:sz w:val="40"/>
          <w:szCs w:val="44"/>
        </w:rPr>
      </w:pPr>
      <w:r>
        <w:rPr>
          <w:rFonts w:hint="eastAsia" w:eastAsia="方正小标宋简体" w:cs="Times New Roman"/>
          <w:kern w:val="0"/>
          <w:sz w:val="40"/>
          <w:szCs w:val="44"/>
          <w:lang w:eastAsia="zh-CN"/>
        </w:rPr>
        <w:t>2024</w:t>
      </w:r>
      <w:r>
        <w:rPr>
          <w:rFonts w:hint="default" w:ascii="Times New Roman" w:hAnsi="Times New Roman" w:eastAsia="方正小标宋简体" w:cs="Times New Roman"/>
          <w:kern w:val="0"/>
          <w:sz w:val="40"/>
          <w:szCs w:val="44"/>
        </w:rPr>
        <w:t>年攀枝花市西区商务局</w:t>
      </w:r>
    </w:p>
    <w:p>
      <w:pPr>
        <w:spacing w:line="572" w:lineRule="exact"/>
        <w:jc w:val="center"/>
        <w:rPr>
          <w:rFonts w:hint="default" w:ascii="Times New Roman" w:hAnsi="Times New Roman" w:eastAsia="方正小标宋简体" w:cs="Times New Roman"/>
          <w:kern w:val="0"/>
          <w:sz w:val="40"/>
          <w:szCs w:val="44"/>
          <w:lang w:val="zh-CN"/>
        </w:rPr>
      </w:pPr>
      <w:r>
        <w:rPr>
          <w:rFonts w:hint="eastAsia" w:eastAsia="方正小标宋简体" w:cs="Times New Roman"/>
          <w:kern w:val="0"/>
          <w:sz w:val="40"/>
          <w:szCs w:val="44"/>
          <w:lang w:eastAsia="zh-CN"/>
        </w:rPr>
        <w:t>单位</w:t>
      </w:r>
      <w:r>
        <w:rPr>
          <w:rFonts w:hint="default" w:ascii="Times New Roman" w:hAnsi="Times New Roman" w:eastAsia="方正小标宋简体" w:cs="Times New Roman"/>
          <w:kern w:val="0"/>
          <w:sz w:val="40"/>
          <w:szCs w:val="44"/>
        </w:rPr>
        <w:t>整体绩效评价报告</w:t>
      </w:r>
    </w:p>
    <w:p>
      <w:pPr>
        <w:widowControl/>
        <w:spacing w:line="572" w:lineRule="exact"/>
        <w:ind w:firstLine="640" w:firstLineChars="200"/>
        <w:contextualSpacing/>
        <w:jc w:val="center"/>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（报告范围包括机关和下属单位）</w:t>
      </w:r>
    </w:p>
    <w:p>
      <w:pPr>
        <w:widowControl/>
        <w:adjustRightInd w:val="0"/>
        <w:snapToGrid w:val="0"/>
        <w:spacing w:line="572" w:lineRule="exact"/>
        <w:ind w:firstLine="480" w:firstLineChars="200"/>
        <w:contextualSpacing/>
        <w:jc w:val="left"/>
        <w:rPr>
          <w:rFonts w:hint="default" w:ascii="Times New Roman" w:hAnsi="Times New Roman" w:eastAsia="黑体" w:cs="Times New Roman"/>
          <w:kern w:val="0"/>
          <w:sz w:val="24"/>
          <w:szCs w:val="32"/>
          <w:shd w:val="clear" w:color="auto" w:fill="FFFFFF"/>
        </w:rPr>
      </w:pPr>
    </w:p>
    <w:p>
      <w:pPr>
        <w:widowControl/>
        <w:adjustRightInd w:val="0"/>
        <w:snapToGrid w:val="0"/>
        <w:spacing w:line="572"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rPr>
        <w:t>一、</w:t>
      </w:r>
      <w:r>
        <w:rPr>
          <w:rFonts w:hint="eastAsia" w:eastAsia="黑体" w:cs="Times New Roman"/>
          <w:kern w:val="0"/>
          <w:sz w:val="32"/>
          <w:szCs w:val="32"/>
          <w:shd w:val="clear" w:color="auto" w:fill="FFFFFF"/>
          <w:lang w:val="zh-CN"/>
        </w:rPr>
        <w:t>单位</w:t>
      </w:r>
      <w:r>
        <w:rPr>
          <w:rFonts w:hint="default" w:ascii="Times New Roman" w:hAnsi="Times New Roman" w:eastAsia="黑体" w:cs="Times New Roman"/>
          <w:kern w:val="0"/>
          <w:sz w:val="32"/>
          <w:szCs w:val="32"/>
          <w:shd w:val="clear" w:color="auto" w:fill="FFFFFF"/>
          <w:lang w:val="zh-CN"/>
        </w:rPr>
        <w:t>（单位）基本情况</w:t>
      </w:r>
    </w:p>
    <w:p>
      <w:pPr>
        <w:widowControl/>
        <w:adjustRightInd w:val="0"/>
        <w:snapToGrid w:val="0"/>
        <w:spacing w:line="572" w:lineRule="exact"/>
        <w:ind w:firstLine="643" w:firstLineChars="200"/>
        <w:contextualSpacing/>
        <w:jc w:val="left"/>
        <w:rPr>
          <w:rFonts w:hint="default" w:ascii="Times New Roman" w:hAnsi="Times New Roman" w:eastAsia="仿宋_GB2312" w:cs="Times New Roman"/>
          <w:b/>
          <w:kern w:val="0"/>
          <w:sz w:val="32"/>
          <w:szCs w:val="32"/>
          <w:shd w:val="clear" w:color="auto" w:fill="FFFFFF"/>
          <w:lang w:val="zh-CN"/>
        </w:rPr>
      </w:pPr>
      <w:r>
        <w:rPr>
          <w:rFonts w:hint="default" w:ascii="Times New Roman" w:hAnsi="Times New Roman" w:eastAsia="方正楷体_GBK" w:cs="Times New Roman"/>
          <w:b/>
          <w:kern w:val="0"/>
          <w:sz w:val="32"/>
          <w:szCs w:val="32"/>
          <w:shd w:val="clear" w:color="auto" w:fill="FFFFFF"/>
          <w:lang w:val="zh-CN"/>
        </w:rPr>
        <w:t>（一）机构组成</w:t>
      </w:r>
      <w:r>
        <w:rPr>
          <w:rFonts w:hint="default" w:ascii="Times New Roman" w:hAnsi="Times New Roman" w:eastAsia="仿宋_GB2312" w:cs="Times New Roman"/>
          <w:b/>
          <w:kern w:val="0"/>
          <w:sz w:val="32"/>
          <w:szCs w:val="32"/>
          <w:shd w:val="clear" w:color="auto" w:fill="FFFFFF"/>
          <w:lang w:val="zh-CN"/>
        </w:rPr>
        <w:t>。</w:t>
      </w:r>
    </w:p>
    <w:p>
      <w:pPr>
        <w:pStyle w:val="9"/>
        <w:spacing w:before="93"/>
        <w:ind w:firstLine="640" w:firstLineChars="200"/>
        <w:rPr>
          <w:rFonts w:hint="default" w:ascii="Times New Roman" w:hAnsi="Times New Roman" w:cs="Times New Roman"/>
          <w:sz w:val="32"/>
          <w:szCs w:val="32"/>
          <w:lang w:val="zh-CN"/>
        </w:rPr>
      </w:pPr>
      <w:r>
        <w:rPr>
          <w:rFonts w:hint="default" w:ascii="Times New Roman" w:hAnsi="Times New Roman" w:cs="Times New Roman"/>
          <w:sz w:val="32"/>
          <w:szCs w:val="32"/>
        </w:rPr>
        <w:t>攀枝花市西区商务局内设机构3个，包括办公室</w:t>
      </w:r>
      <w:r>
        <w:rPr>
          <w:rFonts w:hint="default" w:ascii="Times New Roman" w:hAnsi="Times New Roman" w:cs="Times New Roman"/>
          <w:spacing w:val="-6"/>
          <w:sz w:val="32"/>
          <w:szCs w:val="32"/>
        </w:rPr>
        <w:t>、商务管理股</w:t>
      </w:r>
      <w:r>
        <w:rPr>
          <w:rFonts w:hint="eastAsia" w:ascii="Times New Roman" w:cs="Times New Roman"/>
          <w:spacing w:val="-6"/>
          <w:sz w:val="32"/>
          <w:szCs w:val="32"/>
          <w:lang w:eastAsia="zh-CN"/>
        </w:rPr>
        <w:t>、综合股</w:t>
      </w:r>
      <w:r>
        <w:rPr>
          <w:rFonts w:hint="default" w:ascii="Times New Roman" w:hAnsi="Times New Roman" w:cs="Times New Roman"/>
          <w:spacing w:val="-6"/>
          <w:sz w:val="32"/>
          <w:szCs w:val="32"/>
        </w:rPr>
        <w:t>；</w:t>
      </w:r>
      <w:r>
        <w:rPr>
          <w:rFonts w:hint="default" w:ascii="Times New Roman" w:hAnsi="Times New Roman" w:cs="Times New Roman"/>
          <w:sz w:val="32"/>
          <w:szCs w:val="32"/>
        </w:rPr>
        <w:t>下属二级单位</w:t>
      </w:r>
      <w:r>
        <w:rPr>
          <w:rFonts w:hint="eastAsia" w:ascii="Times New Roman" w:cs="Times New Roman"/>
          <w:sz w:val="32"/>
          <w:szCs w:val="32"/>
          <w:lang w:val="en-US" w:eastAsia="zh-CN"/>
        </w:rPr>
        <w:t>1</w:t>
      </w:r>
      <w:r>
        <w:rPr>
          <w:rFonts w:hint="default" w:ascii="Times New Roman" w:hAnsi="Times New Roman" w:cs="Times New Roman"/>
          <w:sz w:val="32"/>
          <w:szCs w:val="32"/>
        </w:rPr>
        <w:t>个，其中：其他事业单位1个（</w:t>
      </w:r>
      <w:r>
        <w:rPr>
          <w:rFonts w:hint="default" w:ascii="Times New Roman" w:hAnsi="Times New Roman" w:eastAsia="仿宋" w:cs="Times New Roman"/>
          <w:color w:val="000000" w:themeColor="text1"/>
          <w:sz w:val="32"/>
          <w:szCs w:val="32"/>
          <w14:textFill>
            <w14:solidFill>
              <w14:schemeClr w14:val="tx1"/>
            </w14:solidFill>
          </w14:textFill>
        </w:rPr>
        <w:t>攀枝花市</w:t>
      </w:r>
      <w:r>
        <w:rPr>
          <w:rFonts w:hint="default" w:ascii="Times New Roman" w:hAnsi="Times New Roman" w:cs="Times New Roman"/>
          <w:color w:val="000000" w:themeColor="text1"/>
          <w:sz w:val="32"/>
          <w:szCs w:val="32"/>
          <w14:textFill>
            <w14:solidFill>
              <w14:schemeClr w14:val="tx1"/>
            </w14:solidFill>
          </w14:textFill>
        </w:rPr>
        <w:t>西区现</w:t>
      </w:r>
      <w:r>
        <w:rPr>
          <w:rFonts w:hint="default" w:ascii="Times New Roman" w:hAnsi="Times New Roman" w:cs="Times New Roman"/>
          <w:sz w:val="32"/>
          <w:szCs w:val="32"/>
        </w:rPr>
        <w:t>代服务业发展促进中心）。</w:t>
      </w:r>
    </w:p>
    <w:p>
      <w:pPr>
        <w:widowControl/>
        <w:adjustRightInd w:val="0"/>
        <w:snapToGrid w:val="0"/>
        <w:spacing w:line="572" w:lineRule="exact"/>
        <w:ind w:firstLine="643" w:firstLineChars="200"/>
        <w:contextualSpacing/>
        <w:jc w:val="left"/>
        <w:rPr>
          <w:rFonts w:hint="default" w:ascii="Times New Roman" w:hAnsi="Times New Roman" w:eastAsia="方正楷体_GBK" w:cs="Times New Roman"/>
          <w:b/>
          <w:kern w:val="0"/>
          <w:sz w:val="32"/>
          <w:szCs w:val="32"/>
          <w:shd w:val="clear" w:color="auto" w:fill="FFFFFF"/>
          <w:lang w:val="zh-CN"/>
        </w:rPr>
      </w:pPr>
      <w:r>
        <w:rPr>
          <w:rFonts w:hint="default" w:ascii="Times New Roman" w:hAnsi="Times New Roman" w:eastAsia="方正楷体_GBK" w:cs="Times New Roman"/>
          <w:b/>
          <w:kern w:val="0"/>
          <w:sz w:val="32"/>
          <w:szCs w:val="32"/>
          <w:shd w:val="clear" w:color="auto" w:fill="FFFFFF"/>
          <w:lang w:val="zh-CN"/>
        </w:rPr>
        <w:t>（二）机构职能和人员概况</w:t>
      </w:r>
    </w:p>
    <w:p>
      <w:pPr>
        <w:widowControl/>
        <w:adjustRightInd w:val="0"/>
        <w:snapToGrid w:val="0"/>
        <w:spacing w:line="572" w:lineRule="exact"/>
        <w:ind w:firstLine="643" w:firstLineChars="200"/>
        <w:contextualSpacing/>
        <w:jc w:val="left"/>
        <w:rPr>
          <w:rFonts w:hint="default" w:ascii="Times New Roman" w:hAnsi="Times New Roman" w:eastAsia="仿宋_GB2312" w:cs="Times New Roman"/>
          <w:b/>
          <w:kern w:val="0"/>
          <w:sz w:val="32"/>
          <w:szCs w:val="32"/>
          <w:shd w:val="clear" w:color="auto" w:fill="FFFFFF"/>
          <w:lang w:val="zh-CN"/>
        </w:rPr>
      </w:pPr>
      <w:r>
        <w:rPr>
          <w:rFonts w:hint="default" w:ascii="Times New Roman" w:hAnsi="Times New Roman" w:eastAsia="仿宋_GB2312" w:cs="Times New Roman"/>
          <w:b/>
          <w:kern w:val="0"/>
          <w:sz w:val="32"/>
          <w:szCs w:val="32"/>
          <w:shd w:val="clear" w:color="auto" w:fill="FFFFFF"/>
          <w:lang w:val="zh-CN"/>
        </w:rPr>
        <w:t>1.机构职能。</w:t>
      </w:r>
    </w:p>
    <w:p>
      <w:pPr>
        <w:widowControl/>
        <w:adjustRightInd w:val="0"/>
        <w:snapToGrid w:val="0"/>
        <w:spacing w:line="572"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kern w:val="0"/>
          <w:sz w:val="32"/>
          <w:szCs w:val="32"/>
          <w:shd w:val="clear" w:color="auto" w:fill="FFFFFF"/>
          <w:lang w:val="zh-CN"/>
        </w:rPr>
        <w:t>攀枝花市</w:t>
      </w:r>
      <w:r>
        <w:rPr>
          <w:rFonts w:hint="default" w:ascii="Times New Roman" w:hAnsi="Times New Roman" w:eastAsia="仿宋_GB2312" w:cs="Times New Roman"/>
          <w:kern w:val="0"/>
          <w:sz w:val="32"/>
          <w:szCs w:val="32"/>
        </w:rPr>
        <w:t>西区商务局作为全区商贸服务业经济运行监管的行业主管</w:t>
      </w:r>
      <w:r>
        <w:rPr>
          <w:rFonts w:hint="eastAsia" w:eastAsia="仿宋_GB2312" w:cs="Times New Roman"/>
          <w:kern w:val="0"/>
          <w:sz w:val="32"/>
          <w:szCs w:val="32"/>
          <w:lang w:eastAsia="zh-CN"/>
        </w:rPr>
        <w:t>单位</w:t>
      </w:r>
      <w:r>
        <w:rPr>
          <w:rFonts w:hint="default" w:ascii="Times New Roman" w:hAnsi="Times New Roman" w:eastAsia="仿宋_GB2312" w:cs="Times New Roman"/>
          <w:kern w:val="0"/>
          <w:sz w:val="32"/>
          <w:szCs w:val="32"/>
        </w:rPr>
        <w:t>，主要承担指导、引导全区商贸服务业经济发展、行业管理、安全环保及全区重大商贸服务业项目的推进工作;负责商贸流通、市场体系建设、电子商务、现代物流、内外贸易及指导和协调全区服务业发展等职责。</w:t>
      </w:r>
    </w:p>
    <w:p>
      <w:pPr>
        <w:widowControl/>
        <w:adjustRightInd w:val="0"/>
        <w:snapToGrid w:val="0"/>
        <w:spacing w:line="572" w:lineRule="exact"/>
        <w:ind w:firstLine="643" w:firstLineChars="200"/>
        <w:contextualSpacing/>
        <w:jc w:val="left"/>
        <w:rPr>
          <w:rFonts w:hint="default" w:ascii="Times New Roman" w:hAnsi="Times New Roman" w:eastAsia="仿宋_GB2312" w:cs="Times New Roman"/>
          <w:b/>
          <w:kern w:val="0"/>
          <w:sz w:val="32"/>
          <w:szCs w:val="32"/>
          <w:shd w:val="clear" w:color="auto" w:fill="FFFFFF"/>
          <w:lang w:val="zh-CN"/>
        </w:rPr>
      </w:pPr>
      <w:r>
        <w:rPr>
          <w:rFonts w:hint="default" w:ascii="Times New Roman" w:hAnsi="Times New Roman" w:eastAsia="仿宋_GB2312" w:cs="Times New Roman"/>
          <w:b/>
          <w:kern w:val="0"/>
          <w:sz w:val="32"/>
          <w:szCs w:val="32"/>
          <w:shd w:val="clear" w:color="auto" w:fill="FFFFFF"/>
          <w:lang w:val="zh-CN"/>
        </w:rPr>
        <w:t>2.人员概况。</w:t>
      </w:r>
    </w:p>
    <w:p>
      <w:pPr>
        <w:spacing w:line="353" w:lineRule="auto"/>
        <w:ind w:firstLine="640" w:firstLineChars="200"/>
        <w:rPr>
          <w:rFonts w:hint="default" w:ascii="Times New Roman" w:hAnsi="Times New Roman" w:eastAsia="楷体_GB2312" w:cs="Times New Roman"/>
          <w:b/>
          <w:bCs/>
          <w:kern w:val="0"/>
          <w:sz w:val="32"/>
          <w:szCs w:val="32"/>
          <w:shd w:val="clear" w:color="auto" w:fill="FFFFFF"/>
          <w:lang w:val="zh-CN"/>
        </w:rPr>
      </w:pPr>
      <w:r>
        <w:rPr>
          <w:rFonts w:hint="eastAsia" w:eastAsia="仿宋_GB2312" w:cs="Times New Roman"/>
          <w:sz w:val="32"/>
          <w:szCs w:val="32"/>
          <w:lang w:eastAsia="zh-CN"/>
        </w:rPr>
        <w:t>行政编</w:t>
      </w:r>
      <w:r>
        <w:rPr>
          <w:rFonts w:hint="default" w:ascii="Times New Roman" w:hAnsi="Times New Roman" w:eastAsia="仿宋_GB2312" w:cs="Times New Roman"/>
          <w:sz w:val="32"/>
          <w:szCs w:val="32"/>
        </w:rPr>
        <w:t>制4名、事业编制</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名，聘用人员编制6名，实有人员</w:t>
      </w:r>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rPr>
        <w:t>人。</w:t>
      </w:r>
    </w:p>
    <w:p>
      <w:pPr>
        <w:pStyle w:val="9"/>
        <w:spacing w:before="93"/>
        <w:rPr>
          <w:rFonts w:hint="default" w:ascii="Times New Roman" w:hAnsi="Times New Roman" w:eastAsia="方正仿宋_GBK" w:cs="Times New Roman"/>
          <w:spacing w:val="-4"/>
          <w:sz w:val="33"/>
          <w:szCs w:val="33"/>
        </w:rPr>
      </w:pPr>
      <w:r>
        <w:rPr>
          <w:rFonts w:hint="default" w:ascii="Times New Roman" w:hAnsi="Times New Roman" w:cs="Times New Roman"/>
        </w:rPr>
        <w:t xml:space="preserve">    </w:t>
      </w:r>
      <w:r>
        <w:rPr>
          <w:rFonts w:hint="default" w:ascii="Times New Roman" w:hAnsi="Times New Roman" w:eastAsia="方正楷体_GBK" w:cs="Times New Roman"/>
          <w:b/>
          <w:color w:val="000000" w:themeColor="text1"/>
          <w14:textFill>
            <w14:solidFill>
              <w14:schemeClr w14:val="tx1"/>
            </w14:solidFill>
          </w14:textFill>
        </w:rPr>
        <w:t>（三）年度主要工作任务。</w:t>
      </w:r>
    </w:p>
    <w:p>
      <w:pPr>
        <w:keepNext w:val="0"/>
        <w:keepLines w:val="0"/>
        <w:pageBreakBefore w:val="0"/>
        <w:widowControl w:val="0"/>
        <w:kinsoku/>
        <w:wordWrap/>
        <w:overflowPunct/>
        <w:topLinePunct w:val="0"/>
        <w:bidi w:val="0"/>
        <w:adjustRightInd/>
        <w:snapToGrid/>
        <w:spacing w:line="600" w:lineRule="exact"/>
        <w:ind w:firstLine="624" w:firstLineChars="200"/>
        <w:textAlignment w:val="auto"/>
        <w:rPr>
          <w:rFonts w:hint="default" w:ascii="Times New Roman" w:hAnsi="Times New Roman" w:eastAsia="仿宋_GB2312" w:cs="Times New Roman"/>
          <w:b w:val="0"/>
          <w:bCs w:val="0"/>
          <w:color w:val="auto"/>
          <w:spacing w:val="-11"/>
          <w:sz w:val="32"/>
          <w:szCs w:val="32"/>
        </w:rPr>
      </w:pPr>
      <w:r>
        <w:rPr>
          <w:rFonts w:hint="eastAsia" w:ascii="Times New Roman" w:hAnsi="Times New Roman" w:eastAsia="楷体_GB2312" w:cs="Times New Roman"/>
          <w:color w:val="auto"/>
          <w:spacing w:val="-4"/>
          <w:sz w:val="32"/>
          <w:szCs w:val="32"/>
          <w:lang w:val="en-US" w:eastAsia="zh-CN"/>
        </w:rPr>
        <w:t>1.</w:t>
      </w:r>
      <w:r>
        <w:rPr>
          <w:rFonts w:hint="default" w:ascii="Times New Roman" w:hAnsi="Times New Roman" w:eastAsia="楷体_GB2312" w:cs="Times New Roman"/>
          <w:color w:val="auto"/>
          <w:spacing w:val="-4"/>
          <w:sz w:val="32"/>
          <w:szCs w:val="32"/>
          <w:lang w:val="en-US" w:eastAsia="zh-CN"/>
        </w:rPr>
        <w:t>激发消费新活力。</w:t>
      </w:r>
      <w:r>
        <w:rPr>
          <w:rFonts w:hint="default" w:ascii="Times New Roman" w:hAnsi="Times New Roman" w:eastAsia="仿宋_GB2312" w:cs="Times New Roman"/>
          <w:color w:val="auto"/>
          <w:sz w:val="32"/>
          <w:szCs w:val="32"/>
          <w:lang w:val="en-US" w:eastAsia="zh-CN"/>
        </w:rPr>
        <w:t>充分利用金沙江水源优势，组织举办水墨金沙“沙滩音乐啤酒活动周”系列活动，完美融合沙滩、音乐、啤酒、美景、美食等因素，为市内外游客们带来丰富、优质的活动体验，累计吸引市区及华坪、丽江等地游客近5万人次，带动消费900余万元，“水墨金沙·庄尚生活”销售收入增长600%，实现了人气、消费“两旺”。</w:t>
      </w:r>
      <w:r>
        <w:rPr>
          <w:rFonts w:hint="default" w:ascii="Times New Roman" w:hAnsi="Times New Roman" w:eastAsia="仿宋_GB2312" w:cs="Times New Roman"/>
          <w:color w:val="auto"/>
          <w:sz w:val="32"/>
          <w:szCs w:val="32"/>
        </w:rPr>
        <w:t>举</w:t>
      </w:r>
      <w:r>
        <w:rPr>
          <w:rFonts w:hint="default" w:ascii="Times New Roman" w:hAnsi="Times New Roman" w:eastAsia="仿宋_GB2312" w:cs="Times New Roman"/>
          <w:b w:val="0"/>
          <w:bCs w:val="0"/>
          <w:color w:val="auto"/>
          <w:spacing w:val="-11"/>
          <w:sz w:val="32"/>
          <w:szCs w:val="32"/>
          <w:lang w:eastAsia="zh-CN"/>
        </w:rPr>
        <w:t>办慢漫生活•味美西区特色美食大赛暨“花果宴之旅”活动，全方位展示了区域美食及花果特色，</w:t>
      </w:r>
      <w:r>
        <w:rPr>
          <w:rFonts w:hint="default" w:ascii="Times New Roman" w:hAnsi="Times New Roman" w:eastAsia="仿宋_GB2312" w:cs="Times New Roman"/>
          <w:b w:val="0"/>
          <w:bCs w:val="0"/>
          <w:color w:val="auto"/>
          <w:spacing w:val="-11"/>
          <w:sz w:val="32"/>
          <w:szCs w:val="32"/>
        </w:rPr>
        <w:t>开发地方特色</w:t>
      </w:r>
      <w:r>
        <w:rPr>
          <w:rFonts w:hint="default" w:ascii="Times New Roman" w:hAnsi="Times New Roman" w:eastAsia="仿宋_GB2312" w:cs="Times New Roman"/>
          <w:b w:val="0"/>
          <w:bCs w:val="0"/>
          <w:color w:val="auto"/>
          <w:spacing w:val="-11"/>
          <w:sz w:val="32"/>
          <w:szCs w:val="32"/>
          <w:lang w:val="en-US" w:eastAsia="zh-CN"/>
        </w:rPr>
        <w:t>“花果宴”菜系</w:t>
      </w:r>
      <w:r>
        <w:rPr>
          <w:rFonts w:hint="default" w:ascii="Times New Roman" w:hAnsi="Times New Roman" w:eastAsia="仿宋_GB2312" w:cs="Times New Roman"/>
          <w:b w:val="0"/>
          <w:bCs w:val="0"/>
          <w:color w:val="auto"/>
          <w:spacing w:val="-11"/>
          <w:sz w:val="32"/>
          <w:szCs w:val="32"/>
        </w:rPr>
        <w:t>，</w:t>
      </w:r>
      <w:r>
        <w:rPr>
          <w:rFonts w:hint="default" w:ascii="Times New Roman" w:hAnsi="Times New Roman" w:eastAsia="仿宋_GB2312" w:cs="Times New Roman"/>
          <w:b w:val="0"/>
          <w:bCs w:val="0"/>
          <w:color w:val="auto"/>
          <w:spacing w:val="-11"/>
          <w:sz w:val="32"/>
          <w:szCs w:val="32"/>
          <w:lang w:eastAsia="zh-CN"/>
        </w:rPr>
        <w:t>为餐饮发展注入强劲活力</w:t>
      </w:r>
      <w:r>
        <w:rPr>
          <w:rFonts w:hint="default" w:ascii="Times New Roman" w:hAnsi="Times New Roman" w:eastAsia="仿宋_GB2312" w:cs="Times New Roman"/>
          <w:b w:val="0"/>
          <w:bCs w:val="0"/>
          <w:color w:val="auto"/>
          <w:spacing w:val="-11"/>
          <w:sz w:val="32"/>
          <w:szCs w:val="32"/>
        </w:rPr>
        <w:t>。</w:t>
      </w:r>
      <w:r>
        <w:rPr>
          <w:rFonts w:hint="default" w:ascii="Times New Roman" w:hAnsi="Times New Roman" w:eastAsia="仿宋_GB2312" w:cs="Times New Roman"/>
          <w:b w:val="0"/>
          <w:bCs w:val="0"/>
          <w:color w:val="auto"/>
          <w:spacing w:val="-11"/>
          <w:sz w:val="32"/>
          <w:szCs w:val="32"/>
          <w:lang w:eastAsia="zh-CN"/>
        </w:rPr>
        <w:t>积极引</w:t>
      </w:r>
      <w:r>
        <w:rPr>
          <w:rFonts w:hint="default" w:ascii="Times New Roman" w:hAnsi="Times New Roman" w:eastAsia="仿宋_GB2312" w:cs="Times New Roman"/>
          <w:b w:val="0"/>
          <w:bCs w:val="0"/>
          <w:color w:val="auto"/>
          <w:spacing w:val="-11"/>
          <w:sz w:val="32"/>
          <w:szCs w:val="32"/>
          <w:lang w:val="en-US" w:eastAsia="zh-CN"/>
        </w:rPr>
        <w:t>入</w:t>
      </w:r>
      <w:r>
        <w:rPr>
          <w:rFonts w:hint="default" w:ascii="Times New Roman" w:hAnsi="Times New Roman" w:eastAsia="仿宋_GB2312" w:cs="Times New Roman"/>
          <w:b w:val="0"/>
          <w:bCs w:val="0"/>
          <w:color w:val="auto"/>
          <w:spacing w:val="-11"/>
          <w:sz w:val="32"/>
          <w:szCs w:val="32"/>
          <w:lang w:eastAsia="zh-CN"/>
        </w:rPr>
        <w:t>餐饮、零售、休闲娱乐类区域首店</w:t>
      </w:r>
      <w:r>
        <w:rPr>
          <w:rFonts w:hint="default" w:ascii="Times New Roman" w:hAnsi="Times New Roman" w:eastAsia="仿宋_GB2312" w:cs="Times New Roman"/>
          <w:b w:val="0"/>
          <w:bCs w:val="0"/>
          <w:color w:val="auto"/>
          <w:spacing w:val="-11"/>
          <w:sz w:val="32"/>
          <w:szCs w:val="32"/>
          <w:lang w:val="en-US" w:eastAsia="zh-CN"/>
        </w:rPr>
        <w:t>12家，成功引进四川品品十年商业管理有限公司入驻西区，并在全市开设36家“零食有鸣”销售网点。</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2.</w:t>
      </w:r>
      <w:r>
        <w:rPr>
          <w:rFonts w:hint="default" w:ascii="Times New Roman" w:hAnsi="Times New Roman" w:eastAsia="楷体_GB2312" w:cs="Times New Roman"/>
          <w:color w:val="auto"/>
          <w:spacing w:val="-4"/>
          <w:sz w:val="32"/>
          <w:szCs w:val="32"/>
          <w:lang w:val="en-US" w:eastAsia="zh-CN"/>
        </w:rPr>
        <w:t>多举措助力以旧换新。</w:t>
      </w:r>
      <w:r>
        <w:rPr>
          <w:rFonts w:hint="default" w:ascii="Times New Roman" w:hAnsi="Times New Roman" w:eastAsia="仿宋_GB2312" w:cs="Times New Roman"/>
          <w:b w:val="0"/>
          <w:bCs w:val="0"/>
          <w:color w:val="auto"/>
          <w:spacing w:val="-11"/>
          <w:sz w:val="32"/>
          <w:szCs w:val="32"/>
          <w:lang w:val="en-US" w:eastAsia="zh-CN"/>
        </w:rPr>
        <w:t>全市唯一探索金融赋能，</w:t>
      </w:r>
      <w:r>
        <w:rPr>
          <w:rFonts w:hint="default" w:ascii="Times New Roman" w:hAnsi="Times New Roman" w:eastAsia="仿宋_GB2312" w:cs="Times New Roman"/>
          <w:color w:val="auto"/>
          <w:sz w:val="32"/>
          <w:szCs w:val="32"/>
        </w:rPr>
        <w:t>助力以旧换新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推出</w:t>
      </w:r>
      <w:r>
        <w:rPr>
          <w:rFonts w:hint="default" w:ascii="Times New Roman" w:hAnsi="Times New Roman" w:eastAsia="仿宋_GB2312" w:cs="Times New Roman"/>
          <w:color w:val="auto"/>
          <w:sz w:val="32"/>
          <w:szCs w:val="32"/>
          <w:lang w:eastAsia="zh-CN"/>
        </w:rPr>
        <w:t>以旧换新</w:t>
      </w:r>
      <w:r>
        <w:rPr>
          <w:rFonts w:hint="default" w:ascii="Times New Roman" w:hAnsi="Times New Roman" w:eastAsia="仿宋_GB2312" w:cs="Times New Roman"/>
          <w:color w:val="auto"/>
          <w:sz w:val="32"/>
          <w:szCs w:val="32"/>
        </w:rPr>
        <w:t>专属消费贷款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降低消费者的购买门槛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免费享受定制保险产品，为消费者提供了有力保障。</w:t>
      </w:r>
      <w:r>
        <w:rPr>
          <w:rFonts w:hint="default" w:ascii="Times New Roman" w:hAnsi="Times New Roman" w:eastAsia="仿宋_GB2312" w:cs="Times New Roman"/>
          <w:color w:val="auto"/>
          <w:sz w:val="32"/>
          <w:szCs w:val="32"/>
          <w:lang w:val="en-US" w:eastAsia="zh-CN"/>
        </w:rPr>
        <w:t>支持经营主体开展“以旧换新”专项活动，多形式开展</w:t>
      </w:r>
      <w:r>
        <w:rPr>
          <w:rFonts w:hint="default" w:ascii="Times New Roman" w:hAnsi="Times New Roman" w:eastAsia="仿宋_GB2312" w:cs="Times New Roman"/>
          <w:b w:val="0"/>
          <w:bCs/>
          <w:color w:val="auto"/>
          <w:kern w:val="2"/>
          <w:sz w:val="32"/>
          <w:szCs w:val="24"/>
          <w:u w:val="none"/>
          <w:lang w:val="en-US" w:eastAsia="zh-CN" w:bidi="ar-SA"/>
        </w:rPr>
        <w:t>“进机关、进社区、进乡镇”等</w:t>
      </w:r>
      <w:r>
        <w:rPr>
          <w:rFonts w:hint="default" w:ascii="Times New Roman" w:hAnsi="Times New Roman" w:eastAsia="仿宋_GB2312" w:cs="Times New Roman"/>
          <w:color w:val="auto"/>
          <w:sz w:val="32"/>
          <w:szCs w:val="32"/>
          <w:lang w:val="en-US" w:eastAsia="zh-CN"/>
        </w:rPr>
        <w:t>宣传，引导消费者积极参与“以旧换新”系列活动，</w:t>
      </w:r>
      <w:r>
        <w:rPr>
          <w:rFonts w:hint="default" w:ascii="Times New Roman" w:hAnsi="Times New Roman" w:eastAsia="仿宋_GB2312" w:cs="Times New Roman"/>
          <w:color w:val="auto"/>
          <w:sz w:val="32"/>
          <w:szCs w:val="32"/>
        </w:rPr>
        <w:t>组织家电企业深入乡村开展巡回展销，将各类优质家电产品</w:t>
      </w:r>
      <w:r>
        <w:rPr>
          <w:rFonts w:hint="default" w:ascii="Times New Roman" w:hAnsi="Times New Roman" w:eastAsia="仿宋_GB2312" w:cs="Times New Roman"/>
          <w:color w:val="auto"/>
          <w:sz w:val="32"/>
          <w:szCs w:val="32"/>
          <w:lang w:eastAsia="zh-CN"/>
        </w:rPr>
        <w:t>送</w:t>
      </w:r>
      <w:r>
        <w:rPr>
          <w:rFonts w:hint="default" w:ascii="Times New Roman" w:hAnsi="Times New Roman" w:eastAsia="仿宋_GB2312" w:cs="Times New Roman"/>
          <w:color w:val="auto"/>
          <w:sz w:val="32"/>
          <w:szCs w:val="32"/>
        </w:rPr>
        <w:t>到村民家门口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村</w:t>
      </w:r>
      <w:r>
        <w:rPr>
          <w:rFonts w:hint="default" w:ascii="Times New Roman" w:hAnsi="Times New Roman" w:eastAsia="仿宋_GB2312" w:cs="Times New Roman"/>
          <w:color w:val="auto"/>
          <w:sz w:val="32"/>
          <w:szCs w:val="32"/>
        </w:rPr>
        <w:t>设立以旧换新服务点，方便村民办理旧家电回收和新家电购买手续。</w:t>
      </w:r>
      <w:r>
        <w:rPr>
          <w:rFonts w:hint="default" w:ascii="Times New Roman" w:hAnsi="Times New Roman" w:eastAsia="仿宋_GB2312" w:cs="Times New Roman"/>
          <w:color w:val="auto"/>
          <w:sz w:val="32"/>
          <w:szCs w:val="32"/>
          <w:lang w:val="en-US" w:eastAsia="zh-CN"/>
        </w:rPr>
        <w:t>今年以来，以旧换新订单占总销售订单45%</w:t>
      </w:r>
      <w:r>
        <w:rPr>
          <w:rFonts w:hint="default" w:ascii="Times New Roman" w:hAnsi="Times New Roman" w:eastAsia="仿宋_GB2312" w:cs="Times New Roman"/>
          <w:b w:val="0"/>
          <w:bCs w:val="0"/>
          <w:snapToGrid w:val="0"/>
          <w:color w:val="auto"/>
          <w:spacing w:val="0"/>
          <w:kern w:val="0"/>
          <w:sz w:val="32"/>
          <w:szCs w:val="32"/>
          <w:lang w:val="en-US" w:eastAsia="zh-CN" w:bidi="ar-SA"/>
        </w:rPr>
        <w:t>—</w:t>
      </w:r>
      <w:r>
        <w:rPr>
          <w:rFonts w:hint="default" w:ascii="Times New Roman" w:hAnsi="Times New Roman" w:eastAsia="仿宋_GB2312" w:cs="Times New Roman"/>
          <w:color w:val="auto"/>
          <w:sz w:val="32"/>
          <w:szCs w:val="32"/>
          <w:lang w:val="en-US" w:eastAsia="zh-CN"/>
        </w:rPr>
        <w:t>50%，累计销售额达9300</w:t>
      </w:r>
      <w:r>
        <w:rPr>
          <w:rFonts w:hint="default" w:ascii="Times New Roman" w:hAnsi="Times New Roman" w:eastAsia="仿宋_GB2312" w:cs="Times New Roman"/>
          <w:color w:val="auto"/>
          <w:sz w:val="32"/>
          <w:lang w:val="en-US" w:eastAsia="zh-CN"/>
        </w:rPr>
        <w:t>余万元。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24" w:firstLineChars="200"/>
        <w:jc w:val="both"/>
        <w:textAlignment w:val="auto"/>
        <w:rPr>
          <w:rFonts w:hint="default" w:ascii="Times New Roman" w:hAnsi="Times New Roman" w:eastAsia="楷体_GB2312" w:cs="Times New Roman"/>
          <w:color w:val="auto"/>
          <w:spacing w:val="-4"/>
          <w:kern w:val="2"/>
          <w:sz w:val="32"/>
          <w:szCs w:val="32"/>
          <w:lang w:val="en-US" w:eastAsia="zh-CN" w:bidi="ar-SA"/>
        </w:rPr>
      </w:pPr>
      <w:r>
        <w:rPr>
          <w:rFonts w:hint="eastAsia" w:ascii="Times New Roman" w:hAnsi="Times New Roman" w:eastAsia="楷体_GB2312" w:cs="Times New Roman"/>
          <w:color w:val="auto"/>
          <w:spacing w:val="-4"/>
          <w:kern w:val="2"/>
          <w:sz w:val="32"/>
          <w:szCs w:val="32"/>
          <w:lang w:val="en-US" w:eastAsia="zh-CN" w:bidi="ar-SA"/>
        </w:rPr>
        <w:t>3.</w:t>
      </w:r>
      <w:r>
        <w:rPr>
          <w:rFonts w:hint="default" w:ascii="Times New Roman" w:hAnsi="Times New Roman" w:eastAsia="楷体_GB2312" w:cs="Times New Roman"/>
          <w:color w:val="auto"/>
          <w:spacing w:val="-4"/>
          <w:kern w:val="2"/>
          <w:sz w:val="32"/>
          <w:szCs w:val="32"/>
          <w:lang w:val="en-US" w:eastAsia="zh-CN" w:bidi="ar-SA"/>
        </w:rPr>
        <w:t>夯实产业发展基础。</w:t>
      </w:r>
      <w:r>
        <w:rPr>
          <w:rFonts w:hint="default" w:ascii="Times New Roman" w:hAnsi="Times New Roman" w:eastAsia="仿宋_GB2312" w:cs="Times New Roman"/>
          <w:color w:val="auto"/>
          <w:kern w:val="2"/>
          <w:sz w:val="32"/>
          <w:szCs w:val="32"/>
          <w:lang w:val="en-US" w:eastAsia="zh-CN" w:bidi="ar-SA"/>
        </w:rPr>
        <w:t>攀枝花国际铁路港承载转运中心项目</w:t>
      </w:r>
      <w:r>
        <w:rPr>
          <w:rFonts w:hint="default" w:ascii="Times New Roman" w:hAnsi="Times New Roman" w:eastAsia="仿宋_GB2312" w:cs="Times New Roman"/>
          <w:color w:val="auto"/>
          <w:spacing w:val="0"/>
          <w:kern w:val="2"/>
          <w:sz w:val="32"/>
          <w:szCs w:val="32"/>
          <w:lang w:val="en-US" w:eastAsia="zh-CN" w:bidi="ar-SA"/>
        </w:rPr>
        <w:t>成功争取到2024年共建“一带一路”基础设施和产业投资合作中央预算内投资专项（中欧班列方向）补助资金1亿元，项目二期顺利开工建设</w:t>
      </w:r>
      <w:r>
        <w:rPr>
          <w:rFonts w:hint="default" w:ascii="Times New Roman" w:hAnsi="Times New Roman" w:eastAsia="仿宋_GB2312" w:cs="Times New Roman"/>
          <w:color w:val="auto"/>
          <w:kern w:val="2"/>
          <w:sz w:val="32"/>
          <w:szCs w:val="32"/>
          <w:lang w:val="en-US" w:eastAsia="zh-CN" w:bidi="ar-SA"/>
        </w:rPr>
        <w:t>。成功引进医药贸易仓储物流项目落地，弥补了辖区医药批发贸易行业空白</w:t>
      </w:r>
      <w:r>
        <w:rPr>
          <w:rFonts w:hint="default" w:ascii="Times New Roman" w:hAnsi="Times New Roman" w:eastAsia="仿宋_GB2312" w:cs="Times New Roman"/>
          <w:color w:val="auto"/>
          <w:spacing w:val="0"/>
          <w:kern w:val="2"/>
          <w:sz w:val="32"/>
          <w:szCs w:val="32"/>
          <w:lang w:val="en-US" w:eastAsia="zh-CN" w:bidi="ar-SA"/>
        </w:rPr>
        <w:t>。全市率先引进企业与辖区国有平台公司深度合作供应链金融，引入再生资源回收企业建设公物仓将报废电子产品统一回收、分解、利用。</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4.</w:t>
      </w:r>
      <w:r>
        <w:rPr>
          <w:rFonts w:hint="default" w:ascii="Times New Roman" w:hAnsi="Times New Roman" w:eastAsia="楷体_GB2312" w:cs="Times New Roman"/>
          <w:color w:val="auto"/>
          <w:spacing w:val="-4"/>
          <w:sz w:val="32"/>
          <w:szCs w:val="32"/>
          <w:lang w:val="en-US" w:eastAsia="zh-CN"/>
        </w:rPr>
        <w:t>厚植外向经济基底。</w:t>
      </w:r>
      <w:r>
        <w:rPr>
          <w:rFonts w:hint="default" w:ascii="Times New Roman" w:hAnsi="Times New Roman" w:eastAsia="仿宋_GB2312" w:cs="Times New Roman"/>
          <w:color w:val="auto"/>
          <w:sz w:val="32"/>
          <w:szCs w:val="32"/>
          <w:lang w:val="en-US" w:eastAsia="zh-CN"/>
        </w:rPr>
        <w:t xml:space="preserve">坚持“平台＋通道＋产业”发展思路，引导辖区物流企业抢抓中老班列（攀枝花）进口班列常态化运行契机，深化拓展国际市场，天坤物流通过直采直供的方式从东南亚进口铁矿石3262吨，完成进口额377万元。  </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_GBK" w:cs="Times New Roman"/>
          <w:spacing w:val="-4"/>
          <w:sz w:val="33"/>
          <w:szCs w:val="33"/>
        </w:rPr>
      </w:pPr>
      <w:r>
        <w:rPr>
          <w:rFonts w:hint="eastAsia" w:ascii="Times New Roman" w:hAnsi="Times New Roman" w:eastAsia="楷体_GB2312" w:cs="Times New Roman"/>
          <w:color w:val="auto"/>
          <w:spacing w:val="-4"/>
          <w:sz w:val="32"/>
          <w:szCs w:val="32"/>
          <w:lang w:val="en-US" w:eastAsia="zh-CN"/>
        </w:rPr>
        <w:t>5.</w:t>
      </w:r>
      <w:r>
        <w:rPr>
          <w:rFonts w:hint="default" w:ascii="Times New Roman" w:hAnsi="Times New Roman" w:eastAsia="楷体_GB2312" w:cs="Times New Roman"/>
          <w:color w:val="auto"/>
          <w:spacing w:val="-4"/>
          <w:sz w:val="32"/>
          <w:szCs w:val="32"/>
          <w:lang w:val="en-US" w:eastAsia="zh-CN"/>
        </w:rPr>
        <w:t>提升服务安全水平。</w:t>
      </w:r>
      <w:r>
        <w:rPr>
          <w:rFonts w:hint="default" w:ascii="Times New Roman" w:hAnsi="Times New Roman" w:eastAsia="仿宋_GB2312" w:cs="Times New Roman"/>
          <w:color w:val="auto"/>
          <w:sz w:val="32"/>
          <w:szCs w:val="32"/>
          <w:lang w:val="en-US" w:eastAsia="zh-CN"/>
        </w:rPr>
        <w:t>举办西区服务业2024年安全生产、文明礼仪培训会，辖区内餐饮和住宿协会会员单位、大型超市、再生资源行业、仓储物流行业的41家单位企业主要负责人参加培训，进一步提升了西区商务行业服务安全管理水平。</w:t>
      </w:r>
    </w:p>
    <w:p>
      <w:pPr>
        <w:pStyle w:val="9"/>
        <w:spacing w:before="93"/>
        <w:rPr>
          <w:rFonts w:hint="default" w:ascii="Times New Roman" w:hAnsi="Times New Roman" w:eastAsia="方正楷体_GBK" w:cs="Times New Roman"/>
          <w:b/>
        </w:rPr>
      </w:pPr>
      <w:r>
        <w:rPr>
          <w:rFonts w:hint="default" w:ascii="Times New Roman" w:hAnsi="Times New Roman" w:eastAsia="方正楷体_GBK" w:cs="Times New Roman"/>
          <w:b/>
        </w:rPr>
        <w:t xml:space="preserve">    （四）</w:t>
      </w:r>
      <w:r>
        <w:rPr>
          <w:rFonts w:hint="eastAsia" w:ascii="Times New Roman" w:eastAsia="方正楷体_GBK" w:cs="Times New Roman"/>
          <w:b/>
          <w:lang w:eastAsia="zh-CN"/>
        </w:rPr>
        <w:t>单位</w:t>
      </w:r>
      <w:r>
        <w:rPr>
          <w:rFonts w:hint="default" w:ascii="Times New Roman" w:hAnsi="Times New Roman" w:eastAsia="方正楷体_GBK" w:cs="Times New Roman"/>
          <w:b/>
        </w:rPr>
        <w:t>整体支出绩效目标</w:t>
      </w:r>
    </w:p>
    <w:p>
      <w:pPr>
        <w:pStyle w:val="9"/>
        <w:spacing w:before="93"/>
        <w:ind w:firstLine="600"/>
        <w:rPr>
          <w:rFonts w:hint="default" w:ascii="Times New Roman" w:hAnsi="Times New Roman" w:eastAsia="方正仿宋_GBK" w:cs="Times New Roman"/>
          <w:spacing w:val="-4"/>
          <w:sz w:val="33"/>
          <w:szCs w:val="33"/>
        </w:rPr>
      </w:pPr>
      <w:r>
        <w:rPr>
          <w:rFonts w:hint="default" w:ascii="Times New Roman" w:hAnsi="Times New Roman" w:eastAsia="仿宋_GB2312" w:cs="Times New Roman"/>
          <w:spacing w:val="-4"/>
          <w:sz w:val="32"/>
          <w:szCs w:val="32"/>
          <w:lang w:val="en-US" w:eastAsia="zh-CN"/>
        </w:rPr>
        <w:t>2024</w:t>
      </w:r>
      <w:r>
        <w:rPr>
          <w:rFonts w:hint="default" w:ascii="Times New Roman" w:hAnsi="Times New Roman" w:eastAsia="仿宋_GB2312" w:cs="Times New Roman"/>
          <w:spacing w:val="-4"/>
          <w:sz w:val="32"/>
          <w:szCs w:val="32"/>
        </w:rPr>
        <w:t>年以来，区商务局紧紧围绕</w:t>
      </w:r>
      <w:r>
        <w:rPr>
          <w:rFonts w:hint="default" w:ascii="Times New Roman" w:hAnsi="Times New Roman" w:eastAsia="仿宋_GB2312" w:cs="Times New Roman"/>
          <w:spacing w:val="-4"/>
          <w:sz w:val="32"/>
          <w:szCs w:val="32"/>
          <w:lang w:val="en-US" w:eastAsia="zh-CN"/>
        </w:rPr>
        <w:t>省、市“消费促进年”和市、区“大抓落实年”部署要求，锚定高质量发展首要任务，全力以赴抓指标运行、促消费、市场主体培育挖潜、服务业重点项目建设等工作，为全区经济社会稳定发展作出积极贡献</w:t>
      </w:r>
      <w:r>
        <w:rPr>
          <w:rFonts w:hint="default" w:ascii="Times New Roman" w:hAnsi="Times New Roman" w:eastAsia="仿宋_GB2312" w:cs="Times New Roman"/>
          <w:spacing w:val="-4"/>
          <w:sz w:val="32"/>
          <w:szCs w:val="32"/>
        </w:rPr>
        <w:t>。</w:t>
      </w:r>
      <w:r>
        <w:rPr>
          <w:rFonts w:hint="default" w:ascii="Times New Roman" w:hAnsi="Times New Roman" w:eastAsia="方正仿宋_GBK" w:cs="Times New Roman"/>
          <w:spacing w:val="-4"/>
          <w:sz w:val="33"/>
          <w:szCs w:val="33"/>
        </w:rPr>
        <w:t xml:space="preserve">    </w:t>
      </w:r>
    </w:p>
    <w:p>
      <w:pPr>
        <w:pStyle w:val="9"/>
        <w:spacing w:before="93"/>
        <w:ind w:firstLine="6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二、</w:t>
      </w:r>
      <w:r>
        <w:rPr>
          <w:rFonts w:hint="eastAsia" w:ascii="Times New Roman" w:eastAsia="黑体" w:cs="Times New Roman"/>
          <w:sz w:val="32"/>
          <w:szCs w:val="32"/>
          <w:shd w:val="clear" w:color="auto" w:fill="FFFFFF"/>
          <w:lang w:eastAsia="zh-CN"/>
        </w:rPr>
        <w:t>单位</w:t>
      </w:r>
      <w:r>
        <w:rPr>
          <w:rFonts w:hint="default" w:ascii="Times New Roman" w:hAnsi="Times New Roman" w:eastAsia="黑体" w:cs="Times New Roman"/>
          <w:sz w:val="32"/>
          <w:szCs w:val="32"/>
          <w:shd w:val="clear" w:color="auto" w:fill="FFFFFF"/>
        </w:rPr>
        <w:t>资金收支情况</w:t>
      </w:r>
    </w:p>
    <w:p>
      <w:pPr>
        <w:widowControl/>
        <w:adjustRightInd w:val="0"/>
        <w:snapToGrid w:val="0"/>
        <w:spacing w:line="572" w:lineRule="exact"/>
        <w:ind w:firstLine="640" w:firstLineChars="200"/>
        <w:contextualSpacing/>
        <w:jc w:val="left"/>
        <w:rPr>
          <w:rFonts w:hint="default" w:ascii="Times New Roman" w:hAnsi="Times New Roman" w:eastAsia="方正楷体_GBK" w:cs="Times New Roman"/>
          <w:kern w:val="0"/>
          <w:sz w:val="32"/>
          <w:szCs w:val="32"/>
          <w:shd w:val="clear" w:color="auto" w:fill="FFFFFF"/>
          <w:lang w:val="zh-CN"/>
        </w:rPr>
      </w:pPr>
      <w:r>
        <w:rPr>
          <w:rFonts w:hint="default" w:ascii="Times New Roman" w:hAnsi="Times New Roman" w:eastAsia="方正楷体_GBK" w:cs="Times New Roman"/>
          <w:kern w:val="0"/>
          <w:sz w:val="32"/>
          <w:szCs w:val="32"/>
          <w:shd w:val="clear" w:color="auto" w:fill="FFFFFF"/>
          <w:lang w:val="zh-CN"/>
        </w:rPr>
        <w:t>（一）</w:t>
      </w:r>
      <w:r>
        <w:rPr>
          <w:rFonts w:hint="eastAsia" w:eastAsia="方正楷体_GBK" w:cs="Times New Roman"/>
          <w:kern w:val="0"/>
          <w:sz w:val="32"/>
          <w:szCs w:val="32"/>
          <w:shd w:val="clear" w:color="auto" w:fill="FFFFFF"/>
          <w:lang w:val="zh-CN"/>
        </w:rPr>
        <w:t>单位</w:t>
      </w:r>
      <w:r>
        <w:rPr>
          <w:rFonts w:hint="default" w:ascii="Times New Roman" w:hAnsi="Times New Roman" w:eastAsia="方正楷体_GBK" w:cs="Times New Roman"/>
          <w:kern w:val="0"/>
          <w:sz w:val="32"/>
          <w:szCs w:val="32"/>
          <w:shd w:val="clear" w:color="auto" w:fill="FFFFFF"/>
          <w:lang w:val="zh-CN"/>
        </w:rPr>
        <w:t>总体收入情况。</w:t>
      </w:r>
    </w:p>
    <w:p>
      <w:pPr>
        <w:pStyle w:val="9"/>
        <w:spacing w:before="93"/>
        <w:rPr>
          <w:rFonts w:hint="default" w:ascii="Times New Roman" w:hAnsi="Times New Roman" w:cs="Times New Roman"/>
          <w:sz w:val="32"/>
          <w:szCs w:val="32"/>
        </w:rPr>
      </w:pPr>
      <w:r>
        <w:rPr>
          <w:rFonts w:hint="default" w:ascii="Times New Roman" w:hAnsi="Times New Roman" w:cs="Times New Roman"/>
          <w:sz w:val="32"/>
          <w:szCs w:val="32"/>
        </w:rPr>
        <w:t xml:space="preserve">    1.</w:t>
      </w:r>
      <w:r>
        <w:rPr>
          <w:rFonts w:hint="eastAsia" w:ascii="Times New Roman" w:cs="Times New Roman"/>
          <w:sz w:val="32"/>
          <w:szCs w:val="32"/>
          <w:lang w:eastAsia="zh-CN"/>
        </w:rPr>
        <w:t>单位</w:t>
      </w:r>
      <w:r>
        <w:rPr>
          <w:rFonts w:hint="default" w:ascii="Times New Roman" w:hAnsi="Times New Roman" w:cs="Times New Roman"/>
          <w:sz w:val="32"/>
          <w:szCs w:val="32"/>
        </w:rPr>
        <w:t xml:space="preserve">总体收入情况     </w:t>
      </w:r>
    </w:p>
    <w:p>
      <w:pPr>
        <w:pStyle w:val="9"/>
        <w:spacing w:before="93"/>
        <w:rPr>
          <w:rFonts w:hint="default" w:ascii="Times New Roman" w:hAnsi="Times New Roman" w:cs="Times New Roman"/>
          <w:sz w:val="32"/>
          <w:szCs w:val="32"/>
          <w:lang w:val="zh-CN"/>
        </w:rPr>
      </w:pPr>
      <w:r>
        <w:rPr>
          <w:rFonts w:hint="default" w:ascii="Times New Roman" w:hAnsi="Times New Roman" w:cs="Times New Roman"/>
          <w:sz w:val="32"/>
          <w:szCs w:val="32"/>
        </w:rPr>
        <w:t xml:space="preserve">    </w:t>
      </w:r>
      <w:r>
        <w:rPr>
          <w:rFonts w:hint="eastAsia" w:ascii="Times New Roman" w:cs="Times New Roman"/>
          <w:sz w:val="32"/>
          <w:szCs w:val="32"/>
          <w:lang w:eastAsia="zh-CN"/>
        </w:rPr>
        <w:t>2024</w:t>
      </w:r>
      <w:r>
        <w:rPr>
          <w:rFonts w:hint="default" w:ascii="Times New Roman" w:hAnsi="Times New Roman" w:cs="Times New Roman"/>
          <w:sz w:val="32"/>
          <w:szCs w:val="32"/>
        </w:rPr>
        <w:t>年</w:t>
      </w:r>
      <w:r>
        <w:rPr>
          <w:rFonts w:hint="eastAsia" w:ascii="Times New Roman" w:cs="Times New Roman"/>
          <w:sz w:val="32"/>
          <w:szCs w:val="32"/>
          <w:lang w:eastAsia="zh-CN"/>
        </w:rPr>
        <w:t>单位</w:t>
      </w:r>
      <w:r>
        <w:rPr>
          <w:rFonts w:hint="default" w:ascii="Times New Roman" w:hAnsi="Times New Roman" w:cs="Times New Roman"/>
          <w:sz w:val="32"/>
          <w:szCs w:val="32"/>
        </w:rPr>
        <w:t>总体收入</w:t>
      </w:r>
      <w:r>
        <w:rPr>
          <w:rFonts w:hint="eastAsia" w:ascii="Times New Roman" w:cs="Times New Roman"/>
          <w:sz w:val="32"/>
          <w:szCs w:val="32"/>
          <w:lang w:val="en-US" w:eastAsia="zh-CN"/>
        </w:rPr>
        <w:t>3204.02</w:t>
      </w:r>
      <w:r>
        <w:rPr>
          <w:rFonts w:hint="default" w:ascii="Times New Roman" w:hAnsi="Times New Roman" w:cs="Times New Roman"/>
          <w:sz w:val="32"/>
          <w:szCs w:val="32"/>
        </w:rPr>
        <w:t>万元。</w:t>
      </w:r>
    </w:p>
    <w:p>
      <w:pPr>
        <w:widowControl/>
        <w:adjustRightInd w:val="0"/>
        <w:snapToGrid w:val="0"/>
        <w:spacing w:line="572"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kern w:val="0"/>
          <w:sz w:val="32"/>
          <w:szCs w:val="32"/>
          <w:shd w:val="clear" w:color="auto" w:fill="FFFFFF"/>
          <w:lang w:val="zh-CN"/>
        </w:rPr>
        <w:t>2.</w:t>
      </w:r>
      <w:r>
        <w:rPr>
          <w:rFonts w:hint="eastAsia" w:eastAsia="仿宋_GB2312" w:cs="Times New Roman"/>
          <w:kern w:val="0"/>
          <w:sz w:val="32"/>
          <w:szCs w:val="32"/>
          <w:shd w:val="clear" w:color="auto" w:fill="FFFFFF"/>
          <w:lang w:val="zh-CN"/>
        </w:rPr>
        <w:t>单位</w:t>
      </w:r>
      <w:r>
        <w:rPr>
          <w:rFonts w:hint="default" w:ascii="Times New Roman" w:hAnsi="Times New Roman" w:eastAsia="仿宋_GB2312" w:cs="Times New Roman"/>
          <w:kern w:val="0"/>
          <w:sz w:val="32"/>
          <w:szCs w:val="32"/>
          <w:shd w:val="clear" w:color="auto" w:fill="FFFFFF"/>
          <w:lang w:val="zh-CN"/>
        </w:rPr>
        <w:t>财政资金支出情况</w:t>
      </w:r>
    </w:p>
    <w:p>
      <w:pPr>
        <w:pStyle w:val="9"/>
        <w:spacing w:before="93"/>
        <w:ind w:firstLine="640" w:firstLineChars="200"/>
        <w:rPr>
          <w:rFonts w:hint="default" w:ascii="Times New Roman" w:hAnsi="Times New Roman" w:cs="Times New Roman"/>
          <w:sz w:val="32"/>
          <w:szCs w:val="32"/>
        </w:rPr>
      </w:pPr>
      <w:r>
        <w:rPr>
          <w:rFonts w:hint="eastAsia" w:ascii="Times New Roman" w:cs="Times New Roman"/>
          <w:sz w:val="32"/>
          <w:szCs w:val="32"/>
          <w:lang w:eastAsia="zh-CN"/>
        </w:rPr>
        <w:t>2024</w:t>
      </w:r>
      <w:r>
        <w:rPr>
          <w:rFonts w:hint="default" w:ascii="Times New Roman" w:hAnsi="Times New Roman" w:cs="Times New Roman"/>
          <w:sz w:val="32"/>
          <w:szCs w:val="32"/>
        </w:rPr>
        <w:t>年</w:t>
      </w:r>
      <w:r>
        <w:rPr>
          <w:rFonts w:hint="eastAsia" w:ascii="Times New Roman" w:cs="Times New Roman"/>
          <w:sz w:val="32"/>
          <w:szCs w:val="32"/>
          <w:lang w:eastAsia="zh-CN"/>
        </w:rPr>
        <w:t>单位</w:t>
      </w:r>
      <w:r>
        <w:rPr>
          <w:rFonts w:hint="default" w:ascii="Times New Roman" w:hAnsi="Times New Roman" w:cs="Times New Roman"/>
          <w:sz w:val="32"/>
          <w:szCs w:val="32"/>
        </w:rPr>
        <w:t>总体</w:t>
      </w:r>
      <w:r>
        <w:rPr>
          <w:rFonts w:hint="default" w:ascii="Times New Roman" w:hAnsi="Times New Roman" w:cs="Times New Roman"/>
          <w:sz w:val="32"/>
          <w:szCs w:val="32"/>
          <w:shd w:val="clear" w:color="auto" w:fill="FFFFFF"/>
          <w:lang w:val="zh-CN"/>
        </w:rPr>
        <w:t>支出</w:t>
      </w:r>
      <w:r>
        <w:rPr>
          <w:rFonts w:hint="eastAsia" w:ascii="Times New Roman" w:cs="Times New Roman"/>
          <w:sz w:val="32"/>
          <w:szCs w:val="32"/>
          <w:shd w:val="clear" w:color="auto" w:fill="FFFFFF"/>
          <w:lang w:val="en-US" w:eastAsia="zh-CN"/>
        </w:rPr>
        <w:t>3217.84</w:t>
      </w:r>
      <w:r>
        <w:rPr>
          <w:rFonts w:hint="default" w:ascii="Times New Roman" w:hAnsi="Times New Roman" w:cs="Times New Roman"/>
          <w:sz w:val="32"/>
          <w:szCs w:val="32"/>
        </w:rPr>
        <w:t>万元。</w:t>
      </w:r>
    </w:p>
    <w:p>
      <w:pPr>
        <w:pStyle w:val="9"/>
        <w:spacing w:before="93"/>
        <w:ind w:firstLine="640" w:firstLineChars="200"/>
        <w:rPr>
          <w:rFonts w:hint="default" w:ascii="Times New Roman" w:hAnsi="Times New Roman" w:cs="Times New Roman"/>
          <w:sz w:val="32"/>
          <w:szCs w:val="32"/>
          <w:shd w:val="clear" w:color="auto" w:fill="FFFFFF"/>
          <w:lang w:val="zh-CN"/>
        </w:rPr>
      </w:pPr>
      <w:r>
        <w:rPr>
          <w:rFonts w:hint="default" w:ascii="Times New Roman" w:hAnsi="Times New Roman" w:cs="Times New Roman"/>
          <w:sz w:val="32"/>
          <w:szCs w:val="32"/>
          <w:lang w:val="zh-CN"/>
        </w:rPr>
        <w:t>3.</w:t>
      </w:r>
      <w:r>
        <w:rPr>
          <w:rFonts w:hint="default" w:ascii="Times New Roman" w:hAnsi="Times New Roman" w:cs="Times New Roman"/>
          <w:sz w:val="32"/>
          <w:szCs w:val="32"/>
          <w:shd w:val="clear" w:color="auto" w:fill="FFFFFF"/>
          <w:lang w:val="zh-CN"/>
        </w:rPr>
        <w:t xml:space="preserve"> </w:t>
      </w:r>
      <w:r>
        <w:rPr>
          <w:rFonts w:hint="eastAsia" w:ascii="Times New Roman" w:cs="Times New Roman"/>
          <w:sz w:val="32"/>
          <w:szCs w:val="32"/>
          <w:shd w:val="clear" w:color="auto" w:fill="FFFFFF"/>
          <w:lang w:val="zh-CN"/>
        </w:rPr>
        <w:t>单位</w:t>
      </w:r>
      <w:r>
        <w:rPr>
          <w:rFonts w:hint="default" w:ascii="Times New Roman" w:hAnsi="Times New Roman" w:cs="Times New Roman"/>
          <w:sz w:val="32"/>
          <w:szCs w:val="32"/>
          <w:shd w:val="clear" w:color="auto" w:fill="FFFFFF"/>
          <w:lang w:val="zh-CN"/>
        </w:rPr>
        <w:t>总体结转结余情况</w:t>
      </w:r>
    </w:p>
    <w:p>
      <w:pPr>
        <w:pStyle w:val="9"/>
        <w:spacing w:before="93"/>
        <w:ind w:firstLine="640" w:firstLineChars="200"/>
        <w:rPr>
          <w:rFonts w:hint="default" w:ascii="Times New Roman" w:hAnsi="Times New Roman" w:cs="Times New Roman"/>
          <w:sz w:val="32"/>
          <w:szCs w:val="32"/>
          <w:shd w:val="clear" w:color="auto" w:fill="FFFFFF"/>
          <w:lang w:val="zh-CN"/>
        </w:rPr>
      </w:pPr>
      <w:r>
        <w:rPr>
          <w:rFonts w:hint="eastAsia" w:ascii="Times New Roman" w:cs="Times New Roman"/>
          <w:sz w:val="32"/>
          <w:szCs w:val="32"/>
          <w:lang w:eastAsia="zh-CN"/>
        </w:rPr>
        <w:t>2024</w:t>
      </w:r>
      <w:r>
        <w:rPr>
          <w:rFonts w:hint="default" w:ascii="Times New Roman" w:hAnsi="Times New Roman" w:cs="Times New Roman"/>
          <w:sz w:val="32"/>
          <w:szCs w:val="32"/>
        </w:rPr>
        <w:t>年</w:t>
      </w:r>
      <w:r>
        <w:rPr>
          <w:rFonts w:hint="eastAsia" w:ascii="Times New Roman" w:cs="Times New Roman"/>
          <w:sz w:val="32"/>
          <w:szCs w:val="32"/>
          <w:lang w:eastAsia="zh-CN"/>
        </w:rPr>
        <w:t>单位</w:t>
      </w:r>
      <w:r>
        <w:rPr>
          <w:rFonts w:hint="default" w:ascii="Times New Roman" w:hAnsi="Times New Roman" w:cs="Times New Roman"/>
          <w:sz w:val="32"/>
          <w:szCs w:val="32"/>
        </w:rPr>
        <w:t>总体无</w:t>
      </w:r>
      <w:r>
        <w:rPr>
          <w:rFonts w:hint="default" w:ascii="Times New Roman" w:hAnsi="Times New Roman" w:cs="Times New Roman"/>
          <w:sz w:val="32"/>
          <w:szCs w:val="32"/>
          <w:shd w:val="clear" w:color="auto" w:fill="FFFFFF"/>
          <w:lang w:val="zh-CN"/>
        </w:rPr>
        <w:t>结转结余。</w:t>
      </w:r>
    </w:p>
    <w:p>
      <w:pPr>
        <w:widowControl/>
        <w:adjustRightInd w:val="0"/>
        <w:snapToGrid w:val="0"/>
        <w:spacing w:line="572" w:lineRule="exact"/>
        <w:ind w:firstLine="640" w:firstLineChars="200"/>
        <w:contextualSpacing/>
        <w:jc w:val="left"/>
        <w:rPr>
          <w:rFonts w:hint="default" w:ascii="Times New Roman" w:hAnsi="Times New Roman" w:eastAsia="方正楷体_GBK" w:cs="Times New Roman"/>
          <w:kern w:val="0"/>
          <w:sz w:val="32"/>
          <w:szCs w:val="32"/>
          <w:shd w:val="clear" w:color="auto" w:fill="FFFFFF"/>
          <w:lang w:val="zh-CN"/>
        </w:rPr>
      </w:pPr>
      <w:r>
        <w:rPr>
          <w:rFonts w:hint="default" w:ascii="Times New Roman" w:hAnsi="Times New Roman" w:eastAsia="方正楷体_GBK" w:cs="Times New Roman"/>
          <w:kern w:val="0"/>
          <w:sz w:val="32"/>
          <w:szCs w:val="32"/>
          <w:shd w:val="clear" w:color="auto" w:fill="FFFFFF"/>
          <w:lang w:val="zh-CN"/>
        </w:rPr>
        <w:t>（二）</w:t>
      </w:r>
      <w:r>
        <w:rPr>
          <w:rFonts w:hint="eastAsia" w:eastAsia="方正楷体_GBK" w:cs="Times New Roman"/>
          <w:kern w:val="0"/>
          <w:sz w:val="32"/>
          <w:szCs w:val="32"/>
          <w:shd w:val="clear" w:color="auto" w:fill="FFFFFF"/>
          <w:lang w:val="zh-CN"/>
        </w:rPr>
        <w:t>单位</w:t>
      </w:r>
      <w:r>
        <w:rPr>
          <w:rFonts w:hint="default" w:ascii="Times New Roman" w:hAnsi="Times New Roman" w:eastAsia="方正楷体_GBK" w:cs="Times New Roman"/>
          <w:kern w:val="0"/>
          <w:sz w:val="32"/>
          <w:szCs w:val="32"/>
          <w:shd w:val="clear" w:color="auto" w:fill="FFFFFF"/>
          <w:lang w:val="zh-CN"/>
        </w:rPr>
        <w:t>财政拨款收支情况。</w:t>
      </w:r>
    </w:p>
    <w:p>
      <w:pPr>
        <w:pStyle w:val="9"/>
        <w:spacing w:before="93"/>
        <w:rPr>
          <w:rFonts w:hint="default" w:ascii="Times New Roman" w:hAnsi="Times New Roman" w:cs="Times New Roman"/>
          <w:lang w:val="zh-CN"/>
        </w:rPr>
      </w:pPr>
      <w:r>
        <w:rPr>
          <w:rFonts w:hint="default" w:ascii="Times New Roman" w:hAnsi="Times New Roman" w:cs="Times New Roman"/>
          <w:lang w:val="zh-CN"/>
        </w:rPr>
        <w:t xml:space="preserve">    1.</w:t>
      </w:r>
      <w:r>
        <w:rPr>
          <w:rFonts w:hint="eastAsia" w:ascii="Times New Roman" w:cs="Times New Roman"/>
          <w:lang w:val="zh-CN"/>
        </w:rPr>
        <w:t>单位</w:t>
      </w:r>
      <w:r>
        <w:rPr>
          <w:rFonts w:hint="default" w:ascii="Times New Roman" w:hAnsi="Times New Roman" w:cs="Times New Roman"/>
          <w:lang w:val="zh-CN"/>
        </w:rPr>
        <w:t>财政拨款收入情况</w:t>
      </w:r>
    </w:p>
    <w:p>
      <w:pPr>
        <w:pStyle w:val="9"/>
        <w:spacing w:before="93"/>
        <w:rPr>
          <w:rFonts w:hint="default" w:ascii="Times New Roman" w:hAnsi="Times New Roman" w:cs="Times New Roman"/>
          <w:sz w:val="32"/>
          <w:szCs w:val="32"/>
        </w:rPr>
      </w:pPr>
      <w:r>
        <w:rPr>
          <w:rFonts w:hint="default" w:ascii="Times New Roman" w:hAnsi="Times New Roman" w:cs="Times New Roman"/>
          <w:lang w:val="zh-CN"/>
        </w:rPr>
        <w:t xml:space="preserve">    </w:t>
      </w:r>
      <w:r>
        <w:rPr>
          <w:rFonts w:hint="eastAsia" w:ascii="Times New Roman" w:cs="Times New Roman"/>
          <w:sz w:val="32"/>
          <w:szCs w:val="32"/>
          <w:lang w:eastAsia="zh-CN"/>
        </w:rPr>
        <w:t>2024</w:t>
      </w:r>
      <w:r>
        <w:rPr>
          <w:rFonts w:hint="default" w:ascii="Times New Roman" w:hAnsi="Times New Roman" w:cs="Times New Roman"/>
          <w:sz w:val="32"/>
          <w:szCs w:val="32"/>
        </w:rPr>
        <w:t>年</w:t>
      </w:r>
      <w:r>
        <w:rPr>
          <w:rFonts w:hint="eastAsia" w:ascii="Times New Roman" w:cs="Times New Roman"/>
          <w:sz w:val="32"/>
          <w:szCs w:val="32"/>
          <w:lang w:eastAsia="zh-CN"/>
        </w:rPr>
        <w:t>单位</w:t>
      </w:r>
      <w:r>
        <w:rPr>
          <w:rFonts w:hint="default" w:ascii="Times New Roman" w:hAnsi="Times New Roman" w:cs="Times New Roman"/>
          <w:lang w:val="zh-CN"/>
        </w:rPr>
        <w:t>财政拨款</w:t>
      </w:r>
      <w:r>
        <w:rPr>
          <w:rFonts w:hint="default" w:ascii="Times New Roman" w:hAnsi="Times New Roman" w:cs="Times New Roman"/>
          <w:sz w:val="32"/>
          <w:szCs w:val="32"/>
        </w:rPr>
        <w:t>收入</w:t>
      </w:r>
      <w:r>
        <w:rPr>
          <w:rFonts w:hint="eastAsia" w:ascii="Times New Roman" w:cs="Times New Roman"/>
          <w:sz w:val="32"/>
          <w:szCs w:val="32"/>
          <w:lang w:val="en-US" w:eastAsia="zh-CN"/>
        </w:rPr>
        <w:t>3204.02</w:t>
      </w:r>
      <w:r>
        <w:rPr>
          <w:rFonts w:hint="default" w:ascii="Times New Roman" w:hAnsi="Times New Roman" w:cs="Times New Roman"/>
          <w:sz w:val="32"/>
          <w:szCs w:val="32"/>
        </w:rPr>
        <w:t>万元。</w:t>
      </w:r>
    </w:p>
    <w:p>
      <w:pPr>
        <w:widowControl/>
        <w:adjustRightInd w:val="0"/>
        <w:snapToGrid w:val="0"/>
        <w:spacing w:line="572" w:lineRule="exact"/>
        <w:ind w:firstLine="42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cs="Times New Roman"/>
        </w:rPr>
        <w:t xml:space="preserve">  </w:t>
      </w:r>
      <w:r>
        <w:rPr>
          <w:rFonts w:hint="default" w:ascii="Times New Roman" w:hAnsi="Times New Roman" w:eastAsia="仿宋_GB2312" w:cs="Times New Roman"/>
          <w:kern w:val="0"/>
          <w:sz w:val="32"/>
          <w:szCs w:val="32"/>
          <w:shd w:val="clear" w:color="auto" w:fill="FFFFFF"/>
          <w:lang w:val="zh-CN"/>
        </w:rPr>
        <w:t>2.</w:t>
      </w:r>
      <w:r>
        <w:rPr>
          <w:rFonts w:hint="eastAsia" w:eastAsia="仿宋_GB2312" w:cs="Times New Roman"/>
          <w:kern w:val="0"/>
          <w:sz w:val="32"/>
          <w:szCs w:val="32"/>
          <w:shd w:val="clear" w:color="auto" w:fill="FFFFFF"/>
          <w:lang w:val="zh-CN"/>
        </w:rPr>
        <w:t>单位</w:t>
      </w:r>
      <w:r>
        <w:rPr>
          <w:rFonts w:hint="default" w:ascii="Times New Roman" w:hAnsi="Times New Roman" w:eastAsia="仿宋_GB2312" w:cs="Times New Roman"/>
          <w:sz w:val="32"/>
          <w:szCs w:val="32"/>
          <w:lang w:val="zh-CN"/>
        </w:rPr>
        <w:t>财政拨款</w:t>
      </w:r>
      <w:r>
        <w:rPr>
          <w:rFonts w:hint="default" w:ascii="Times New Roman" w:hAnsi="Times New Roman" w:eastAsia="仿宋_GB2312" w:cs="Times New Roman"/>
          <w:kern w:val="0"/>
          <w:sz w:val="32"/>
          <w:szCs w:val="32"/>
          <w:shd w:val="clear" w:color="auto" w:fill="FFFFFF"/>
          <w:lang w:val="zh-CN"/>
        </w:rPr>
        <w:t>支出情况</w:t>
      </w:r>
    </w:p>
    <w:p>
      <w:pPr>
        <w:pStyle w:val="9"/>
        <w:spacing w:before="93"/>
        <w:ind w:firstLine="640" w:firstLineChars="200"/>
        <w:rPr>
          <w:rFonts w:hint="default" w:ascii="Times New Roman" w:hAnsi="Times New Roman" w:cs="Times New Roman"/>
          <w:sz w:val="32"/>
          <w:szCs w:val="32"/>
        </w:rPr>
      </w:pPr>
      <w:r>
        <w:rPr>
          <w:rFonts w:hint="eastAsia" w:ascii="Times New Roman" w:cs="Times New Roman"/>
          <w:sz w:val="32"/>
          <w:szCs w:val="32"/>
          <w:lang w:eastAsia="zh-CN"/>
        </w:rPr>
        <w:t>2024</w:t>
      </w:r>
      <w:r>
        <w:rPr>
          <w:rFonts w:hint="default" w:ascii="Times New Roman" w:hAnsi="Times New Roman" w:cs="Times New Roman"/>
          <w:sz w:val="32"/>
          <w:szCs w:val="32"/>
        </w:rPr>
        <w:t>年</w:t>
      </w:r>
      <w:r>
        <w:rPr>
          <w:rFonts w:hint="eastAsia" w:ascii="Times New Roman" w:cs="Times New Roman"/>
          <w:sz w:val="32"/>
          <w:szCs w:val="32"/>
          <w:lang w:eastAsia="zh-CN"/>
        </w:rPr>
        <w:t>单位</w:t>
      </w:r>
      <w:r>
        <w:rPr>
          <w:rFonts w:hint="default" w:ascii="Times New Roman" w:hAnsi="Times New Roman" w:cs="Times New Roman"/>
          <w:sz w:val="32"/>
          <w:szCs w:val="32"/>
          <w:lang w:val="zh-CN"/>
        </w:rPr>
        <w:t>财政拨款</w:t>
      </w:r>
      <w:r>
        <w:rPr>
          <w:rFonts w:hint="default" w:ascii="Times New Roman" w:hAnsi="Times New Roman" w:cs="Times New Roman"/>
          <w:sz w:val="32"/>
          <w:szCs w:val="32"/>
          <w:shd w:val="clear" w:color="auto" w:fill="FFFFFF"/>
          <w:lang w:val="zh-CN"/>
        </w:rPr>
        <w:t>支出</w:t>
      </w:r>
      <w:r>
        <w:rPr>
          <w:rFonts w:hint="eastAsia" w:ascii="Times New Roman" w:cs="Times New Roman"/>
          <w:sz w:val="32"/>
          <w:szCs w:val="32"/>
          <w:shd w:val="clear" w:color="auto" w:fill="FFFFFF"/>
          <w:lang w:val="en-US" w:eastAsia="zh-CN"/>
        </w:rPr>
        <w:t>3217.84</w:t>
      </w:r>
      <w:r>
        <w:rPr>
          <w:rFonts w:hint="default" w:ascii="Times New Roman" w:hAnsi="Times New Roman" w:cs="Times New Roman"/>
          <w:sz w:val="32"/>
          <w:szCs w:val="32"/>
        </w:rPr>
        <w:t>万元。</w:t>
      </w:r>
    </w:p>
    <w:p>
      <w:pPr>
        <w:pStyle w:val="9"/>
        <w:spacing w:before="93"/>
        <w:ind w:firstLine="640" w:firstLineChars="200"/>
        <w:rPr>
          <w:rFonts w:hint="default" w:ascii="Times New Roman" w:hAnsi="Times New Roman" w:cs="Times New Roman"/>
          <w:sz w:val="32"/>
          <w:szCs w:val="32"/>
          <w:shd w:val="clear" w:color="auto" w:fill="FFFFFF"/>
          <w:lang w:val="zh-CN"/>
        </w:rPr>
      </w:pPr>
      <w:r>
        <w:rPr>
          <w:rFonts w:hint="default" w:ascii="Times New Roman" w:hAnsi="Times New Roman" w:cs="Times New Roman"/>
          <w:sz w:val="32"/>
          <w:szCs w:val="32"/>
          <w:lang w:val="zh-CN"/>
        </w:rPr>
        <w:t>3.</w:t>
      </w:r>
      <w:r>
        <w:rPr>
          <w:rFonts w:hint="default" w:ascii="Times New Roman" w:hAnsi="Times New Roman" w:cs="Times New Roman"/>
          <w:sz w:val="32"/>
          <w:szCs w:val="32"/>
          <w:shd w:val="clear" w:color="auto" w:fill="FFFFFF"/>
          <w:lang w:val="zh-CN"/>
        </w:rPr>
        <w:t xml:space="preserve"> </w:t>
      </w:r>
      <w:r>
        <w:rPr>
          <w:rFonts w:hint="eastAsia" w:ascii="Times New Roman" w:cs="Times New Roman"/>
          <w:sz w:val="32"/>
          <w:szCs w:val="32"/>
          <w:shd w:val="clear" w:color="auto" w:fill="FFFFFF"/>
          <w:lang w:val="zh-CN"/>
        </w:rPr>
        <w:t>单位</w:t>
      </w:r>
      <w:r>
        <w:rPr>
          <w:rFonts w:hint="default" w:ascii="Times New Roman" w:hAnsi="Times New Roman" w:cs="Times New Roman"/>
          <w:sz w:val="32"/>
          <w:szCs w:val="32"/>
          <w:lang w:val="zh-CN"/>
        </w:rPr>
        <w:t>财政拨款</w:t>
      </w:r>
      <w:r>
        <w:rPr>
          <w:rFonts w:hint="default" w:ascii="Times New Roman" w:hAnsi="Times New Roman" w:cs="Times New Roman"/>
          <w:sz w:val="32"/>
          <w:szCs w:val="32"/>
          <w:shd w:val="clear" w:color="auto" w:fill="FFFFFF"/>
          <w:lang w:val="zh-CN"/>
        </w:rPr>
        <w:t>结转结余情况</w:t>
      </w:r>
    </w:p>
    <w:p>
      <w:pPr>
        <w:pStyle w:val="9"/>
        <w:spacing w:before="93"/>
        <w:ind w:firstLine="640" w:firstLineChars="200"/>
        <w:rPr>
          <w:rFonts w:hint="default" w:ascii="Times New Roman" w:hAnsi="Times New Roman" w:cs="Times New Roman"/>
          <w:sz w:val="32"/>
          <w:szCs w:val="32"/>
          <w:shd w:val="clear" w:color="auto" w:fill="FFFFFF"/>
          <w:lang w:val="zh-CN"/>
        </w:rPr>
      </w:pPr>
      <w:r>
        <w:rPr>
          <w:rFonts w:hint="eastAsia" w:ascii="Times New Roman" w:cs="Times New Roman"/>
          <w:sz w:val="32"/>
          <w:szCs w:val="32"/>
          <w:lang w:eastAsia="zh-CN"/>
        </w:rPr>
        <w:t>2024</w:t>
      </w:r>
      <w:r>
        <w:rPr>
          <w:rFonts w:hint="default" w:ascii="Times New Roman" w:hAnsi="Times New Roman" w:cs="Times New Roman"/>
          <w:sz w:val="32"/>
          <w:szCs w:val="32"/>
        </w:rPr>
        <w:t>年</w:t>
      </w:r>
      <w:r>
        <w:rPr>
          <w:rFonts w:hint="eastAsia" w:ascii="Times New Roman" w:cs="Times New Roman"/>
          <w:sz w:val="32"/>
          <w:szCs w:val="32"/>
          <w:lang w:eastAsia="zh-CN"/>
        </w:rPr>
        <w:t>单位</w:t>
      </w:r>
      <w:r>
        <w:rPr>
          <w:rFonts w:hint="default" w:ascii="Times New Roman" w:hAnsi="Times New Roman" w:cs="Times New Roman"/>
          <w:sz w:val="32"/>
          <w:szCs w:val="32"/>
          <w:lang w:val="zh-CN"/>
        </w:rPr>
        <w:t>财政拨款</w:t>
      </w:r>
      <w:r>
        <w:rPr>
          <w:rFonts w:hint="default" w:ascii="Times New Roman" w:hAnsi="Times New Roman" w:cs="Times New Roman"/>
          <w:sz w:val="32"/>
          <w:szCs w:val="32"/>
        </w:rPr>
        <w:t>无</w:t>
      </w:r>
      <w:r>
        <w:rPr>
          <w:rFonts w:hint="default" w:ascii="Times New Roman" w:hAnsi="Times New Roman" w:cs="Times New Roman"/>
          <w:sz w:val="32"/>
          <w:szCs w:val="32"/>
          <w:shd w:val="clear" w:color="auto" w:fill="FFFFFF"/>
          <w:lang w:val="zh-CN"/>
        </w:rPr>
        <w:t>结转结余。</w:t>
      </w:r>
    </w:p>
    <w:p>
      <w:pPr>
        <w:widowControl/>
        <w:adjustRightInd w:val="0"/>
        <w:snapToGrid w:val="0"/>
        <w:spacing w:line="572"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三、</w:t>
      </w:r>
      <w:r>
        <w:rPr>
          <w:rFonts w:hint="eastAsia" w:eastAsia="黑体" w:cs="Times New Roman"/>
          <w:kern w:val="0"/>
          <w:sz w:val="32"/>
          <w:szCs w:val="32"/>
          <w:shd w:val="clear" w:color="auto" w:fill="FFFFFF"/>
          <w:lang w:eastAsia="zh-CN"/>
        </w:rPr>
        <w:t>单位</w:t>
      </w:r>
      <w:r>
        <w:rPr>
          <w:rFonts w:hint="default" w:ascii="Times New Roman" w:hAnsi="Times New Roman" w:eastAsia="黑体" w:cs="Times New Roman"/>
          <w:kern w:val="0"/>
          <w:sz w:val="32"/>
          <w:szCs w:val="32"/>
          <w:shd w:val="clear" w:color="auto" w:fill="FFFFFF"/>
        </w:rPr>
        <w:t>整体预算绩效分析</w:t>
      </w:r>
    </w:p>
    <w:p>
      <w:pPr>
        <w:widowControl/>
        <w:adjustRightInd w:val="0"/>
        <w:snapToGrid w:val="0"/>
        <w:spacing w:line="572" w:lineRule="exact"/>
        <w:ind w:firstLine="640" w:firstLineChars="200"/>
        <w:contextualSpacing/>
        <w:jc w:val="left"/>
        <w:rPr>
          <w:rFonts w:hint="default" w:ascii="Times New Roman" w:hAnsi="Times New Roman" w:eastAsia="方正楷体_GBK" w:cs="Times New Roman"/>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方正楷体_GBK" w:cs="Times New Roman"/>
          <w:color w:val="000000" w:themeColor="text1"/>
          <w:kern w:val="0"/>
          <w:sz w:val="32"/>
          <w:szCs w:val="32"/>
          <w:shd w:val="clear" w:color="auto" w:fill="FFFFFF"/>
          <w:lang w:val="zh-CN"/>
          <w14:textFill>
            <w14:solidFill>
              <w14:schemeClr w14:val="tx1"/>
            </w14:solidFill>
          </w14:textFill>
        </w:rPr>
        <w:t>（一）</w:t>
      </w:r>
      <w:r>
        <w:rPr>
          <w:rFonts w:hint="eastAsia" w:eastAsia="方正楷体_GBK" w:cs="Times New Roman"/>
          <w:color w:val="000000" w:themeColor="text1"/>
          <w:kern w:val="0"/>
          <w:sz w:val="32"/>
          <w:szCs w:val="32"/>
          <w:shd w:val="clear" w:color="auto" w:fill="FFFFFF"/>
          <w:lang w:val="zh-CN"/>
          <w14:textFill>
            <w14:solidFill>
              <w14:schemeClr w14:val="tx1"/>
            </w14:solidFill>
          </w14:textFill>
        </w:rPr>
        <w:t>单位</w:t>
      </w:r>
      <w:r>
        <w:rPr>
          <w:rFonts w:hint="default" w:ascii="Times New Roman" w:hAnsi="Times New Roman" w:eastAsia="方正楷体_GBK" w:cs="Times New Roman"/>
          <w:color w:val="000000" w:themeColor="text1"/>
          <w:kern w:val="0"/>
          <w:sz w:val="32"/>
          <w:szCs w:val="32"/>
          <w:shd w:val="clear" w:color="auto" w:fill="FFFFFF"/>
          <w:lang w:val="zh-CN"/>
          <w14:textFill>
            <w14:solidFill>
              <w14:schemeClr w14:val="tx1"/>
            </w14:solidFill>
          </w14:textFill>
        </w:rPr>
        <w:t>预算项目绩效分析。</w:t>
      </w:r>
    </w:p>
    <w:p>
      <w:pPr>
        <w:spacing w:line="58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年，西区商务局按照</w:t>
      </w:r>
      <w:r>
        <w:rPr>
          <w:rFonts w:hint="eastAsia" w:eastAsia="仿宋_GB2312" w:cs="Times New Roman"/>
          <w:sz w:val="32"/>
          <w:szCs w:val="32"/>
          <w:lang w:eastAsia="zh-CN"/>
        </w:rPr>
        <w:t>单位</w:t>
      </w:r>
      <w:r>
        <w:rPr>
          <w:rFonts w:hint="default" w:ascii="Times New Roman" w:hAnsi="Times New Roman" w:eastAsia="仿宋_GB2312" w:cs="Times New Roman"/>
          <w:sz w:val="32"/>
          <w:szCs w:val="32"/>
        </w:rPr>
        <w:t>年初目标任务和资金预算，认真组织开展重点服务业及商贸企业升规入库培育、商贸服务业项目推进以及相关会展的筹备等工作。召开各类工作会议，安排布置商贸服务业相关工作，加大对西区的宣传力度。</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年西区商务局各项工作按年度计划全面完成。</w:t>
      </w:r>
    </w:p>
    <w:p>
      <w:pPr>
        <w:widowControl/>
        <w:adjustRightInd w:val="0"/>
        <w:snapToGrid w:val="0"/>
        <w:spacing w:line="56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shd w:val="clear" w:color="auto" w:fill="FFFFFF"/>
        </w:rPr>
        <w:t xml:space="preserve"> 人员类项目绩效分析</w:t>
      </w: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color w:val="333333"/>
          <w:sz w:val="32"/>
          <w:szCs w:val="32"/>
        </w:rPr>
        <w:t>人员经费年初预算</w:t>
      </w:r>
      <w:r>
        <w:rPr>
          <w:rFonts w:hint="eastAsia" w:eastAsia="仿宋_GB2312" w:cs="Times New Roman"/>
          <w:color w:val="333333"/>
          <w:sz w:val="32"/>
          <w:szCs w:val="32"/>
          <w:lang w:val="en-US" w:eastAsia="zh-CN"/>
        </w:rPr>
        <w:t>319.45</w:t>
      </w:r>
      <w:r>
        <w:rPr>
          <w:rFonts w:hint="default" w:ascii="Times New Roman" w:hAnsi="Times New Roman" w:eastAsia="仿宋_GB2312" w:cs="Times New Roman"/>
          <w:color w:val="333333"/>
          <w:sz w:val="32"/>
          <w:szCs w:val="32"/>
        </w:rPr>
        <w:t>万元，年中追</w:t>
      </w:r>
      <w:r>
        <w:rPr>
          <w:rFonts w:hint="eastAsia" w:eastAsia="仿宋_GB2312" w:cs="Times New Roman"/>
          <w:color w:val="333333"/>
          <w:sz w:val="32"/>
          <w:szCs w:val="32"/>
          <w:lang w:eastAsia="zh-CN"/>
        </w:rPr>
        <w:t>减</w:t>
      </w:r>
      <w:r>
        <w:rPr>
          <w:rFonts w:hint="default" w:ascii="Times New Roman" w:hAnsi="Times New Roman" w:eastAsia="仿宋_GB2312" w:cs="Times New Roman"/>
          <w:color w:val="333333"/>
          <w:sz w:val="32"/>
          <w:szCs w:val="32"/>
        </w:rPr>
        <w:t>预算</w:t>
      </w:r>
      <w:r>
        <w:rPr>
          <w:rFonts w:hint="eastAsia" w:eastAsia="仿宋_GB2312" w:cs="Times New Roman"/>
          <w:color w:val="333333"/>
          <w:sz w:val="32"/>
          <w:szCs w:val="32"/>
          <w:lang w:val="en-US" w:eastAsia="zh-CN"/>
        </w:rPr>
        <w:t>21.18</w:t>
      </w:r>
      <w:r>
        <w:rPr>
          <w:rFonts w:hint="default" w:ascii="Times New Roman" w:hAnsi="Times New Roman" w:eastAsia="仿宋_GB2312" w:cs="Times New Roman"/>
          <w:color w:val="333333"/>
          <w:sz w:val="32"/>
          <w:szCs w:val="32"/>
        </w:rPr>
        <w:t>万元，全年支出</w:t>
      </w:r>
      <w:r>
        <w:rPr>
          <w:rFonts w:hint="eastAsia" w:eastAsia="仿宋_GB2312" w:cs="Times New Roman"/>
          <w:color w:val="333333"/>
          <w:sz w:val="32"/>
          <w:szCs w:val="32"/>
          <w:lang w:val="en-US" w:eastAsia="zh-CN"/>
        </w:rPr>
        <w:t>298.27</w:t>
      </w:r>
      <w:r>
        <w:rPr>
          <w:rFonts w:hint="default" w:ascii="Times New Roman" w:hAnsi="Times New Roman" w:eastAsia="仿宋_GB2312" w:cs="Times New Roman"/>
          <w:color w:val="333333"/>
          <w:sz w:val="32"/>
          <w:szCs w:val="32"/>
        </w:rPr>
        <w:t>万元，预算执行率100%，资金无结余，实现全年既定支出目标。</w:t>
      </w:r>
    </w:p>
    <w:p>
      <w:pPr>
        <w:widowControl/>
        <w:adjustRightInd w:val="0"/>
        <w:snapToGrid w:val="0"/>
        <w:spacing w:line="56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2.运转类项目绩效分析</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sz w:val="32"/>
          <w:szCs w:val="32"/>
        </w:rPr>
        <w:t>公用经费年初预算</w:t>
      </w:r>
      <w:r>
        <w:rPr>
          <w:rFonts w:hint="eastAsia" w:eastAsia="仿宋_GB2312" w:cs="Times New Roman"/>
          <w:color w:val="333333"/>
          <w:sz w:val="32"/>
          <w:szCs w:val="32"/>
          <w:lang w:val="en-US" w:eastAsia="zh-CN"/>
        </w:rPr>
        <w:t>24.99</w:t>
      </w:r>
      <w:r>
        <w:rPr>
          <w:rFonts w:hint="default" w:ascii="Times New Roman" w:hAnsi="Times New Roman" w:eastAsia="仿宋_GB2312" w:cs="Times New Roman"/>
          <w:color w:val="333333"/>
          <w:sz w:val="32"/>
          <w:szCs w:val="32"/>
        </w:rPr>
        <w:t>万元，年中追减预算</w:t>
      </w:r>
      <w:r>
        <w:rPr>
          <w:rFonts w:hint="eastAsia" w:eastAsia="仿宋_GB2312" w:cs="Times New Roman"/>
          <w:color w:val="333333"/>
          <w:sz w:val="32"/>
          <w:szCs w:val="32"/>
          <w:lang w:val="en-US" w:eastAsia="zh-CN"/>
        </w:rPr>
        <w:t>6.79</w:t>
      </w:r>
      <w:r>
        <w:rPr>
          <w:rFonts w:hint="default" w:ascii="Times New Roman" w:hAnsi="Times New Roman" w:eastAsia="仿宋_GB2312" w:cs="Times New Roman"/>
          <w:color w:val="333333"/>
          <w:sz w:val="32"/>
          <w:szCs w:val="32"/>
        </w:rPr>
        <w:t>万元，全年支出</w:t>
      </w:r>
      <w:r>
        <w:rPr>
          <w:rFonts w:hint="eastAsia" w:eastAsia="仿宋_GB2312" w:cs="Times New Roman"/>
          <w:color w:val="333333"/>
          <w:sz w:val="32"/>
          <w:szCs w:val="32"/>
          <w:lang w:val="en-US" w:eastAsia="zh-CN"/>
        </w:rPr>
        <w:t>18.20</w:t>
      </w:r>
      <w:r>
        <w:rPr>
          <w:rFonts w:hint="default" w:ascii="Times New Roman" w:hAnsi="Times New Roman" w:eastAsia="仿宋_GB2312" w:cs="Times New Roman"/>
          <w:color w:val="333333"/>
          <w:sz w:val="32"/>
          <w:szCs w:val="32"/>
        </w:rPr>
        <w:t>万元，预算执行率</w:t>
      </w:r>
      <w:r>
        <w:rPr>
          <w:rFonts w:hint="eastAsia" w:eastAsia="仿宋_GB2312" w:cs="Times New Roman"/>
          <w:color w:val="333333"/>
          <w:sz w:val="32"/>
          <w:szCs w:val="32"/>
          <w:lang w:val="en-US" w:eastAsia="zh-CN"/>
        </w:rPr>
        <w:t>100</w:t>
      </w:r>
      <w:r>
        <w:rPr>
          <w:rFonts w:hint="default" w:ascii="Times New Roman" w:hAnsi="Times New Roman" w:eastAsia="仿宋_GB2312" w:cs="Times New Roman"/>
          <w:color w:val="333333"/>
          <w:sz w:val="32"/>
          <w:szCs w:val="32"/>
        </w:rPr>
        <w:t>%，资金无结余，实现全年既定支出目标。</w:t>
      </w:r>
    </w:p>
    <w:p>
      <w:pPr>
        <w:widowControl/>
        <w:adjustRightInd w:val="0"/>
        <w:snapToGrid w:val="0"/>
        <w:spacing w:line="56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3.特定目标类项目绩效分析</w:t>
      </w:r>
    </w:p>
    <w:p>
      <w:pPr>
        <w:spacing w:line="580" w:lineRule="exact"/>
        <w:ind w:firstLine="640" w:firstLineChars="200"/>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sz w:val="32"/>
          <w:szCs w:val="32"/>
        </w:rPr>
        <w:t>项目经费</w:t>
      </w:r>
      <w:r>
        <w:rPr>
          <w:rFonts w:hint="default" w:ascii="Times New Roman" w:hAnsi="Times New Roman" w:eastAsia="仿宋_GB2312" w:cs="Times New Roman"/>
          <w:color w:val="333333"/>
          <w:sz w:val="32"/>
          <w:szCs w:val="32"/>
        </w:rPr>
        <w:t>年初预算2</w:t>
      </w:r>
      <w:r>
        <w:rPr>
          <w:rFonts w:hint="eastAsia" w:eastAsia="仿宋_GB2312" w:cs="Times New Roman"/>
          <w:color w:val="333333"/>
          <w:sz w:val="32"/>
          <w:szCs w:val="32"/>
          <w:lang w:val="en-US" w:eastAsia="zh-CN"/>
        </w:rPr>
        <w:t>1</w:t>
      </w:r>
      <w:r>
        <w:rPr>
          <w:rFonts w:hint="default" w:ascii="Times New Roman" w:hAnsi="Times New Roman" w:eastAsia="仿宋_GB2312" w:cs="Times New Roman"/>
          <w:color w:val="333333"/>
          <w:sz w:val="32"/>
          <w:szCs w:val="32"/>
        </w:rPr>
        <w:t>万元，年中</w:t>
      </w:r>
      <w:r>
        <w:rPr>
          <w:rFonts w:hint="eastAsia" w:eastAsia="仿宋_GB2312" w:cs="Times New Roman"/>
          <w:color w:val="333333"/>
          <w:sz w:val="32"/>
          <w:szCs w:val="32"/>
          <w:lang w:eastAsia="zh-CN"/>
        </w:rPr>
        <w:t>增加</w:t>
      </w:r>
      <w:r>
        <w:rPr>
          <w:rFonts w:hint="default" w:ascii="Times New Roman" w:hAnsi="Times New Roman" w:eastAsia="仿宋_GB2312" w:cs="Times New Roman"/>
          <w:color w:val="333333"/>
          <w:sz w:val="32"/>
          <w:szCs w:val="32"/>
        </w:rPr>
        <w:t>预算</w:t>
      </w:r>
      <w:r>
        <w:rPr>
          <w:rFonts w:hint="eastAsia" w:eastAsia="仿宋_GB2312" w:cs="Times New Roman"/>
          <w:color w:val="333333"/>
          <w:sz w:val="32"/>
          <w:szCs w:val="32"/>
          <w:lang w:val="en-US" w:eastAsia="zh-CN"/>
        </w:rPr>
        <w:t>2153.64</w:t>
      </w:r>
      <w:r>
        <w:rPr>
          <w:rFonts w:hint="default" w:ascii="Times New Roman" w:hAnsi="Times New Roman" w:eastAsia="仿宋_GB2312" w:cs="Times New Roman"/>
          <w:color w:val="333333"/>
          <w:sz w:val="32"/>
          <w:szCs w:val="32"/>
        </w:rPr>
        <w:t>万元，全年支出</w:t>
      </w:r>
      <w:r>
        <w:rPr>
          <w:rFonts w:hint="eastAsia" w:eastAsia="仿宋_GB2312" w:cs="Times New Roman"/>
          <w:color w:val="333333"/>
          <w:sz w:val="32"/>
          <w:szCs w:val="32"/>
          <w:lang w:val="en-US" w:eastAsia="zh-CN"/>
        </w:rPr>
        <w:t>2158.85</w:t>
      </w:r>
      <w:r>
        <w:rPr>
          <w:rFonts w:hint="default" w:ascii="Times New Roman" w:hAnsi="Times New Roman" w:eastAsia="仿宋_GB2312" w:cs="Times New Roman"/>
          <w:color w:val="333333"/>
          <w:sz w:val="32"/>
          <w:szCs w:val="32"/>
        </w:rPr>
        <w:t>万元，预算执行率</w:t>
      </w:r>
      <w:r>
        <w:rPr>
          <w:rFonts w:hint="eastAsia" w:eastAsia="仿宋_GB2312" w:cs="Times New Roman"/>
          <w:color w:val="333333"/>
          <w:sz w:val="32"/>
          <w:szCs w:val="32"/>
          <w:lang w:val="en-US" w:eastAsia="zh-CN"/>
        </w:rPr>
        <w:t>100</w:t>
      </w:r>
      <w:r>
        <w:rPr>
          <w:rFonts w:hint="default" w:ascii="Times New Roman" w:hAnsi="Times New Roman" w:eastAsia="仿宋_GB2312" w:cs="Times New Roman"/>
          <w:color w:val="333333"/>
          <w:sz w:val="32"/>
          <w:szCs w:val="32"/>
        </w:rPr>
        <w:t>%，资金无结余，实现全年既定支出目标。</w:t>
      </w:r>
    </w:p>
    <w:p>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（二）</w:t>
      </w:r>
      <w:r>
        <w:rPr>
          <w:rFonts w:hint="eastAsia" w:eastAsia="楷体_GB2312" w:cs="Times New Roman"/>
          <w:b/>
          <w:bCs/>
          <w:kern w:val="0"/>
          <w:sz w:val="32"/>
          <w:szCs w:val="32"/>
          <w:shd w:val="clear" w:color="auto" w:fill="FFFFFF"/>
          <w:lang w:val="zh-CN"/>
        </w:rPr>
        <w:t>单位</w:t>
      </w:r>
      <w:r>
        <w:rPr>
          <w:rFonts w:hint="default" w:ascii="Times New Roman" w:hAnsi="Times New Roman" w:eastAsia="楷体_GB2312" w:cs="Times New Roman"/>
          <w:b/>
          <w:bCs/>
          <w:kern w:val="0"/>
          <w:sz w:val="32"/>
          <w:szCs w:val="32"/>
          <w:shd w:val="clear" w:color="auto" w:fill="FFFFFF"/>
          <w:lang w:val="zh-CN"/>
        </w:rPr>
        <w:t>整体履职绩效分析。</w:t>
      </w:r>
    </w:p>
    <w:p>
      <w:pPr>
        <w:pStyle w:val="9"/>
        <w:spacing w:before="93"/>
        <w:rPr>
          <w:rFonts w:hint="default" w:ascii="Times New Roman" w:hAnsi="Times New Roman" w:cs="Times New Roman"/>
          <w:spacing w:val="-4"/>
          <w:sz w:val="32"/>
          <w:szCs w:val="32"/>
        </w:rPr>
      </w:pPr>
      <w:r>
        <w:rPr>
          <w:rFonts w:hint="default" w:ascii="Times New Roman" w:hAnsi="Times New Roman" w:cs="Times New Roman"/>
        </w:rPr>
        <w:t xml:space="preserve">  </w:t>
      </w:r>
      <w:r>
        <w:rPr>
          <w:rFonts w:hint="default" w:ascii="Times New Roman" w:hAnsi="Times New Roman" w:cs="Times New Roman"/>
          <w:sz w:val="32"/>
          <w:szCs w:val="32"/>
        </w:rPr>
        <w:t xml:space="preserve">  </w:t>
      </w:r>
      <w:r>
        <w:rPr>
          <w:rFonts w:hint="eastAsia" w:ascii="Times New Roman" w:cs="Times New Roman"/>
          <w:sz w:val="32"/>
          <w:szCs w:val="32"/>
          <w:lang w:eastAsia="zh-CN"/>
        </w:rPr>
        <w:t>2024</w:t>
      </w:r>
      <w:r>
        <w:rPr>
          <w:rFonts w:hint="default" w:ascii="Times New Roman" w:hAnsi="Times New Roman" w:cs="Times New Roman"/>
          <w:sz w:val="32"/>
          <w:szCs w:val="32"/>
        </w:rPr>
        <w:t>年以来，区商务局坚持以习近平新时代中国特色社会主义思想为指导，认真落实省、市、区党代会精神及部署要求，紧紧围绕商务领域高质量发展，立足实际，主动担当，狠抓落实，各项工作稳步推进。</w:t>
      </w:r>
    </w:p>
    <w:p>
      <w:pPr>
        <w:pStyle w:val="9"/>
        <w:keepNext w:val="0"/>
        <w:keepLines w:val="0"/>
        <w:pageBreakBefore w:val="0"/>
        <w:widowControl w:val="0"/>
        <w:numPr>
          <w:ilvl w:val="0"/>
          <w:numId w:val="0"/>
        </w:numPr>
        <w:kinsoku/>
        <w:wordWrap/>
        <w:overflowPunct/>
        <w:topLinePunct w:val="0"/>
        <w:bidi w:val="0"/>
        <w:adjustRightInd/>
        <w:snapToGrid/>
        <w:spacing w:beforeLines="-2147483648" w:after="120" w:line="600" w:lineRule="exact"/>
        <w:ind w:firstLine="624" w:firstLineChars="20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cs="Times New Roman"/>
          <w:spacing w:val="-4"/>
          <w:sz w:val="32"/>
          <w:szCs w:val="32"/>
        </w:rPr>
        <w:t xml:space="preserve"> </w:t>
      </w:r>
      <w:r>
        <w:rPr>
          <w:rFonts w:hint="eastAsia" w:ascii="Times New Roman" w:cs="Times New Roman"/>
          <w:spacing w:val="-4"/>
          <w:sz w:val="32"/>
          <w:szCs w:val="32"/>
          <w:lang w:val="en-US" w:eastAsia="zh-CN"/>
        </w:rPr>
        <w:t>1.</w:t>
      </w:r>
      <w:r>
        <w:rPr>
          <w:rFonts w:hint="default" w:ascii="Times New Roman" w:hAnsi="Times New Roman" w:eastAsia="楷体_GB2312" w:cs="Times New Roman"/>
          <w:color w:val="auto"/>
          <w:spacing w:val="-4"/>
          <w:kern w:val="2"/>
          <w:sz w:val="32"/>
          <w:szCs w:val="32"/>
          <w:lang w:val="en-US" w:eastAsia="zh-CN"/>
        </w:rPr>
        <w:t>经济指标加压奋进。</w:t>
      </w:r>
      <w:r>
        <w:rPr>
          <w:rFonts w:hint="default" w:ascii="Times New Roman" w:hAnsi="Times New Roman" w:eastAsia="仿宋_GB2312" w:cs="Times New Roman"/>
          <w:color w:val="auto"/>
          <w:kern w:val="2"/>
          <w:sz w:val="32"/>
          <w:szCs w:val="32"/>
          <w:lang w:val="en-US" w:eastAsia="zh-CN"/>
        </w:rPr>
        <w:t>及早研判调度，制定具体任务“细化清单”，分行业领域建立台账，细化任务措施，切实做好统筹协调和服务保障工作。2024年服务业增加值34.81亿元，增速7.0%。2024年社会消费品零售总额26.30亿元，增速3.5%。</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2.</w:t>
      </w:r>
      <w:r>
        <w:rPr>
          <w:rFonts w:hint="default" w:ascii="Times New Roman" w:hAnsi="Times New Roman" w:eastAsia="楷体_GB2312" w:cs="Times New Roman"/>
          <w:color w:val="auto"/>
          <w:spacing w:val="-4"/>
          <w:sz w:val="32"/>
          <w:szCs w:val="32"/>
          <w:lang w:val="en-US" w:eastAsia="zh-CN"/>
        </w:rPr>
        <w:t>主体培育提质增效。</w:t>
      </w:r>
      <w:r>
        <w:rPr>
          <w:rFonts w:hint="default" w:ascii="Times New Roman" w:hAnsi="Times New Roman" w:eastAsia="仿宋_GB2312" w:cs="Times New Roman"/>
          <w:color w:val="auto"/>
          <w:sz w:val="32"/>
          <w:szCs w:val="32"/>
          <w:lang w:val="en-US" w:eastAsia="zh-CN"/>
        </w:rPr>
        <w:t>树牢“达限抓入库、近限抓培育”的思路，动态更新2024年拟升规入库培育目标企业库，健全联席机制，建立升规入库“周更新+月调度”工作机制，分行业建立“培育库”“重点库”，“一企一策”精准发力，协调解决税费负担等困难问题，实现规上、限上服务业企业升规入库40家（</w:t>
      </w:r>
      <w:r>
        <w:rPr>
          <w:rFonts w:hint="eastAsia"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lang w:val="en-US" w:eastAsia="zh-CN"/>
        </w:rPr>
        <w:t>企业27家，个体13家）。</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3.</w:t>
      </w:r>
      <w:r>
        <w:rPr>
          <w:rFonts w:hint="default" w:ascii="Times New Roman" w:hAnsi="Times New Roman" w:eastAsia="楷体_GB2312" w:cs="Times New Roman"/>
          <w:color w:val="auto"/>
          <w:spacing w:val="-4"/>
          <w:sz w:val="32"/>
          <w:szCs w:val="32"/>
          <w:lang w:val="en-US" w:eastAsia="zh-CN"/>
        </w:rPr>
        <w:t>外贸潜能持续释放。</w:t>
      </w:r>
      <w:r>
        <w:rPr>
          <w:rFonts w:hint="default" w:ascii="Times New Roman" w:hAnsi="Times New Roman" w:eastAsia="仿宋_GB2312" w:cs="Times New Roman"/>
          <w:color w:val="auto"/>
          <w:sz w:val="32"/>
          <w:szCs w:val="32"/>
          <w:lang w:val="en-US" w:eastAsia="zh-CN"/>
        </w:rPr>
        <w:t>联合区级有关</w:t>
      </w:r>
      <w:r>
        <w:rPr>
          <w:rFonts w:hint="eastAsia"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val="en-US" w:eastAsia="zh-CN"/>
        </w:rPr>
        <w:t>建立外贸服务专班，强化对蜀道物流、天坤物流等潜力企业的跟踪服务，按照“通关＋税务＋金融”服务机制，实行专人负责，帮助企业协调解决粮食进口配额等问题5个。</w:t>
      </w:r>
      <w:r>
        <w:rPr>
          <w:rFonts w:hint="default" w:ascii="Times New Roman" w:hAnsi="Times New Roman" w:eastAsia="仿宋_GB2312" w:cs="Times New Roman"/>
          <w:bCs/>
          <w:color w:val="auto"/>
          <w:spacing w:val="-6"/>
          <w:sz w:val="32"/>
          <w:szCs w:val="32"/>
          <w:lang w:val="en-US" w:eastAsia="zh-CN"/>
        </w:rPr>
        <w:t>积极对接高晶板簧、尚晨工贸、天坤物流等企业，服务</w:t>
      </w:r>
      <w:r>
        <w:rPr>
          <w:rFonts w:hint="default" w:ascii="Times New Roman" w:hAnsi="Times New Roman" w:eastAsia="仿宋_GB2312" w:cs="Times New Roman"/>
          <w:b w:val="0"/>
          <w:bCs w:val="0"/>
          <w:color w:val="auto"/>
          <w:sz w:val="32"/>
          <w:szCs w:val="32"/>
          <w:lang w:eastAsia="zh-CN"/>
        </w:rPr>
        <w:t>指导</w:t>
      </w:r>
      <w:r>
        <w:rPr>
          <w:rFonts w:hint="default" w:ascii="Times New Roman" w:hAnsi="Times New Roman" w:eastAsia="仿宋_GB2312" w:cs="Times New Roman"/>
          <w:bCs/>
          <w:color w:val="auto"/>
          <w:spacing w:val="-6"/>
          <w:sz w:val="32"/>
          <w:szCs w:val="32"/>
          <w:lang w:val="en-US" w:eastAsia="zh-CN"/>
        </w:rPr>
        <w:t>攀希物贸完善进出口资质，加大“川行天下”展会活动、“进口支持政策”、“二手车”出口政策宣传，鼓励企业积极拓展海外市场</w:t>
      </w:r>
      <w:r>
        <w:rPr>
          <w:rFonts w:hint="default" w:ascii="Times New Roman" w:hAnsi="Times New Roman" w:eastAsia="黑体" w:cs="Times New Roman"/>
          <w:color w:val="auto"/>
          <w:spacing w:val="-4"/>
          <w:sz w:val="32"/>
          <w:szCs w:val="32"/>
          <w:lang w:val="en-US" w:eastAsia="zh-CN"/>
        </w:rPr>
        <w:t>。</w:t>
      </w:r>
      <w:r>
        <w:rPr>
          <w:rFonts w:hint="default" w:ascii="Times New Roman" w:hAnsi="Times New Roman" w:eastAsia="仿宋_GB2312" w:cs="Times New Roman"/>
          <w:color w:val="auto"/>
          <w:sz w:val="32"/>
          <w:szCs w:val="32"/>
          <w:lang w:val="en-US" w:eastAsia="zh-CN"/>
        </w:rPr>
        <w:t xml:space="preserve">引导辖区物流企业抢抓中老班列（攀枝花）进口班列常态化运行契机，深化拓展国际市场。  </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4.</w:t>
      </w:r>
      <w:r>
        <w:rPr>
          <w:rFonts w:hint="default" w:ascii="Times New Roman" w:hAnsi="Times New Roman" w:eastAsia="楷体_GB2312" w:cs="Times New Roman"/>
          <w:color w:val="auto"/>
          <w:spacing w:val="-4"/>
          <w:sz w:val="32"/>
          <w:szCs w:val="32"/>
          <w:lang w:val="en-US" w:eastAsia="zh-CN"/>
        </w:rPr>
        <w:t>项目建设稳步推进。</w:t>
      </w:r>
      <w:r>
        <w:rPr>
          <w:rFonts w:hint="default" w:ascii="Times New Roman" w:hAnsi="Times New Roman" w:eastAsia="仿宋_GB2312" w:cs="Times New Roman"/>
          <w:color w:val="auto"/>
          <w:sz w:val="32"/>
          <w:szCs w:val="32"/>
          <w:lang w:val="en-US" w:eastAsia="zh-CN"/>
        </w:rPr>
        <w:t>蜀物攀枝花智慧现代产业园、废旧汽车拆解回收及汽车零部件再制造项目完成建设；市级重点项目攀枝花国际铁路港承载转运中心、国家物流枢纽（格里坪）物流仓储配套设施项目实现开工建设；传统物流企业“散改集、露改仓”现代化升级改造持续推进，攀青物流、健丰物流共建设大棚15000平方米、硬化场地2000平方米，完成散装货场升级改造年度任务。积极推进再生资源循环利用项目建设，谋划包装“攀西再生资源绿色综合分拣中心”，全力争取超长期国债及中省资金支持。</w:t>
      </w:r>
    </w:p>
    <w:p>
      <w:pPr>
        <w:keepNext w:val="0"/>
        <w:keepLines w:val="0"/>
        <w:pageBreakBefore w:val="0"/>
        <w:widowControl w:val="0"/>
        <w:kinsoku/>
        <w:wordWrap/>
        <w:overflowPunct/>
        <w:topLinePunct w:val="0"/>
        <w:bidi w:val="0"/>
        <w:adjustRightInd/>
        <w:snapToGrid/>
        <w:spacing w:line="600" w:lineRule="exact"/>
        <w:ind w:firstLine="624"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5.</w:t>
      </w:r>
      <w:r>
        <w:rPr>
          <w:rFonts w:hint="default" w:ascii="Times New Roman" w:hAnsi="Times New Roman" w:eastAsia="楷体_GB2312" w:cs="Times New Roman"/>
          <w:color w:val="auto"/>
          <w:spacing w:val="-4"/>
          <w:sz w:val="32"/>
          <w:szCs w:val="32"/>
          <w:lang w:val="en-US" w:eastAsia="zh-CN"/>
        </w:rPr>
        <w:t>消费活力持续增强。</w:t>
      </w:r>
      <w:r>
        <w:rPr>
          <w:rFonts w:hint="default" w:ascii="Times New Roman" w:hAnsi="Times New Roman" w:eastAsia="仿宋_GB2312" w:cs="Times New Roman"/>
          <w:color w:val="auto"/>
          <w:sz w:val="32"/>
          <w:szCs w:val="32"/>
          <w:lang w:val="en-US" w:eastAsia="zh-CN"/>
        </w:rPr>
        <w:t>深挖辖区市场潜力，不断营造“月月有活动、季季有主题、全年都精彩”的消费氛围，做好商文旅融合增值文章，组织举办攀枝花2024年水墨金沙“沙滩音乐啤酒活动周”等体验式、沉浸式活动，引导商贸服务业商户积极参加攀枝花第二届花节展品展销、攀枝花2024年“三角梅文化艺术活动周”等活动，参与“暖冬乐享·花在花城”、“蜀里安逸·悦禧龙年”等消费券发放。截至目前，累计开展活动35场次，参与活动企业数2187家，拉动消费3.83亿元。</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6.</w:t>
      </w:r>
      <w:r>
        <w:rPr>
          <w:rFonts w:hint="default" w:ascii="Times New Roman" w:hAnsi="Times New Roman" w:eastAsia="楷体_GB2312" w:cs="Times New Roman"/>
          <w:color w:val="auto"/>
          <w:spacing w:val="-4"/>
          <w:sz w:val="32"/>
          <w:szCs w:val="32"/>
          <w:lang w:val="en-US" w:eastAsia="zh-CN"/>
        </w:rPr>
        <w:t>业态布局不断优化。</w:t>
      </w:r>
      <w:r>
        <w:rPr>
          <w:rFonts w:hint="default" w:ascii="Times New Roman" w:hAnsi="Times New Roman" w:eastAsia="仿宋_GB2312" w:cs="Times New Roman"/>
          <w:color w:val="auto"/>
          <w:sz w:val="32"/>
          <w:szCs w:val="32"/>
          <w:lang w:val="en-US" w:eastAsia="zh-CN"/>
        </w:rPr>
        <w:t>依托星瑞时代广场、福广金城等商业综合体，加强与管理主体的沟通对接，加大区域首店引入力度，打造具有较强辐射力和影响力的区域性商业中心。成立攀枝花市西区餐饮与住宿协会，充分发挥协会“桥梁、纽带、协调、服务”作用，深入挖掘推广泉水鱼、苏铁山药、噹噹鸡等地方特色餐饮品牌，引导支持天下粮仓、鼎新新能源等餐住行业提档升级，持续丰富多元经营业态，不断增强对市民及游客的吸引力和粘合度。扎实推进“城市一刻钟便民生活圈”建设，持续补齐设施短板、创新服务能力，极大提升居民生活便捷度与幸福感。</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方正仿宋_GBK" w:cs="Times New Roman"/>
          <w:spacing w:val="-4"/>
          <w:sz w:val="33"/>
          <w:szCs w:val="33"/>
        </w:rPr>
      </w:pPr>
      <w:r>
        <w:rPr>
          <w:rFonts w:hint="eastAsia" w:ascii="Times New Roman" w:hAnsi="Times New Roman" w:eastAsia="楷体_GB2312" w:cs="Times New Roman"/>
          <w:color w:val="auto"/>
          <w:spacing w:val="-4"/>
          <w:sz w:val="32"/>
          <w:szCs w:val="32"/>
          <w:lang w:val="en-US" w:eastAsia="zh-CN"/>
        </w:rPr>
        <w:t>7.</w:t>
      </w:r>
      <w:r>
        <w:rPr>
          <w:rFonts w:hint="default" w:ascii="Times New Roman" w:hAnsi="Times New Roman" w:eastAsia="楷体_GB2312" w:cs="Times New Roman"/>
          <w:color w:val="auto"/>
          <w:spacing w:val="-4"/>
          <w:sz w:val="32"/>
          <w:szCs w:val="32"/>
          <w:lang w:val="en-US" w:eastAsia="zh-CN"/>
        </w:rPr>
        <w:t>底板工作更加夯实。</w:t>
      </w:r>
      <w:r>
        <w:rPr>
          <w:rFonts w:hint="default" w:ascii="Times New Roman" w:hAnsi="Times New Roman" w:eastAsia="仿宋_GB2312" w:cs="Times New Roman"/>
          <w:color w:val="000000"/>
          <w:spacing w:val="0"/>
          <w:sz w:val="32"/>
          <w:szCs w:val="32"/>
          <w:lang w:val="en-US" w:eastAsia="zh-CN"/>
        </w:rPr>
        <w:t>制定《攀枝花</w:t>
      </w:r>
      <w:r>
        <w:rPr>
          <w:rFonts w:hint="default" w:ascii="Times New Roman" w:hAnsi="Times New Roman" w:eastAsia="仿宋_GB2312" w:cs="Times New Roman"/>
          <w:color w:val="000000"/>
          <w:sz w:val="32"/>
          <w:szCs w:val="32"/>
          <w:lang w:val="en-US" w:eastAsia="zh-CN"/>
        </w:rPr>
        <w:t>市西区商务局2024 年度商务领域安全生产监管计划》，</w:t>
      </w:r>
      <w:r>
        <w:rPr>
          <w:rFonts w:hint="default" w:ascii="Times New Roman" w:hAnsi="Times New Roman" w:eastAsia="仿宋_GB2312" w:cs="Times New Roman"/>
          <w:color w:val="000000"/>
          <w:spacing w:val="0"/>
          <w:sz w:val="32"/>
          <w:szCs w:val="32"/>
          <w:lang w:val="en-US" w:eastAsia="zh-CN"/>
        </w:rPr>
        <w:t>深入开展岁末年初安全生产、节后复工复产、防汛减灾、安全生产治本攻坚三年行动、餐饮经营主体燃气双改、再生资源市场联合检查等各项安全生产工作，截至目前，召开警示约谈会2次，组织企业开展警示教育学习4次，发放宣传资料650余份，检查商务领域经营主体400余家次，</w:t>
      </w:r>
      <w:r>
        <w:rPr>
          <w:rFonts w:hint="default" w:ascii="Times New Roman" w:hAnsi="Times New Roman" w:eastAsia="仿宋_GB2312" w:cs="Times New Roman"/>
          <w:color w:val="auto"/>
          <w:sz w:val="32"/>
          <w:szCs w:val="32"/>
          <w:lang w:val="en-US" w:eastAsia="zh-CN"/>
        </w:rPr>
        <w:t>发现问题496余条，</w:t>
      </w:r>
      <w:r>
        <w:rPr>
          <w:rFonts w:hint="default" w:ascii="Times New Roman" w:hAnsi="Times New Roman" w:eastAsia="仿宋_GB2312" w:cs="Times New Roman"/>
          <w:color w:val="auto"/>
          <w:sz w:val="32"/>
          <w:szCs w:val="32"/>
          <w:lang w:eastAsia="zh-CN"/>
        </w:rPr>
        <w:t>整改完成</w:t>
      </w:r>
      <w:r>
        <w:rPr>
          <w:rFonts w:hint="default" w:ascii="Times New Roman" w:hAnsi="Times New Roman" w:eastAsia="仿宋_GB2312" w:cs="Times New Roman"/>
          <w:color w:val="auto"/>
          <w:sz w:val="32"/>
          <w:szCs w:val="32"/>
          <w:lang w:val="en-US" w:eastAsia="zh-CN"/>
        </w:rPr>
        <w:t>493条，限期整改3条。</w:t>
      </w:r>
      <w:r>
        <w:rPr>
          <w:rFonts w:hint="default" w:ascii="Times New Roman" w:hAnsi="Times New Roman" w:eastAsia="仿宋_GB2312" w:cs="Times New Roman"/>
          <w:color w:val="auto"/>
          <w:sz w:val="32"/>
          <w:szCs w:val="32"/>
          <w:lang w:eastAsia="zh-CN"/>
        </w:rPr>
        <w:t>“排查+登记+整改+验收+销号”闭环管理方式推进第三轮中央生态环境保护督察工作，</w:t>
      </w:r>
      <w:r>
        <w:rPr>
          <w:rFonts w:hint="default" w:ascii="Times New Roman" w:hAnsi="Times New Roman" w:eastAsia="仿宋_GB2312" w:cs="Times New Roman"/>
          <w:color w:val="auto"/>
          <w:sz w:val="32"/>
          <w:szCs w:val="32"/>
          <w:lang w:val="en-US" w:eastAsia="zh-CN"/>
        </w:rPr>
        <w:t>全面排查对已完成整改的问题开展“回头看”，全力确保已销号的交办问题、已办结的群众投诉不反弹回潮，同时，坚持问题导向、举一反三，切实做到新增问题立行立改，确保问题真改、实改、全改。</w:t>
      </w:r>
    </w:p>
    <w:p>
      <w:pPr>
        <w:spacing w:line="353" w:lineRule="auto"/>
        <w:ind w:firstLine="482" w:firstLineChars="150"/>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（三）结果应用情况。</w:t>
      </w:r>
    </w:p>
    <w:p>
      <w:pPr>
        <w:widowControl/>
        <w:spacing w:line="221" w:lineRule="atLeast"/>
        <w:ind w:firstLine="640"/>
        <w:jc w:val="left"/>
        <w:rPr>
          <w:rFonts w:hint="default" w:ascii="Times New Roman" w:hAnsi="Times New Roman" w:cs="Times New Roman"/>
          <w:kern w:val="0"/>
          <w:sz w:val="24"/>
        </w:rPr>
      </w:pPr>
      <w:r>
        <w:rPr>
          <w:rFonts w:hint="default" w:ascii="Times New Roman" w:hAnsi="Times New Roman" w:eastAsia="仿宋_GB2312" w:cs="Times New Roman"/>
          <w:kern w:val="0"/>
          <w:sz w:val="32"/>
          <w:szCs w:val="32"/>
        </w:rPr>
        <w:t>西区商务局对</w:t>
      </w: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预算按照每次执行均采取实时监控措施，并定期对绩效监控信息进行收集、审核、分析，并按时向财务负责人报告，做到绩效监控措施准确、有实效。严格按照《中华人民共和国预算法》《中华人民共和国政府信息公开条例》等相关文件要求，对本</w:t>
      </w:r>
      <w:r>
        <w:rPr>
          <w:rFonts w:hint="eastAsia" w:eastAsia="仿宋_GB2312" w:cs="Times New Roman"/>
          <w:kern w:val="0"/>
          <w:sz w:val="32"/>
          <w:szCs w:val="32"/>
          <w:lang w:eastAsia="zh-CN"/>
        </w:rPr>
        <w:t>单位</w:t>
      </w:r>
      <w:r>
        <w:rPr>
          <w:rFonts w:hint="default" w:ascii="Times New Roman" w:hAnsi="Times New Roman" w:eastAsia="仿宋_GB2312" w:cs="Times New Roman"/>
          <w:kern w:val="0"/>
          <w:sz w:val="32"/>
          <w:szCs w:val="32"/>
        </w:rPr>
        <w:t>预算、决算及报表等文件，及时在攀枝花西区人民政府网站设立的预决算公开专栏进行集中公开，并公开预算编制目录，对公开内容进行分类、分级，方便公众查阅和监督。</w:t>
      </w:r>
    </w:p>
    <w:p>
      <w:pPr>
        <w:widowControl/>
        <w:adjustRightInd w:val="0"/>
        <w:snapToGrid w:val="0"/>
        <w:spacing w:line="576"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四、评价结论及建议</w:t>
      </w:r>
    </w:p>
    <w:p>
      <w:pPr>
        <w:widowControl/>
        <w:adjustRightInd w:val="0"/>
        <w:snapToGrid w:val="0"/>
        <w:spacing w:line="576" w:lineRule="exact"/>
        <w:ind w:firstLine="640" w:firstLineChars="200"/>
        <w:contextualSpacing/>
        <w:jc w:val="left"/>
        <w:rPr>
          <w:rFonts w:hint="default" w:ascii="Times New Roman" w:hAnsi="Times New Roman" w:eastAsia="方正楷体_GBK" w:cs="Times New Roman"/>
          <w:kern w:val="0"/>
          <w:sz w:val="32"/>
          <w:szCs w:val="32"/>
          <w:shd w:val="clear" w:color="auto" w:fill="FFFFFF"/>
          <w:lang w:val="zh-CN"/>
        </w:rPr>
      </w:pPr>
      <w:r>
        <w:rPr>
          <w:rFonts w:hint="default" w:ascii="Times New Roman" w:hAnsi="Times New Roman" w:eastAsia="方正楷体_GBK" w:cs="Times New Roman"/>
          <w:kern w:val="0"/>
          <w:sz w:val="32"/>
          <w:szCs w:val="32"/>
          <w:shd w:val="clear" w:color="auto" w:fill="FFFFFF"/>
          <w:lang w:val="zh-CN"/>
        </w:rPr>
        <w:t>（一）评价结论。</w:t>
      </w:r>
    </w:p>
    <w:p>
      <w:pPr>
        <w:widowControl/>
        <w:adjustRightInd w:val="0"/>
        <w:snapToGrid w:val="0"/>
        <w:spacing w:line="576"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kern w:val="0"/>
          <w:sz w:val="32"/>
          <w:szCs w:val="32"/>
        </w:rPr>
        <w:t>区商务局贯彻落实党中央关于商务工作的方针、政策和省委、市委、区委的决策部署，围绕中心、服务大局、履职尽责、开拓创新，保障了各项工作有序推进，实现项目有落地、经济有增长等良好态势。</w:t>
      </w:r>
    </w:p>
    <w:p>
      <w:pPr>
        <w:widowControl/>
        <w:adjustRightInd w:val="0"/>
        <w:snapToGrid w:val="0"/>
        <w:spacing w:line="576" w:lineRule="exact"/>
        <w:ind w:firstLine="640" w:firstLineChars="200"/>
        <w:contextualSpacing/>
        <w:jc w:val="left"/>
        <w:rPr>
          <w:rFonts w:hint="default" w:ascii="Times New Roman" w:hAnsi="Times New Roman" w:eastAsia="方正楷体_GBK" w:cs="Times New Roman"/>
          <w:kern w:val="0"/>
          <w:sz w:val="32"/>
          <w:szCs w:val="32"/>
          <w:shd w:val="clear" w:color="auto" w:fill="FFFFFF"/>
          <w:lang w:val="zh-CN"/>
        </w:rPr>
      </w:pPr>
      <w:r>
        <w:rPr>
          <w:rFonts w:hint="default" w:ascii="Times New Roman" w:hAnsi="Times New Roman" w:eastAsia="方正楷体_GBK" w:cs="Times New Roman"/>
          <w:kern w:val="0"/>
          <w:sz w:val="32"/>
          <w:szCs w:val="32"/>
          <w:shd w:val="clear" w:color="auto" w:fill="FFFFFF"/>
          <w:lang w:val="zh-CN"/>
        </w:rPr>
        <w:t>（二）存在问题。</w:t>
      </w:r>
    </w:p>
    <w:p>
      <w:pPr>
        <w:widowControl/>
        <w:spacing w:line="221" w:lineRule="atLeast"/>
        <w:ind w:firstLine="64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32"/>
          <w:szCs w:val="32"/>
          <w:lang w:val="zh-CN"/>
        </w:rPr>
        <w:t>一是</w:t>
      </w:r>
      <w:r>
        <w:rPr>
          <w:rFonts w:hint="default" w:ascii="Times New Roman" w:hAnsi="Times New Roman" w:eastAsia="仿宋_GB2312" w:cs="Times New Roman"/>
          <w:kern w:val="0"/>
          <w:sz w:val="32"/>
          <w:szCs w:val="32"/>
        </w:rPr>
        <w:t>部分项目支出未按预期目标实现资金支付工作。二是受到疫情等多方因素的影响，部分项目未按预定目标执行，部分项目最终未能达到年度总体目标任务。</w:t>
      </w:r>
    </w:p>
    <w:p>
      <w:pPr>
        <w:widowControl/>
        <w:adjustRightInd w:val="0"/>
        <w:snapToGrid w:val="0"/>
        <w:spacing w:line="576" w:lineRule="exact"/>
        <w:ind w:firstLine="640" w:firstLineChars="200"/>
        <w:contextualSpacing/>
        <w:jc w:val="left"/>
        <w:rPr>
          <w:rFonts w:hint="default" w:ascii="Times New Roman" w:hAnsi="Times New Roman" w:eastAsia="方正楷体_GBK" w:cs="Times New Roman"/>
          <w:kern w:val="0"/>
          <w:sz w:val="32"/>
          <w:szCs w:val="32"/>
          <w:shd w:val="clear" w:color="auto" w:fill="FFFFFF"/>
          <w:lang w:val="zh-CN"/>
        </w:rPr>
      </w:pPr>
      <w:r>
        <w:rPr>
          <w:rFonts w:hint="default" w:ascii="Times New Roman" w:hAnsi="Times New Roman" w:eastAsia="方正楷体_GBK" w:cs="Times New Roman"/>
          <w:kern w:val="0"/>
          <w:sz w:val="32"/>
          <w:szCs w:val="32"/>
          <w:shd w:val="clear" w:color="auto" w:fill="FFFFFF"/>
          <w:lang w:val="zh-CN"/>
        </w:rPr>
        <w:t>（三）改进建议。</w:t>
      </w:r>
    </w:p>
    <w:p>
      <w:pPr>
        <w:widowControl/>
        <w:spacing w:line="221" w:lineRule="atLeast"/>
        <w:ind w:firstLine="800" w:firstLineChars="25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一是针对资金绩效运行状况，及时查找资金使用和管理过程中的薄弱环节，提出纠正措施；加快资金执行进度，确保后续绩效目标的有效实现。</w:t>
      </w:r>
    </w:p>
    <w:p>
      <w:pPr>
        <w:pStyle w:val="9"/>
        <w:spacing w:before="93"/>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二是针对项目未按预定目标执行的问题，及时调整执行目标任务，确保完成项目绩效年度总体目标任务。</w:t>
      </w:r>
    </w:p>
    <w:p>
      <w:pPr>
        <w:pStyle w:val="9"/>
        <w:spacing w:before="93"/>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附表：</w:t>
      </w:r>
      <w:r>
        <w:rPr>
          <w:rFonts w:hint="eastAsia" w:ascii="Times New Roman" w:cs="Times New Roman"/>
          <w:sz w:val="32"/>
          <w:szCs w:val="32"/>
          <w:lang w:eastAsia="zh-CN"/>
        </w:rPr>
        <w:t>单位</w:t>
      </w:r>
      <w:r>
        <w:rPr>
          <w:rFonts w:hint="default" w:ascii="Times New Roman" w:hAnsi="Times New Roman" w:cs="Times New Roman"/>
          <w:sz w:val="32"/>
          <w:szCs w:val="32"/>
        </w:rPr>
        <w:t>预算项目支出绩效自评表（</w:t>
      </w:r>
      <w:r>
        <w:rPr>
          <w:rFonts w:hint="eastAsia" w:ascii="Times New Roman" w:cs="Times New Roman"/>
          <w:sz w:val="32"/>
          <w:szCs w:val="32"/>
          <w:lang w:eastAsia="zh-CN"/>
        </w:rPr>
        <w:t>2024</w:t>
      </w:r>
      <w:r>
        <w:rPr>
          <w:rFonts w:hint="default" w:ascii="Times New Roman" w:hAnsi="Times New Roman" w:cs="Times New Roman"/>
          <w:sz w:val="32"/>
          <w:szCs w:val="32"/>
        </w:rPr>
        <w:t>年度）</w:t>
      </w:r>
    </w:p>
    <w:p>
      <w:pPr>
        <w:pStyle w:val="9"/>
        <w:spacing w:before="93"/>
        <w:ind w:firstLine="640" w:firstLineChars="200"/>
        <w:rPr>
          <w:rFonts w:hint="default" w:ascii="Times New Roman" w:hAnsi="Times New Roman" w:cs="Times New Roman"/>
          <w:sz w:val="32"/>
          <w:szCs w:val="32"/>
        </w:rPr>
      </w:pPr>
    </w:p>
    <w:p>
      <w:pPr>
        <w:pStyle w:val="9"/>
        <w:spacing w:before="93"/>
        <w:ind w:firstLine="640" w:firstLineChars="200"/>
        <w:rPr>
          <w:rFonts w:hint="default" w:ascii="Times New Roman" w:hAnsi="Times New Roman" w:cs="Times New Roman"/>
          <w:sz w:val="32"/>
          <w:szCs w:val="32"/>
        </w:rPr>
      </w:pPr>
    </w:p>
    <w:p>
      <w:pPr>
        <w:pStyle w:val="9"/>
        <w:spacing w:before="93"/>
        <w:ind w:firstLine="640" w:firstLineChars="200"/>
        <w:rPr>
          <w:rFonts w:hint="default" w:ascii="Times New Roman" w:hAnsi="Times New Roman" w:cs="Times New Roman"/>
          <w:sz w:val="32"/>
          <w:szCs w:val="32"/>
          <w:shd w:val="clear" w:color="auto" w:fill="FFFFFF"/>
          <w:lang w:val="zh-CN"/>
        </w:rPr>
      </w:pPr>
    </w:p>
    <w:p>
      <w:pPr>
        <w:pStyle w:val="9"/>
        <w:spacing w:before="93"/>
        <w:rPr>
          <w:rFonts w:hint="default" w:ascii="Times New Roman" w:hAnsi="Times New Roman" w:cs="Times New Roman"/>
          <w:lang w:val="zh-CN"/>
        </w:rPr>
      </w:pPr>
      <w:r>
        <w:rPr>
          <w:rFonts w:hint="default" w:ascii="Times New Roman" w:hAnsi="Times New Roman" w:cs="Times New Roman"/>
          <w:sz w:val="32"/>
          <w:szCs w:val="32"/>
          <w:shd w:val="clear" w:color="auto" w:fill="FFFFFF"/>
          <w:lang w:val="zh-CN"/>
        </w:rPr>
        <w:t>附件2</w:t>
      </w:r>
    </w:p>
    <w:p>
      <w:pPr>
        <w:spacing w:line="600" w:lineRule="exact"/>
        <w:jc w:val="center"/>
        <w:rPr>
          <w:rFonts w:hint="default" w:ascii="Times New Roman" w:hAnsi="Times New Roman" w:eastAsia="方正小标宋简体" w:cs="Times New Roman"/>
          <w:sz w:val="40"/>
          <w:szCs w:val="40"/>
          <w:lang w:val="zh-CN"/>
        </w:rPr>
      </w:pPr>
      <w:r>
        <w:rPr>
          <w:rFonts w:hint="eastAsia" w:eastAsia="方正小标宋简体" w:cs="Times New Roman"/>
          <w:sz w:val="40"/>
          <w:szCs w:val="40"/>
          <w:lang w:eastAsia="zh-CN"/>
        </w:rPr>
        <w:t>2024</w:t>
      </w:r>
      <w:r>
        <w:rPr>
          <w:rFonts w:hint="default" w:ascii="Times New Roman" w:hAnsi="Times New Roman" w:eastAsia="方正小标宋简体" w:cs="Times New Roman"/>
          <w:sz w:val="40"/>
          <w:szCs w:val="40"/>
        </w:rPr>
        <w:t>年区级专项</w:t>
      </w:r>
      <w:r>
        <w:rPr>
          <w:rFonts w:hint="default" w:ascii="Times New Roman" w:hAnsi="Times New Roman" w:eastAsia="方正小标宋简体" w:cs="Times New Roman"/>
          <w:sz w:val="40"/>
          <w:szCs w:val="40"/>
          <w:lang w:val="zh-CN"/>
        </w:rPr>
        <w:t>资金重点服务业及商贸企业升规入库培育项目预算项目</w:t>
      </w:r>
    </w:p>
    <w:p>
      <w:pPr>
        <w:spacing w:line="600" w:lineRule="exact"/>
        <w:jc w:val="center"/>
        <w:rPr>
          <w:rFonts w:hint="default" w:ascii="Times New Roman" w:hAnsi="Times New Roman" w:eastAsia="方正小标宋简体" w:cs="Times New Roman"/>
          <w:sz w:val="40"/>
          <w:szCs w:val="40"/>
          <w:lang w:val="zh-CN"/>
        </w:rPr>
      </w:pPr>
      <w:r>
        <w:rPr>
          <w:rFonts w:hint="default" w:ascii="Times New Roman" w:hAnsi="Times New Roman" w:eastAsia="方正小标宋简体" w:cs="Times New Roman"/>
          <w:sz w:val="40"/>
          <w:szCs w:val="40"/>
          <w:lang w:val="zh-CN"/>
        </w:rPr>
        <w:t>绩效自评报告</w:t>
      </w:r>
    </w:p>
    <w:p>
      <w:pPr>
        <w:spacing w:line="600" w:lineRule="exact"/>
        <w:ind w:firstLine="640"/>
        <w:jc w:val="center"/>
        <w:rPr>
          <w:rFonts w:hint="default" w:ascii="Times New Roman" w:hAnsi="Times New Roman" w:cs="Times New Roman"/>
          <w:sz w:val="32"/>
          <w:szCs w:val="32"/>
          <w:lang w:val="zh-CN"/>
        </w:rPr>
      </w:pPr>
    </w:p>
    <w:p>
      <w:pPr>
        <w:adjustRightInd w:val="0"/>
        <w:snapToGrid w:val="0"/>
        <w:spacing w:line="600" w:lineRule="exact"/>
        <w:ind w:firstLine="72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1．项目主管</w:t>
      </w:r>
      <w:r>
        <w:rPr>
          <w:rFonts w:hint="eastAsia" w:eastAsia="仿宋_GB2312" w:cs="Times New Roman"/>
          <w:sz w:val="32"/>
          <w:szCs w:val="32"/>
          <w:lang w:val="zh-CN"/>
        </w:rPr>
        <w:t>单位</w:t>
      </w:r>
      <w:r>
        <w:rPr>
          <w:rFonts w:hint="default" w:ascii="Times New Roman" w:hAnsi="Times New Roman" w:eastAsia="仿宋_GB2312" w:cs="Times New Roman"/>
          <w:sz w:val="32"/>
          <w:szCs w:val="32"/>
          <w:lang w:val="zh-CN"/>
        </w:rPr>
        <w:t>在该项目管理中的职能。</w:t>
      </w:r>
    </w:p>
    <w:p>
      <w:pPr>
        <w:pStyle w:val="9"/>
        <w:spacing w:before="93"/>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项目主管单位攀枝花市西区商务局在该项目管理中的职能是作为全区商贸服务业经济运行监管的行业主管</w:t>
      </w:r>
      <w:r>
        <w:rPr>
          <w:rFonts w:hint="eastAsia" w:ascii="Times New Roman" w:cs="Times New Roman"/>
          <w:sz w:val="32"/>
          <w:szCs w:val="32"/>
          <w:lang w:eastAsia="zh-CN"/>
        </w:rPr>
        <w:t>单位</w:t>
      </w:r>
      <w:r>
        <w:rPr>
          <w:rFonts w:hint="default" w:ascii="Times New Roman" w:hAnsi="Times New Roman" w:cs="Times New Roman"/>
          <w:sz w:val="32"/>
          <w:szCs w:val="32"/>
        </w:rPr>
        <w:t>，主要承担指导、引导全区商贸服务业经济发展、行业管理、安全环保及全区重大商贸服务业项目的推进工作;负责商贸流通、市场体系建设、电子商务、现代物流、内外贸易及指导和协调全区服务业发展等职能。</w:t>
      </w:r>
    </w:p>
    <w:p>
      <w:pPr>
        <w:pStyle w:val="9"/>
        <w:spacing w:before="93"/>
        <w:ind w:firstLine="640" w:firstLineChars="200"/>
        <w:rPr>
          <w:rFonts w:hint="default" w:ascii="Times New Roman" w:hAnsi="Times New Roman" w:cs="Times New Roman"/>
          <w:sz w:val="32"/>
          <w:szCs w:val="32"/>
          <w:lang w:val="zh-CN"/>
        </w:rPr>
      </w:pPr>
      <w:r>
        <w:rPr>
          <w:rFonts w:hint="default" w:ascii="Times New Roman" w:hAnsi="Times New Roman" w:cs="Times New Roman"/>
          <w:sz w:val="32"/>
          <w:szCs w:val="32"/>
          <w:lang w:val="zh-CN"/>
        </w:rPr>
        <w:t>2．项目立项、资金申报的依据。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近年全区服务业持续健康发展对管理水平要求提高的需求。</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3．资金管理办法制定情况，资金支持具体项目的条件、范围与支持方式概况。</w:t>
      </w:r>
    </w:p>
    <w:p>
      <w:pPr>
        <w:pStyle w:val="9"/>
        <w:spacing w:before="93"/>
        <w:ind w:firstLine="640" w:firstLineChars="200"/>
        <w:rPr>
          <w:rFonts w:hint="default" w:ascii="Times New Roman" w:hAnsi="Times New Roman" w:cs="Times New Roman"/>
          <w:color w:val="000000" w:themeColor="text1"/>
          <w:sz w:val="32"/>
          <w:szCs w:val="32"/>
          <w:lang w:val="zh-CN"/>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根据《西区商务局</w:t>
      </w:r>
      <w:r>
        <w:rPr>
          <w:rFonts w:hint="default" w:ascii="Times New Roman" w:hAnsi="Times New Roman" w:cs="Times New Roman"/>
          <w:bCs/>
          <w:color w:val="000000" w:themeColor="text1"/>
          <w:sz w:val="32"/>
          <w:szCs w:val="32"/>
          <w14:textFill>
            <w14:solidFill>
              <w14:schemeClr w14:val="tx1"/>
            </w14:solidFill>
          </w14:textFill>
        </w:rPr>
        <w:t>财务</w:t>
      </w:r>
      <w:r>
        <w:rPr>
          <w:rFonts w:hint="default" w:ascii="Times New Roman" w:hAnsi="Times New Roman" w:cs="Times New Roman"/>
          <w:color w:val="000000" w:themeColor="text1"/>
          <w:sz w:val="32"/>
          <w:szCs w:val="32"/>
          <w14:textFill>
            <w14:solidFill>
              <w14:schemeClr w14:val="tx1"/>
            </w14:solidFill>
          </w14:textFill>
        </w:rPr>
        <w:t>管理制度》办理相关报帐手续，主要将此专项资金用于项目协调办公费、项目包装、外出引进、对接项目差旅费、印刷费等。</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4．资金分配的原则及考虑因素。</w:t>
      </w:r>
    </w:p>
    <w:p>
      <w:pPr>
        <w:pStyle w:val="9"/>
        <w:spacing w:before="93"/>
        <w:ind w:firstLine="640" w:firstLineChars="200"/>
        <w:rPr>
          <w:rFonts w:hint="default" w:ascii="Times New Roman" w:hAnsi="Times New Roman" w:cs="Times New Roman"/>
          <w:sz w:val="32"/>
          <w:szCs w:val="32"/>
          <w:lang w:val="zh-CN"/>
        </w:rPr>
      </w:pPr>
      <w:r>
        <w:rPr>
          <w:rFonts w:hint="default" w:ascii="Times New Roman" w:hAnsi="Times New Roman" w:cs="Times New Roman"/>
          <w:sz w:val="32"/>
          <w:szCs w:val="32"/>
        </w:rPr>
        <w:t>根据局工作实际开展情况、工作量等因素进行资金安排。</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1．项目主要内容。</w:t>
      </w:r>
    </w:p>
    <w:p>
      <w:pPr>
        <w:pStyle w:val="9"/>
        <w:spacing w:before="93"/>
        <w:ind w:firstLine="758" w:firstLineChars="23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32"/>
          <w:szCs w:val="32"/>
        </w:rPr>
        <w:t>西区商务局承担指导和协调全区服务业发展的职责，其中负责限额以上批零住餐企业和规模以上服务业企业升规入库培育。</w:t>
      </w:r>
    </w:p>
    <w:p>
      <w:pPr>
        <w:pStyle w:val="9"/>
        <w:spacing w:before="93"/>
        <w:ind w:firstLine="600"/>
        <w:rPr>
          <w:rFonts w:hint="default" w:ascii="Times New Roman" w:hAnsi="Times New Roman" w:cs="Times New Roman"/>
          <w:sz w:val="32"/>
          <w:szCs w:val="32"/>
          <w:lang w:val="zh-CN"/>
        </w:rPr>
      </w:pPr>
      <w:r>
        <w:rPr>
          <w:rFonts w:hint="default" w:ascii="Times New Roman" w:hAnsi="Times New Roman" w:cs="Times New Roman"/>
          <w:sz w:val="32"/>
          <w:szCs w:val="32"/>
          <w:lang w:val="zh-CN"/>
        </w:rPr>
        <w:t>2．项目应实现的具体绩效目标，包括目标的量化、细化情况以及项目实施进度计划等。</w:t>
      </w:r>
    </w:p>
    <w:p>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根据《攀枝花市</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年度市级目标任务实施方案</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征求意见稿）》，市委目标办向我区下达的升规入库目标任务为，</w:t>
      </w:r>
      <w:r>
        <w:rPr>
          <w:rFonts w:hint="default" w:ascii="Times New Roman" w:hAnsi="Times New Roman" w:eastAsia="仿宋_GB2312" w:cs="Times New Roman"/>
          <w:spacing w:val="-4"/>
          <w:kern w:val="0"/>
          <w:sz w:val="33"/>
          <w:szCs w:val="33"/>
          <w:shd w:val="clear" w:color="auto" w:fill="FFFFFF"/>
          <w:lang w:val="zh-CN" w:eastAsia="zh-CN" w:bidi="ar-SA"/>
        </w:rPr>
        <w:t>全年升规入库</w:t>
      </w:r>
      <w:r>
        <w:rPr>
          <w:rFonts w:hint="default" w:ascii="Times New Roman" w:hAnsi="Times New Roman" w:eastAsia="仿宋_GB2312" w:cs="Times New Roman"/>
          <w:spacing w:val="-4"/>
          <w:kern w:val="0"/>
          <w:sz w:val="33"/>
          <w:szCs w:val="33"/>
          <w:shd w:val="clear" w:color="auto" w:fill="FFFFFF"/>
          <w:lang w:val="en-US" w:eastAsia="zh-CN" w:bidi="ar-SA"/>
        </w:rPr>
        <w:t>20户以上</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年实际完成规上、限上服务业企业升规入库40家（</w:t>
      </w:r>
      <w:r>
        <w:rPr>
          <w:rFonts w:hint="eastAsia" w:eastAsia="仿宋_GB2312" w:cs="Times New Roman"/>
          <w:sz w:val="32"/>
          <w:szCs w:val="32"/>
          <w:lang w:eastAsia="zh-CN"/>
        </w:rPr>
        <w:t>其中：</w:t>
      </w:r>
      <w:r>
        <w:rPr>
          <w:rFonts w:hint="default" w:ascii="Times New Roman" w:hAnsi="Times New Roman" w:eastAsia="仿宋_GB2312" w:cs="Times New Roman"/>
          <w:sz w:val="32"/>
          <w:szCs w:val="32"/>
        </w:rPr>
        <w:t>企业27家，个体13家），完成任务</w:t>
      </w:r>
      <w:r>
        <w:rPr>
          <w:rFonts w:hint="eastAsia" w:eastAsia="仿宋_GB2312" w:cs="Times New Roman"/>
          <w:sz w:val="32"/>
          <w:szCs w:val="32"/>
          <w:lang w:eastAsia="zh-CN"/>
        </w:rPr>
        <w:t>计划</w:t>
      </w:r>
      <w:r>
        <w:rPr>
          <w:rFonts w:hint="default" w:ascii="Times New Roman" w:hAnsi="Times New Roman" w:eastAsia="仿宋_GB2312" w:cs="Times New Roman"/>
          <w:sz w:val="32"/>
          <w:szCs w:val="32"/>
        </w:rPr>
        <w:t>。</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pPr>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按照科室职责分工，确定项目协调中心职能职责，应用财政资金投资情况进行评价。</w:t>
      </w:r>
    </w:p>
    <w:p>
      <w:pPr>
        <w:ind w:left="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实施方法：逐项分析填列。</w:t>
      </w:r>
    </w:p>
    <w:p>
      <w:pPr>
        <w:adjustRightInd w:val="0"/>
        <w:snapToGrid w:val="0"/>
        <w:spacing w:line="600" w:lineRule="exact"/>
        <w:ind w:firstLine="72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该项目年初申报预算9万元，批复9万元，年末调减预算</w:t>
      </w:r>
      <w:r>
        <w:rPr>
          <w:rFonts w:hint="eastAsia" w:eastAsia="仿宋_GB2312" w:cs="Times New Roman"/>
          <w:sz w:val="32"/>
          <w:szCs w:val="32"/>
          <w:lang w:val="en-US" w:eastAsia="zh-CN"/>
        </w:rPr>
        <w:t>5.45</w:t>
      </w:r>
      <w:r>
        <w:rPr>
          <w:rFonts w:hint="default" w:ascii="Times New Roman" w:hAnsi="Times New Roman" w:eastAsia="仿宋_GB2312" w:cs="Times New Roman"/>
          <w:sz w:val="32"/>
          <w:szCs w:val="32"/>
          <w:lang w:val="zh-CN"/>
        </w:rPr>
        <w:t>万元，实际使用</w:t>
      </w:r>
      <w:r>
        <w:rPr>
          <w:rFonts w:hint="eastAsia" w:eastAsia="仿宋_GB2312" w:cs="Times New Roman"/>
          <w:sz w:val="32"/>
          <w:szCs w:val="32"/>
          <w:lang w:val="en-US" w:eastAsia="zh-CN"/>
        </w:rPr>
        <w:t>3.55</w:t>
      </w:r>
      <w:r>
        <w:rPr>
          <w:rFonts w:hint="default" w:ascii="Times New Roman" w:hAnsi="Times New Roman" w:eastAsia="仿宋_GB2312" w:cs="Times New Roman"/>
          <w:sz w:val="32"/>
          <w:szCs w:val="32"/>
          <w:lang w:val="zh-CN"/>
        </w:rPr>
        <w:t>万元。</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（二）资金计划、到位及使用情况。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1．资金计划。</w:t>
      </w:r>
      <w:r>
        <w:rPr>
          <w:rFonts w:hint="default" w:ascii="Times New Roman" w:hAnsi="Times New Roman" w:eastAsia="仿宋_GB2312" w:cs="Times New Roman"/>
          <w:sz w:val="32"/>
          <w:szCs w:val="32"/>
          <w:lang w:val="zh-CN"/>
        </w:rPr>
        <w:t>该项目属区级预算项目经费，区级预算计划</w:t>
      </w:r>
      <w:r>
        <w:rPr>
          <w:rFonts w:hint="default" w:ascii="Times New Roman" w:hAnsi="Times New Roman" w:eastAsia="仿宋_GB2312" w:cs="Times New Roman"/>
          <w:sz w:val="32"/>
          <w:szCs w:val="32"/>
        </w:rPr>
        <w:t>9万</w:t>
      </w:r>
      <w:r>
        <w:rPr>
          <w:rFonts w:hint="default" w:ascii="Times New Roman" w:hAnsi="Times New Roman" w:eastAsia="仿宋_GB2312" w:cs="Times New Roman"/>
          <w:sz w:val="32"/>
          <w:szCs w:val="32"/>
          <w:lang w:val="zh-CN"/>
        </w:rPr>
        <w:t>。</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2．资金到位。</w:t>
      </w:r>
      <w:r>
        <w:rPr>
          <w:rFonts w:hint="default" w:ascii="Times New Roman" w:hAnsi="Times New Roman" w:eastAsia="仿宋_GB2312" w:cs="Times New Roman"/>
          <w:sz w:val="32"/>
          <w:szCs w:val="32"/>
          <w:lang w:val="zh-CN"/>
        </w:rPr>
        <w:t>资金实际下达</w:t>
      </w:r>
      <w:r>
        <w:rPr>
          <w:rFonts w:hint="eastAsia" w:eastAsia="仿宋_GB2312" w:cs="Times New Roman"/>
          <w:sz w:val="32"/>
          <w:szCs w:val="32"/>
          <w:lang w:val="en-US" w:eastAsia="zh-CN"/>
        </w:rPr>
        <w:t>3.55</w:t>
      </w:r>
      <w:r>
        <w:rPr>
          <w:rFonts w:hint="default" w:ascii="Times New Roman" w:hAnsi="Times New Roman" w:eastAsia="仿宋_GB2312" w:cs="Times New Roman"/>
          <w:sz w:val="32"/>
          <w:szCs w:val="32"/>
          <w:lang w:val="zh-CN"/>
        </w:rPr>
        <w:t>万元。</w:t>
      </w:r>
    </w:p>
    <w:p>
      <w:pPr>
        <w:adjustRightInd w:val="0"/>
        <w:snapToGrid w:val="0"/>
        <w:spacing w:line="600" w:lineRule="exact"/>
        <w:ind w:firstLine="720"/>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3．资金使用。</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单位根据项目预算情况列支费用支出</w:t>
      </w:r>
      <w:r>
        <w:rPr>
          <w:rFonts w:hint="eastAsia" w:eastAsia="仿宋_GB2312" w:cs="Times New Roman"/>
          <w:sz w:val="32"/>
          <w:szCs w:val="32"/>
          <w:lang w:val="en-US" w:eastAsia="zh-CN"/>
        </w:rPr>
        <w:t>3.55</w:t>
      </w:r>
      <w:r>
        <w:rPr>
          <w:rFonts w:hint="default" w:ascii="Times New Roman" w:hAnsi="Times New Roman" w:eastAsia="仿宋_GB2312" w:cs="Times New Roman"/>
          <w:sz w:val="32"/>
          <w:szCs w:val="32"/>
          <w:lang w:val="zh-CN"/>
        </w:rPr>
        <w:t>万元，主要包括支付办公</w:t>
      </w:r>
      <w:r>
        <w:rPr>
          <w:rFonts w:hint="eastAsia" w:eastAsia="仿宋_GB2312" w:cs="Times New Roman"/>
          <w:sz w:val="32"/>
          <w:szCs w:val="32"/>
          <w:lang w:val="zh-CN"/>
        </w:rPr>
        <w:t>、</w:t>
      </w:r>
      <w:r>
        <w:rPr>
          <w:rFonts w:hint="default" w:ascii="Times New Roman" w:hAnsi="Times New Roman" w:eastAsia="仿宋_GB2312" w:cs="Times New Roman"/>
          <w:sz w:val="32"/>
          <w:szCs w:val="32"/>
          <w:lang w:val="zh-CN"/>
        </w:rPr>
        <w:t>重点项目广告相关制作费</w:t>
      </w:r>
      <w:r>
        <w:rPr>
          <w:rFonts w:hint="eastAsia" w:eastAsia="仿宋_GB2312" w:cs="Times New Roman"/>
          <w:sz w:val="32"/>
          <w:szCs w:val="32"/>
          <w:lang w:val="en-US" w:eastAsia="zh-CN"/>
        </w:rPr>
        <w:t>3.55</w:t>
      </w:r>
      <w:r>
        <w:rPr>
          <w:rFonts w:hint="default" w:ascii="Times New Roman" w:hAnsi="Times New Roman" w:eastAsia="仿宋_GB2312" w:cs="Times New Roman"/>
          <w:sz w:val="32"/>
          <w:szCs w:val="32"/>
          <w:lang w:val="zh-CN"/>
        </w:rPr>
        <w:t>万元。资金的支付范围、支付标准、支付依据等是合规合法、与预算相符。</w:t>
      </w:r>
    </w:p>
    <w:p>
      <w:pPr>
        <w:adjustRightInd w:val="0"/>
        <w:snapToGrid w:val="0"/>
        <w:spacing w:line="600" w:lineRule="exact"/>
        <w:ind w:firstLine="643" w:firstLineChars="20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pPr>
        <w:adjustRightInd w:val="0"/>
        <w:snapToGrid w:val="0"/>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西区商务局有健全的财务制度，项目预算、资金拨付严格按照财务管理制度进行管理。保证专款专用，资金支付由财务人员严格按照财务制度相关规定进行资金的审核、支付和核算，财务处理及时，核算规范。</w:t>
      </w:r>
    </w:p>
    <w:p>
      <w:pPr>
        <w:pStyle w:val="28"/>
        <w:numPr>
          <w:ilvl w:val="0"/>
          <w:numId w:val="4"/>
        </w:numPr>
        <w:adjustRightInd w:val="0"/>
        <w:snapToGrid w:val="0"/>
        <w:spacing w:line="600" w:lineRule="exact"/>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项目实施及管理情况</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结合项目组织实施管理办法，重点围绕以下内容进行分析评价，并对自评中发现的问题分析说明。</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（一）项目组织架构及实施流程。</w:t>
      </w:r>
    </w:p>
    <w:p>
      <w:pPr>
        <w:adjustRightInd w:val="0"/>
        <w:snapToGrid w:val="0"/>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1.西区财政局根据预算项目批复，下达项目经费，预算单位进行项目实施计划。</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2.对项目实施前，报业务分管领导同意，重大支出还需报单位主要领导同意或经过局党组会议议定通过后实施。</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3.项目实施主要经办人填写报销凭证，交会计审核单据合理合法性及数据填写规范准确性，报财务分管领导审批后交财务办理款项支付。</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（二）项目管理情况。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根据实际情况建立健全了各项财务管理制度和约束机制，项目预算、资金拨付等严格执行财务管理制度，保证专款专用。财务人员按照相关规定进行了资金的审核、支付、核算，财务处理及时、规范。</w:t>
      </w:r>
    </w:p>
    <w:p>
      <w:pPr>
        <w:adjustRightInd w:val="0"/>
        <w:snapToGrid w:val="0"/>
        <w:spacing w:line="600" w:lineRule="exact"/>
        <w:ind w:firstLine="630" w:firstLineChars="196"/>
        <w:rPr>
          <w:rFonts w:hint="default" w:ascii="Times New Roman" w:hAnsi="Times New Roman" w:cs="Times New Roman"/>
          <w:lang w:val="zh-CN"/>
        </w:rPr>
      </w:pPr>
      <w:r>
        <w:rPr>
          <w:rFonts w:hint="default" w:ascii="Times New Roman" w:hAnsi="Times New Roman" w:eastAsia="楷体_GB2312" w:cs="Times New Roman"/>
          <w:b/>
          <w:sz w:val="32"/>
          <w:szCs w:val="32"/>
          <w:lang w:val="zh-CN"/>
        </w:rPr>
        <w:t>（三）项目监管情况。</w:t>
      </w:r>
      <w:r>
        <w:rPr>
          <w:rFonts w:hint="default" w:ascii="Times New Roman" w:hAnsi="Times New Roman" w:eastAsia="仿宋_GB2312" w:cs="Times New Roman"/>
          <w:sz w:val="32"/>
          <w:szCs w:val="32"/>
          <w:lang w:val="zh-CN"/>
        </w:rPr>
        <w:t>项目完成情况每年要填绩效分析报告，并上报相关对口管理</w:t>
      </w:r>
      <w:r>
        <w:rPr>
          <w:rFonts w:hint="eastAsia" w:eastAsia="仿宋_GB2312" w:cs="Times New Roman"/>
          <w:sz w:val="32"/>
          <w:szCs w:val="32"/>
          <w:lang w:val="zh-CN"/>
        </w:rPr>
        <w:t>单位</w:t>
      </w:r>
      <w:r>
        <w:rPr>
          <w:rFonts w:hint="default" w:ascii="Times New Roman" w:hAnsi="Times New Roman" w:eastAsia="仿宋_GB2312" w:cs="Times New Roman"/>
          <w:sz w:val="32"/>
          <w:szCs w:val="32"/>
          <w:lang w:val="zh-CN"/>
        </w:rPr>
        <w:t>检查。</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黑体" w:cs="Times New Roman"/>
          <w:sz w:val="32"/>
          <w:szCs w:val="32"/>
        </w:rPr>
        <w:t>四、项目绩效情况</w:t>
      </w:r>
      <w:r>
        <w:rPr>
          <w:rFonts w:hint="default" w:ascii="Times New Roman" w:hAnsi="Times New Roman" w:eastAsia="仿宋_GB2312" w:cs="Times New Roman"/>
          <w:sz w:val="32"/>
          <w:szCs w:val="32"/>
          <w:lang w:val="zh-CN"/>
        </w:rPr>
        <w:tab/>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1.数量指标：已按进度完成</w:t>
      </w:r>
      <w:r>
        <w:rPr>
          <w:rFonts w:hint="eastAsia" w:eastAsia="仿宋_GB2312" w:cs="Times New Roman"/>
          <w:sz w:val="32"/>
          <w:szCs w:val="32"/>
          <w:lang w:val="zh-CN"/>
        </w:rPr>
        <w:t>2024</w:t>
      </w:r>
      <w:r>
        <w:rPr>
          <w:rFonts w:hint="default" w:ascii="Times New Roman" w:hAnsi="Times New Roman" w:eastAsia="仿宋_GB2312" w:cs="Times New Roman"/>
          <w:sz w:val="32"/>
          <w:szCs w:val="32"/>
          <w:lang w:val="zh-CN"/>
        </w:rPr>
        <w:t>年</w:t>
      </w:r>
      <w:r>
        <w:rPr>
          <w:rFonts w:hint="default" w:ascii="Times New Roman" w:hAnsi="Times New Roman" w:eastAsia="仿宋_GB2312" w:cs="Times New Roman"/>
          <w:sz w:val="32"/>
          <w:szCs w:val="32"/>
        </w:rPr>
        <w:t>完成8户重点服务业升规入库和9户商贸企业升规入库培育</w:t>
      </w:r>
      <w:r>
        <w:rPr>
          <w:rFonts w:hint="default" w:ascii="Times New Roman" w:hAnsi="Times New Roman" w:eastAsia="仿宋_GB2312" w:cs="Times New Roman"/>
          <w:sz w:val="32"/>
          <w:szCs w:val="32"/>
          <w:lang w:val="zh-CN"/>
        </w:rPr>
        <w:t>工作。</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2.质量指标：有效促进经济发展、有效推进升规入库培育工作进度。</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3.时效指标：按时完成。</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4.成本指标：支付</w:t>
      </w:r>
      <w:r>
        <w:rPr>
          <w:rFonts w:hint="eastAsia" w:eastAsia="仿宋_GB2312" w:cs="Times New Roman"/>
          <w:sz w:val="32"/>
          <w:szCs w:val="32"/>
          <w:lang w:val="en-US" w:eastAsia="zh-CN"/>
        </w:rPr>
        <w:t>3.55</w:t>
      </w:r>
      <w:r>
        <w:rPr>
          <w:rFonts w:hint="default" w:ascii="Times New Roman" w:hAnsi="Times New Roman" w:eastAsia="仿宋_GB2312" w:cs="Times New Roman"/>
          <w:sz w:val="32"/>
          <w:szCs w:val="32"/>
          <w:lang w:val="zh-CN"/>
        </w:rPr>
        <w:t>万元，支付占项目总经费的</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zh-CN"/>
        </w:rPr>
        <w:t>%。</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（二）项目效益情况。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项目完成情况每年都要向上级财政</w:t>
      </w:r>
      <w:r>
        <w:rPr>
          <w:rFonts w:hint="eastAsia" w:eastAsia="仿宋_GB2312" w:cs="Times New Roman"/>
          <w:sz w:val="32"/>
          <w:szCs w:val="32"/>
          <w:lang w:val="zh-CN"/>
        </w:rPr>
        <w:t>单位</w:t>
      </w:r>
      <w:r>
        <w:rPr>
          <w:rFonts w:hint="default" w:ascii="Times New Roman" w:hAnsi="Times New Roman" w:eastAsia="仿宋_GB2312" w:cs="Times New Roman"/>
          <w:sz w:val="32"/>
          <w:szCs w:val="32"/>
          <w:lang w:val="zh-CN"/>
        </w:rPr>
        <w:t>报送相关的绩效分析评价，并上报相关对口管理</w:t>
      </w:r>
      <w:r>
        <w:rPr>
          <w:rFonts w:hint="eastAsia" w:eastAsia="仿宋_GB2312" w:cs="Times New Roman"/>
          <w:sz w:val="32"/>
          <w:szCs w:val="32"/>
          <w:lang w:val="zh-CN"/>
        </w:rPr>
        <w:t>单位</w:t>
      </w:r>
      <w:r>
        <w:rPr>
          <w:rFonts w:hint="default" w:ascii="Times New Roman" w:hAnsi="Times New Roman" w:eastAsia="仿宋_GB2312" w:cs="Times New Roman"/>
          <w:sz w:val="32"/>
          <w:szCs w:val="32"/>
          <w:lang w:val="zh-CN"/>
        </w:rPr>
        <w:t>检查。</w:t>
      </w:r>
    </w:p>
    <w:p>
      <w:pPr>
        <w:adjustRightInd w:val="0"/>
        <w:snapToGrid w:val="0"/>
        <w:spacing w:line="600" w:lineRule="exact"/>
        <w:ind w:firstLine="72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pPr>
        <w:adjustRightInd w:val="0"/>
        <w:snapToGrid w:val="0"/>
        <w:spacing w:line="600" w:lineRule="exact"/>
        <w:ind w:firstLine="72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项目全年预算数9万元，压缩经费开支及受疫情等多种因素的影响，年末调减预算</w:t>
      </w:r>
      <w:r>
        <w:rPr>
          <w:rFonts w:hint="eastAsia" w:eastAsia="仿宋_GB2312" w:cs="Times New Roman"/>
          <w:kern w:val="0"/>
          <w:sz w:val="32"/>
          <w:szCs w:val="32"/>
          <w:lang w:val="en-US" w:eastAsia="zh-CN"/>
        </w:rPr>
        <w:t>5.45</w:t>
      </w:r>
      <w:r>
        <w:rPr>
          <w:rFonts w:hint="default" w:ascii="Times New Roman" w:hAnsi="Times New Roman" w:eastAsia="仿宋_GB2312" w:cs="Times New Roman"/>
          <w:kern w:val="0"/>
          <w:sz w:val="32"/>
          <w:szCs w:val="32"/>
        </w:rPr>
        <w:t>万元，执行数为</w:t>
      </w:r>
      <w:r>
        <w:rPr>
          <w:rFonts w:hint="eastAsia" w:eastAsia="仿宋_GB2312" w:cs="Times New Roman"/>
          <w:kern w:val="0"/>
          <w:sz w:val="32"/>
          <w:szCs w:val="32"/>
          <w:lang w:val="en-US" w:eastAsia="zh-CN"/>
        </w:rPr>
        <w:t>3.55</w:t>
      </w:r>
      <w:r>
        <w:rPr>
          <w:rFonts w:hint="default" w:ascii="Times New Roman" w:hAnsi="Times New Roman" w:eastAsia="仿宋_GB2312" w:cs="Times New Roman"/>
          <w:kern w:val="0"/>
          <w:sz w:val="32"/>
          <w:szCs w:val="32"/>
        </w:rPr>
        <w:t>万元。通过项目实施，保障对</w:t>
      </w:r>
      <w:r>
        <w:rPr>
          <w:rFonts w:hint="default" w:ascii="Times New Roman" w:hAnsi="Times New Roman" w:eastAsia="仿宋_GB2312" w:cs="Times New Roman"/>
          <w:sz w:val="32"/>
          <w:szCs w:val="32"/>
          <w:lang w:val="zh-CN"/>
        </w:rPr>
        <w:t>有效推进升规入库培育工作</w:t>
      </w:r>
      <w:r>
        <w:rPr>
          <w:rFonts w:hint="default" w:ascii="Times New Roman" w:hAnsi="Times New Roman" w:eastAsia="仿宋_GB2312" w:cs="Times New Roman"/>
          <w:kern w:val="0"/>
          <w:sz w:val="32"/>
          <w:szCs w:val="32"/>
        </w:rPr>
        <w:t>，协调</w:t>
      </w:r>
      <w:r>
        <w:rPr>
          <w:rFonts w:hint="default" w:ascii="Times New Roman" w:hAnsi="Times New Roman" w:eastAsia="仿宋_GB2312" w:cs="Times New Roman"/>
          <w:sz w:val="32"/>
          <w:szCs w:val="32"/>
          <w:lang w:val="zh-CN"/>
        </w:rPr>
        <w:t>升规入库培育工作</w:t>
      </w:r>
      <w:r>
        <w:rPr>
          <w:rFonts w:hint="default" w:ascii="Times New Roman" w:hAnsi="Times New Roman" w:eastAsia="仿宋_GB2312" w:cs="Times New Roman"/>
          <w:kern w:val="0"/>
          <w:sz w:val="32"/>
          <w:szCs w:val="32"/>
        </w:rPr>
        <w:t>中存在的困难和问题，促进项目顺利实施。</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（二）存在的问题。</w:t>
      </w:r>
    </w:p>
    <w:p>
      <w:pPr>
        <w:adjustRightInd w:val="0"/>
        <w:snapToGrid w:val="0"/>
        <w:spacing w:line="600" w:lineRule="exact"/>
        <w:ind w:firstLine="624"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pacing w:val="-4"/>
          <w:sz w:val="32"/>
          <w:szCs w:val="32"/>
        </w:rPr>
        <w:t>一是经济下行压力大，指标完成较为困难。二是产业结构需改善，缺乏高速增长支撑。三是外贸企业基础弱，缺乏优质市场主体。</w:t>
      </w:r>
      <w:r>
        <w:rPr>
          <w:rFonts w:hint="default" w:ascii="Times New Roman" w:hAnsi="Times New Roman" w:eastAsia="仿宋_GB2312" w:cs="Times New Roman"/>
          <w:kern w:val="0"/>
          <w:sz w:val="32"/>
          <w:szCs w:val="32"/>
          <w:shd w:val="clear" w:color="auto" w:fill="FFFFFF"/>
        </w:rPr>
        <w:t>。</w:t>
      </w:r>
      <w:r>
        <w:rPr>
          <w:rFonts w:hint="default" w:ascii="Times New Roman" w:hAnsi="Times New Roman" w:eastAsia="仿宋_GB2312" w:cs="Times New Roman"/>
          <w:sz w:val="32"/>
          <w:szCs w:val="32"/>
          <w:lang w:val="zh-CN"/>
        </w:rPr>
        <w:tab/>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（三）相关建议。</w:t>
      </w:r>
    </w:p>
    <w:p>
      <w:pPr>
        <w:pStyle w:val="9"/>
        <w:spacing w:before="93"/>
        <w:ind w:firstLine="640" w:firstLineChars="200"/>
        <w:rPr>
          <w:rFonts w:hint="default" w:ascii="Times New Roman" w:hAnsi="Times New Roman" w:cs="Times New Roman"/>
          <w:sz w:val="32"/>
          <w:szCs w:val="32"/>
          <w:shd w:val="clear" w:color="auto" w:fill="FFFFFF"/>
        </w:rPr>
      </w:pPr>
      <w:r>
        <w:rPr>
          <w:rFonts w:hint="default" w:ascii="Times New Roman" w:hAnsi="Times New Roman" w:cs="Times New Roman"/>
          <w:sz w:val="32"/>
          <w:szCs w:val="32"/>
          <w:shd w:val="clear" w:color="auto" w:fill="FFFFFF"/>
        </w:rPr>
        <w:t>严格控制各项支出，提高经费使用效率，保障业务目标的顺利完成，达到指导和协调全区服务业发展的工作目标。</w:t>
      </w:r>
    </w:p>
    <w:p>
      <w:pPr>
        <w:spacing w:line="580" w:lineRule="exact"/>
        <w:rPr>
          <w:rStyle w:val="29"/>
          <w:rFonts w:hint="default" w:ascii="Times New Roman" w:hAnsi="Times New Roman" w:eastAsia="黑体" w:cs="Times New Roman"/>
          <w:b w:val="0"/>
        </w:rPr>
      </w:pPr>
    </w:p>
    <w:p>
      <w:pPr>
        <w:widowControl/>
        <w:jc w:val="left"/>
        <w:rPr>
          <w:rFonts w:hint="default" w:ascii="Times New Roman" w:hAnsi="Times New Roman" w:eastAsia="黑体" w:cs="Times New Roman"/>
          <w:bCs/>
          <w:kern w:val="44"/>
          <w:sz w:val="44"/>
          <w:szCs w:val="44"/>
        </w:rPr>
      </w:pPr>
      <w:r>
        <w:rPr>
          <w:rStyle w:val="29"/>
          <w:rFonts w:hint="default" w:ascii="Times New Roman" w:hAnsi="Times New Roman" w:eastAsia="黑体" w:cs="Times New Roman"/>
        </w:rPr>
        <w:br w:type="page"/>
      </w:r>
    </w:p>
    <w:p>
      <w:pPr>
        <w:spacing w:line="600" w:lineRule="exact"/>
        <w:jc w:val="center"/>
        <w:outlineLvl w:val="0"/>
        <w:rPr>
          <w:rFonts w:hint="default"/>
        </w:rPr>
      </w:pPr>
      <w:bookmarkStart w:id="61" w:name="_Toc15396618"/>
      <w:r>
        <w:rPr>
          <w:rFonts w:hint="default" w:ascii="Times New Roman" w:hAnsi="Times New Roman" w:eastAsia="黑体" w:cs="Times New Roman"/>
          <w:sz w:val="44"/>
          <w:szCs w:val="44"/>
        </w:rPr>
        <w:t>第</w:t>
      </w:r>
      <w:r>
        <w:rPr>
          <w:rStyle w:val="29"/>
          <w:rFonts w:hint="default" w:ascii="Times New Roman" w:hAnsi="Times New Roman" w:eastAsia="黑体" w:cs="Times New Roman"/>
          <w:b w:val="0"/>
        </w:rPr>
        <w:t>五部分附表</w:t>
      </w:r>
      <w:bookmarkEnd w:id="59"/>
      <w:bookmarkEnd w:id="61"/>
      <w:bookmarkStart w:id="62" w:name="_Toc15396619"/>
    </w:p>
    <w:p>
      <w:pPr>
        <w:pStyle w:val="6"/>
        <w:rPr>
          <w:rFonts w:hint="default" w:ascii="Times New Roman" w:hAnsi="Times New Roman" w:eastAsia="仿宋" w:cs="Times New Roman"/>
        </w:rPr>
      </w:pPr>
      <w:r>
        <w:rPr>
          <w:rFonts w:hint="default" w:ascii="Times New Roman" w:hAnsi="Times New Roman" w:eastAsia="仿宋" w:cs="Times New Roman"/>
          <w:b w:val="0"/>
        </w:rPr>
        <w:t>一、收</w:t>
      </w:r>
      <w:r>
        <w:rPr>
          <w:rStyle w:val="30"/>
          <w:rFonts w:hint="default" w:ascii="Times New Roman" w:hAnsi="Times New Roman" w:eastAsia="仿宋" w:cs="Times New Roman"/>
          <w:b w:val="0"/>
          <w:bCs w:val="0"/>
        </w:rPr>
        <w:t>入支出决算总表</w:t>
      </w:r>
      <w:bookmarkEnd w:id="62"/>
    </w:p>
    <w:p>
      <w:pPr>
        <w:pStyle w:val="6"/>
        <w:rPr>
          <w:rFonts w:hint="default" w:ascii="Times New Roman" w:hAnsi="Times New Roman" w:eastAsia="仿宋" w:cs="Times New Roman"/>
        </w:rPr>
      </w:pPr>
      <w:bookmarkStart w:id="63" w:name="_Toc15396620"/>
      <w:r>
        <w:rPr>
          <w:rFonts w:hint="default" w:ascii="Times New Roman" w:hAnsi="Times New Roman" w:eastAsia="仿宋" w:cs="Times New Roman"/>
          <w:b w:val="0"/>
        </w:rPr>
        <w:t>二、收</w:t>
      </w:r>
      <w:r>
        <w:rPr>
          <w:rStyle w:val="30"/>
          <w:rFonts w:hint="default" w:ascii="Times New Roman" w:hAnsi="Times New Roman" w:eastAsia="仿宋" w:cs="Times New Roman"/>
          <w:b w:val="0"/>
          <w:bCs w:val="0"/>
        </w:rPr>
        <w:t>入决算表</w:t>
      </w:r>
      <w:bookmarkEnd w:id="63"/>
    </w:p>
    <w:p>
      <w:pPr>
        <w:pStyle w:val="6"/>
        <w:rPr>
          <w:rFonts w:hint="default" w:ascii="Times New Roman" w:hAnsi="Times New Roman" w:eastAsia="仿宋" w:cs="Times New Roman"/>
        </w:rPr>
      </w:pPr>
      <w:bookmarkStart w:id="64" w:name="_Toc15396621"/>
      <w:r>
        <w:rPr>
          <w:rStyle w:val="30"/>
          <w:rFonts w:hint="default" w:ascii="Times New Roman" w:hAnsi="Times New Roman" w:eastAsia="仿宋" w:cs="Times New Roman"/>
          <w:b w:val="0"/>
          <w:bCs w:val="0"/>
        </w:rPr>
        <w:t>三、</w:t>
      </w:r>
      <w:r>
        <w:rPr>
          <w:rFonts w:hint="default" w:ascii="Times New Roman" w:hAnsi="Times New Roman" w:eastAsia="仿宋" w:cs="Times New Roman"/>
          <w:b w:val="0"/>
        </w:rPr>
        <w:t>支</w:t>
      </w:r>
      <w:r>
        <w:rPr>
          <w:rStyle w:val="30"/>
          <w:rFonts w:hint="default" w:ascii="Times New Roman" w:hAnsi="Times New Roman" w:eastAsia="仿宋" w:cs="Times New Roman"/>
          <w:b w:val="0"/>
          <w:bCs w:val="0"/>
        </w:rPr>
        <w:t>出决算表</w:t>
      </w:r>
      <w:bookmarkEnd w:id="64"/>
    </w:p>
    <w:p>
      <w:pPr>
        <w:pStyle w:val="6"/>
        <w:rPr>
          <w:rFonts w:hint="default" w:ascii="Times New Roman" w:hAnsi="Times New Roman" w:eastAsia="仿宋" w:cs="Times New Roman"/>
          <w:b w:val="0"/>
        </w:rPr>
      </w:pPr>
      <w:bookmarkStart w:id="65" w:name="_Toc15396622"/>
      <w:r>
        <w:rPr>
          <w:rStyle w:val="30"/>
          <w:rFonts w:hint="default" w:ascii="Times New Roman" w:hAnsi="Times New Roman" w:eastAsia="仿宋" w:cs="Times New Roman"/>
          <w:b w:val="0"/>
          <w:bCs w:val="0"/>
        </w:rPr>
        <w:t>四、</w:t>
      </w:r>
      <w:r>
        <w:rPr>
          <w:rFonts w:hint="default" w:ascii="Times New Roman" w:hAnsi="Times New Roman" w:eastAsia="仿宋" w:cs="Times New Roman"/>
          <w:b w:val="0"/>
        </w:rPr>
        <w:t>财</w:t>
      </w:r>
      <w:r>
        <w:rPr>
          <w:rStyle w:val="30"/>
          <w:rFonts w:hint="default" w:ascii="Times New Roman" w:hAnsi="Times New Roman" w:eastAsia="仿宋" w:cs="Times New Roman"/>
          <w:b w:val="0"/>
          <w:bCs w:val="0"/>
        </w:rPr>
        <w:t>政拨款收入支出决算总表</w:t>
      </w:r>
      <w:bookmarkEnd w:id="65"/>
    </w:p>
    <w:p>
      <w:pPr>
        <w:pStyle w:val="6"/>
        <w:rPr>
          <w:rStyle w:val="30"/>
          <w:rFonts w:hint="default" w:ascii="Times New Roman" w:hAnsi="Times New Roman" w:eastAsia="仿宋" w:cs="Times New Roman"/>
          <w:b w:val="0"/>
          <w:bCs w:val="0"/>
        </w:rPr>
      </w:pPr>
      <w:bookmarkStart w:id="66" w:name="_Toc15396623"/>
      <w:r>
        <w:rPr>
          <w:rStyle w:val="30"/>
          <w:rFonts w:hint="default" w:ascii="Times New Roman" w:hAnsi="Times New Roman" w:eastAsia="仿宋" w:cs="Times New Roman"/>
          <w:b w:val="0"/>
          <w:bCs w:val="0"/>
        </w:rPr>
        <w:t>五、</w:t>
      </w:r>
      <w:r>
        <w:rPr>
          <w:rFonts w:hint="default" w:ascii="Times New Roman" w:hAnsi="Times New Roman" w:eastAsia="仿宋" w:cs="Times New Roman"/>
          <w:b w:val="0"/>
        </w:rPr>
        <w:t>财</w:t>
      </w:r>
      <w:r>
        <w:rPr>
          <w:rStyle w:val="30"/>
          <w:rFonts w:hint="default" w:ascii="Times New Roman" w:hAnsi="Times New Roman" w:eastAsia="仿宋" w:cs="Times New Roman"/>
          <w:b w:val="0"/>
          <w:bCs w:val="0"/>
        </w:rPr>
        <w:t>政拨款支出决算明细表</w:t>
      </w:r>
      <w:bookmarkEnd w:id="66"/>
      <w:bookmarkStart w:id="67" w:name="_Toc15396624"/>
    </w:p>
    <w:p>
      <w:pPr>
        <w:pStyle w:val="6"/>
        <w:rPr>
          <w:rFonts w:hint="default" w:ascii="Times New Roman" w:hAnsi="Times New Roman" w:eastAsia="仿宋" w:cs="Times New Roman"/>
        </w:rPr>
      </w:pPr>
      <w:r>
        <w:rPr>
          <w:rStyle w:val="30"/>
          <w:rFonts w:hint="default" w:ascii="Times New Roman" w:hAnsi="Times New Roman" w:eastAsia="仿宋" w:cs="Times New Roman"/>
          <w:b w:val="0"/>
          <w:bCs w:val="0"/>
        </w:rPr>
        <w:t>六、</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般公共预算财政拨款支出决算表</w:t>
      </w:r>
      <w:bookmarkEnd w:id="67"/>
    </w:p>
    <w:p>
      <w:pPr>
        <w:pStyle w:val="6"/>
        <w:rPr>
          <w:rFonts w:hint="default" w:ascii="Times New Roman" w:hAnsi="Times New Roman" w:eastAsia="仿宋" w:cs="Times New Roman"/>
        </w:rPr>
      </w:pPr>
      <w:bookmarkStart w:id="68" w:name="_Toc15396625"/>
      <w:r>
        <w:rPr>
          <w:rStyle w:val="30"/>
          <w:rFonts w:hint="default" w:ascii="Times New Roman" w:hAnsi="Times New Roman" w:eastAsia="仿宋" w:cs="Times New Roman"/>
          <w:b w:val="0"/>
          <w:bCs w:val="0"/>
        </w:rPr>
        <w:t>七、</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般公共预算财政拨款支出决算明细表</w:t>
      </w:r>
      <w:bookmarkEnd w:id="68"/>
    </w:p>
    <w:p>
      <w:pPr>
        <w:pStyle w:val="6"/>
        <w:rPr>
          <w:rFonts w:hint="default" w:ascii="Times New Roman" w:hAnsi="Times New Roman" w:eastAsia="仿宋" w:cs="Times New Roman"/>
        </w:rPr>
      </w:pPr>
      <w:bookmarkStart w:id="69" w:name="_Toc15396626"/>
      <w:r>
        <w:rPr>
          <w:rStyle w:val="30"/>
          <w:rFonts w:hint="default" w:ascii="Times New Roman" w:hAnsi="Times New Roman" w:eastAsia="仿宋" w:cs="Times New Roman"/>
          <w:b w:val="0"/>
          <w:bCs w:val="0"/>
        </w:rPr>
        <w:t>八、</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般公共预算财政拨款基本支出决算表</w:t>
      </w:r>
      <w:bookmarkEnd w:id="69"/>
    </w:p>
    <w:p>
      <w:pPr>
        <w:pStyle w:val="6"/>
        <w:rPr>
          <w:rFonts w:hint="default" w:ascii="Times New Roman" w:hAnsi="Times New Roman" w:eastAsia="仿宋" w:cs="Times New Roman"/>
        </w:rPr>
      </w:pPr>
      <w:bookmarkStart w:id="70" w:name="_Toc15396627"/>
      <w:r>
        <w:rPr>
          <w:rStyle w:val="30"/>
          <w:rFonts w:hint="default" w:ascii="Times New Roman" w:hAnsi="Times New Roman" w:eastAsia="仿宋" w:cs="Times New Roman"/>
          <w:b w:val="0"/>
          <w:bCs w:val="0"/>
        </w:rPr>
        <w:t>九、</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般公共预算财政拨款项目支出决算表</w:t>
      </w:r>
      <w:bookmarkEnd w:id="70"/>
    </w:p>
    <w:p>
      <w:pPr>
        <w:pStyle w:val="6"/>
        <w:rPr>
          <w:rFonts w:hint="default" w:ascii="Times New Roman" w:hAnsi="Times New Roman" w:eastAsia="仿宋" w:cs="Times New Roman"/>
        </w:rPr>
      </w:pPr>
      <w:bookmarkStart w:id="71" w:name="_Toc15396628"/>
      <w:r>
        <w:rPr>
          <w:rStyle w:val="30"/>
          <w:rFonts w:hint="default" w:ascii="Times New Roman" w:hAnsi="Times New Roman" w:eastAsia="仿宋" w:cs="Times New Roman"/>
          <w:b w:val="0"/>
          <w:bCs w:val="0"/>
        </w:rPr>
        <w:t>十、</w:t>
      </w:r>
      <w:bookmarkEnd w:id="71"/>
      <w:r>
        <w:rPr>
          <w:rFonts w:hint="default" w:ascii="Times New Roman" w:hAnsi="Times New Roman" w:eastAsia="仿宋" w:cs="Times New Roman"/>
          <w:b w:val="0"/>
        </w:rPr>
        <w:t>政</w:t>
      </w:r>
      <w:r>
        <w:rPr>
          <w:rStyle w:val="30"/>
          <w:rFonts w:hint="default" w:ascii="Times New Roman" w:hAnsi="Times New Roman" w:eastAsia="仿宋" w:cs="Times New Roman"/>
          <w:b w:val="0"/>
          <w:bCs w:val="0"/>
        </w:rPr>
        <w:t>府性基金预算财政拨款收入支出决算表</w:t>
      </w:r>
    </w:p>
    <w:p>
      <w:pPr>
        <w:pStyle w:val="6"/>
        <w:rPr>
          <w:rStyle w:val="30"/>
          <w:rFonts w:hint="default" w:ascii="Times New Roman" w:hAnsi="Times New Roman" w:eastAsia="仿宋" w:cs="Times New Roman"/>
          <w:b w:val="0"/>
          <w:bCs w:val="0"/>
        </w:rPr>
      </w:pPr>
      <w:bookmarkStart w:id="72" w:name="_Toc15396629"/>
      <w:r>
        <w:rPr>
          <w:rStyle w:val="30"/>
          <w:rFonts w:hint="default" w:ascii="Times New Roman" w:hAnsi="Times New Roman" w:eastAsia="仿宋" w:cs="Times New Roman"/>
          <w:b w:val="0"/>
          <w:bCs w:val="0"/>
        </w:rPr>
        <w:t>十一、</w:t>
      </w:r>
      <w:bookmarkEnd w:id="72"/>
      <w:r>
        <w:rPr>
          <w:rStyle w:val="30"/>
          <w:rFonts w:hint="default" w:ascii="Times New Roman" w:hAnsi="Times New Roman" w:eastAsia="仿宋" w:cs="Times New Roman"/>
          <w:b w:val="0"/>
          <w:bCs w:val="0"/>
        </w:rPr>
        <w:t>国有资本经营预算财政拨款收入支出决算表</w:t>
      </w:r>
    </w:p>
    <w:p>
      <w:pPr>
        <w:pStyle w:val="6"/>
        <w:rPr>
          <w:rStyle w:val="30"/>
          <w:rFonts w:hint="default" w:ascii="Times New Roman" w:hAnsi="Times New Roman" w:eastAsia="仿宋" w:cs="Times New Roman"/>
          <w:b w:val="0"/>
          <w:bCs w:val="0"/>
        </w:rPr>
      </w:pPr>
      <w:bookmarkStart w:id="73" w:name="_Toc15396630"/>
      <w:r>
        <w:rPr>
          <w:rStyle w:val="30"/>
          <w:rFonts w:hint="default" w:ascii="Times New Roman" w:hAnsi="Times New Roman" w:eastAsia="仿宋" w:cs="Times New Roman"/>
          <w:b w:val="0"/>
          <w:bCs w:val="0"/>
        </w:rPr>
        <w:t>十二、</w:t>
      </w:r>
      <w:bookmarkEnd w:id="73"/>
      <w:bookmarkStart w:id="74" w:name="_Toc15396631"/>
      <w:r>
        <w:rPr>
          <w:rStyle w:val="30"/>
          <w:rFonts w:hint="default" w:ascii="Times New Roman" w:hAnsi="Times New Roman" w:eastAsia="仿宋" w:cs="Times New Roman"/>
          <w:b w:val="0"/>
          <w:bCs w:val="0"/>
        </w:rPr>
        <w:t>国有资本经营预算财政拨款支出决算表</w:t>
      </w:r>
    </w:p>
    <w:p>
      <w:pPr>
        <w:pStyle w:val="6"/>
        <w:rPr>
          <w:rStyle w:val="30"/>
          <w:rFonts w:hint="default" w:ascii="Times New Roman" w:hAnsi="Times New Roman" w:eastAsia="仿宋" w:cs="Times New Roman"/>
          <w:b w:val="0"/>
          <w:bCs w:val="0"/>
        </w:rPr>
      </w:pPr>
      <w:r>
        <w:rPr>
          <w:rStyle w:val="30"/>
          <w:rFonts w:hint="default" w:ascii="Times New Roman" w:hAnsi="Times New Roman" w:eastAsia="仿宋" w:cs="Times New Roman"/>
          <w:b w:val="0"/>
          <w:bCs w:val="0"/>
        </w:rPr>
        <w:t>十三、</w:t>
      </w:r>
      <w:bookmarkEnd w:id="74"/>
      <w:r>
        <w:rPr>
          <w:rStyle w:val="30"/>
          <w:rFonts w:hint="default" w:ascii="Times New Roman" w:hAnsi="Times New Roman" w:eastAsia="仿宋" w:cs="Times New Roman"/>
          <w:b w:val="0"/>
          <w:bCs w:val="0"/>
        </w:rPr>
        <w:t>财政拨款“三公”经费支出决算表</w:t>
      </w:r>
    </w:p>
    <w:p>
      <w:pPr>
        <w:rPr>
          <w:rFonts w:hint="default" w:ascii="Times New Roman" w:hAnsi="Times New Roman" w:eastAsia="仿宋" w:cs="Times New Roman"/>
        </w:rPr>
      </w:pPr>
    </w:p>
    <w:sectPr>
      <w:footerReference r:id="rId5" w:type="first"/>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pPr>
                                <w:pStyle w:val="1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29</w:t>
                              </w:r>
                              <w:r>
                                <w:rPr>
                                  <w:rFonts w:hint="eastAsia" w:ascii="宋体" w:hAnsi="宋体" w:eastAsia="宋体" w:cs="宋体"/>
                                  <w:sz w:val="28"/>
                                  <w:szCs w:val="28"/>
                                  <w:lang w:val="zh-CN"/>
                                </w:rPr>
                                <w:fldChar w:fldCharType="end"/>
                              </w:r>
                            </w:p>
                          </w:sdtContent>
                        </w:sdt>
                        <w:p>
                          <w:pPr>
                            <w:pStyle w:val="9"/>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sdt>
                    <w:sdtPr>
                      <w:id w:val="-1994781956"/>
                    </w:sdtPr>
                    <w:sdtContent>
                      <w:p>
                        <w:pPr>
                          <w:pStyle w:val="1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29</w:t>
                        </w:r>
                        <w:r>
                          <w:rPr>
                            <w:rFonts w:hint="eastAsia" w:ascii="宋体" w:hAnsi="宋体" w:eastAsia="宋体" w:cs="宋体"/>
                            <w:sz w:val="28"/>
                            <w:szCs w:val="28"/>
                            <w:lang w:val="zh-CN"/>
                          </w:rPr>
                          <w:fldChar w:fldCharType="end"/>
                        </w:r>
                      </w:p>
                    </w:sdtContent>
                  </w:sdt>
                  <w:p>
                    <w:pPr>
                      <w:pStyle w:val="9"/>
                    </w:pP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ZYhM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vZYhMoBAACcAwAADgAAAAAAAAABACAAAAAeAQAAZHJzL2Uyb0Rv&#10;Yy54bWxQSwUGAAAAAAYABgBZAQAAWgUAAAAA&#10;">
              <v:fill on="f" focussize="0,0"/>
              <v:stroke on="f"/>
              <v:imagedata o:title=""/>
              <o:lock v:ext="edit" aspectratio="f"/>
              <v:textbox inset="0mm,0mm,0mm,0mm" style="mso-fit-shape-to-text:t;">
                <w:txbxContent>
                  <w:p>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DEA6ED5"/>
    <w:multiLevelType w:val="multilevel"/>
    <w:tmpl w:val="0DEA6ED5"/>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0A64"/>
    <w:rsid w:val="00004665"/>
    <w:rsid w:val="00005973"/>
    <w:rsid w:val="0000737B"/>
    <w:rsid w:val="000079DE"/>
    <w:rsid w:val="00012371"/>
    <w:rsid w:val="00013A55"/>
    <w:rsid w:val="000203A5"/>
    <w:rsid w:val="00020F9A"/>
    <w:rsid w:val="000222C6"/>
    <w:rsid w:val="0002549F"/>
    <w:rsid w:val="0002560F"/>
    <w:rsid w:val="00025782"/>
    <w:rsid w:val="00026445"/>
    <w:rsid w:val="00030E30"/>
    <w:rsid w:val="000437E1"/>
    <w:rsid w:val="000468DB"/>
    <w:rsid w:val="00050160"/>
    <w:rsid w:val="00054261"/>
    <w:rsid w:val="000548FB"/>
    <w:rsid w:val="00055408"/>
    <w:rsid w:val="000558AB"/>
    <w:rsid w:val="0006487A"/>
    <w:rsid w:val="00065CE0"/>
    <w:rsid w:val="00065F8F"/>
    <w:rsid w:val="00070950"/>
    <w:rsid w:val="00070A43"/>
    <w:rsid w:val="00072A47"/>
    <w:rsid w:val="00072E8D"/>
    <w:rsid w:val="000768F2"/>
    <w:rsid w:val="000901DD"/>
    <w:rsid w:val="0009065F"/>
    <w:rsid w:val="0009184B"/>
    <w:rsid w:val="00094236"/>
    <w:rsid w:val="00095409"/>
    <w:rsid w:val="0009593C"/>
    <w:rsid w:val="00097247"/>
    <w:rsid w:val="00097322"/>
    <w:rsid w:val="000A4A6A"/>
    <w:rsid w:val="000A6A92"/>
    <w:rsid w:val="000B047F"/>
    <w:rsid w:val="000B145B"/>
    <w:rsid w:val="000B2573"/>
    <w:rsid w:val="000B3220"/>
    <w:rsid w:val="000B5923"/>
    <w:rsid w:val="000B5A48"/>
    <w:rsid w:val="000B6FF3"/>
    <w:rsid w:val="000C2627"/>
    <w:rsid w:val="000C3467"/>
    <w:rsid w:val="000C3CA6"/>
    <w:rsid w:val="000C6570"/>
    <w:rsid w:val="000D081E"/>
    <w:rsid w:val="000D1267"/>
    <w:rsid w:val="000D1D50"/>
    <w:rsid w:val="000D3E34"/>
    <w:rsid w:val="000D4F83"/>
    <w:rsid w:val="000D5782"/>
    <w:rsid w:val="000E02D7"/>
    <w:rsid w:val="000E0D64"/>
    <w:rsid w:val="000E258D"/>
    <w:rsid w:val="000E6037"/>
    <w:rsid w:val="000E6613"/>
    <w:rsid w:val="000E6CDE"/>
    <w:rsid w:val="000E7119"/>
    <w:rsid w:val="000F54E6"/>
    <w:rsid w:val="000F73A6"/>
    <w:rsid w:val="000F7D7E"/>
    <w:rsid w:val="001049E2"/>
    <w:rsid w:val="00106057"/>
    <w:rsid w:val="00106780"/>
    <w:rsid w:val="001105E2"/>
    <w:rsid w:val="001110F4"/>
    <w:rsid w:val="0011275D"/>
    <w:rsid w:val="00114E9B"/>
    <w:rsid w:val="00125FD2"/>
    <w:rsid w:val="00127863"/>
    <w:rsid w:val="001317EB"/>
    <w:rsid w:val="00142216"/>
    <w:rsid w:val="00142725"/>
    <w:rsid w:val="00144D6A"/>
    <w:rsid w:val="0014615C"/>
    <w:rsid w:val="0014729F"/>
    <w:rsid w:val="0015042A"/>
    <w:rsid w:val="0015185A"/>
    <w:rsid w:val="00157BAB"/>
    <w:rsid w:val="00160BD5"/>
    <w:rsid w:val="001654D1"/>
    <w:rsid w:val="00170D9A"/>
    <w:rsid w:val="00174518"/>
    <w:rsid w:val="0018106D"/>
    <w:rsid w:val="00181127"/>
    <w:rsid w:val="001870D8"/>
    <w:rsid w:val="001877A7"/>
    <w:rsid w:val="00191536"/>
    <w:rsid w:val="00196687"/>
    <w:rsid w:val="0019756B"/>
    <w:rsid w:val="001A51B9"/>
    <w:rsid w:val="001B1A3A"/>
    <w:rsid w:val="001B34EE"/>
    <w:rsid w:val="001C0962"/>
    <w:rsid w:val="001C6766"/>
    <w:rsid w:val="001C7B8C"/>
    <w:rsid w:val="001D5E13"/>
    <w:rsid w:val="001D7531"/>
    <w:rsid w:val="001E00D1"/>
    <w:rsid w:val="001E4568"/>
    <w:rsid w:val="001E4C0E"/>
    <w:rsid w:val="001E737D"/>
    <w:rsid w:val="001F0592"/>
    <w:rsid w:val="001F31FE"/>
    <w:rsid w:val="001F6D7B"/>
    <w:rsid w:val="001F7506"/>
    <w:rsid w:val="002006CD"/>
    <w:rsid w:val="00201520"/>
    <w:rsid w:val="00201E09"/>
    <w:rsid w:val="00202B36"/>
    <w:rsid w:val="00203703"/>
    <w:rsid w:val="00204B7A"/>
    <w:rsid w:val="00204CDE"/>
    <w:rsid w:val="0021101A"/>
    <w:rsid w:val="0021223B"/>
    <w:rsid w:val="00214292"/>
    <w:rsid w:val="00220536"/>
    <w:rsid w:val="0022333D"/>
    <w:rsid w:val="00224E86"/>
    <w:rsid w:val="00234CC5"/>
    <w:rsid w:val="00235629"/>
    <w:rsid w:val="00236437"/>
    <w:rsid w:val="002414C3"/>
    <w:rsid w:val="00254872"/>
    <w:rsid w:val="002559DA"/>
    <w:rsid w:val="00256CD1"/>
    <w:rsid w:val="00260C38"/>
    <w:rsid w:val="002616C0"/>
    <w:rsid w:val="00265372"/>
    <w:rsid w:val="002662AA"/>
    <w:rsid w:val="00274C40"/>
    <w:rsid w:val="0027587B"/>
    <w:rsid w:val="00280496"/>
    <w:rsid w:val="00281413"/>
    <w:rsid w:val="00294440"/>
    <w:rsid w:val="00294DC9"/>
    <w:rsid w:val="00295495"/>
    <w:rsid w:val="00295856"/>
    <w:rsid w:val="00297E84"/>
    <w:rsid w:val="002A31DE"/>
    <w:rsid w:val="002A3F26"/>
    <w:rsid w:val="002A6412"/>
    <w:rsid w:val="002A7085"/>
    <w:rsid w:val="002B1563"/>
    <w:rsid w:val="002B2613"/>
    <w:rsid w:val="002B2998"/>
    <w:rsid w:val="002B4434"/>
    <w:rsid w:val="002B6791"/>
    <w:rsid w:val="002C082B"/>
    <w:rsid w:val="002C2702"/>
    <w:rsid w:val="002C3D1A"/>
    <w:rsid w:val="002C57D8"/>
    <w:rsid w:val="002C5D85"/>
    <w:rsid w:val="002D2134"/>
    <w:rsid w:val="002D6D05"/>
    <w:rsid w:val="002F014E"/>
    <w:rsid w:val="002F06F2"/>
    <w:rsid w:val="002F1818"/>
    <w:rsid w:val="002F1993"/>
    <w:rsid w:val="002F1BB3"/>
    <w:rsid w:val="002F567B"/>
    <w:rsid w:val="002F6684"/>
    <w:rsid w:val="00314ED8"/>
    <w:rsid w:val="00316D36"/>
    <w:rsid w:val="00320A6B"/>
    <w:rsid w:val="003216A9"/>
    <w:rsid w:val="0032414F"/>
    <w:rsid w:val="00327D6F"/>
    <w:rsid w:val="00335A74"/>
    <w:rsid w:val="003363BC"/>
    <w:rsid w:val="0034631D"/>
    <w:rsid w:val="00347D22"/>
    <w:rsid w:val="00352DB7"/>
    <w:rsid w:val="00356474"/>
    <w:rsid w:val="00356A09"/>
    <w:rsid w:val="0036037F"/>
    <w:rsid w:val="0036160F"/>
    <w:rsid w:val="0036561B"/>
    <w:rsid w:val="0037013F"/>
    <w:rsid w:val="003800FC"/>
    <w:rsid w:val="00380C92"/>
    <w:rsid w:val="00382104"/>
    <w:rsid w:val="003833E3"/>
    <w:rsid w:val="00386516"/>
    <w:rsid w:val="00386C45"/>
    <w:rsid w:val="0038742E"/>
    <w:rsid w:val="0039299F"/>
    <w:rsid w:val="003A484F"/>
    <w:rsid w:val="003A4883"/>
    <w:rsid w:val="003B0BE0"/>
    <w:rsid w:val="003B0C1B"/>
    <w:rsid w:val="003B22F5"/>
    <w:rsid w:val="003B5066"/>
    <w:rsid w:val="003B688C"/>
    <w:rsid w:val="003C0291"/>
    <w:rsid w:val="003C3728"/>
    <w:rsid w:val="003C39AE"/>
    <w:rsid w:val="003C7B60"/>
    <w:rsid w:val="003D0C0F"/>
    <w:rsid w:val="003D1FB2"/>
    <w:rsid w:val="003D21BF"/>
    <w:rsid w:val="003D66DA"/>
    <w:rsid w:val="003D707D"/>
    <w:rsid w:val="003E043F"/>
    <w:rsid w:val="003E0750"/>
    <w:rsid w:val="003E1310"/>
    <w:rsid w:val="003E61EA"/>
    <w:rsid w:val="003E6F55"/>
    <w:rsid w:val="003F2AE0"/>
    <w:rsid w:val="003F5BBB"/>
    <w:rsid w:val="004021CD"/>
    <w:rsid w:val="00402727"/>
    <w:rsid w:val="00406254"/>
    <w:rsid w:val="00407894"/>
    <w:rsid w:val="00411061"/>
    <w:rsid w:val="00415D0F"/>
    <w:rsid w:val="004177F1"/>
    <w:rsid w:val="004223DE"/>
    <w:rsid w:val="00422A38"/>
    <w:rsid w:val="0042306D"/>
    <w:rsid w:val="00432493"/>
    <w:rsid w:val="00434489"/>
    <w:rsid w:val="0043475A"/>
    <w:rsid w:val="0043513F"/>
    <w:rsid w:val="00435639"/>
    <w:rsid w:val="00437085"/>
    <w:rsid w:val="00437886"/>
    <w:rsid w:val="00443880"/>
    <w:rsid w:val="00444B2A"/>
    <w:rsid w:val="004464F4"/>
    <w:rsid w:val="004509D6"/>
    <w:rsid w:val="00454411"/>
    <w:rsid w:val="0045517A"/>
    <w:rsid w:val="00455AB1"/>
    <w:rsid w:val="00457E58"/>
    <w:rsid w:val="00460AE0"/>
    <w:rsid w:val="00461B9C"/>
    <w:rsid w:val="00465E70"/>
    <w:rsid w:val="00471401"/>
    <w:rsid w:val="0047353E"/>
    <w:rsid w:val="00473F31"/>
    <w:rsid w:val="00480058"/>
    <w:rsid w:val="004806EA"/>
    <w:rsid w:val="00480C86"/>
    <w:rsid w:val="0048263A"/>
    <w:rsid w:val="00486C95"/>
    <w:rsid w:val="00487E5D"/>
    <w:rsid w:val="004914BA"/>
    <w:rsid w:val="004948F1"/>
    <w:rsid w:val="004A1081"/>
    <w:rsid w:val="004A2DBE"/>
    <w:rsid w:val="004A3DF2"/>
    <w:rsid w:val="004A711F"/>
    <w:rsid w:val="004B199D"/>
    <w:rsid w:val="004B3529"/>
    <w:rsid w:val="004B4690"/>
    <w:rsid w:val="004B6D60"/>
    <w:rsid w:val="004C24FB"/>
    <w:rsid w:val="004C3070"/>
    <w:rsid w:val="004C51B4"/>
    <w:rsid w:val="004C6C2E"/>
    <w:rsid w:val="004D1F57"/>
    <w:rsid w:val="004D319E"/>
    <w:rsid w:val="004D33B1"/>
    <w:rsid w:val="004D36B8"/>
    <w:rsid w:val="004D4E69"/>
    <w:rsid w:val="004D65C8"/>
    <w:rsid w:val="004D6ADF"/>
    <w:rsid w:val="004E000D"/>
    <w:rsid w:val="004E0A2D"/>
    <w:rsid w:val="004E206B"/>
    <w:rsid w:val="004E693D"/>
    <w:rsid w:val="004E6DF7"/>
    <w:rsid w:val="004E76BB"/>
    <w:rsid w:val="004F03EB"/>
    <w:rsid w:val="004F0FBD"/>
    <w:rsid w:val="004F186F"/>
    <w:rsid w:val="004F3716"/>
    <w:rsid w:val="004F3EA5"/>
    <w:rsid w:val="004F5932"/>
    <w:rsid w:val="004F7AD0"/>
    <w:rsid w:val="00502392"/>
    <w:rsid w:val="00505A47"/>
    <w:rsid w:val="00506CFC"/>
    <w:rsid w:val="00512FDA"/>
    <w:rsid w:val="0051361B"/>
    <w:rsid w:val="0051553D"/>
    <w:rsid w:val="00516497"/>
    <w:rsid w:val="00516A12"/>
    <w:rsid w:val="00520DA0"/>
    <w:rsid w:val="00520FE4"/>
    <w:rsid w:val="005226ED"/>
    <w:rsid w:val="0052472E"/>
    <w:rsid w:val="005265F8"/>
    <w:rsid w:val="00541563"/>
    <w:rsid w:val="00547877"/>
    <w:rsid w:val="0055105D"/>
    <w:rsid w:val="005664BB"/>
    <w:rsid w:val="00566DCB"/>
    <w:rsid w:val="00566FFA"/>
    <w:rsid w:val="00567BED"/>
    <w:rsid w:val="005741C5"/>
    <w:rsid w:val="0057481D"/>
    <w:rsid w:val="0058486E"/>
    <w:rsid w:val="00585B33"/>
    <w:rsid w:val="0059014D"/>
    <w:rsid w:val="00596EA1"/>
    <w:rsid w:val="00597F6E"/>
    <w:rsid w:val="005A471A"/>
    <w:rsid w:val="005A6A04"/>
    <w:rsid w:val="005A6FFD"/>
    <w:rsid w:val="005A71B4"/>
    <w:rsid w:val="005B5C64"/>
    <w:rsid w:val="005C46CA"/>
    <w:rsid w:val="005C5337"/>
    <w:rsid w:val="005C66CA"/>
    <w:rsid w:val="005C6BD0"/>
    <w:rsid w:val="005D1871"/>
    <w:rsid w:val="005D1C8B"/>
    <w:rsid w:val="005D3794"/>
    <w:rsid w:val="005D468D"/>
    <w:rsid w:val="005D5CED"/>
    <w:rsid w:val="005E24A2"/>
    <w:rsid w:val="005E4C76"/>
    <w:rsid w:val="005F1A4C"/>
    <w:rsid w:val="005F320F"/>
    <w:rsid w:val="005F4106"/>
    <w:rsid w:val="005F491C"/>
    <w:rsid w:val="005F6869"/>
    <w:rsid w:val="005F7A50"/>
    <w:rsid w:val="0060010D"/>
    <w:rsid w:val="00600FA0"/>
    <w:rsid w:val="0060175A"/>
    <w:rsid w:val="00605688"/>
    <w:rsid w:val="00605E14"/>
    <w:rsid w:val="006070AF"/>
    <w:rsid w:val="00607E6C"/>
    <w:rsid w:val="006101B1"/>
    <w:rsid w:val="00611BF1"/>
    <w:rsid w:val="00614E44"/>
    <w:rsid w:val="006151DA"/>
    <w:rsid w:val="00616136"/>
    <w:rsid w:val="00621C69"/>
    <w:rsid w:val="0062270A"/>
    <w:rsid w:val="00622830"/>
    <w:rsid w:val="00623DA0"/>
    <w:rsid w:val="00630AEF"/>
    <w:rsid w:val="006318BF"/>
    <w:rsid w:val="006325F8"/>
    <w:rsid w:val="00633463"/>
    <w:rsid w:val="00634C9A"/>
    <w:rsid w:val="00636393"/>
    <w:rsid w:val="006377CC"/>
    <w:rsid w:val="006440E4"/>
    <w:rsid w:val="0065131D"/>
    <w:rsid w:val="00652EDD"/>
    <w:rsid w:val="00656EEC"/>
    <w:rsid w:val="00662739"/>
    <w:rsid w:val="00662FB9"/>
    <w:rsid w:val="0066343B"/>
    <w:rsid w:val="00663457"/>
    <w:rsid w:val="00664777"/>
    <w:rsid w:val="006748A4"/>
    <w:rsid w:val="00675589"/>
    <w:rsid w:val="0067617C"/>
    <w:rsid w:val="00681A31"/>
    <w:rsid w:val="00683E73"/>
    <w:rsid w:val="00684BB0"/>
    <w:rsid w:val="00684ECD"/>
    <w:rsid w:val="0069251E"/>
    <w:rsid w:val="00692D19"/>
    <w:rsid w:val="006947CD"/>
    <w:rsid w:val="006A3141"/>
    <w:rsid w:val="006A5E34"/>
    <w:rsid w:val="006A6BD4"/>
    <w:rsid w:val="006A74E6"/>
    <w:rsid w:val="006B2422"/>
    <w:rsid w:val="006B2B9A"/>
    <w:rsid w:val="006C1937"/>
    <w:rsid w:val="006D0347"/>
    <w:rsid w:val="006D1699"/>
    <w:rsid w:val="006D1AE1"/>
    <w:rsid w:val="006D2A37"/>
    <w:rsid w:val="006D38E1"/>
    <w:rsid w:val="006E1735"/>
    <w:rsid w:val="006E55E8"/>
    <w:rsid w:val="006F020C"/>
    <w:rsid w:val="006F02B8"/>
    <w:rsid w:val="006F1191"/>
    <w:rsid w:val="006F2C16"/>
    <w:rsid w:val="006F3094"/>
    <w:rsid w:val="006F7333"/>
    <w:rsid w:val="00701B9D"/>
    <w:rsid w:val="00710F48"/>
    <w:rsid w:val="007127B7"/>
    <w:rsid w:val="00715DAD"/>
    <w:rsid w:val="0071798E"/>
    <w:rsid w:val="00717EF0"/>
    <w:rsid w:val="00721551"/>
    <w:rsid w:val="00723211"/>
    <w:rsid w:val="007233E7"/>
    <w:rsid w:val="007275E2"/>
    <w:rsid w:val="007416B6"/>
    <w:rsid w:val="00746F48"/>
    <w:rsid w:val="00752D21"/>
    <w:rsid w:val="0075404D"/>
    <w:rsid w:val="0075411D"/>
    <w:rsid w:val="00755C93"/>
    <w:rsid w:val="0076182A"/>
    <w:rsid w:val="00767B7E"/>
    <w:rsid w:val="00770B6D"/>
    <w:rsid w:val="00774856"/>
    <w:rsid w:val="00776ACD"/>
    <w:rsid w:val="007770C3"/>
    <w:rsid w:val="0077795D"/>
    <w:rsid w:val="007809BE"/>
    <w:rsid w:val="00781B7F"/>
    <w:rsid w:val="00784D24"/>
    <w:rsid w:val="00785FBA"/>
    <w:rsid w:val="00786E4A"/>
    <w:rsid w:val="007875EB"/>
    <w:rsid w:val="007879D9"/>
    <w:rsid w:val="00787C42"/>
    <w:rsid w:val="007907F2"/>
    <w:rsid w:val="007912B2"/>
    <w:rsid w:val="00793736"/>
    <w:rsid w:val="0079426B"/>
    <w:rsid w:val="0079628D"/>
    <w:rsid w:val="007A405A"/>
    <w:rsid w:val="007A4F96"/>
    <w:rsid w:val="007A71C7"/>
    <w:rsid w:val="007B6ACA"/>
    <w:rsid w:val="007C0A09"/>
    <w:rsid w:val="007C46BE"/>
    <w:rsid w:val="007D1682"/>
    <w:rsid w:val="007D1C81"/>
    <w:rsid w:val="007D2E83"/>
    <w:rsid w:val="007D312A"/>
    <w:rsid w:val="007D3F19"/>
    <w:rsid w:val="007D4A7F"/>
    <w:rsid w:val="007D5ADF"/>
    <w:rsid w:val="007D609C"/>
    <w:rsid w:val="007D65D4"/>
    <w:rsid w:val="007E07E8"/>
    <w:rsid w:val="007E15F7"/>
    <w:rsid w:val="007E23B0"/>
    <w:rsid w:val="007E23E5"/>
    <w:rsid w:val="007E5300"/>
    <w:rsid w:val="007E5A23"/>
    <w:rsid w:val="007F1991"/>
    <w:rsid w:val="007F2C2F"/>
    <w:rsid w:val="007F3AC6"/>
    <w:rsid w:val="007F3E4B"/>
    <w:rsid w:val="007F55FC"/>
    <w:rsid w:val="007F5665"/>
    <w:rsid w:val="00800112"/>
    <w:rsid w:val="00805EB0"/>
    <w:rsid w:val="00807056"/>
    <w:rsid w:val="00811923"/>
    <w:rsid w:val="00813348"/>
    <w:rsid w:val="00813C84"/>
    <w:rsid w:val="00820206"/>
    <w:rsid w:val="008236DC"/>
    <w:rsid w:val="00823A02"/>
    <w:rsid w:val="00824D05"/>
    <w:rsid w:val="008253BB"/>
    <w:rsid w:val="00830838"/>
    <w:rsid w:val="00832533"/>
    <w:rsid w:val="00834DB8"/>
    <w:rsid w:val="00836D4F"/>
    <w:rsid w:val="0083706E"/>
    <w:rsid w:val="008408F6"/>
    <w:rsid w:val="008423A5"/>
    <w:rsid w:val="0084583B"/>
    <w:rsid w:val="00847CE6"/>
    <w:rsid w:val="00850625"/>
    <w:rsid w:val="00853718"/>
    <w:rsid w:val="00855221"/>
    <w:rsid w:val="008601A8"/>
    <w:rsid w:val="00860645"/>
    <w:rsid w:val="00863D37"/>
    <w:rsid w:val="00864FA5"/>
    <w:rsid w:val="00871F71"/>
    <w:rsid w:val="00872FD8"/>
    <w:rsid w:val="00876725"/>
    <w:rsid w:val="00876B07"/>
    <w:rsid w:val="00880BFC"/>
    <w:rsid w:val="00882206"/>
    <w:rsid w:val="0088437F"/>
    <w:rsid w:val="00885930"/>
    <w:rsid w:val="00885AF4"/>
    <w:rsid w:val="00887950"/>
    <w:rsid w:val="00890C38"/>
    <w:rsid w:val="008910C8"/>
    <w:rsid w:val="00891328"/>
    <w:rsid w:val="008939CD"/>
    <w:rsid w:val="00893B19"/>
    <w:rsid w:val="008A0217"/>
    <w:rsid w:val="008A2B66"/>
    <w:rsid w:val="008A5F30"/>
    <w:rsid w:val="008B00E9"/>
    <w:rsid w:val="008B1919"/>
    <w:rsid w:val="008B5842"/>
    <w:rsid w:val="008B768C"/>
    <w:rsid w:val="008C4DB1"/>
    <w:rsid w:val="008C4EAF"/>
    <w:rsid w:val="008C5176"/>
    <w:rsid w:val="008C6D8A"/>
    <w:rsid w:val="008C75A4"/>
    <w:rsid w:val="008C7FD0"/>
    <w:rsid w:val="008D0033"/>
    <w:rsid w:val="008D0E85"/>
    <w:rsid w:val="008D11F5"/>
    <w:rsid w:val="008D2D97"/>
    <w:rsid w:val="008D7D7C"/>
    <w:rsid w:val="008E1DE7"/>
    <w:rsid w:val="008E5694"/>
    <w:rsid w:val="008E707C"/>
    <w:rsid w:val="008F371E"/>
    <w:rsid w:val="008F686F"/>
    <w:rsid w:val="008F7EFA"/>
    <w:rsid w:val="00900848"/>
    <w:rsid w:val="00900B08"/>
    <w:rsid w:val="00902155"/>
    <w:rsid w:val="00902FA3"/>
    <w:rsid w:val="009044E4"/>
    <w:rsid w:val="0091187F"/>
    <w:rsid w:val="00920231"/>
    <w:rsid w:val="00921C1B"/>
    <w:rsid w:val="00923564"/>
    <w:rsid w:val="0092392E"/>
    <w:rsid w:val="00924490"/>
    <w:rsid w:val="009305DF"/>
    <w:rsid w:val="009308C9"/>
    <w:rsid w:val="009315F9"/>
    <w:rsid w:val="0093294A"/>
    <w:rsid w:val="00933499"/>
    <w:rsid w:val="00935C98"/>
    <w:rsid w:val="00935D78"/>
    <w:rsid w:val="009401A9"/>
    <w:rsid w:val="00940603"/>
    <w:rsid w:val="00946945"/>
    <w:rsid w:val="00947E8F"/>
    <w:rsid w:val="009511F0"/>
    <w:rsid w:val="00951248"/>
    <w:rsid w:val="0095152F"/>
    <w:rsid w:val="00951B50"/>
    <w:rsid w:val="00952217"/>
    <w:rsid w:val="00954C49"/>
    <w:rsid w:val="00955E37"/>
    <w:rsid w:val="00956FE1"/>
    <w:rsid w:val="009708FA"/>
    <w:rsid w:val="0097099F"/>
    <w:rsid w:val="009717E5"/>
    <w:rsid w:val="00971997"/>
    <w:rsid w:val="00971B36"/>
    <w:rsid w:val="00971FFC"/>
    <w:rsid w:val="009748E0"/>
    <w:rsid w:val="00976D7B"/>
    <w:rsid w:val="0098660A"/>
    <w:rsid w:val="00991EB8"/>
    <w:rsid w:val="0099205A"/>
    <w:rsid w:val="009931C3"/>
    <w:rsid w:val="009A02E2"/>
    <w:rsid w:val="009A33D0"/>
    <w:rsid w:val="009B2C43"/>
    <w:rsid w:val="009B3871"/>
    <w:rsid w:val="009B4418"/>
    <w:rsid w:val="009B4EAE"/>
    <w:rsid w:val="009B750A"/>
    <w:rsid w:val="009B7573"/>
    <w:rsid w:val="009B7E04"/>
    <w:rsid w:val="009C0620"/>
    <w:rsid w:val="009C22F4"/>
    <w:rsid w:val="009C2A4B"/>
    <w:rsid w:val="009C2E98"/>
    <w:rsid w:val="009C3C58"/>
    <w:rsid w:val="009C3CCE"/>
    <w:rsid w:val="009C43AA"/>
    <w:rsid w:val="009C6BC8"/>
    <w:rsid w:val="009D3447"/>
    <w:rsid w:val="009D4390"/>
    <w:rsid w:val="009D4711"/>
    <w:rsid w:val="009D4C8C"/>
    <w:rsid w:val="009D6F9C"/>
    <w:rsid w:val="009D7BEB"/>
    <w:rsid w:val="009E2105"/>
    <w:rsid w:val="009E6B71"/>
    <w:rsid w:val="009F08B6"/>
    <w:rsid w:val="009F1185"/>
    <w:rsid w:val="009F1594"/>
    <w:rsid w:val="009F18CD"/>
    <w:rsid w:val="009F2A13"/>
    <w:rsid w:val="009F2D62"/>
    <w:rsid w:val="009F6FB0"/>
    <w:rsid w:val="009F7527"/>
    <w:rsid w:val="00A00BE1"/>
    <w:rsid w:val="00A033F0"/>
    <w:rsid w:val="00A041CB"/>
    <w:rsid w:val="00A04EB0"/>
    <w:rsid w:val="00A0622D"/>
    <w:rsid w:val="00A11893"/>
    <w:rsid w:val="00A139BE"/>
    <w:rsid w:val="00A13CC1"/>
    <w:rsid w:val="00A16847"/>
    <w:rsid w:val="00A17A05"/>
    <w:rsid w:val="00A23100"/>
    <w:rsid w:val="00A237D8"/>
    <w:rsid w:val="00A268C4"/>
    <w:rsid w:val="00A307CD"/>
    <w:rsid w:val="00A331C8"/>
    <w:rsid w:val="00A40A00"/>
    <w:rsid w:val="00A4142F"/>
    <w:rsid w:val="00A41680"/>
    <w:rsid w:val="00A4169E"/>
    <w:rsid w:val="00A422EB"/>
    <w:rsid w:val="00A45BB7"/>
    <w:rsid w:val="00A50AE0"/>
    <w:rsid w:val="00A56DF2"/>
    <w:rsid w:val="00A56E6E"/>
    <w:rsid w:val="00A61F12"/>
    <w:rsid w:val="00A64F56"/>
    <w:rsid w:val="00A67AB5"/>
    <w:rsid w:val="00A706DB"/>
    <w:rsid w:val="00A71A7E"/>
    <w:rsid w:val="00A733B2"/>
    <w:rsid w:val="00A73D3B"/>
    <w:rsid w:val="00A741C2"/>
    <w:rsid w:val="00A75EE7"/>
    <w:rsid w:val="00A76CDF"/>
    <w:rsid w:val="00A808B7"/>
    <w:rsid w:val="00A848CA"/>
    <w:rsid w:val="00A85F3F"/>
    <w:rsid w:val="00A91760"/>
    <w:rsid w:val="00A93B00"/>
    <w:rsid w:val="00A93C21"/>
    <w:rsid w:val="00A94663"/>
    <w:rsid w:val="00AB1C72"/>
    <w:rsid w:val="00AB4860"/>
    <w:rsid w:val="00AB59FC"/>
    <w:rsid w:val="00AB64C9"/>
    <w:rsid w:val="00AC0E1E"/>
    <w:rsid w:val="00AC3C6A"/>
    <w:rsid w:val="00AC3FAB"/>
    <w:rsid w:val="00AC4528"/>
    <w:rsid w:val="00AC471C"/>
    <w:rsid w:val="00AD5620"/>
    <w:rsid w:val="00AD656B"/>
    <w:rsid w:val="00AD7C1B"/>
    <w:rsid w:val="00AE16BA"/>
    <w:rsid w:val="00AE1EBE"/>
    <w:rsid w:val="00AF6E70"/>
    <w:rsid w:val="00B01337"/>
    <w:rsid w:val="00B01634"/>
    <w:rsid w:val="00B03C9D"/>
    <w:rsid w:val="00B060AE"/>
    <w:rsid w:val="00B06D6B"/>
    <w:rsid w:val="00B10517"/>
    <w:rsid w:val="00B14E76"/>
    <w:rsid w:val="00B161B8"/>
    <w:rsid w:val="00B16BEA"/>
    <w:rsid w:val="00B176E1"/>
    <w:rsid w:val="00B2048C"/>
    <w:rsid w:val="00B2218A"/>
    <w:rsid w:val="00B247C8"/>
    <w:rsid w:val="00B26534"/>
    <w:rsid w:val="00B310B9"/>
    <w:rsid w:val="00B35F3F"/>
    <w:rsid w:val="00B36CBB"/>
    <w:rsid w:val="00B425E0"/>
    <w:rsid w:val="00B4325C"/>
    <w:rsid w:val="00B433D1"/>
    <w:rsid w:val="00B440AA"/>
    <w:rsid w:val="00B446C0"/>
    <w:rsid w:val="00B44B70"/>
    <w:rsid w:val="00B52BB5"/>
    <w:rsid w:val="00B53C56"/>
    <w:rsid w:val="00B57DAF"/>
    <w:rsid w:val="00B65523"/>
    <w:rsid w:val="00B7170D"/>
    <w:rsid w:val="00B72276"/>
    <w:rsid w:val="00B768CC"/>
    <w:rsid w:val="00B7740E"/>
    <w:rsid w:val="00B77EA6"/>
    <w:rsid w:val="00B81598"/>
    <w:rsid w:val="00B81BB2"/>
    <w:rsid w:val="00B841F1"/>
    <w:rsid w:val="00B856CD"/>
    <w:rsid w:val="00B861B8"/>
    <w:rsid w:val="00B86C0E"/>
    <w:rsid w:val="00B87CB2"/>
    <w:rsid w:val="00B91FF9"/>
    <w:rsid w:val="00B944D6"/>
    <w:rsid w:val="00B9760B"/>
    <w:rsid w:val="00BA45E6"/>
    <w:rsid w:val="00BA60E4"/>
    <w:rsid w:val="00BB3836"/>
    <w:rsid w:val="00BB3E82"/>
    <w:rsid w:val="00BB4DF0"/>
    <w:rsid w:val="00BC289F"/>
    <w:rsid w:val="00BC2D50"/>
    <w:rsid w:val="00BC5361"/>
    <w:rsid w:val="00BC5460"/>
    <w:rsid w:val="00BC5CB5"/>
    <w:rsid w:val="00BC5DFF"/>
    <w:rsid w:val="00BC6B50"/>
    <w:rsid w:val="00BD0E25"/>
    <w:rsid w:val="00BF5BD6"/>
    <w:rsid w:val="00C020F6"/>
    <w:rsid w:val="00C0351A"/>
    <w:rsid w:val="00C03E31"/>
    <w:rsid w:val="00C16AF4"/>
    <w:rsid w:val="00C17692"/>
    <w:rsid w:val="00C208B1"/>
    <w:rsid w:val="00C233CA"/>
    <w:rsid w:val="00C33E72"/>
    <w:rsid w:val="00C354B2"/>
    <w:rsid w:val="00C35554"/>
    <w:rsid w:val="00C35CAD"/>
    <w:rsid w:val="00C41B01"/>
    <w:rsid w:val="00C42709"/>
    <w:rsid w:val="00C429DB"/>
    <w:rsid w:val="00C469A7"/>
    <w:rsid w:val="00C52871"/>
    <w:rsid w:val="00C533CC"/>
    <w:rsid w:val="00C5751C"/>
    <w:rsid w:val="00C61BFC"/>
    <w:rsid w:val="00C62B85"/>
    <w:rsid w:val="00C63067"/>
    <w:rsid w:val="00C65438"/>
    <w:rsid w:val="00C65A0F"/>
    <w:rsid w:val="00C65C1B"/>
    <w:rsid w:val="00C74356"/>
    <w:rsid w:val="00C7557B"/>
    <w:rsid w:val="00C803FE"/>
    <w:rsid w:val="00C82200"/>
    <w:rsid w:val="00C82CF5"/>
    <w:rsid w:val="00C8349C"/>
    <w:rsid w:val="00C86D68"/>
    <w:rsid w:val="00C87FD8"/>
    <w:rsid w:val="00C903C4"/>
    <w:rsid w:val="00C91381"/>
    <w:rsid w:val="00C91CBB"/>
    <w:rsid w:val="00C91CCD"/>
    <w:rsid w:val="00C95BF4"/>
    <w:rsid w:val="00C96A98"/>
    <w:rsid w:val="00C97E33"/>
    <w:rsid w:val="00CA2A83"/>
    <w:rsid w:val="00CA3D9F"/>
    <w:rsid w:val="00CB4538"/>
    <w:rsid w:val="00CB4E70"/>
    <w:rsid w:val="00CB63CC"/>
    <w:rsid w:val="00CB66C5"/>
    <w:rsid w:val="00CC09B6"/>
    <w:rsid w:val="00CC2A56"/>
    <w:rsid w:val="00CC2B47"/>
    <w:rsid w:val="00CC49C3"/>
    <w:rsid w:val="00CC666F"/>
    <w:rsid w:val="00CC6709"/>
    <w:rsid w:val="00CD139E"/>
    <w:rsid w:val="00CD15D0"/>
    <w:rsid w:val="00CD1E3F"/>
    <w:rsid w:val="00CE0E92"/>
    <w:rsid w:val="00CE44F6"/>
    <w:rsid w:val="00CE49DA"/>
    <w:rsid w:val="00CE7B61"/>
    <w:rsid w:val="00CF1860"/>
    <w:rsid w:val="00D00095"/>
    <w:rsid w:val="00D044DF"/>
    <w:rsid w:val="00D114F0"/>
    <w:rsid w:val="00D15923"/>
    <w:rsid w:val="00D16411"/>
    <w:rsid w:val="00D17F89"/>
    <w:rsid w:val="00D20620"/>
    <w:rsid w:val="00D235A2"/>
    <w:rsid w:val="00D254F7"/>
    <w:rsid w:val="00D26091"/>
    <w:rsid w:val="00D2685C"/>
    <w:rsid w:val="00D30128"/>
    <w:rsid w:val="00D313E1"/>
    <w:rsid w:val="00D34E7C"/>
    <w:rsid w:val="00D35489"/>
    <w:rsid w:val="00D36AFE"/>
    <w:rsid w:val="00D417C7"/>
    <w:rsid w:val="00D51276"/>
    <w:rsid w:val="00D5358E"/>
    <w:rsid w:val="00D57D82"/>
    <w:rsid w:val="00D608D0"/>
    <w:rsid w:val="00D61148"/>
    <w:rsid w:val="00D611AE"/>
    <w:rsid w:val="00D669FE"/>
    <w:rsid w:val="00D7035F"/>
    <w:rsid w:val="00D84091"/>
    <w:rsid w:val="00D87076"/>
    <w:rsid w:val="00D90815"/>
    <w:rsid w:val="00D9256D"/>
    <w:rsid w:val="00D93F03"/>
    <w:rsid w:val="00D97086"/>
    <w:rsid w:val="00D97923"/>
    <w:rsid w:val="00DA00FD"/>
    <w:rsid w:val="00DA2F03"/>
    <w:rsid w:val="00DA4E0A"/>
    <w:rsid w:val="00DA546B"/>
    <w:rsid w:val="00DA5E41"/>
    <w:rsid w:val="00DA634F"/>
    <w:rsid w:val="00DA65AC"/>
    <w:rsid w:val="00DA7C4C"/>
    <w:rsid w:val="00DB1913"/>
    <w:rsid w:val="00DC410D"/>
    <w:rsid w:val="00DC5A81"/>
    <w:rsid w:val="00DC68CA"/>
    <w:rsid w:val="00DC6C08"/>
    <w:rsid w:val="00DC7CBA"/>
    <w:rsid w:val="00DD0A45"/>
    <w:rsid w:val="00DD1F80"/>
    <w:rsid w:val="00DD54DB"/>
    <w:rsid w:val="00DD703B"/>
    <w:rsid w:val="00DD73B7"/>
    <w:rsid w:val="00DD77B3"/>
    <w:rsid w:val="00DE31CE"/>
    <w:rsid w:val="00DE6A4C"/>
    <w:rsid w:val="00DF197F"/>
    <w:rsid w:val="00DF28BC"/>
    <w:rsid w:val="00DF34B9"/>
    <w:rsid w:val="00DF6D84"/>
    <w:rsid w:val="00E01053"/>
    <w:rsid w:val="00E01D77"/>
    <w:rsid w:val="00E04AA9"/>
    <w:rsid w:val="00E07A4D"/>
    <w:rsid w:val="00E07ACF"/>
    <w:rsid w:val="00E154F1"/>
    <w:rsid w:val="00E15CFC"/>
    <w:rsid w:val="00E164D4"/>
    <w:rsid w:val="00E1693C"/>
    <w:rsid w:val="00E17288"/>
    <w:rsid w:val="00E17496"/>
    <w:rsid w:val="00E2130A"/>
    <w:rsid w:val="00E27A06"/>
    <w:rsid w:val="00E331A1"/>
    <w:rsid w:val="00E33202"/>
    <w:rsid w:val="00E336A9"/>
    <w:rsid w:val="00E41691"/>
    <w:rsid w:val="00E42C2E"/>
    <w:rsid w:val="00E43BE5"/>
    <w:rsid w:val="00E462F5"/>
    <w:rsid w:val="00E464EB"/>
    <w:rsid w:val="00E472B1"/>
    <w:rsid w:val="00E50624"/>
    <w:rsid w:val="00E51EC1"/>
    <w:rsid w:val="00E532F4"/>
    <w:rsid w:val="00E568DF"/>
    <w:rsid w:val="00E57918"/>
    <w:rsid w:val="00E63DB4"/>
    <w:rsid w:val="00E64269"/>
    <w:rsid w:val="00E647AF"/>
    <w:rsid w:val="00E64D9B"/>
    <w:rsid w:val="00E74482"/>
    <w:rsid w:val="00E76324"/>
    <w:rsid w:val="00E77242"/>
    <w:rsid w:val="00E81B81"/>
    <w:rsid w:val="00E82267"/>
    <w:rsid w:val="00E853CE"/>
    <w:rsid w:val="00E867B6"/>
    <w:rsid w:val="00E94898"/>
    <w:rsid w:val="00E96E7A"/>
    <w:rsid w:val="00EA010F"/>
    <w:rsid w:val="00EA1DC2"/>
    <w:rsid w:val="00EA2080"/>
    <w:rsid w:val="00EA2658"/>
    <w:rsid w:val="00EA2ADB"/>
    <w:rsid w:val="00EB08D3"/>
    <w:rsid w:val="00EC3C77"/>
    <w:rsid w:val="00ED1B63"/>
    <w:rsid w:val="00ED3C1F"/>
    <w:rsid w:val="00ED4085"/>
    <w:rsid w:val="00ED420E"/>
    <w:rsid w:val="00ED441C"/>
    <w:rsid w:val="00ED6FBE"/>
    <w:rsid w:val="00EE1EA6"/>
    <w:rsid w:val="00EE2F57"/>
    <w:rsid w:val="00EE51E3"/>
    <w:rsid w:val="00EE59E5"/>
    <w:rsid w:val="00EF4C34"/>
    <w:rsid w:val="00EF6033"/>
    <w:rsid w:val="00EF77C6"/>
    <w:rsid w:val="00F05438"/>
    <w:rsid w:val="00F12A5C"/>
    <w:rsid w:val="00F1361C"/>
    <w:rsid w:val="00F1390D"/>
    <w:rsid w:val="00F156F0"/>
    <w:rsid w:val="00F160C7"/>
    <w:rsid w:val="00F17C8E"/>
    <w:rsid w:val="00F206FA"/>
    <w:rsid w:val="00F22734"/>
    <w:rsid w:val="00F2362E"/>
    <w:rsid w:val="00F2408F"/>
    <w:rsid w:val="00F240E9"/>
    <w:rsid w:val="00F32200"/>
    <w:rsid w:val="00F34354"/>
    <w:rsid w:val="00F36374"/>
    <w:rsid w:val="00F36D8F"/>
    <w:rsid w:val="00F417B1"/>
    <w:rsid w:val="00F45853"/>
    <w:rsid w:val="00F52B80"/>
    <w:rsid w:val="00F535DB"/>
    <w:rsid w:val="00F53989"/>
    <w:rsid w:val="00F558DD"/>
    <w:rsid w:val="00F5771F"/>
    <w:rsid w:val="00F602DF"/>
    <w:rsid w:val="00F63B4A"/>
    <w:rsid w:val="00F754A1"/>
    <w:rsid w:val="00F771AF"/>
    <w:rsid w:val="00F81FD9"/>
    <w:rsid w:val="00F841AA"/>
    <w:rsid w:val="00F84A94"/>
    <w:rsid w:val="00F85605"/>
    <w:rsid w:val="00F87E96"/>
    <w:rsid w:val="00F91D76"/>
    <w:rsid w:val="00FA181A"/>
    <w:rsid w:val="00FA23E8"/>
    <w:rsid w:val="00FB0A76"/>
    <w:rsid w:val="00FB34B5"/>
    <w:rsid w:val="00FB7596"/>
    <w:rsid w:val="00FC384E"/>
    <w:rsid w:val="00FC7962"/>
    <w:rsid w:val="00FD311C"/>
    <w:rsid w:val="00FD3CC1"/>
    <w:rsid w:val="00FD58F9"/>
    <w:rsid w:val="00FF1E02"/>
    <w:rsid w:val="00FF30B4"/>
    <w:rsid w:val="00FF6EAC"/>
    <w:rsid w:val="00FF73FD"/>
    <w:rsid w:val="020D21BB"/>
    <w:rsid w:val="02295CB8"/>
    <w:rsid w:val="034104E4"/>
    <w:rsid w:val="038A1BDD"/>
    <w:rsid w:val="03CE411A"/>
    <w:rsid w:val="047315EF"/>
    <w:rsid w:val="04B425C4"/>
    <w:rsid w:val="04BA1F91"/>
    <w:rsid w:val="051C6AF1"/>
    <w:rsid w:val="05314515"/>
    <w:rsid w:val="06452C59"/>
    <w:rsid w:val="066E0107"/>
    <w:rsid w:val="068560C3"/>
    <w:rsid w:val="06EC34E9"/>
    <w:rsid w:val="075B159E"/>
    <w:rsid w:val="0795047E"/>
    <w:rsid w:val="07996F6E"/>
    <w:rsid w:val="08134511"/>
    <w:rsid w:val="083A4AFC"/>
    <w:rsid w:val="086774DE"/>
    <w:rsid w:val="08D538D0"/>
    <w:rsid w:val="08DD4532"/>
    <w:rsid w:val="08F9001F"/>
    <w:rsid w:val="09F17C4E"/>
    <w:rsid w:val="0A2032A3"/>
    <w:rsid w:val="0B426986"/>
    <w:rsid w:val="0B75558A"/>
    <w:rsid w:val="0C9A243A"/>
    <w:rsid w:val="0CB145DE"/>
    <w:rsid w:val="0D303703"/>
    <w:rsid w:val="0EB827B5"/>
    <w:rsid w:val="0EDE4B79"/>
    <w:rsid w:val="0F087F4E"/>
    <w:rsid w:val="0FC5746F"/>
    <w:rsid w:val="101860EC"/>
    <w:rsid w:val="10C055FF"/>
    <w:rsid w:val="10C64EC0"/>
    <w:rsid w:val="110235F3"/>
    <w:rsid w:val="110450EB"/>
    <w:rsid w:val="118107EC"/>
    <w:rsid w:val="126B308A"/>
    <w:rsid w:val="13D50BC4"/>
    <w:rsid w:val="14835F2F"/>
    <w:rsid w:val="14AB6BCD"/>
    <w:rsid w:val="14F9638B"/>
    <w:rsid w:val="15132C9D"/>
    <w:rsid w:val="15154AE1"/>
    <w:rsid w:val="162177DE"/>
    <w:rsid w:val="16BB723D"/>
    <w:rsid w:val="174335E8"/>
    <w:rsid w:val="17C3498C"/>
    <w:rsid w:val="185444A1"/>
    <w:rsid w:val="1BE8440E"/>
    <w:rsid w:val="1C2F094B"/>
    <w:rsid w:val="1D155CEE"/>
    <w:rsid w:val="1E1A147C"/>
    <w:rsid w:val="1E342337"/>
    <w:rsid w:val="1F3876A0"/>
    <w:rsid w:val="1F487665"/>
    <w:rsid w:val="1F4F13B5"/>
    <w:rsid w:val="1F7E7A0A"/>
    <w:rsid w:val="1FDE72C2"/>
    <w:rsid w:val="2059498F"/>
    <w:rsid w:val="21506579"/>
    <w:rsid w:val="217C217E"/>
    <w:rsid w:val="21804733"/>
    <w:rsid w:val="219434DF"/>
    <w:rsid w:val="21B65D9D"/>
    <w:rsid w:val="21C94D14"/>
    <w:rsid w:val="22142494"/>
    <w:rsid w:val="22670007"/>
    <w:rsid w:val="22A41BE1"/>
    <w:rsid w:val="22DA1AB6"/>
    <w:rsid w:val="231C05A6"/>
    <w:rsid w:val="23860B96"/>
    <w:rsid w:val="240371BF"/>
    <w:rsid w:val="24082B2D"/>
    <w:rsid w:val="25975FC6"/>
    <w:rsid w:val="2618250D"/>
    <w:rsid w:val="276E503D"/>
    <w:rsid w:val="287C121A"/>
    <w:rsid w:val="28A45B9D"/>
    <w:rsid w:val="28DD2C5E"/>
    <w:rsid w:val="290137A4"/>
    <w:rsid w:val="29FD04D3"/>
    <w:rsid w:val="2A7E0DB3"/>
    <w:rsid w:val="2B5F5599"/>
    <w:rsid w:val="2BBB0627"/>
    <w:rsid w:val="2BC12DD8"/>
    <w:rsid w:val="2C896F9E"/>
    <w:rsid w:val="2C8A61B5"/>
    <w:rsid w:val="2D43037C"/>
    <w:rsid w:val="2DF04E50"/>
    <w:rsid w:val="2ECC0AB3"/>
    <w:rsid w:val="2F750C6B"/>
    <w:rsid w:val="2F8A538D"/>
    <w:rsid w:val="2FBF4562"/>
    <w:rsid w:val="2FD0227E"/>
    <w:rsid w:val="318105B4"/>
    <w:rsid w:val="319F7F4E"/>
    <w:rsid w:val="32366270"/>
    <w:rsid w:val="32A74A1C"/>
    <w:rsid w:val="32B74A00"/>
    <w:rsid w:val="332B34BE"/>
    <w:rsid w:val="34A82A6A"/>
    <w:rsid w:val="34BB03A6"/>
    <w:rsid w:val="354341ED"/>
    <w:rsid w:val="35BB6E36"/>
    <w:rsid w:val="36074BBC"/>
    <w:rsid w:val="36216F28"/>
    <w:rsid w:val="36AA5135"/>
    <w:rsid w:val="36CD2176"/>
    <w:rsid w:val="372450A4"/>
    <w:rsid w:val="37E16F03"/>
    <w:rsid w:val="39CA4AF2"/>
    <w:rsid w:val="3A087445"/>
    <w:rsid w:val="3A923B26"/>
    <w:rsid w:val="3B747EF7"/>
    <w:rsid w:val="3B94244F"/>
    <w:rsid w:val="3BA55E61"/>
    <w:rsid w:val="3C616320"/>
    <w:rsid w:val="3C626FAB"/>
    <w:rsid w:val="3CA7645D"/>
    <w:rsid w:val="3CCD5318"/>
    <w:rsid w:val="3CF62F90"/>
    <w:rsid w:val="3D98207C"/>
    <w:rsid w:val="3D9B254F"/>
    <w:rsid w:val="3DEA67CE"/>
    <w:rsid w:val="3DF000F5"/>
    <w:rsid w:val="3F330A9D"/>
    <w:rsid w:val="3F4D0EE6"/>
    <w:rsid w:val="3F542189"/>
    <w:rsid w:val="3FAB2584"/>
    <w:rsid w:val="403D2C4D"/>
    <w:rsid w:val="404B5EE1"/>
    <w:rsid w:val="40C83C56"/>
    <w:rsid w:val="40D92C20"/>
    <w:rsid w:val="4207560F"/>
    <w:rsid w:val="42152351"/>
    <w:rsid w:val="4286740D"/>
    <w:rsid w:val="42A23DBD"/>
    <w:rsid w:val="44247587"/>
    <w:rsid w:val="44E268DA"/>
    <w:rsid w:val="46A71178"/>
    <w:rsid w:val="46D4776C"/>
    <w:rsid w:val="4705068E"/>
    <w:rsid w:val="47812B1E"/>
    <w:rsid w:val="49202B06"/>
    <w:rsid w:val="4A055E16"/>
    <w:rsid w:val="4A627F82"/>
    <w:rsid w:val="4ACB2B41"/>
    <w:rsid w:val="4AE56F6F"/>
    <w:rsid w:val="4B4F25DA"/>
    <w:rsid w:val="4B863275"/>
    <w:rsid w:val="4BE068DB"/>
    <w:rsid w:val="4C1672E0"/>
    <w:rsid w:val="4CF15D4A"/>
    <w:rsid w:val="4D1A4990"/>
    <w:rsid w:val="4D3A0DD9"/>
    <w:rsid w:val="4D577224"/>
    <w:rsid w:val="4EAB630A"/>
    <w:rsid w:val="4ECE2238"/>
    <w:rsid w:val="4EE0568E"/>
    <w:rsid w:val="4F5961CA"/>
    <w:rsid w:val="50671B79"/>
    <w:rsid w:val="507E5F06"/>
    <w:rsid w:val="514771AE"/>
    <w:rsid w:val="53197D00"/>
    <w:rsid w:val="53325074"/>
    <w:rsid w:val="536E65EE"/>
    <w:rsid w:val="548F62DE"/>
    <w:rsid w:val="54F31C6D"/>
    <w:rsid w:val="568A06E3"/>
    <w:rsid w:val="58FA1B08"/>
    <w:rsid w:val="5AD563E4"/>
    <w:rsid w:val="5AF92295"/>
    <w:rsid w:val="5B247B83"/>
    <w:rsid w:val="5C224D46"/>
    <w:rsid w:val="5CD71FC4"/>
    <w:rsid w:val="5D5977A1"/>
    <w:rsid w:val="5E495A74"/>
    <w:rsid w:val="5E78724A"/>
    <w:rsid w:val="5F6D1A9C"/>
    <w:rsid w:val="5FFB2605"/>
    <w:rsid w:val="60B0787D"/>
    <w:rsid w:val="61276331"/>
    <w:rsid w:val="62C03E1E"/>
    <w:rsid w:val="634877EE"/>
    <w:rsid w:val="63FE7145"/>
    <w:rsid w:val="66557471"/>
    <w:rsid w:val="66CF1E96"/>
    <w:rsid w:val="670173FC"/>
    <w:rsid w:val="67456726"/>
    <w:rsid w:val="67BE0FC1"/>
    <w:rsid w:val="684E08B0"/>
    <w:rsid w:val="6962282C"/>
    <w:rsid w:val="69757C34"/>
    <w:rsid w:val="69F400D7"/>
    <w:rsid w:val="6B073028"/>
    <w:rsid w:val="6C196E78"/>
    <w:rsid w:val="6C4A05C8"/>
    <w:rsid w:val="6D5F0B7D"/>
    <w:rsid w:val="6E7E3605"/>
    <w:rsid w:val="6F073967"/>
    <w:rsid w:val="6F1E7E56"/>
    <w:rsid w:val="6FF5CC65"/>
    <w:rsid w:val="704915C5"/>
    <w:rsid w:val="709038D0"/>
    <w:rsid w:val="715C0E4B"/>
    <w:rsid w:val="72734D90"/>
    <w:rsid w:val="731E066B"/>
    <w:rsid w:val="73366DA4"/>
    <w:rsid w:val="73AD73D5"/>
    <w:rsid w:val="73B6EB34"/>
    <w:rsid w:val="746277B3"/>
    <w:rsid w:val="74D6713B"/>
    <w:rsid w:val="76D01D5D"/>
    <w:rsid w:val="77A572D9"/>
    <w:rsid w:val="798F3271"/>
    <w:rsid w:val="79EE5BA4"/>
    <w:rsid w:val="7A7206F1"/>
    <w:rsid w:val="7A894339"/>
    <w:rsid w:val="7AA30EC0"/>
    <w:rsid w:val="7C15781F"/>
    <w:rsid w:val="7C5B3A94"/>
    <w:rsid w:val="7D3F1911"/>
    <w:rsid w:val="7D7521DA"/>
    <w:rsid w:val="7ED1449D"/>
    <w:rsid w:val="7EEF11D3"/>
    <w:rsid w:val="7F1E0D19"/>
    <w:rsid w:val="7FA30C79"/>
    <w:rsid w:val="7FC96657"/>
    <w:rsid w:val="7FE24A05"/>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caption"/>
    <w:basedOn w:val="1"/>
    <w:next w:val="1"/>
    <w:unhideWhenUsed/>
    <w:qFormat/>
    <w:uiPriority w:val="35"/>
    <w:rPr>
      <w:rFonts w:eastAsia="黑体" w:asciiTheme="majorHAnsi" w:hAnsiTheme="majorHAnsi" w:cstheme="majorBidi"/>
      <w:sz w:val="20"/>
      <w:szCs w:val="20"/>
    </w:r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Date"/>
    <w:basedOn w:val="1"/>
    <w:next w:val="1"/>
    <w:link w:val="35"/>
    <w:semiHidden/>
    <w:unhideWhenUsed/>
    <w:qFormat/>
    <w:uiPriority w:val="99"/>
    <w:pPr>
      <w:ind w:left="100" w:leftChars="2500"/>
    </w:pPr>
  </w:style>
  <w:style w:type="paragraph" w:styleId="12">
    <w:name w:val="Balloon Text"/>
    <w:basedOn w:val="1"/>
    <w:link w:val="32"/>
    <w:semiHidden/>
    <w:unhideWhenUsed/>
    <w:qFormat/>
    <w:uiPriority w:val="99"/>
    <w:rPr>
      <w:sz w:val="18"/>
      <w:szCs w:val="18"/>
    </w:rPr>
  </w:style>
  <w:style w:type="paragraph" w:styleId="13">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2"/>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4"/>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3"/>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5"/>
    <w:qFormat/>
    <w:uiPriority w:val="9"/>
    <w:rPr>
      <w:rFonts w:ascii="Times New Roman" w:hAnsi="Times New Roman"/>
      <w:b/>
      <w:bCs/>
      <w:kern w:val="44"/>
      <w:sz w:val="44"/>
      <w:szCs w:val="44"/>
    </w:rPr>
  </w:style>
  <w:style w:type="character" w:customStyle="1" w:styleId="30">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2"/>
    <w:semiHidden/>
    <w:qFormat/>
    <w:uiPriority w:val="99"/>
    <w:rPr>
      <w:rFonts w:ascii="Times New Roman" w:hAnsi="Times New Roman"/>
      <w:kern w:val="2"/>
      <w:sz w:val="18"/>
      <w:szCs w:val="18"/>
    </w:rPr>
  </w:style>
  <w:style w:type="character" w:customStyle="1" w:styleId="33">
    <w:name w:val="标题 3 Char"/>
    <w:basedOn w:val="18"/>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日期 Char"/>
    <w:basedOn w:val="18"/>
    <w:link w:val="11"/>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430.79</c:v>
                </c:pt>
                <c:pt idx="1">
                  <c:v>534.34</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3204.02</c:v>
                </c:pt>
                <c:pt idx="1">
                  <c:v>3217.84</c:v>
                </c:pt>
              </c:numCache>
            </c:numRef>
          </c:val>
        </c:ser>
        <c:dLbls>
          <c:showLegendKey val="0"/>
          <c:showVal val="1"/>
          <c:showCatName val="0"/>
          <c:showSerName val="0"/>
          <c:showPercent val="0"/>
          <c:showBubbleSize val="0"/>
        </c:dLbls>
        <c:gapWidth val="150"/>
        <c:axId val="237172224"/>
        <c:axId val="237173760"/>
      </c:barChart>
      <c:catAx>
        <c:axId val="2371722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7173760"/>
        <c:crosses val="autoZero"/>
        <c:auto val="1"/>
        <c:lblAlgn val="ctr"/>
        <c:lblOffset val="100"/>
        <c:noMultiLvlLbl val="0"/>
      </c:catAx>
      <c:valAx>
        <c:axId val="2371737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7172224"/>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a:t>202</a:t>
            </a:r>
            <a:r>
              <a:rPr lang="en-US" altLang="zh-CN"/>
              <a:t>4</a:t>
            </a:r>
            <a:r>
              <a:rPr altLang="en-US"/>
              <a:t>年</a:t>
            </a:r>
            <a:endParaRPr altLang="en-US"/>
          </a:p>
        </c:rich>
      </c:tx>
      <c:layout/>
      <c:overlay val="0"/>
    </c:title>
    <c:autoTitleDeleted val="0"/>
    <c:plotArea>
      <c:layout/>
      <c:pieChart>
        <c:varyColors val="1"/>
        <c:ser>
          <c:idx val="0"/>
          <c:order val="0"/>
          <c:tx>
            <c:strRef>
              <c:f>Sheet1!$B$1</c:f>
              <c:strCache>
                <c:ptCount val="1"/>
                <c:pt idx="0">
                  <c:v>2024年（单位:万元)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2461.5</c:v>
                </c:pt>
                <c:pt idx="1">
                  <c:v>742.52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202</a:t>
            </a:r>
            <a:r>
              <a:rPr lang="en-US" altLang="zh-CN"/>
              <a:t>4</a:t>
            </a:r>
            <a:r>
              <a:t>年支出</a:t>
            </a:r>
          </a:p>
        </c:rich>
      </c:tx>
      <c:layout/>
      <c:overlay val="0"/>
    </c:title>
    <c:autoTitleDeleted val="0"/>
    <c:plotArea>
      <c:layout/>
      <c:pieChart>
        <c:varyColors val="1"/>
        <c:ser>
          <c:idx val="0"/>
          <c:order val="0"/>
          <c:tx>
            <c:strRef>
              <c:f>Sheet1!$B$1</c:f>
              <c:strCache>
                <c:ptCount val="1"/>
                <c:pt idx="0">
                  <c:v>2024年支出</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316.47</c:v>
                </c:pt>
                <c:pt idx="1">
                  <c:v>2901.37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10301631872226"/>
          <c:y val="0.0417028676369014"/>
          <c:w val="0.791330809148497"/>
          <c:h val="0.816807651365564"/>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Sheet1!$B$2:$B$3</c:f>
              <c:numCache>
                <c:formatCode>General</c:formatCode>
                <c:ptCount val="2"/>
                <c:pt idx="0">
                  <c:v>430.79</c:v>
                </c:pt>
                <c:pt idx="1">
                  <c:v>534.34</c:v>
                </c:pt>
              </c:numCache>
            </c:numRef>
          </c:val>
        </c:ser>
        <c:ser>
          <c:idx val="1"/>
          <c:order val="1"/>
          <c:tx>
            <c:strRef>
              <c:f>Sheet1!$C$1</c:f>
              <c:strCache>
                <c:ptCount val="1"/>
                <c:pt idx="0">
                  <c:v>2024年2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Sheet1!$C$2:$C$3</c:f>
              <c:numCache>
                <c:formatCode>General</c:formatCode>
                <c:ptCount val="2"/>
                <c:pt idx="0">
                  <c:v>3204.02</c:v>
                </c:pt>
                <c:pt idx="1">
                  <c:v>3217.84</c:v>
                </c:pt>
              </c:numCache>
            </c:numRef>
          </c:val>
        </c:ser>
        <c:dLbls>
          <c:showLegendKey val="0"/>
          <c:showVal val="1"/>
          <c:showCatName val="0"/>
          <c:showSerName val="0"/>
          <c:showPercent val="0"/>
          <c:showBubbleSize val="0"/>
        </c:dLbls>
        <c:gapWidth val="150"/>
        <c:axId val="99406592"/>
        <c:axId val="99408128"/>
      </c:barChart>
      <c:catAx>
        <c:axId val="994065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408128"/>
        <c:crosses val="autoZero"/>
        <c:auto val="1"/>
        <c:lblAlgn val="ctr"/>
        <c:lblOffset val="100"/>
        <c:noMultiLvlLbl val="0"/>
      </c:catAx>
      <c:valAx>
        <c:axId val="994081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40659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6501324343848"/>
          <c:y val="0.0247678018575851"/>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521.42</c:v>
                </c:pt>
                <c:pt idx="1">
                  <c:v>2475.32</c:v>
                </c:pt>
              </c:numCache>
            </c:numRef>
          </c:val>
        </c:ser>
        <c:dLbls>
          <c:showLegendKey val="0"/>
          <c:showVal val="1"/>
          <c:showCatName val="0"/>
          <c:showSerName val="0"/>
          <c:showPercent val="0"/>
          <c:showBubbleSize val="0"/>
        </c:dLbls>
        <c:gapWidth val="150"/>
        <c:overlap val="100"/>
        <c:axId val="106850176"/>
        <c:axId val="106851712"/>
      </c:barChart>
      <c:catAx>
        <c:axId val="1068501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6851712"/>
        <c:crosses val="autoZero"/>
        <c:auto val="1"/>
        <c:lblAlgn val="ctr"/>
        <c:lblOffset val="100"/>
        <c:noMultiLvlLbl val="0"/>
      </c:catAx>
      <c:valAx>
        <c:axId val="1068517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6850176"/>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2024年一般公共预算财政拨款支出</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一般公共服务（类）支出</c:v>
                </c:pt>
                <c:pt idx="1">
                  <c:v>社会保障和就业（类）支出</c:v>
                </c:pt>
                <c:pt idx="2">
                  <c:v>卫生健康（类）支出</c:v>
                </c:pt>
                <c:pt idx="3">
                  <c:v>商业服务业支出</c:v>
                </c:pt>
                <c:pt idx="4">
                  <c:v>其他支出</c:v>
                </c:pt>
                <c:pt idx="5">
                  <c:v>交通运输支出</c:v>
                </c:pt>
                <c:pt idx="6">
                  <c:v>资源勘探工业信息等支出</c:v>
                </c:pt>
                <c:pt idx="7">
                  <c:v>住房保障（类）支出</c:v>
                </c:pt>
              </c:strCache>
            </c:strRef>
          </c:cat>
          <c:val>
            <c:numRef>
              <c:f>Sheet1!$B$2:$B$9</c:f>
              <c:numCache>
                <c:formatCode>General</c:formatCode>
                <c:ptCount val="8"/>
                <c:pt idx="0">
                  <c:v>235.82</c:v>
                </c:pt>
                <c:pt idx="1">
                  <c:v>28.06</c:v>
                </c:pt>
                <c:pt idx="2">
                  <c:v>27.05</c:v>
                </c:pt>
                <c:pt idx="3">
                  <c:v>48.7</c:v>
                </c:pt>
                <c:pt idx="4">
                  <c:v>1600</c:v>
                </c:pt>
                <c:pt idx="5">
                  <c:v>500</c:v>
                </c:pt>
                <c:pt idx="6">
                  <c:v>10.15</c:v>
                </c:pt>
                <c:pt idx="7">
                  <c:v>25.54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50706855161376"/>
          <c:y val="0.281917536015897"/>
          <c:w val="0.32888770338757"/>
          <c:h val="0.64803775459513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11A12-DEAC-4D25-8F81-9496E76C500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1690</Words>
  <Characters>9634</Characters>
  <Lines>80</Lines>
  <Paragraphs>22</Paragraphs>
  <TotalTime>1</TotalTime>
  <ScaleCrop>false</ScaleCrop>
  <LinksUpToDate>false</LinksUpToDate>
  <CharactersWithSpaces>11302</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2022-10-10T02:50:00Z</dcterms:created>
  <dc:creator>曹颖</dc:creator>
  <cp:lastModifiedBy>丁利平</cp:lastModifiedBy>
  <cp:lastPrinted>2025-11-01T11:53:00Z</cp:lastPrinted>
  <dcterms:modified xsi:type="dcterms:W3CDTF">2025-11-05T09:18:07Z</dcterms:modified>
  <dc:title>四川省***</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06C419ADE7D741D2B8E156CB7C3EF78E</vt:lpwstr>
  </property>
</Properties>
</file>