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96597"/>
      <w:bookmarkStart w:id="1" w:name="_Toc15396475"/>
      <w:bookmarkStart w:id="2" w:name="_Toc15378441"/>
      <w:bookmarkStart w:id="3" w:name="_Toc15377425"/>
      <w:bookmarkStart w:id="4" w:name="_Toc15306267"/>
      <w:bookmarkStart w:id="5" w:name="_Toc15377193"/>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96476"/>
      <w:bookmarkStart w:id="9" w:name="_Toc15396598"/>
      <w:bookmarkStart w:id="10" w:name="_Toc15306268"/>
      <w:bookmarkStart w:id="11" w:name="_Toc15378442"/>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攀枝花市西区林业局</w:t>
      </w:r>
    </w:p>
    <w:p>
      <w:pPr>
        <w:widowControl/>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r>
        <w:rPr>
          <w:rFonts w:hint="eastAsia" w:eastAsia="方正小标宋简体" w:cs="Times New Roman"/>
          <w:color w:val="auto"/>
          <w:kern w:val="2"/>
          <w:sz w:val="44"/>
          <w:szCs w:val="44"/>
          <w:highlight w:val="none"/>
          <w:lang w:val="en-US" w:eastAsia="zh-CN" w:bidi="ar-SA"/>
        </w:rPr>
        <w:t>公开编制说明</w:t>
      </w:r>
    </w:p>
    <w:p>
      <w:pPr>
        <w:widowControl/>
        <w:jc w:val="center"/>
        <w:rPr>
          <w:rFonts w:hint="eastAsia" w:ascii="Times New Roman" w:hAnsi="Times New Roman" w:eastAsia="方正小标宋简体" w:cs="Times New Roman"/>
          <w:color w:val="auto"/>
          <w:kern w:val="2"/>
          <w:sz w:val="44"/>
          <w:szCs w:val="44"/>
          <w:highlight w:val="none"/>
          <w:lang w:val="en-US" w:eastAsia="zh-CN" w:bidi="ar-SA"/>
        </w:rPr>
      </w:pPr>
    </w:p>
    <w:p>
      <w:pPr>
        <w:widowControl/>
        <w:jc w:val="center"/>
        <w:rPr>
          <w:rFonts w:hint="eastAsia" w:ascii="Times New Roman" w:hAnsi="Times New Roman" w:eastAsia="方正小标宋简体" w:cs="Times New Roman"/>
          <w:color w:val="auto"/>
          <w:kern w:val="2"/>
          <w:sz w:val="44"/>
          <w:szCs w:val="44"/>
          <w:highlight w:val="none"/>
          <w:lang w:val="en-US" w:eastAsia="zh-CN" w:bidi="ar-SA"/>
        </w:rPr>
      </w:pPr>
    </w:p>
    <w:p>
      <w:pPr>
        <w:widowControl/>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rPr>
          <w:rFonts w:hint="eastAsia" w:ascii="Times New Roman" w:hAnsi="Times New Roman" w:eastAsia="方正小标宋简体" w:cs="Times New Roman"/>
          <w:color w:val="auto"/>
          <w:kern w:val="2"/>
          <w:sz w:val="44"/>
          <w:szCs w:val="44"/>
          <w:highlight w:val="none"/>
          <w:lang w:val="en-US" w:eastAsia="zh-CN" w:bidi="ar-SA"/>
        </w:rPr>
      </w:pPr>
    </w:p>
    <w:p>
      <w:pPr>
        <w:rPr>
          <w:rFonts w:hint="eastAsia" w:ascii="Times New Roman" w:hAnsi="Times New Roman" w:eastAsia="方正小标宋简体" w:cs="Times New Roman"/>
          <w:color w:val="auto"/>
          <w:kern w:val="2"/>
          <w:sz w:val="44"/>
          <w:szCs w:val="44"/>
          <w:highlight w:val="none"/>
          <w:lang w:val="en-US" w:eastAsia="zh-CN" w:bidi="ar-SA"/>
        </w:rPr>
      </w:pPr>
    </w:p>
    <w:p>
      <w:pPr>
        <w:pStyle w:val="7"/>
        <w:rPr>
          <w:rFonts w:hint="eastAsia" w:ascii="Times New Roman" w:hAnsi="Times New Roman" w:eastAsia="方正小标宋简体" w:cs="Times New Roman"/>
          <w:color w:val="auto"/>
          <w:kern w:val="2"/>
          <w:sz w:val="44"/>
          <w:szCs w:val="44"/>
          <w:highlight w:val="none"/>
          <w:lang w:val="en-US" w:eastAsia="zh-CN" w:bidi="ar-SA"/>
        </w:rPr>
      </w:pPr>
    </w:p>
    <w:p>
      <w:pPr>
        <w:rPr>
          <w:rFonts w:hint="eastAsia" w:ascii="Times New Roman" w:hAnsi="Times New Roman" w:eastAsia="方正小标宋简体" w:cs="Times New Roman"/>
          <w:color w:val="auto"/>
          <w:kern w:val="2"/>
          <w:sz w:val="44"/>
          <w:szCs w:val="44"/>
          <w:highlight w:val="none"/>
          <w:lang w:val="en-US" w:eastAsia="zh-CN" w:bidi="ar-SA"/>
        </w:rPr>
      </w:pPr>
    </w:p>
    <w:p>
      <w:pPr>
        <w:pStyle w:val="7"/>
        <w:rPr>
          <w:rFonts w:hint="eastAsia" w:ascii="Times New Roman" w:hAnsi="Times New Roman" w:eastAsia="方正小标宋简体" w:cs="Times New Roman"/>
          <w:color w:val="auto"/>
          <w:kern w:val="2"/>
          <w:sz w:val="44"/>
          <w:szCs w:val="44"/>
          <w:highlight w:val="none"/>
          <w:lang w:val="en-US" w:eastAsia="zh-CN" w:bidi="ar-SA"/>
        </w:rPr>
      </w:pPr>
    </w:p>
    <w:p>
      <w:pPr>
        <w:rPr>
          <w:rFonts w:hint="eastAsia" w:ascii="Times New Roman" w:hAnsi="Times New Roman" w:eastAsia="方正小标宋简体" w:cs="Times New Roman"/>
          <w:color w:val="auto"/>
          <w:kern w:val="2"/>
          <w:sz w:val="44"/>
          <w:szCs w:val="44"/>
          <w:highlight w:val="none"/>
          <w:lang w:val="en-US" w:eastAsia="zh-CN" w:bidi="ar-SA"/>
        </w:rPr>
      </w:pPr>
    </w:p>
    <w:p>
      <w:pPr>
        <w:pStyle w:val="7"/>
        <w:rPr>
          <w:rFonts w:hint="eastAsia" w:ascii="Times New Roman" w:hAnsi="Times New Roman" w:eastAsia="方正小标宋简体" w:cs="Times New Roman"/>
          <w:color w:val="auto"/>
          <w:kern w:val="2"/>
          <w:sz w:val="44"/>
          <w:szCs w:val="44"/>
          <w:highlight w:val="none"/>
          <w:lang w:val="en-US" w:eastAsia="zh-CN" w:bidi="ar-SA"/>
        </w:rPr>
      </w:pPr>
    </w:p>
    <w:p>
      <w:pPr>
        <w:rPr>
          <w:rFonts w:hint="eastAsia" w:ascii="Times New Roman" w:hAnsi="Times New Roman" w:eastAsia="方正小标宋简体" w:cs="Times New Roman"/>
          <w:color w:val="auto"/>
          <w:kern w:val="2"/>
          <w:sz w:val="44"/>
          <w:szCs w:val="44"/>
          <w:highlight w:val="none"/>
          <w:lang w:val="en-US" w:eastAsia="zh-CN" w:bidi="ar-SA"/>
        </w:rPr>
      </w:pPr>
    </w:p>
    <w:p>
      <w:pPr>
        <w:pStyle w:val="7"/>
        <w:rPr>
          <w:rFonts w:hint="eastAsia" w:ascii="Times New Roman" w:hAnsi="Times New Roman" w:eastAsia="方正小标宋简体" w:cs="Times New Roman"/>
          <w:color w:val="auto"/>
          <w:kern w:val="2"/>
          <w:sz w:val="44"/>
          <w:szCs w:val="44"/>
          <w:highlight w:val="none"/>
          <w:lang w:val="en-US" w:eastAsia="zh-CN" w:bidi="ar-SA"/>
        </w:r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5"/>
        <w:adjustRightInd w:val="0"/>
        <w:snapToGrid w:val="0"/>
        <w:spacing w:before="0" w:line="500" w:lineRule="exact"/>
        <w:jc w:val="left"/>
        <w:rPr>
          <w:rFonts w:ascii="仿宋_GB2312" w:hAnsi="Times New Roman" w:eastAsia="仿宋_GB2312"/>
        </w:rPr>
      </w:pPr>
      <w:bookmarkStart w:id="12" w:name="OLE_LINK1"/>
      <w:bookmarkStart w:id="13" w:name="_Toc15377196"/>
      <w:bookmarkStart w:id="14" w:name="_Toc15396599"/>
      <w:r>
        <w:rPr>
          <w:rFonts w:hint="eastAsia" w:ascii="仿宋_GB2312" w:hAnsi="Times New Roman" w:eastAsia="仿宋_GB2312"/>
        </w:rPr>
        <w:t>第一部分 部门概况</w:t>
      </w:r>
      <w:r>
        <w:rPr>
          <w:rFonts w:hint="eastAsia" w:ascii="仿宋_GB2312" w:hAnsi="Times New Roman" w:eastAsia="仿宋_GB2312"/>
        </w:rPr>
        <w:tab/>
      </w:r>
      <w:r>
        <w:rPr>
          <w:rFonts w:hint="eastAsia" w:ascii="仿宋_GB2312" w:hAnsi="Times New Roman" w:eastAsia="仿宋_GB2312"/>
        </w:rPr>
        <w:t>1</w:t>
      </w:r>
    </w:p>
    <w:p>
      <w:pPr>
        <w:pStyle w:val="17"/>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一、部门职责</w:t>
      </w:r>
      <w:r>
        <w:rPr>
          <w:rFonts w:hint="eastAsia" w:ascii="仿宋_GB2312" w:eastAsia="仿宋_GB2312"/>
          <w:sz w:val="28"/>
          <w:szCs w:val="28"/>
        </w:rPr>
        <w:tab/>
      </w:r>
      <w:r>
        <w:rPr>
          <w:rFonts w:hint="eastAsia" w:ascii="仿宋_GB2312" w:eastAsia="仿宋_GB2312"/>
          <w:sz w:val="28"/>
          <w:szCs w:val="28"/>
        </w:rPr>
        <w:t>1</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二、机构设置</w:t>
      </w:r>
      <w:r>
        <w:rPr>
          <w:rFonts w:hint="eastAsia" w:ascii="仿宋_GB2312" w:eastAsia="仿宋_GB2312"/>
          <w:sz w:val="28"/>
          <w:szCs w:val="28"/>
        </w:rPr>
        <w:tab/>
      </w:r>
      <w:r>
        <w:rPr>
          <w:rFonts w:hint="eastAsia" w:ascii="仿宋_GB2312" w:eastAsia="仿宋_GB2312"/>
          <w:sz w:val="28"/>
          <w:szCs w:val="28"/>
          <w:lang w:val="en-US" w:eastAsia="zh-CN"/>
        </w:rPr>
        <w:t>4</w:t>
      </w:r>
    </w:p>
    <w:p>
      <w:pPr>
        <w:pStyle w:val="15"/>
        <w:adjustRightInd w:val="0"/>
        <w:snapToGrid w:val="0"/>
        <w:spacing w:before="0" w:line="500" w:lineRule="exact"/>
        <w:jc w:val="left"/>
        <w:rPr>
          <w:rFonts w:hint="eastAsia" w:ascii="仿宋_GB2312" w:hAnsi="Times New Roman" w:eastAsia="仿宋_GB2312"/>
          <w:lang w:eastAsia="zh-CN"/>
        </w:rPr>
      </w:pPr>
      <w:r>
        <w:rPr>
          <w:rFonts w:hint="eastAsia" w:ascii="仿宋_GB2312" w:hAnsi="Times New Roman" w:eastAsia="仿宋_GB2312"/>
        </w:rPr>
        <w:t>第二部分2024年度部门决算情况说明</w:t>
      </w:r>
      <w:r>
        <w:rPr>
          <w:rFonts w:hint="eastAsia" w:ascii="仿宋_GB2312" w:hAnsi="Times New Roman" w:eastAsia="仿宋_GB2312"/>
        </w:rPr>
        <w:tab/>
      </w:r>
      <w:r>
        <w:rPr>
          <w:rFonts w:hint="eastAsia" w:ascii="仿宋_GB2312" w:hAnsi="Times New Roman" w:eastAsia="仿宋_GB2312"/>
          <w:lang w:val="en-US" w:eastAsia="zh-CN"/>
        </w:rPr>
        <w:t>5</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一、收入支出决算总体情况说明</w:t>
      </w:r>
      <w:r>
        <w:rPr>
          <w:rFonts w:hint="eastAsia" w:ascii="仿宋_GB2312" w:eastAsia="仿宋_GB2312"/>
          <w:sz w:val="28"/>
          <w:szCs w:val="28"/>
        </w:rPr>
        <w:tab/>
      </w:r>
      <w:r>
        <w:rPr>
          <w:rFonts w:hint="eastAsia" w:ascii="仿宋_GB2312" w:eastAsia="仿宋_GB2312"/>
          <w:sz w:val="28"/>
          <w:szCs w:val="28"/>
          <w:lang w:val="en-US" w:eastAsia="zh-CN"/>
        </w:rPr>
        <w:t>5</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二、收入决算情况说明</w:t>
      </w:r>
      <w:r>
        <w:rPr>
          <w:rFonts w:hint="eastAsia" w:ascii="仿宋_GB2312" w:eastAsia="仿宋_GB2312"/>
          <w:sz w:val="28"/>
          <w:szCs w:val="28"/>
        </w:rPr>
        <w:tab/>
      </w:r>
      <w:r>
        <w:rPr>
          <w:rFonts w:hint="eastAsia" w:ascii="仿宋_GB2312" w:eastAsia="仿宋_GB2312"/>
          <w:sz w:val="28"/>
          <w:szCs w:val="28"/>
          <w:lang w:val="en-US" w:eastAsia="zh-CN"/>
        </w:rPr>
        <w:t>5</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三、支出决算情况说明</w:t>
      </w:r>
      <w:r>
        <w:rPr>
          <w:rFonts w:hint="eastAsia" w:ascii="仿宋_GB2312" w:eastAsia="仿宋_GB2312"/>
          <w:sz w:val="28"/>
          <w:szCs w:val="28"/>
        </w:rPr>
        <w:tab/>
      </w:r>
      <w:r>
        <w:rPr>
          <w:rFonts w:hint="eastAsia" w:ascii="仿宋_GB2312" w:eastAsia="仿宋_GB2312"/>
          <w:sz w:val="28"/>
          <w:szCs w:val="28"/>
          <w:lang w:val="en-US" w:eastAsia="zh-CN"/>
        </w:rPr>
        <w:t>6</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四、财政拨款收入支出决算总体情况说明</w:t>
      </w:r>
      <w:r>
        <w:rPr>
          <w:rFonts w:hint="eastAsia" w:ascii="仿宋_GB2312" w:eastAsia="仿宋_GB2312"/>
          <w:sz w:val="28"/>
          <w:szCs w:val="28"/>
        </w:rPr>
        <w:tab/>
      </w:r>
      <w:r>
        <w:rPr>
          <w:rFonts w:hint="eastAsia" w:ascii="仿宋_GB2312" w:eastAsia="仿宋_GB2312"/>
          <w:sz w:val="28"/>
          <w:szCs w:val="28"/>
          <w:lang w:val="en-US" w:eastAsia="zh-CN"/>
        </w:rPr>
        <w:t>7</w:t>
      </w:r>
    </w:p>
    <w:p>
      <w:pPr>
        <w:pStyle w:val="17"/>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五、一般公共预算财政拨款支出决算情况说明</w:t>
      </w:r>
      <w:r>
        <w:rPr>
          <w:rFonts w:hint="eastAsia" w:ascii="仿宋_GB2312" w:eastAsia="仿宋_GB2312"/>
          <w:sz w:val="28"/>
          <w:szCs w:val="28"/>
        </w:rPr>
        <w:tab/>
      </w:r>
      <w:r>
        <w:rPr>
          <w:rFonts w:hint="eastAsia" w:ascii="仿宋_GB2312" w:eastAsia="仿宋_GB2312"/>
          <w:sz w:val="28"/>
          <w:szCs w:val="28"/>
          <w:lang w:val="en-US" w:eastAsia="zh-CN"/>
        </w:rPr>
        <w:t>8</w:t>
      </w:r>
    </w:p>
    <w:p>
      <w:pPr>
        <w:pStyle w:val="17"/>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六、一般公共预算财政拨款基本支出决算情况说明</w:t>
      </w:r>
      <w:r>
        <w:rPr>
          <w:rFonts w:hint="eastAsia" w:ascii="仿宋_GB2312" w:eastAsia="仿宋_GB2312"/>
          <w:sz w:val="28"/>
          <w:szCs w:val="28"/>
        </w:rPr>
        <w:tab/>
      </w:r>
      <w:r>
        <w:rPr>
          <w:rFonts w:hint="eastAsia" w:ascii="仿宋_GB2312" w:eastAsia="仿宋_GB2312"/>
          <w:sz w:val="28"/>
          <w:szCs w:val="28"/>
          <w:lang w:val="en-US" w:eastAsia="zh-CN"/>
        </w:rPr>
        <w:t>11</w:t>
      </w:r>
    </w:p>
    <w:p>
      <w:pPr>
        <w:pStyle w:val="17"/>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七、财政拨款“三公”经费支出决算情况说明</w:t>
      </w:r>
      <w:r>
        <w:rPr>
          <w:rFonts w:hint="eastAsia" w:ascii="仿宋_GB2312" w:eastAsia="仿宋_GB2312"/>
          <w:sz w:val="28"/>
          <w:szCs w:val="28"/>
        </w:rPr>
        <w:tab/>
      </w:r>
      <w:r>
        <w:rPr>
          <w:rFonts w:hint="eastAsia" w:ascii="仿宋_GB2312" w:eastAsia="仿宋_GB2312"/>
          <w:sz w:val="28"/>
          <w:szCs w:val="28"/>
          <w:lang w:val="en-US" w:eastAsia="zh-CN"/>
        </w:rPr>
        <w:t>11</w:t>
      </w:r>
    </w:p>
    <w:p>
      <w:pPr>
        <w:pStyle w:val="17"/>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八、政府性基金预算支出决算情况说明</w:t>
      </w:r>
      <w:r>
        <w:rPr>
          <w:rFonts w:hint="eastAsia" w:ascii="仿宋_GB2312" w:eastAsia="仿宋_GB2312"/>
          <w:sz w:val="28"/>
          <w:szCs w:val="28"/>
        </w:rPr>
        <w:tab/>
      </w:r>
      <w:r>
        <w:rPr>
          <w:rFonts w:hint="eastAsia" w:ascii="仿宋_GB2312" w:eastAsia="仿宋_GB2312"/>
          <w:sz w:val="28"/>
          <w:szCs w:val="28"/>
          <w:lang w:val="en-US" w:eastAsia="zh-CN"/>
        </w:rPr>
        <w:t>14</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lang w:val="en-US" w:eastAsia="zh-CN"/>
        </w:rPr>
        <w:t>4</w:t>
      </w:r>
    </w:p>
    <w:p>
      <w:pPr>
        <w:pStyle w:val="17"/>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lang w:val="en-US" w:eastAsia="zh-CN"/>
        </w:rPr>
        <w:t>4</w:t>
      </w:r>
    </w:p>
    <w:p>
      <w:pPr>
        <w:pStyle w:val="15"/>
        <w:adjustRightInd w:val="0"/>
        <w:snapToGrid w:val="0"/>
        <w:spacing w:before="0" w:line="500" w:lineRule="exact"/>
        <w:jc w:val="left"/>
        <w:rPr>
          <w:rFonts w:hint="eastAsia" w:ascii="仿宋_GB2312" w:hAnsi="Times New Roman" w:eastAsia="仿宋_GB2312"/>
          <w:lang w:eastAsia="zh-CN"/>
        </w:rPr>
      </w:pPr>
      <w:r>
        <w:rPr>
          <w:rFonts w:hint="eastAsia" w:ascii="仿宋_GB2312" w:hAnsi="Times New Roman" w:eastAsia="仿宋_GB2312"/>
        </w:rPr>
        <w:t>第三部分 名词解释</w:t>
      </w:r>
      <w:r>
        <w:rPr>
          <w:rFonts w:hint="eastAsia" w:ascii="仿宋_GB2312" w:hAnsi="Times New Roman" w:eastAsia="仿宋_GB2312"/>
        </w:rPr>
        <w:tab/>
      </w:r>
      <w:r>
        <w:rPr>
          <w:rFonts w:hint="eastAsia" w:ascii="仿宋_GB2312" w:hAnsi="Times New Roman" w:eastAsia="仿宋_GB2312"/>
        </w:rPr>
        <w:t>1</w:t>
      </w:r>
      <w:r>
        <w:rPr>
          <w:rFonts w:hint="eastAsia" w:ascii="仿宋_GB2312" w:hAnsi="Times New Roman" w:eastAsia="仿宋_GB2312"/>
          <w:lang w:val="en-US" w:eastAsia="zh-CN"/>
        </w:rPr>
        <w:t>6</w:t>
      </w:r>
    </w:p>
    <w:p>
      <w:pPr>
        <w:pStyle w:val="15"/>
        <w:adjustRightInd w:val="0"/>
        <w:snapToGrid w:val="0"/>
        <w:spacing w:before="0" w:line="500" w:lineRule="exact"/>
        <w:jc w:val="left"/>
        <w:rPr>
          <w:rFonts w:hint="eastAsia" w:ascii="仿宋_GB2312" w:hAnsi="Times New Roman" w:eastAsia="仿宋_GB2312"/>
          <w:lang w:eastAsia="zh-CN"/>
        </w:rPr>
      </w:pPr>
      <w:r>
        <w:rPr>
          <w:rFonts w:hint="eastAsia" w:ascii="仿宋_GB2312" w:hAnsi="Times New Roman" w:eastAsia="仿宋_GB2312"/>
        </w:rPr>
        <w:t>第四部分 附件</w:t>
      </w:r>
      <w:r>
        <w:rPr>
          <w:rFonts w:hint="eastAsia" w:ascii="仿宋_GB2312" w:hAnsi="Times New Roman" w:eastAsia="仿宋_GB2312"/>
        </w:rPr>
        <w:tab/>
      </w:r>
      <w:r>
        <w:rPr>
          <w:rFonts w:hint="eastAsia" w:ascii="仿宋_GB2312" w:hAnsi="Times New Roman" w:eastAsia="仿宋_GB2312"/>
        </w:rPr>
        <w:t>1</w:t>
      </w:r>
      <w:r>
        <w:rPr>
          <w:rFonts w:hint="eastAsia" w:ascii="仿宋_GB2312" w:hAnsi="Times New Roman" w:eastAsia="仿宋_GB2312"/>
          <w:lang w:val="en-US" w:eastAsia="zh-CN"/>
        </w:rPr>
        <w:t>8</w:t>
      </w:r>
    </w:p>
    <w:p>
      <w:pPr>
        <w:pStyle w:val="15"/>
        <w:adjustRightInd w:val="0"/>
        <w:snapToGrid w:val="0"/>
        <w:spacing w:before="0" w:line="500" w:lineRule="exact"/>
        <w:jc w:val="left"/>
        <w:rPr>
          <w:rFonts w:hint="default" w:ascii="仿宋_GB2312" w:hAnsi="Times New Roman" w:eastAsia="仿宋_GB2312"/>
          <w:lang w:val="en-US"/>
        </w:rPr>
      </w:pPr>
      <w:r>
        <w:rPr>
          <w:rFonts w:hint="eastAsia" w:ascii="仿宋_GB2312" w:hAnsi="Times New Roman" w:eastAsia="仿宋_GB2312"/>
        </w:rPr>
        <w:t>第五部分 附表</w:t>
      </w:r>
      <w:r>
        <w:rPr>
          <w:rFonts w:hint="eastAsia" w:ascii="仿宋_GB2312" w:hAnsi="Times New Roman" w:eastAsia="仿宋_GB2312"/>
        </w:rPr>
        <w:tab/>
      </w:r>
      <w:r>
        <w:rPr>
          <w:rFonts w:hint="eastAsia" w:ascii="仿宋_GB2312" w:hAnsi="Times New Roman" w:eastAsia="仿宋_GB2312"/>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ascii="仿宋_GB2312" w:eastAsia="仿宋_GB2312"/>
          <w:sz w:val="28"/>
          <w:szCs w:val="28"/>
        </w:rPr>
        <w:sectPr>
          <w:footerReference r:id="rId4" w:type="first"/>
          <w:footerReference r:id="rId3" w:type="default"/>
          <w:pgSz w:w="11906" w:h="16838"/>
          <w:pgMar w:top="2098" w:right="1474" w:bottom="1984" w:left="1587" w:header="851" w:footer="992" w:gutter="0"/>
          <w:pgNumType w:fmt="numberInDash" w:start="1"/>
          <w:cols w:space="0" w:num="1"/>
          <w:docGrid w:type="lines" w:linePitch="312" w:charSpace="0"/>
        </w:sectPr>
      </w:pP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八、一般公共预算财政拨款基本支出决算明细表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十、政府性基金预算财政拨款收入支出决算表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十一、国有资本经营预算财政拨款收入支出决算表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eastAsia="zh-CN"/>
        </w:rPr>
      </w:pPr>
      <w:r>
        <w:rPr>
          <w:rFonts w:hint="eastAsia" w:ascii="仿宋_GB2312" w:eastAsia="仿宋_GB2312"/>
          <w:sz w:val="28"/>
          <w:szCs w:val="28"/>
        </w:rPr>
        <w:t>十二、国有资本经营预算财政拨款支出决算表</w:t>
      </w:r>
      <w:r>
        <w:rPr>
          <w:rFonts w:hint="eastAsia" w:ascii="仿宋_GB2312" w:eastAsia="仿宋_GB2312"/>
          <w:sz w:val="28"/>
          <w:szCs w:val="28"/>
        </w:rPr>
        <w:tab/>
      </w:r>
      <w:r>
        <w:rPr>
          <w:rFonts w:hint="eastAsia" w:ascii="仿宋_GB2312" w:eastAsia="仿宋_GB2312"/>
          <w:sz w:val="28"/>
          <w:szCs w:val="28"/>
          <w:lang w:val="en-US" w:eastAsia="zh-CN"/>
        </w:rPr>
        <w:t>19</w:t>
      </w:r>
    </w:p>
    <w:p>
      <w:pPr>
        <w:pStyle w:val="17"/>
        <w:adjustRightInd w:val="0"/>
        <w:snapToGrid w:val="0"/>
        <w:spacing w:line="500" w:lineRule="exact"/>
        <w:jc w:val="left"/>
        <w:rPr>
          <w:rFonts w:hint="default" w:ascii="仿宋_GB2312" w:eastAsia="仿宋_GB2312"/>
          <w:sz w:val="28"/>
          <w:szCs w:val="28"/>
          <w:lang w:val="en-US"/>
        </w:rPr>
      </w:pPr>
      <w:r>
        <w:rPr>
          <w:rFonts w:hint="eastAsia" w:ascii="仿宋_GB2312" w:eastAsia="仿宋_GB2312"/>
          <w:sz w:val="28"/>
          <w:szCs w:val="28"/>
        </w:rPr>
        <w:t>十三、财政拨款“三公”经费支出决算表</w:t>
      </w:r>
      <w:r>
        <w:rPr>
          <w:rFonts w:hint="eastAsia" w:ascii="仿宋_GB2312" w:eastAsia="仿宋_GB2312"/>
          <w:sz w:val="28"/>
          <w:szCs w:val="28"/>
        </w:rPr>
        <w:tab/>
      </w:r>
      <w:r>
        <w:rPr>
          <w:rFonts w:hint="eastAsia" w:ascii="仿宋_GB2312" w:eastAsia="仿宋_GB2312"/>
          <w:sz w:val="28"/>
          <w:szCs w:val="28"/>
          <w:lang w:val="en-US" w:eastAsia="zh-CN"/>
        </w:rPr>
        <w:t>19</w:t>
      </w:r>
    </w:p>
    <w:bookmarkEnd w:id="12"/>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
      <w:pPr>
        <w:pStyle w:val="2"/>
      </w:pPr>
    </w:p>
    <w:p>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方正小标宋简体" w:cs="方正小标宋简体"/>
          <w:b w:val="0"/>
          <w:color w:val="auto"/>
          <w:highlight w:val="none"/>
        </w:rPr>
        <w:sectPr>
          <w:footerReference r:id="rId7" w:type="first"/>
          <w:headerReference r:id="rId5" w:type="default"/>
          <w:footerReference r:id="rId6" w:type="default"/>
          <w:pgSz w:w="11906" w:h="16838"/>
          <w:pgMar w:top="2098" w:right="1474" w:bottom="1984" w:left="1587" w:header="851" w:footer="992" w:gutter="0"/>
          <w:pgNumType w:fmt="numberInDash" w:start="1"/>
          <w:cols w:space="0" w:num="1"/>
          <w:titlePg/>
          <w:docGrid w:type="lines" w:linePitch="312" w:charSpace="0"/>
        </w:sectPr>
      </w:pPr>
    </w:p>
    <w:bookmarkEnd w:id="13"/>
    <w:bookmarkEnd w:id="14"/>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31"/>
          <w:rFonts w:hint="eastAsia" w:ascii="Times New Roman" w:hAnsi="Times New Roman" w:eastAsia="方正小标宋简体" w:cs="方正小标宋简体"/>
          <w:b/>
          <w:bCs w:val="0"/>
          <w:color w:val="auto"/>
          <w:highlight w:val="none"/>
        </w:rPr>
      </w:pPr>
      <w:bookmarkStart w:id="15" w:name="_Toc15396614"/>
      <w:bookmarkStart w:id="16" w:name="_Toc1537722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Times New Roman" w:hAnsi="Times New Roman" w:eastAsia="黑体"/>
          <w:b w:val="0"/>
          <w:color w:val="auto"/>
          <w:highlight w:val="none"/>
        </w:rPr>
      </w:pPr>
      <w:bookmarkStart w:id="17" w:name="_Toc15377197"/>
      <w:bookmarkStart w:id="18" w:name="_Toc15396600"/>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Style w:val="32"/>
          <w:rFonts w:hint="eastAsia" w:ascii="Times New Roman" w:hAnsi="Times New Roman" w:eastAsia="黑体"/>
          <w:b w:val="0"/>
          <w:bCs w:val="0"/>
          <w:color w:val="auto"/>
          <w:highlight w:val="none"/>
          <w:lang w:eastAsia="zh-CN"/>
        </w:rPr>
      </w:pPr>
      <w:r>
        <w:rPr>
          <w:rFonts w:hint="eastAsia" w:ascii="Times New Roman" w:hAnsi="Times New Roman" w:eastAsia="黑体"/>
          <w:b w:val="0"/>
          <w:color w:val="auto"/>
          <w:highlight w:val="none"/>
        </w:rPr>
        <w:t>一、</w:t>
      </w:r>
      <w:bookmarkEnd w:id="17"/>
      <w:bookmarkEnd w:id="18"/>
      <w:r>
        <w:rPr>
          <w:rFonts w:hint="eastAsia" w:ascii="Times New Roman" w:hAnsi="Times New Roman" w:eastAsia="黑体"/>
          <w:b w:val="0"/>
          <w:color w:val="auto"/>
          <w:highlight w:val="none"/>
          <w:lang w:eastAsia="zh-CN"/>
        </w:rPr>
        <w:t>部门职责</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bookmarkStart w:id="19" w:name="_Toc15377200"/>
      <w:bookmarkStart w:id="20" w:name="_Toc15396601"/>
      <w:r>
        <w:rPr>
          <w:rFonts w:hint="eastAsia" w:ascii="仿宋_GB2312" w:eastAsia="仿宋_GB2312"/>
          <w:bCs/>
          <w:sz w:val="32"/>
          <w:szCs w:val="32"/>
        </w:rPr>
        <w:t>（一）负责全区林业及其生态保护修复的监督管理。拟订全区林业及其生态保护修复的政策、规划，并组织实施。组织开展全区森林、湿地、荒漠和陆生野生动植物资源动态监测与评价，推进全区林业数字化建设。</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（二）组织全区林业生态保护修复、造林绿化工作。组织实施林业重点生态保护修复工程，指导公益林和商品林的培育，组织、指导、</w:t>
      </w:r>
      <w:r>
        <w:rPr>
          <w:rFonts w:hint="eastAsia" w:ascii="仿宋_GB2312" w:eastAsia="仿宋_GB2312"/>
          <w:bCs/>
          <w:color w:val="000000"/>
          <w:sz w:val="32"/>
          <w:szCs w:val="32"/>
        </w:rPr>
        <w:t>监督全</w:t>
      </w:r>
      <w:r>
        <w:rPr>
          <w:rFonts w:hint="eastAsia" w:ascii="仿宋_GB2312" w:eastAsia="仿宋_GB2312"/>
          <w:bCs/>
          <w:sz w:val="32"/>
          <w:szCs w:val="32"/>
        </w:rPr>
        <w:t>民义务植树、城乡绿化工作。指导林业有害生物防治、检疫工作。承担林业应对气候变化的相关工作。</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三）负责全区森林、湿地资源的监督管理。组织编制并监督执行全区森林采伐限额，监督指导限额采伐制度的执行和林木的凭证采伐、运输，监督木材的经营加工。负责林地管理，拟订林地保护利用规划并组织实施，组织实施公益林划定和管理工作，管理国有森林资源。负责湿地生态保护修复工作，拟订全区湿地保护规划，监督管理湿地的开发利用。</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color w:val="FF0000"/>
          <w:sz w:val="32"/>
          <w:szCs w:val="32"/>
        </w:rPr>
      </w:pPr>
      <w:r>
        <w:rPr>
          <w:rFonts w:hint="eastAsia" w:ascii="仿宋_GB2312" w:eastAsia="仿宋_GB2312"/>
          <w:bCs/>
          <w:sz w:val="32"/>
          <w:szCs w:val="32"/>
        </w:rPr>
        <w:t>（四）负责监督管理全区荒漠化防治工作。组织开展石漠化土地调查，贯彻执行国家和省、市有关防沙治沙、石漠化防治及沙化土地封禁保护区建设规划及其标准和规定，监督管理沙化土地的开发利用，组织沙尘暴灾害预测预报和应急处置。</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五）负责全区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六）负责监督管理全区各类自然保护地。拟订各类自然保护地规划。负责国家公园申报设立、规划、建设和特许经营等工作，负责区政府直接行使和代理行使全民所有权的国家公园等自然保护地的自然资源资产管理和国土空间用途管制。提出新建、调整各类自然保护地的审核建议并按程序报批，组织世界自然遗产的申报，会同有关部门开展世界自然与文化双重遗产的申报。负责生物多样性保护相关工作。</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七）负责推进全区林业改革相关工作。拟订集体林权制度、国有林区、国有林场等重大改革意见并监督实施。拟订农村林业发展、维护林业经营者合法权益的政策措施。指导、监督农村林地承包经营工作。开展退耕（牧）还林还草，负责天然林保护工作。</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八）贯彻执行国家和省、市有关林业资源优化配置及木材利用政策，拟订全区林业产业发展规划并监督实施，组织、指导林产品质量监督，指导生态扶贫相关工作。指导林业现代园区建设，发展花卉、特色经济林、森林林下经济、森林康养和生态旅游产业。推进林业绿色产业发展。</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（九）组织林木种质资源普查，组织建立种质资源库，负责良种选育推广，管理林木种苗生产经营行为，监管林木种苗质量。监督管理林业生物种质资源、转基因生物安全、植物新品种保护。</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（十）指导全区林业重大违法案件的查处，负责相关行政执法监管工作，指导林区社会治安治理工作。</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（十一）</w:t>
      </w:r>
      <w:r>
        <w:rPr>
          <w:rFonts w:hint="eastAsia" w:ascii="仿宋_GB2312" w:eastAsia="仿宋_GB2312"/>
          <w:bCs/>
          <w:color w:val="000000"/>
          <w:sz w:val="32"/>
          <w:szCs w:val="32"/>
        </w:rPr>
        <w:t>负责落实全区综合防灾减灾规划相关要求，</w:t>
      </w:r>
      <w:r>
        <w:rPr>
          <w:rFonts w:hint="eastAsia" w:ascii="仿宋_GB2312" w:eastAsia="仿宋_GB2312"/>
          <w:bCs/>
          <w:sz w:val="32"/>
          <w:szCs w:val="32"/>
        </w:rPr>
        <w:t>组织编制并实施森林火灾防治规划，组织、指导开展防火巡护、火源管理、防火设施建设工作。负责森林火情监测预警、火灾预防工作，发送森林火险信息。</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二）监督管理全区林业区级以上资金和国有资产，提出林业预算内投资、区级以上财政性资金安排建议，按区政府规定权限，核报、核准规划内和年度计划内投资项目。参与拟订全区林业经济调节政策，组织实施林业生态补偿工作。</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（十三）负责林业科技、教育和对外交流工作，指导全区林业人才队伍建设，组织实施林业对外交流与合作事务。</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（十四）负责按规定组织实施主体功能区规划编制工作，按规定开展水资源调查和确权登记工作。</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（十五）承担职责范围内的安全生产和职业健康、生态环境保护、审批服务便民化等工作。</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（十六）完成区委和区政府交办的其他任务。</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十七）职能转变。围绕高质量筑牢长江上游生态屏障，加强森林、湿地监督管理的统筹协调，切实加大生态系统保护力度，实施重要生态系统保护和修复工程，高质量实施绿化西区行动，高水平推进数字林业建设，统一推进全区各类自然保护地的清理规范。</w:t>
      </w:r>
    </w:p>
    <w:p>
      <w:pPr>
        <w:pageBreakBefore w:val="0"/>
        <w:widowControl w:val="0"/>
        <w:kinsoku/>
        <w:wordWrap/>
        <w:overflowPunct/>
        <w:topLinePunct w:val="0"/>
        <w:autoSpaceDE/>
        <w:autoSpaceDN/>
        <w:bidi w:val="0"/>
        <w:adjustRightInd/>
        <w:snapToGrid/>
        <w:spacing w:line="240" w:lineRule="auto"/>
        <w:ind w:firstLine="470" w:firstLineChars="147"/>
        <w:textAlignment w:val="auto"/>
        <w:rPr>
          <w:rFonts w:ascii="仿宋_GB2312" w:eastAsia="仿宋_GB2312"/>
          <w:bCs/>
          <w:sz w:val="32"/>
          <w:szCs w:val="32"/>
        </w:rPr>
      </w:pPr>
      <w:r>
        <w:rPr>
          <w:rFonts w:hint="eastAsia" w:ascii="仿宋_GB2312" w:eastAsia="仿宋_GB2312"/>
          <w:bCs/>
          <w:sz w:val="32"/>
          <w:szCs w:val="32"/>
        </w:rPr>
        <w:t>（十八）在自然灾害防救方面的职责分工。</w:t>
      </w:r>
    </w:p>
    <w:p>
      <w:pPr>
        <w:pageBreakBefore w:val="0"/>
        <w:widowControl w:val="0"/>
        <w:kinsoku/>
        <w:wordWrap/>
        <w:overflowPunct/>
        <w:topLinePunct w:val="0"/>
        <w:autoSpaceDE/>
        <w:autoSpaceDN/>
        <w:bidi w:val="0"/>
        <w:adjustRightInd/>
        <w:snapToGrid/>
        <w:spacing w:line="240" w:lineRule="auto"/>
        <w:ind w:firstLine="627" w:firstLineChars="196"/>
        <w:textAlignment w:val="auto"/>
        <w:rPr>
          <w:rFonts w:ascii="仿宋_GB2312" w:eastAsia="仿宋_GB2312"/>
          <w:bCs/>
          <w:sz w:val="32"/>
          <w:szCs w:val="32"/>
        </w:rPr>
      </w:pPr>
      <w:r>
        <w:rPr>
          <w:rFonts w:hint="eastAsia" w:ascii="仿宋_GB2312" w:eastAsia="仿宋_GB2312"/>
          <w:bCs/>
          <w:sz w:val="32"/>
          <w:szCs w:val="32"/>
        </w:rPr>
        <w:t>区应急管理局与区林业局、区水利局、市自然资源和规划局西区分局等部门要做到各司其职、无缝对接。区应急管理局负责统一组织、统一指挥、统一协调自然灾害类突发事件应急救援救灾工作。区自然资源局、区水利局、市自然资源和规划局西区分局依法依规承担相关行业领域的灾害监测、预警、防治工作及抢险救援的技术保障工作。</w:t>
      </w:r>
    </w:p>
    <w:p>
      <w:pPr>
        <w:pStyle w:val="4"/>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Style w:val="32"/>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9"/>
      <w:bookmarkEnd w:id="20"/>
    </w:p>
    <w:p>
      <w:pPr>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攀枝花市西区林业局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方正小标宋简体" w:cs="方正小标宋简体"/>
          <w:b w:val="0"/>
          <w:color w:val="auto"/>
          <w:highlight w:val="none"/>
        </w:rPr>
      </w:pPr>
      <w:bookmarkStart w:id="21" w:name="_Toc15396602"/>
      <w:bookmarkStart w:id="22"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1"/>
      <w:bookmarkEnd w:id="22"/>
    </w:p>
    <w:p>
      <w:pPr>
        <w:rPr>
          <w:rFonts w:hint="eastAsia"/>
          <w:sz w:val="32"/>
          <w:szCs w:val="32"/>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2"/>
          <w:rFonts w:hint="eastAsia" w:ascii="Times New Roman" w:hAnsi="Times New Roman" w:eastAsia="黑体"/>
          <w:b w:val="0"/>
          <w:color w:val="auto"/>
          <w:highlight w:val="none"/>
        </w:rPr>
      </w:pPr>
      <w:bookmarkStart w:id="23" w:name="_Toc15377205"/>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3"/>
      <w:bookmarkEnd w:id="24"/>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1591.56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减少14.34</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减少0.89</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sz w:val="32"/>
          <w:szCs w:val="32"/>
        </w:rPr>
        <w:t>林业草原防灾减灾项目经费减少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05350" cy="2667000"/>
            <wp:effectExtent l="4445" t="4445" r="1460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77206"/>
      <w:bookmarkStart w:id="26" w:name="_Toc15396604"/>
      <w:r>
        <w:rPr>
          <w:rFonts w:hint="eastAsia" w:ascii="Times New Roman" w:hAnsi="Times New Roman" w:eastAsia="黑体"/>
          <w:color w:val="auto"/>
          <w:sz w:val="32"/>
          <w:szCs w:val="32"/>
          <w:highlight w:val="none"/>
          <w:lang w:eastAsia="zh-CN"/>
        </w:rPr>
        <w:t>二、收入决算情况说明</w:t>
      </w:r>
      <w:bookmarkEnd w:id="25"/>
      <w:bookmarkEnd w:id="26"/>
    </w:p>
    <w:p>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1161.95万元，其中：一般公共预算财政拨款收入709.13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61.02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452.82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38.97%</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576830"/>
            <wp:effectExtent l="4445" t="4445" r="14605" b="95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2"/>
          <w:rFonts w:hint="eastAsia" w:ascii="Times New Roman" w:hAnsi="Times New Roman" w:eastAsia="黑体"/>
          <w:b w:val="0"/>
          <w:color w:val="auto"/>
          <w:highlight w:val="none"/>
        </w:rPr>
      </w:pPr>
      <w:bookmarkStart w:id="27" w:name="_Toc15396605"/>
      <w:bookmarkStart w:id="2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7"/>
      <w:bookmarkEnd w:id="28"/>
    </w:p>
    <w:p>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1591.56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458.5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1133.05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71.19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44983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2"/>
          <w:rFonts w:ascii="Times New Roman" w:hAnsi="Times New Roman" w:eastAsia="黑体"/>
          <w:b w:val="0"/>
          <w:color w:val="auto"/>
          <w:highlight w:val="none"/>
        </w:rPr>
      </w:pPr>
      <w:bookmarkStart w:id="29" w:name="_Toc15396606"/>
      <w:bookmarkStart w:id="30"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9"/>
      <w:bookmarkEnd w:id="30"/>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1591.56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eastAsia="仿宋_GB2312" w:cs="仿宋_GB2312"/>
          <w:color w:val="auto"/>
          <w:sz w:val="32"/>
          <w:szCs w:val="32"/>
          <w:highlight w:val="none"/>
          <w:lang w:val="en-US" w:eastAsia="zh-CN"/>
        </w:rPr>
        <w:t>减少14.34</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减少0.89</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sz w:val="32"/>
          <w:szCs w:val="32"/>
        </w:rPr>
        <w:t>林业草原防灾减灾项目经费减少</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05350" cy="3178175"/>
            <wp:effectExtent l="4445" t="4445" r="1460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2"/>
          <w:rFonts w:ascii="Times New Roman" w:hAnsi="Times New Roman" w:eastAsia="黑体"/>
          <w:b w:val="0"/>
          <w:color w:val="auto"/>
          <w:highlight w:val="none"/>
        </w:rPr>
      </w:pPr>
      <w:bookmarkStart w:id="31" w:name="_Toc15377209"/>
      <w:bookmarkStart w:id="32"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31"/>
      <w:bookmarkEnd w:id="32"/>
    </w:p>
    <w:p>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1138.74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71.54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%。与2023年度相比，一般公共预算财政拨款支出增加36.31万元，增长3.29%。主要变动原因：一是</w:t>
      </w:r>
      <w:r>
        <w:rPr>
          <w:rFonts w:hint="eastAsia" w:ascii="仿宋_GB2312" w:hAnsi="仿宋_GB2312" w:eastAsia="仿宋_GB2312" w:cs="仿宋_GB2312"/>
          <w:sz w:val="32"/>
          <w:szCs w:val="32"/>
        </w:rPr>
        <w:t>在职人员工资正常增长后医保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养老保险、公积金等</w:t>
      </w:r>
      <w:r>
        <w:rPr>
          <w:rFonts w:hint="eastAsia" w:ascii="仿宋_GB2312" w:hAnsi="仿宋_GB2312" w:eastAsia="仿宋_GB2312" w:cs="仿宋_GB2312"/>
          <w:sz w:val="32"/>
          <w:szCs w:val="32"/>
        </w:rPr>
        <w:t>缴费基数调增。</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1人去世，增加死亡抚恤金。</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增加中央财政林业改革发展资金。</w:t>
      </w:r>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89805" cy="2603500"/>
            <wp:effectExtent l="4445" t="4445" r="6350" b="1333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pPr>
        <w:pageBreakBefore w:val="0"/>
        <w:widowControl w:val="0"/>
        <w:kinsoku/>
        <w:wordWrap/>
        <w:overflowPunct/>
        <w:topLinePunct w:val="0"/>
        <w:autoSpaceDE/>
        <w:autoSpaceDN/>
        <w:bidi w:val="0"/>
        <w:adjustRightInd/>
        <w:snapToGrid/>
        <w:spacing w:line="240" w:lineRule="auto"/>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1138.74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70.95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36.19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节能环保支出0.18万元，占0.02%；农林水支出857.06万元，占75.26%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28.73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2.52</w:t>
      </w:r>
      <w:r>
        <w:rPr>
          <w:rFonts w:hint="eastAsia" w:ascii="Times New Roman" w:hAnsi="Times New Roman" w:eastAsia="仿宋_GB2312" w:cs="仿宋_GB2312"/>
          <w:color w:val="auto"/>
          <w:kern w:val="2"/>
          <w:sz w:val="32"/>
          <w:szCs w:val="32"/>
          <w:highlight w:val="none"/>
          <w:lang w:val="en-US" w:eastAsia="zh-CN" w:bidi="ar-SA"/>
        </w:rPr>
        <w:t>%；灾害防治及应急管理支出</w:t>
      </w:r>
      <w:r>
        <w:rPr>
          <w:rFonts w:hint="eastAsia" w:eastAsia="仿宋_GB2312" w:cs="仿宋_GB2312"/>
          <w:color w:val="auto"/>
          <w:kern w:val="2"/>
          <w:sz w:val="32"/>
          <w:szCs w:val="32"/>
          <w:highlight w:val="none"/>
          <w:lang w:val="en-US" w:eastAsia="zh-CN" w:bidi="ar-SA"/>
        </w:rPr>
        <w:t>145.63万元；占12.79%。</w:t>
      </w:r>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pageBreakBefore w:val="0"/>
        <w:widowControl w:val="0"/>
        <w:tabs>
          <w:tab w:val="left" w:pos="5074"/>
        </w:tabs>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仿宋_GB2312"/>
          <w:color w:val="auto"/>
          <w:kern w:val="2"/>
          <w:sz w:val="32"/>
          <w:szCs w:val="32"/>
          <w:highlight w:val="none"/>
          <w:lang w:val="en-US" w:eastAsia="zh-CN" w:bidi="ar-SA"/>
        </w:rPr>
      </w:pPr>
      <w:r>
        <w:drawing>
          <wp:inline distT="0" distB="0" distL="114300" distR="114300">
            <wp:extent cx="4724400" cy="3147695"/>
            <wp:effectExtent l="4445" t="4445" r="10795" b="1778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lang w:eastAsia="zh-CN"/>
        </w:rPr>
        <w:tab/>
      </w:r>
    </w:p>
    <w:p>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5"/>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36" w:name="_Toc15378460"/>
      <w:bookmarkStart w:id="37" w:name="_Toc15377444"/>
      <w:bookmarkStart w:id="38"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1138.74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pPr>
        <w:spacing w:line="640" w:lineRule="exact"/>
        <w:ind w:firstLine="640" w:firstLineChars="200"/>
        <w:rPr>
          <w:rStyle w:val="20"/>
          <w:rFonts w:hint="default" w:ascii="仿宋_GB2312" w:hAnsi="仿宋" w:eastAsia="仿宋_GB2312"/>
          <w:b w:val="0"/>
          <w:bCs/>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20"/>
          <w:rFonts w:hint="eastAsia" w:ascii="仿宋_GB2312" w:hAnsi="仿宋" w:eastAsia="仿宋_GB2312"/>
          <w:bCs/>
          <w:sz w:val="32"/>
          <w:szCs w:val="32"/>
        </w:rPr>
        <w:t>社会保障和就业（类）行政事业单位养老支出（款）行政单位离退休（项）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4.05</w:t>
      </w:r>
      <w:r>
        <w:rPr>
          <w:rStyle w:val="20"/>
          <w:rFonts w:hint="eastAsia" w:ascii="仿宋_GB2312" w:hAnsi="仿宋" w:eastAsia="仿宋_GB2312"/>
          <w:b w:val="0"/>
          <w:bCs/>
          <w:sz w:val="32"/>
          <w:szCs w:val="32"/>
        </w:rPr>
        <w:t>万元，完成预算100%</w:t>
      </w:r>
      <w:r>
        <w:rPr>
          <w:rStyle w:val="20"/>
          <w:rFonts w:hint="eastAsia" w:ascii="仿宋_GB2312" w:hAnsi="仿宋" w:eastAsia="仿宋_GB2312"/>
          <w:bCs/>
          <w:sz w:val="32"/>
          <w:szCs w:val="32"/>
        </w:rPr>
        <w:t>;事业单位离退休</w:t>
      </w:r>
      <w:r>
        <w:rPr>
          <w:rStyle w:val="20"/>
          <w:rFonts w:hint="eastAsia" w:ascii="仿宋_GB2312" w:hAnsi="仿宋" w:eastAsia="仿宋_GB2312"/>
          <w:bCs/>
          <w:sz w:val="32"/>
          <w:szCs w:val="32"/>
          <w:lang w:eastAsia="zh-CN"/>
        </w:rPr>
        <w:t>（</w:t>
      </w:r>
      <w:r>
        <w:rPr>
          <w:rStyle w:val="20"/>
          <w:rFonts w:hint="eastAsia" w:ascii="仿宋_GB2312" w:hAnsi="仿宋" w:eastAsia="仿宋_GB2312"/>
          <w:bCs/>
          <w:sz w:val="32"/>
          <w:szCs w:val="32"/>
          <w:lang w:val="en-US" w:eastAsia="zh-CN"/>
        </w:rPr>
        <w:t>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11.15</w:t>
      </w:r>
      <w:r>
        <w:rPr>
          <w:rStyle w:val="20"/>
          <w:rFonts w:hint="eastAsia" w:ascii="仿宋_GB2312" w:hAnsi="仿宋" w:eastAsia="仿宋_GB2312"/>
          <w:b w:val="0"/>
          <w:bCs/>
          <w:sz w:val="32"/>
          <w:szCs w:val="32"/>
        </w:rPr>
        <w:t>万元，完成预算100%</w:t>
      </w:r>
      <w:r>
        <w:rPr>
          <w:rStyle w:val="20"/>
          <w:rFonts w:hint="eastAsia" w:ascii="仿宋_GB2312" w:hAnsi="仿宋" w:eastAsia="仿宋_GB2312"/>
          <w:bCs/>
          <w:sz w:val="32"/>
          <w:szCs w:val="32"/>
        </w:rPr>
        <w:t>;机关事业单位基本养老保险缴费支出（项）</w:t>
      </w:r>
      <w:r>
        <w:rPr>
          <w:rStyle w:val="20"/>
          <w:rFonts w:hint="eastAsia" w:ascii="仿宋_GB2312" w:hAnsi="仿宋" w:eastAsia="仿宋_GB2312"/>
          <w:b w:val="0"/>
          <w:bCs/>
          <w:sz w:val="32"/>
          <w:szCs w:val="32"/>
        </w:rPr>
        <w:t>支出决算为</w:t>
      </w:r>
      <w:r>
        <w:rPr>
          <w:rStyle w:val="20"/>
          <w:rFonts w:hint="eastAsia" w:ascii="仿宋_GB2312" w:hAnsi="仿宋" w:eastAsia="仿宋_GB2312"/>
          <w:b w:val="0"/>
          <w:bCs/>
          <w:sz w:val="32"/>
          <w:szCs w:val="32"/>
          <w:lang w:val="en-US" w:eastAsia="zh-CN"/>
        </w:rPr>
        <w:t>33.30</w:t>
      </w:r>
      <w:r>
        <w:rPr>
          <w:rStyle w:val="20"/>
          <w:rFonts w:hint="eastAsia" w:ascii="仿宋_GB2312" w:hAnsi="仿宋" w:eastAsia="仿宋_GB2312"/>
          <w:b w:val="0"/>
          <w:bCs/>
          <w:sz w:val="32"/>
          <w:szCs w:val="32"/>
        </w:rPr>
        <w:t>万元，完成预算100%。</w:t>
      </w:r>
      <w:r>
        <w:rPr>
          <w:rStyle w:val="20"/>
          <w:rFonts w:hint="eastAsia" w:ascii="仿宋_GB2312" w:hAnsi="仿宋" w:eastAsia="仿宋_GB2312"/>
          <w:b/>
          <w:bCs w:val="0"/>
          <w:sz w:val="32"/>
          <w:szCs w:val="32"/>
          <w:lang w:val="en-US" w:eastAsia="zh-CN"/>
        </w:rPr>
        <w:t>抚恤（款）死亡抚恤（项）</w:t>
      </w:r>
      <w:r>
        <w:rPr>
          <w:rStyle w:val="20"/>
          <w:rFonts w:hint="eastAsia" w:ascii="仿宋_GB2312" w:hAnsi="仿宋" w:eastAsia="仿宋_GB2312"/>
          <w:b w:val="0"/>
          <w:bCs/>
          <w:sz w:val="32"/>
          <w:szCs w:val="32"/>
          <w:lang w:val="en-US" w:eastAsia="zh-CN"/>
        </w:rPr>
        <w:t>支出决算为22.45万元，完成预算100%。</w:t>
      </w:r>
    </w:p>
    <w:p>
      <w:pPr>
        <w:spacing w:line="640" w:lineRule="exact"/>
        <w:ind w:firstLine="640" w:firstLineChars="200"/>
        <w:rPr>
          <w:rStyle w:val="20"/>
          <w:rFonts w:hint="eastAsia" w:ascii="仿宋_GB2312" w:hAnsi="仿宋" w:eastAsia="仿宋_GB2312"/>
          <w:b w:val="0"/>
          <w:bCs/>
          <w:color w:val="auto"/>
          <w:sz w:val="32"/>
          <w:szCs w:val="32"/>
        </w:rPr>
      </w:pPr>
      <w:r>
        <w:rPr>
          <w:rFonts w:hint="eastAsia" w:eastAsia="仿宋_GB2312" w:cs="仿宋_GB2312"/>
          <w:color w:val="auto"/>
          <w:kern w:val="2"/>
          <w:sz w:val="32"/>
          <w:szCs w:val="32"/>
          <w:highlight w:val="none"/>
          <w:lang w:val="en-US" w:eastAsia="zh-CN" w:bidi="ar-SA"/>
        </w:rPr>
        <w:t>2.</w:t>
      </w:r>
      <w:r>
        <w:rPr>
          <w:rFonts w:hint="eastAsia" w:ascii="仿宋_GB2312" w:hAnsi="仿宋" w:eastAsia="仿宋_GB2312"/>
          <w:b/>
          <w:bCs/>
          <w:color w:val="auto"/>
          <w:sz w:val="32"/>
          <w:szCs w:val="32"/>
        </w:rPr>
        <w:t>卫生健康</w:t>
      </w:r>
      <w:r>
        <w:rPr>
          <w:rStyle w:val="20"/>
          <w:rFonts w:hint="eastAsia" w:ascii="仿宋_GB2312" w:hAnsi="仿宋" w:eastAsia="仿宋_GB2312"/>
          <w:bCs/>
          <w:color w:val="auto"/>
          <w:sz w:val="32"/>
          <w:szCs w:val="32"/>
        </w:rPr>
        <w:t>（类）行政事业单位医疗（款）行政单位医疗（项）</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10.24</w:t>
      </w:r>
      <w:r>
        <w:rPr>
          <w:rStyle w:val="20"/>
          <w:rFonts w:hint="eastAsia" w:ascii="仿宋_GB2312" w:hAnsi="仿宋" w:eastAsia="仿宋_GB2312"/>
          <w:b w:val="0"/>
          <w:bCs/>
          <w:color w:val="auto"/>
          <w:sz w:val="32"/>
          <w:szCs w:val="32"/>
        </w:rPr>
        <w:t>万元，完成预算100% ;</w:t>
      </w:r>
      <w:r>
        <w:rPr>
          <w:rStyle w:val="20"/>
          <w:rFonts w:hint="eastAsia" w:ascii="仿宋_GB2312" w:hAnsi="仿宋" w:eastAsia="仿宋_GB2312"/>
          <w:bCs/>
          <w:color w:val="auto"/>
          <w:sz w:val="32"/>
          <w:szCs w:val="32"/>
        </w:rPr>
        <w:t>事业单位医疗（项）</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9.21</w:t>
      </w:r>
      <w:r>
        <w:rPr>
          <w:rStyle w:val="20"/>
          <w:rFonts w:hint="eastAsia" w:ascii="仿宋_GB2312" w:hAnsi="仿宋" w:eastAsia="仿宋_GB2312"/>
          <w:b w:val="0"/>
          <w:bCs/>
          <w:color w:val="auto"/>
          <w:sz w:val="32"/>
          <w:szCs w:val="32"/>
        </w:rPr>
        <w:t>万元，完成预算100% ;</w:t>
      </w:r>
      <w:r>
        <w:rPr>
          <w:rFonts w:hint="eastAsia"/>
          <w:color w:val="auto"/>
        </w:rPr>
        <w:t xml:space="preserve"> </w:t>
      </w:r>
      <w:r>
        <w:rPr>
          <w:rStyle w:val="20"/>
          <w:rFonts w:hint="eastAsia" w:ascii="仿宋_GB2312" w:hAnsi="仿宋" w:eastAsia="仿宋_GB2312"/>
          <w:bCs/>
          <w:color w:val="auto"/>
          <w:sz w:val="32"/>
          <w:szCs w:val="32"/>
        </w:rPr>
        <w:t>公务员医疗补助（项）</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7.88</w:t>
      </w:r>
      <w:r>
        <w:rPr>
          <w:rStyle w:val="20"/>
          <w:rFonts w:hint="eastAsia" w:ascii="仿宋_GB2312" w:hAnsi="仿宋" w:eastAsia="仿宋_GB2312"/>
          <w:b w:val="0"/>
          <w:bCs/>
          <w:color w:val="auto"/>
          <w:sz w:val="32"/>
          <w:szCs w:val="32"/>
        </w:rPr>
        <w:t>万元，完成预算100%;其他行政事业单位医疗支出</w:t>
      </w:r>
      <w:r>
        <w:rPr>
          <w:rStyle w:val="20"/>
          <w:rFonts w:hint="eastAsia" w:ascii="仿宋_GB2312" w:hAnsi="仿宋" w:eastAsia="仿宋_GB2312"/>
          <w:bCs/>
          <w:color w:val="auto"/>
          <w:sz w:val="32"/>
          <w:szCs w:val="32"/>
        </w:rPr>
        <w:t>（项）</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8.85</w:t>
      </w:r>
      <w:r>
        <w:rPr>
          <w:rStyle w:val="20"/>
          <w:rFonts w:hint="eastAsia" w:ascii="仿宋_GB2312" w:hAnsi="仿宋" w:eastAsia="仿宋_GB2312"/>
          <w:b w:val="0"/>
          <w:bCs/>
          <w:color w:val="auto"/>
          <w:sz w:val="32"/>
          <w:szCs w:val="32"/>
        </w:rPr>
        <w:t>万元，完成预算100%。</w:t>
      </w:r>
    </w:p>
    <w:p>
      <w:pPr>
        <w:pageBreakBefore w:val="0"/>
        <w:widowControl w:val="0"/>
        <w:kinsoku/>
        <w:wordWrap/>
        <w:overflowPunct/>
        <w:topLinePunct w:val="0"/>
        <w:autoSpaceDE/>
        <w:autoSpaceDN/>
        <w:bidi w:val="0"/>
        <w:adjustRightInd/>
        <w:snapToGrid/>
        <w:spacing w:line="240" w:lineRule="auto"/>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3.节能环保支出（类）森林保护修复（款）森林管护（项）支出决算为0.18万元，完成预算100%。</w:t>
      </w:r>
    </w:p>
    <w:p>
      <w:pPr>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4.农林水支出（类）林业和草原（款）行政运行（项）支出决算为187.14万元，完成预算100%；</w:t>
      </w:r>
      <w:r>
        <w:rPr>
          <w:rFonts w:hint="eastAsia" w:ascii="Times New Roman" w:hAnsi="Times New Roman" w:eastAsia="仿宋_GB2312" w:cs="仿宋_GB2312"/>
          <w:b/>
          <w:bCs/>
          <w:color w:val="auto"/>
          <w:kern w:val="2"/>
          <w:sz w:val="32"/>
          <w:szCs w:val="32"/>
          <w:highlight w:val="none"/>
          <w:lang w:val="en-US" w:eastAsia="zh-CN" w:bidi="ar-SA"/>
        </w:rPr>
        <w:t>事业机构（项）</w:t>
      </w:r>
      <w:r>
        <w:rPr>
          <w:rFonts w:hint="eastAsia" w:ascii="Times New Roman" w:hAnsi="Times New Roman" w:eastAsia="仿宋_GB2312" w:cs="仿宋_GB2312"/>
          <w:color w:val="auto"/>
          <w:kern w:val="2"/>
          <w:sz w:val="32"/>
          <w:szCs w:val="32"/>
          <w:highlight w:val="none"/>
          <w:lang w:val="en-US" w:eastAsia="zh-CN" w:bidi="ar-SA"/>
        </w:rPr>
        <w:t>支出决算为135.5万元,完成预算100%；</w:t>
      </w:r>
      <w:r>
        <w:rPr>
          <w:rFonts w:hint="eastAsia" w:ascii="Times New Roman" w:hAnsi="Times New Roman" w:eastAsia="仿宋_GB2312" w:cs="仿宋_GB2312"/>
          <w:b/>
          <w:bCs/>
          <w:color w:val="auto"/>
          <w:kern w:val="2"/>
          <w:sz w:val="32"/>
          <w:szCs w:val="32"/>
          <w:highlight w:val="none"/>
          <w:lang w:val="en-US" w:eastAsia="zh-CN" w:bidi="ar-SA"/>
        </w:rPr>
        <w:t>森林资源培育（项）</w:t>
      </w:r>
      <w:r>
        <w:rPr>
          <w:rFonts w:hint="eastAsia" w:ascii="Times New Roman" w:hAnsi="Times New Roman" w:eastAsia="仿宋_GB2312" w:cs="仿宋_GB2312"/>
          <w:color w:val="auto"/>
          <w:kern w:val="2"/>
          <w:sz w:val="32"/>
          <w:szCs w:val="32"/>
          <w:highlight w:val="none"/>
          <w:lang w:val="en-US" w:eastAsia="zh-CN" w:bidi="ar-SA"/>
        </w:rPr>
        <w:t>支出决算为23万元,完成预算100%；</w:t>
      </w:r>
      <w:r>
        <w:rPr>
          <w:rFonts w:hint="eastAsia" w:ascii="Times New Roman" w:hAnsi="Times New Roman" w:eastAsia="仿宋_GB2312" w:cs="仿宋_GB2312"/>
          <w:b/>
          <w:bCs/>
          <w:color w:val="auto"/>
          <w:kern w:val="2"/>
          <w:sz w:val="32"/>
          <w:szCs w:val="32"/>
          <w:highlight w:val="none"/>
          <w:lang w:val="en-US" w:eastAsia="zh-CN" w:bidi="ar-SA"/>
        </w:rPr>
        <w:t>林业草原防灾减灾（项）</w:t>
      </w:r>
      <w:r>
        <w:rPr>
          <w:rFonts w:hint="eastAsia" w:ascii="Times New Roman" w:hAnsi="Times New Roman" w:eastAsia="仿宋_GB2312" w:cs="仿宋_GB2312"/>
          <w:color w:val="auto"/>
          <w:kern w:val="2"/>
          <w:sz w:val="32"/>
          <w:szCs w:val="32"/>
          <w:highlight w:val="none"/>
          <w:lang w:val="en-US" w:eastAsia="zh-CN" w:bidi="ar-SA"/>
        </w:rPr>
        <w:t>支出决算为83.8万元,完成预算100%；其他林业和草原支出（项）支出决算为427.62万元,完成预算100%。</w:t>
      </w:r>
    </w:p>
    <w:p>
      <w:pPr>
        <w:spacing w:line="640" w:lineRule="exact"/>
        <w:ind w:firstLine="643" w:firstLineChars="200"/>
        <w:rPr>
          <w:rStyle w:val="20"/>
          <w:rFonts w:hint="eastAsia" w:ascii="仿宋_GB2312" w:hAnsi="仿宋" w:eastAsia="仿宋_GB2312"/>
          <w:b w:val="0"/>
          <w:bCs/>
          <w:color w:val="auto"/>
          <w:sz w:val="32"/>
          <w:szCs w:val="32"/>
        </w:rPr>
      </w:pPr>
      <w:r>
        <w:rPr>
          <w:rFonts w:hint="eastAsia" w:ascii="仿宋_GB2312" w:hAnsi="仿宋" w:eastAsia="仿宋_GB2312"/>
          <w:b/>
          <w:color w:val="auto"/>
          <w:sz w:val="32"/>
          <w:szCs w:val="32"/>
          <w:lang w:val="en-US" w:eastAsia="zh-CN"/>
        </w:rPr>
        <w:t>5</w:t>
      </w:r>
      <w:r>
        <w:rPr>
          <w:rFonts w:hint="eastAsia" w:ascii="仿宋_GB2312" w:hAnsi="仿宋" w:eastAsia="仿宋_GB2312"/>
          <w:b/>
          <w:color w:val="auto"/>
          <w:sz w:val="32"/>
          <w:szCs w:val="32"/>
        </w:rPr>
        <w:t>.</w:t>
      </w:r>
      <w:r>
        <w:rPr>
          <w:rFonts w:hint="eastAsia" w:ascii="仿宋_GB2312" w:eastAsia="仿宋_GB2312" w:cs="方正仿宋_GBK"/>
          <w:b/>
          <w:bCs/>
          <w:color w:val="auto"/>
          <w:sz w:val="32"/>
          <w:szCs w:val="32"/>
        </w:rPr>
        <w:t>住房保障支出</w:t>
      </w:r>
      <w:r>
        <w:rPr>
          <w:rFonts w:hint="eastAsia" w:ascii="仿宋_GB2312" w:hAnsi="仿宋" w:eastAsia="仿宋_GB2312" w:cs="仿宋"/>
          <w:b/>
          <w:bCs/>
          <w:color w:val="auto"/>
          <w:sz w:val="32"/>
          <w:szCs w:val="32"/>
        </w:rPr>
        <w:t>（类）住房改革支出（款）住房公积金（项）</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28.73</w:t>
      </w:r>
      <w:r>
        <w:rPr>
          <w:rStyle w:val="20"/>
          <w:rFonts w:hint="eastAsia" w:ascii="仿宋_GB2312" w:hAnsi="仿宋" w:eastAsia="仿宋_GB2312"/>
          <w:b w:val="0"/>
          <w:bCs/>
          <w:color w:val="auto"/>
          <w:sz w:val="32"/>
          <w:szCs w:val="32"/>
        </w:rPr>
        <w:t>万元，完成预算100%。</w:t>
      </w:r>
    </w:p>
    <w:p>
      <w:pPr>
        <w:spacing w:line="640" w:lineRule="exact"/>
        <w:ind w:firstLine="643" w:firstLineChars="200"/>
        <w:rPr>
          <w:rStyle w:val="20"/>
          <w:rFonts w:hint="eastAsia" w:ascii="仿宋_GB2312" w:hAnsi="仿宋" w:eastAsia="仿宋_GB2312"/>
          <w:b w:val="0"/>
          <w:bCs/>
          <w:color w:val="auto"/>
          <w:sz w:val="32"/>
          <w:szCs w:val="32"/>
        </w:rPr>
      </w:pPr>
      <w:r>
        <w:rPr>
          <w:rStyle w:val="20"/>
          <w:rFonts w:hint="eastAsia" w:ascii="Times New Roman" w:cs="Times New Roman"/>
          <w:bCs/>
          <w:sz w:val="32"/>
          <w:szCs w:val="32"/>
          <w:lang w:val="en-US" w:eastAsia="zh-CN"/>
        </w:rPr>
        <w:t>6</w:t>
      </w:r>
      <w:r>
        <w:rPr>
          <w:rStyle w:val="20"/>
          <w:rFonts w:hint="default" w:ascii="Times New Roman" w:hAnsi="Times New Roman" w:eastAsia="仿宋_GB2312" w:cs="Times New Roman"/>
          <w:bCs/>
          <w:sz w:val="32"/>
          <w:szCs w:val="32"/>
        </w:rPr>
        <w:t>.灾害防治及应急管理支出</w:t>
      </w:r>
      <w:r>
        <w:rPr>
          <w:rStyle w:val="20"/>
          <w:rFonts w:hint="eastAsia" w:ascii="Times New Roman" w:cs="Times New Roman"/>
          <w:bCs/>
          <w:sz w:val="32"/>
          <w:szCs w:val="32"/>
          <w:lang w:eastAsia="zh-CN"/>
        </w:rPr>
        <w:t>（</w:t>
      </w:r>
      <w:r>
        <w:rPr>
          <w:rStyle w:val="20"/>
          <w:rFonts w:hint="eastAsia" w:ascii="Times New Roman" w:cs="Times New Roman"/>
          <w:bCs/>
          <w:sz w:val="32"/>
          <w:szCs w:val="32"/>
          <w:lang w:val="en-US" w:eastAsia="zh-CN"/>
        </w:rPr>
        <w:t>类）</w:t>
      </w:r>
      <w:r>
        <w:rPr>
          <w:rStyle w:val="20"/>
          <w:rFonts w:hint="default" w:ascii="Times New Roman" w:hAnsi="Times New Roman" w:eastAsia="仿宋_GB2312" w:cs="Times New Roman"/>
          <w:bCs/>
          <w:sz w:val="32"/>
          <w:szCs w:val="32"/>
        </w:rPr>
        <w:t>自然灾害防治</w:t>
      </w:r>
      <w:r>
        <w:rPr>
          <w:rStyle w:val="20"/>
          <w:rFonts w:hint="eastAsia" w:ascii="Times New Roman" w:cs="Times New Roman"/>
          <w:bCs/>
          <w:sz w:val="32"/>
          <w:szCs w:val="32"/>
          <w:lang w:eastAsia="zh-CN"/>
        </w:rPr>
        <w:t>（</w:t>
      </w:r>
      <w:r>
        <w:rPr>
          <w:rStyle w:val="20"/>
          <w:rFonts w:hint="eastAsia" w:ascii="Times New Roman" w:cs="Times New Roman"/>
          <w:bCs/>
          <w:sz w:val="32"/>
          <w:szCs w:val="32"/>
          <w:lang w:val="en-US" w:eastAsia="zh-CN"/>
        </w:rPr>
        <w:t>款）森林草原防灾减灾</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111.21</w:t>
      </w:r>
      <w:r>
        <w:rPr>
          <w:rStyle w:val="20"/>
          <w:rFonts w:hint="eastAsia" w:ascii="仿宋_GB2312" w:hAnsi="仿宋" w:eastAsia="仿宋_GB2312"/>
          <w:b w:val="0"/>
          <w:bCs/>
          <w:color w:val="auto"/>
          <w:sz w:val="32"/>
          <w:szCs w:val="32"/>
        </w:rPr>
        <w:t>万元，完成预算100%</w:t>
      </w:r>
      <w:r>
        <w:rPr>
          <w:rStyle w:val="20"/>
          <w:rFonts w:hint="eastAsia" w:ascii="仿宋_GB2312" w:hAnsi="仿宋" w:eastAsia="仿宋_GB2312"/>
          <w:b w:val="0"/>
          <w:bCs/>
          <w:color w:val="auto"/>
          <w:sz w:val="32"/>
          <w:szCs w:val="32"/>
          <w:lang w:eastAsia="zh-CN"/>
        </w:rPr>
        <w:t>；</w:t>
      </w:r>
      <w:r>
        <w:rPr>
          <w:rStyle w:val="20"/>
          <w:rFonts w:hint="eastAsia" w:ascii="仿宋_GB2312" w:hAnsi="仿宋" w:eastAsia="仿宋_GB2312"/>
          <w:b/>
          <w:bCs w:val="0"/>
          <w:color w:val="auto"/>
          <w:sz w:val="32"/>
          <w:szCs w:val="32"/>
          <w:lang w:eastAsia="zh-CN"/>
        </w:rPr>
        <w:t>其他灾害防治及应急管理支出（</w:t>
      </w:r>
      <w:r>
        <w:rPr>
          <w:rStyle w:val="20"/>
          <w:rFonts w:hint="eastAsia" w:ascii="仿宋_GB2312" w:hAnsi="仿宋" w:eastAsia="仿宋_GB2312"/>
          <w:b/>
          <w:bCs w:val="0"/>
          <w:color w:val="auto"/>
          <w:sz w:val="32"/>
          <w:szCs w:val="32"/>
          <w:lang w:val="en-US" w:eastAsia="zh-CN"/>
        </w:rPr>
        <w:t>款）其他灾害防治及应急管理支出（项）</w:t>
      </w:r>
      <w:r>
        <w:rPr>
          <w:rStyle w:val="20"/>
          <w:rFonts w:hint="eastAsia" w:ascii="仿宋_GB2312" w:hAnsi="仿宋" w:eastAsia="仿宋_GB2312"/>
          <w:b w:val="0"/>
          <w:bCs/>
          <w:color w:val="auto"/>
          <w:sz w:val="32"/>
          <w:szCs w:val="32"/>
        </w:rPr>
        <w:t>支出决算为</w:t>
      </w:r>
      <w:r>
        <w:rPr>
          <w:rStyle w:val="20"/>
          <w:rFonts w:hint="eastAsia" w:ascii="仿宋_GB2312" w:hAnsi="仿宋" w:eastAsia="仿宋_GB2312"/>
          <w:b w:val="0"/>
          <w:bCs/>
          <w:color w:val="auto"/>
          <w:sz w:val="32"/>
          <w:szCs w:val="32"/>
          <w:lang w:val="en-US" w:eastAsia="zh-CN"/>
        </w:rPr>
        <w:t>34.43</w:t>
      </w:r>
      <w:r>
        <w:rPr>
          <w:rStyle w:val="20"/>
          <w:rFonts w:hint="eastAsia" w:ascii="仿宋_GB2312" w:hAnsi="仿宋" w:eastAsia="仿宋_GB2312"/>
          <w:b w:val="0"/>
          <w:bCs/>
          <w:color w:val="auto"/>
          <w:sz w:val="32"/>
          <w:szCs w:val="32"/>
        </w:rPr>
        <w:t>万元，完成预算100%。</w:t>
      </w:r>
    </w:p>
    <w:p>
      <w:pPr>
        <w:tabs>
          <w:tab w:val="right" w:pos="8306"/>
        </w:tabs>
        <w:spacing w:line="600" w:lineRule="exact"/>
        <w:ind w:firstLine="640"/>
        <w:outlineLvl w:val="1"/>
        <w:rPr>
          <w:rStyle w:val="32"/>
          <w:rFonts w:ascii="Times New Roman" w:hAnsi="Times New Roman"/>
          <w:color w:val="auto"/>
          <w:highlight w:val="none"/>
        </w:rPr>
      </w:pPr>
      <w:bookmarkStart w:id="39" w:name="_Toc15377214"/>
      <w:bookmarkStart w:id="40"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9"/>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458.5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410.47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元，主要包括：基本工资、津贴补贴、奖金、伙食补助费、绩效工资、机关事业单位基本养老保险缴费、其他社会保障缴费、其他工资福利支出、退休费、抚恤金、生活补助、医疗费补助、住房公积金等。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48.03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元，主要包括：办公费、水费、电费、邮电费、差旅费、维修（护）费、公务接待费、工会经费、福利费、公务用车运行维护费、其他交通费</w:t>
      </w:r>
      <w:r>
        <w:rPr>
          <w:rFonts w:hint="eastAsia" w:eastAsia="仿宋_GB2312" w:cs="仿宋_GB2312"/>
          <w:color w:val="auto"/>
          <w:kern w:val="2"/>
          <w:sz w:val="32"/>
          <w:szCs w:val="32"/>
          <w:highlight w:val="none"/>
          <w:lang w:val="en-US" w:eastAsia="zh-CN" w:bidi="ar-SA"/>
        </w:rPr>
        <w:t>等。</w:t>
      </w:r>
    </w:p>
    <w:p>
      <w:pPr>
        <w:spacing w:line="600" w:lineRule="exact"/>
        <w:ind w:firstLine="640"/>
        <w:outlineLvl w:val="1"/>
        <w:rPr>
          <w:rStyle w:val="32"/>
          <w:rFonts w:ascii="Times New Roman" w:hAnsi="Times New Roman" w:eastAsia="黑体"/>
          <w:b w:val="0"/>
          <w:color w:val="auto"/>
          <w:highlight w:val="none"/>
        </w:rPr>
      </w:pPr>
      <w:bookmarkStart w:id="41" w:name="_Toc15396609"/>
      <w:bookmarkStart w:id="42"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41"/>
      <w:bookmarkEnd w:id="4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23.42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2.82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13.69</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eastAsia="仿宋_GB2312"/>
          <w:kern w:val="0"/>
          <w:sz w:val="32"/>
          <w:szCs w:val="32"/>
        </w:rPr>
        <w:t>单位厉行节约</w:t>
      </w:r>
      <w:r>
        <w:rPr>
          <w:rFonts w:hint="eastAsia" w:eastAsia="仿宋_GB2312"/>
          <w:kern w:val="0"/>
          <w:sz w:val="32"/>
          <w:szCs w:val="32"/>
          <w:lang w:val="en-US" w:eastAsia="zh-CN"/>
        </w:rPr>
        <w:t>,无预算不安排。</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22.01</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1.41</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7"/>
        <w:rPr>
          <w:rFonts w:hint="eastAsia"/>
          <w:lang w:val="en-US" w:eastAsia="zh-CN"/>
        </w:rPr>
      </w:pPr>
      <w:r>
        <w:drawing>
          <wp:anchor distT="0" distB="0" distL="114300" distR="114300" simplePos="0" relativeHeight="251659264" behindDoc="0" locked="0" layoutInCell="1" allowOverlap="1">
            <wp:simplePos x="0" y="0"/>
            <wp:positionH relativeFrom="column">
              <wp:posOffset>120650</wp:posOffset>
            </wp:positionH>
            <wp:positionV relativeFrom="paragraph">
              <wp:posOffset>24130</wp:posOffset>
            </wp:positionV>
            <wp:extent cx="4826000" cy="2743200"/>
            <wp:effectExtent l="4445" t="4445" r="15875" b="10795"/>
            <wp:wrapSquare wrapText="bothSides"/>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napToGrid w:val="0"/>
        <w:spacing w:line="520" w:lineRule="exact"/>
        <w:ind w:firstLine="643" w:firstLineChars="200"/>
        <w:rPr>
          <w:rFonts w:hint="eastAsia" w:ascii="仿宋_GB2312" w:hAnsi="宋体" w:eastAsia="仿宋_GB2312"/>
          <w:color w:val="000000"/>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22.01万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宋体" w:eastAsia="仿宋_GB2312"/>
          <w:color w:val="000000"/>
          <w:sz w:val="32"/>
          <w:szCs w:val="32"/>
        </w:rPr>
        <w:t>工作需要,本年度新增</w:t>
      </w:r>
      <w:r>
        <w:rPr>
          <w:rFonts w:hint="eastAsia" w:ascii="仿宋_GB2312" w:hAnsi="宋体" w:eastAsia="仿宋_GB2312"/>
          <w:color w:val="000000"/>
          <w:sz w:val="32"/>
          <w:szCs w:val="32"/>
          <w:lang w:val="en-US" w:eastAsia="zh-CN"/>
        </w:rPr>
        <w:t>森林消防水车</w:t>
      </w:r>
      <w:r>
        <w:rPr>
          <w:rFonts w:hint="eastAsia" w:ascii="仿宋_GB2312" w:hAnsi="宋体" w:eastAsia="仿宋_GB2312"/>
          <w:color w:val="000000"/>
          <w:sz w:val="32"/>
          <w:szCs w:val="32"/>
        </w:rPr>
        <w:t>2辆,车辆运行费用增加。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执法车1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sz w:val="32"/>
          <w:szCs w:val="32"/>
        </w:rPr>
        <w:t>特种专业用车1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22.01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Times New Roman"/>
          <w:sz w:val="32"/>
          <w:szCs w:val="32"/>
          <w:lang w:val="en-US" w:eastAsia="zh-CN"/>
        </w:rPr>
        <w:t>森林草原防灭火</w:t>
      </w:r>
      <w:r>
        <w:rPr>
          <w:rFonts w:hint="default" w:ascii="Times New Roman" w:hAnsi="Times New Roman" w:eastAsia="仿宋_GB2312" w:cs="Times New Roman"/>
          <w:sz w:val="32"/>
          <w:szCs w:val="32"/>
        </w:rPr>
        <w:t>、森林资源管护、林政执法、生态修复等所需的公务用车燃料费、维修费、过路过桥费、保险费等支出。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1.41万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0.62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78.48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因</w:t>
      </w:r>
      <w:r>
        <w:rPr>
          <w:rFonts w:hint="eastAsia" w:eastAsia="仿宋_GB2312" w:cs="仿宋_GB2312"/>
          <w:color w:val="auto"/>
          <w:sz w:val="32"/>
          <w:szCs w:val="32"/>
          <w:lang w:val="en-US" w:eastAsia="zh-CN"/>
        </w:rPr>
        <w:t>工作需要，相关部门来本单位调研、</w:t>
      </w:r>
      <w:r>
        <w:rPr>
          <w:rFonts w:eastAsia="仿宋_GB2312"/>
          <w:color w:val="000000"/>
          <w:sz w:val="32"/>
          <w:szCs w:val="32"/>
        </w:rPr>
        <w:t>学习交流、检查指导</w:t>
      </w:r>
      <w:r>
        <w:rPr>
          <w:rFonts w:hint="eastAsia" w:eastAsia="仿宋_GB2312"/>
          <w:color w:val="000000"/>
          <w:sz w:val="32"/>
          <w:szCs w:val="32"/>
          <w:lang w:val="en-US" w:eastAsia="zh-CN"/>
        </w:rPr>
        <w:t>工作</w:t>
      </w:r>
      <w:r>
        <w:rPr>
          <w:rFonts w:hint="eastAsia" w:eastAsia="仿宋_GB2312" w:cs="仿宋_GB2312"/>
          <w:color w:val="auto"/>
          <w:sz w:val="32"/>
          <w:szCs w:val="32"/>
          <w:lang w:val="en-US" w:eastAsia="zh-CN"/>
        </w:rPr>
        <w:t>次数较上年增多。</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1.41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sz w:val="32"/>
          <w:szCs w:val="32"/>
        </w:rPr>
        <w:t>相关部门来</w:t>
      </w:r>
      <w:r>
        <w:rPr>
          <w:rFonts w:hint="eastAsia" w:ascii="仿宋_GB2312" w:eastAsia="仿宋_GB2312"/>
          <w:sz w:val="32"/>
          <w:szCs w:val="32"/>
          <w:lang w:val="en-US" w:eastAsia="zh-CN"/>
        </w:rPr>
        <w:t>西区</w:t>
      </w:r>
      <w:r>
        <w:rPr>
          <w:rFonts w:hint="eastAsia" w:ascii="仿宋_GB2312" w:eastAsia="仿宋_GB2312"/>
          <w:sz w:val="32"/>
          <w:szCs w:val="32"/>
        </w:rPr>
        <w:t>调研</w:t>
      </w:r>
      <w:r>
        <w:rPr>
          <w:rFonts w:hint="eastAsia" w:ascii="仿宋_GB2312" w:eastAsia="仿宋_GB2312"/>
          <w:sz w:val="32"/>
          <w:szCs w:val="32"/>
          <w:lang w:eastAsia="zh-CN"/>
        </w:rPr>
        <w:t>、</w:t>
      </w:r>
      <w:r>
        <w:rPr>
          <w:rFonts w:eastAsia="仿宋_GB2312"/>
          <w:color w:val="000000"/>
          <w:sz w:val="32"/>
          <w:szCs w:val="32"/>
        </w:rPr>
        <w:t>学习交流、检查指导</w:t>
      </w:r>
      <w:r>
        <w:rPr>
          <w:rFonts w:hint="eastAsia" w:ascii="仿宋_GB2312" w:eastAsia="仿宋_GB2312"/>
          <w:sz w:val="32"/>
          <w:szCs w:val="32"/>
        </w:rPr>
        <w:t>工作</w:t>
      </w:r>
      <w:r>
        <w:rPr>
          <w:rFonts w:hint="eastAsia" w:eastAsia="仿宋_GB2312"/>
          <w:color w:val="000000"/>
          <w:sz w:val="32"/>
          <w:szCs w:val="32"/>
          <w:lang w:val="en-US" w:eastAsia="zh-CN"/>
        </w:rPr>
        <w:t>等</w:t>
      </w:r>
      <w:r>
        <w:rPr>
          <w:rFonts w:hint="eastAsia" w:ascii="仿宋_GB2312" w:eastAsia="仿宋_GB2312"/>
          <w:sz w:val="32"/>
          <w:szCs w:val="32"/>
          <w:lang w:val="en-US" w:eastAsia="zh-CN"/>
        </w:rPr>
        <w:t>服务保障</w:t>
      </w:r>
      <w:r>
        <w:rPr>
          <w:rFonts w:hint="eastAsia" w:eastAsia="仿宋_GB2312" w:cs="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98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1.41</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接待</w:t>
      </w:r>
      <w:r>
        <w:rPr>
          <w:rFonts w:hint="eastAsia" w:ascii="Times New Roman" w:hAnsi="Times New Roman" w:eastAsia="仿宋_GB2312" w:cs="仿宋_GB2312"/>
          <w:color w:val="auto"/>
          <w:kern w:val="2"/>
          <w:sz w:val="32"/>
          <w:szCs w:val="32"/>
          <w:highlight w:val="none"/>
          <w:lang w:val="en-US" w:eastAsia="zh-CN" w:bidi="ar-SA"/>
        </w:rPr>
        <w:t>督导红火蚁防控及带土苗木检疫监管相关工作</w:t>
      </w:r>
      <w:r>
        <w:rPr>
          <w:rFonts w:hint="eastAsia" w:eastAsia="仿宋_GB2312" w:cs="仿宋_GB2312"/>
          <w:color w:val="auto"/>
          <w:kern w:val="2"/>
          <w:sz w:val="32"/>
          <w:szCs w:val="32"/>
          <w:highlight w:val="none"/>
          <w:lang w:val="en-US" w:eastAsia="zh-CN" w:bidi="ar-SA"/>
        </w:rPr>
        <w:t>支出0.06万元；接待华坪县加强两区县森林草原防灭火、林业有害生物联防联控以及林草资源协同管护工作支付0.13万元；接待督导森林草原防灭火工作支付0.09万元；接待办理非法狩猎案涉及生态损害赔偿相关事宜支付0.04万元；接待开展古树名木保护工作支付0.02万元；接待开展苏保区森林草原防灭火工作支付0.09万元；接待检查2023年使用林地等工作支付0.04万元；接待陪同市领导调研工作支付0.09万元；接待开展2022-2023年项目资金稽查支付0.23万元；接待红火蚁防治培训及森防工作会议支付0.27万元；接待调研西区林业管理支付0.16万元；接待林长制督查工作支付0.07万元；接待省林长制创新试点调研支付0.12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2"/>
          <w:rFonts w:ascii="Times New Roman" w:hAnsi="Times New Roman" w:eastAsia="黑体"/>
          <w:color w:val="auto"/>
          <w:highlight w:val="none"/>
        </w:rPr>
      </w:pPr>
      <w:bookmarkStart w:id="45" w:name="_Toc15396610"/>
      <w:bookmarkStart w:id="46" w:name="_Toc15377218"/>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5"/>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452.82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28.45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减少</w:t>
      </w:r>
      <w:r>
        <w:rPr>
          <w:rFonts w:hint="eastAsia" w:ascii="仿宋_GB2312" w:hAnsi="仿宋_GB2312" w:eastAsia="仿宋_GB2312" w:cs="仿宋_GB2312"/>
          <w:sz w:val="32"/>
          <w:szCs w:val="32"/>
        </w:rPr>
        <w:t>50.65万元，降低10.06%，降低的主要原因是项目资金减少。</w:t>
      </w:r>
    </w:p>
    <w:p>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7" w:name="_Toc15377219"/>
      <w:bookmarkStart w:id="48"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7"/>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9" w:name="_Toc15377221"/>
      <w:bookmarkStart w:id="50"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9"/>
      <w:bookmarkEnd w:id="5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2"/>
      <w:r>
        <w:rPr>
          <w:rFonts w:hint="eastAsia" w:ascii="Times New Roman" w:hAnsi="Times New Roman" w:eastAsia="楷体_GB2312" w:cs="楷体_GB2312"/>
          <w:b/>
          <w:color w:val="auto"/>
          <w:sz w:val="32"/>
          <w:szCs w:val="32"/>
          <w:highlight w:val="none"/>
        </w:rPr>
        <w:t>（一）机关运行经费支出情况</w:t>
      </w:r>
      <w:bookmarkEnd w:id="5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攀枝花市西区林业局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48.03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2.73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宋体" w:eastAsia="仿宋_GB2312"/>
          <w:color w:val="000000"/>
          <w:sz w:val="32"/>
          <w:szCs w:val="32"/>
        </w:rPr>
        <w:t>本年度新增洒水车2辆,车辆运行费用增加。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3"/>
      <w:r>
        <w:rPr>
          <w:rFonts w:hint="eastAsia" w:ascii="Times New Roman" w:hAnsi="Times New Roman" w:eastAsia="楷体_GB2312" w:cs="楷体_GB2312"/>
          <w:b/>
          <w:color w:val="auto"/>
          <w:sz w:val="32"/>
          <w:szCs w:val="32"/>
          <w:highlight w:val="none"/>
        </w:rPr>
        <w:t>（二）政府采购支出情况</w:t>
      </w:r>
      <w:bookmarkEnd w:id="5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攀枝花市西区林业局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323.35</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192.95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62.5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67.9</w:t>
      </w:r>
      <w:r>
        <w:rPr>
          <w:rFonts w:hint="eastAsia" w:ascii="仿宋_GB2312" w:hAnsi="仿宋_GB2312" w:eastAsia="仿宋_GB2312" w:cs="仿宋_GB2312"/>
          <w:color w:val="auto"/>
          <w:kern w:val="2"/>
          <w:sz w:val="32"/>
          <w:szCs w:val="32"/>
          <w:highlight w:val="none"/>
          <w:lang w:val="en-US" w:eastAsia="zh-CN" w:bidi="ar-SA"/>
        </w:rPr>
        <w:t>万元。主要用于购买森林消防水车2台、林火视频监控8套等。授予中小企业合同金额</w:t>
      </w:r>
      <w:r>
        <w:rPr>
          <w:rFonts w:hint="eastAsia" w:ascii="仿宋_GB2312" w:hAnsi="仿宋_GB2312" w:eastAsia="仿宋_GB2312" w:cs="仿宋_GB2312"/>
          <w:color w:val="auto"/>
          <w:sz w:val="32"/>
          <w:szCs w:val="32"/>
        </w:rPr>
        <w:t>158.5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49.01</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158.5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49.01</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4"/>
      <w:r>
        <w:rPr>
          <w:rFonts w:hint="eastAsia" w:ascii="Times New Roman" w:hAnsi="Times New Roman" w:eastAsia="楷体_GB2312" w:cs="楷体_GB2312"/>
          <w:b/>
          <w:color w:val="auto"/>
          <w:sz w:val="32"/>
          <w:szCs w:val="32"/>
          <w:highlight w:val="none"/>
        </w:rPr>
        <w:t>（三）国有资产占有使用情况</w:t>
      </w:r>
      <w:bookmarkEnd w:id="5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攀枝花市西区林业局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default" w:ascii="Times New Roman" w:hAnsi="Times New Roman" w:eastAsia="仿宋_GB2312" w:cs="Times New Roman"/>
          <w:color w:val="000000"/>
          <w:sz w:val="32"/>
          <w:szCs w:val="32"/>
        </w:rPr>
        <w:t>执法执勤用车1辆，特种专业用车1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sz w:val="32"/>
          <w:szCs w:val="32"/>
        </w:rPr>
        <w:t>林政执法经费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eastAsia="仿宋_GB2312" w:cs="仿宋_GB2312"/>
          <w:color w:val="auto"/>
          <w:kern w:val="2"/>
          <w:sz w:val="32"/>
          <w:szCs w:val="32"/>
          <w:highlight w:val="none"/>
          <w:lang w:val="en-US" w:eastAsia="zh-CN" w:bidi="ar-SA"/>
        </w:rPr>
        <w:t>本</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分，认真履行主防职责，落实好人防、物防、技防措施，资金全部保障用于森林草原防灭火工作，圆满完成森林草原防灭火工作任务，资金效益发挥明显，森林生态效益得到充分发挥，有效改善人居环境。部门绩效目标编制完整、合理，资金支付符合会计法律法规以及专项资金管理要求，项目支出专项核算、专款专用。绩效自评报告详见附件。</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4" w:name="_Toc15377225"/>
      <w:bookmarkStart w:id="55"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0" w:name="_GoBack"/>
      <w:bookmarkEnd w:id="70"/>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4"/>
      <w:bookmarkEnd w:id="55"/>
    </w:p>
    <w:p>
      <w:pPr>
        <w:spacing w:line="600" w:lineRule="exact"/>
        <w:jc w:val="left"/>
        <w:rPr>
          <w:rFonts w:ascii="Times New Roman" w:hAnsi="Times New Roman"/>
          <w:b/>
          <w:color w:val="auto"/>
          <w:sz w:val="44"/>
          <w:szCs w:val="44"/>
          <w:highlight w:val="none"/>
        </w:rPr>
      </w:pP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2.其他收入：指单位取得的除上述收入以外的各项收入。主要是利息收入，森林防火收入。</w:t>
      </w: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保障和就业支出:未归口管理的行政单位离退休支出反映单位离休人员和退休人员住房补贴支出；机关事业单位基本养老保险缴费支出反映行政事业单位工作人员缴纳的基本养老保险费；机关事业单位职业年金缴费支出反映行政事业单位工作人员缴纳的职业年金费。</w:t>
      </w: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4.医疗卫生与计划生育支出:行政单位医疗支出是反映行政人员基本医疗保险缴费经费，事业单位医疗支出是反映事业人员基本医疗缴费经费；公务员医疗补助支出是反映财政部门安排的公务员医疗补助经费。</w:t>
      </w: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5.节能环保支出：生态保护是反映尖山植被恢复绿化支出经费。</w:t>
      </w: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农林水支出：科技转化与推广服务是农业科技成果转化，农业新品种推广与服务支出；病虫害控制是动物疫情监测、预防、控制等支出；农产品质量安全是农产品质量标准制定实施、普查等方面支出；森林培育是反映义务植树、造林、抚育等方面支出；森林资源管理反映森林资源监测、林地保护、核查等方面支出；森林生态效益补偿反映公益林保护和管理等方面的支出；执法与监督反映林政行政许可、复议与诉讼、林业行政案件处理等方面支出；</w:t>
      </w:r>
    </w:p>
    <w:p>
      <w:pPr>
        <w:spacing w:line="560" w:lineRule="exact"/>
        <w:ind w:firstLine="480" w:firstLineChars="1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7.住房保障支出：反映行政事业单位人员缴纳的住房公积金。</w:t>
      </w:r>
    </w:p>
    <w:p>
      <w:pPr>
        <w:spacing w:line="560" w:lineRule="exact"/>
        <w:ind w:firstLine="480" w:firstLineChars="1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8.基本支出：指为保障机构正常运转、完成日常工作任务而发生的人员支出和公用支出。</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9.项目支出：指在基本支出之外为完成特定行政任务和事业发展目标所发生的支出。</w:t>
      </w:r>
    </w:p>
    <w:p>
      <w:pPr>
        <w:pStyle w:val="29"/>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8"/>
        <w:spacing w:before="93"/>
        <w:rPr>
          <w:rFonts w:hint="default" w:ascii="Times New Roman" w:hAnsi="Times New Roman" w:cs="Times New Roman"/>
        </w:rPr>
      </w:pPr>
      <w:r>
        <w:rPr>
          <w:rFonts w:hint="default" w:ascii="Times New Roman" w:hAnsi="Times New Roman" w:eastAsia="仿宋_GB2312" w:cs="Times New Roman"/>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default" w:ascii="Times New Roman" w:hAnsi="Times New Roman" w:eastAsia="黑体" w:cs="Times New Roman"/>
          <w:sz w:val="44"/>
          <w:szCs w:val="44"/>
        </w:rPr>
      </w:pPr>
    </w:p>
    <w:p>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pStyle w:val="10"/>
        <w:spacing w:line="560" w:lineRule="exact"/>
        <w:ind w:left="0" w:leftChars="0" w:firstLine="640"/>
        <w:rPr>
          <w:rFonts w:hint="eastAsia" w:ascii="Times New Roman" w:eastAsia="仿宋_GB2312"/>
          <w:sz w:val="32"/>
          <w:lang w:val="zh-CN"/>
        </w:rPr>
      </w:pPr>
      <w:r>
        <w:rPr>
          <w:rFonts w:hint="eastAsia" w:ascii="Times New Roman" w:eastAsia="仿宋_GB2312"/>
          <w:sz w:val="32"/>
          <w:lang w:val="zh-CN"/>
        </w:rPr>
        <w:t>本单位按要求对2024年部门整体支出绩效评价情况开展自评，</w:t>
      </w:r>
      <w:r>
        <w:rPr>
          <w:rFonts w:hint="eastAsia" w:ascii="Times New Roman" w:eastAsia="仿宋_GB2312"/>
          <w:sz w:val="32"/>
        </w:rPr>
        <w:t>部门预算项目支出绩效自评表见附件3。</w:t>
      </w:r>
    </w:p>
    <w:p>
      <w:pPr>
        <w:widowControl/>
        <w:jc w:val="center"/>
        <w:rPr>
          <w:rFonts w:hint="eastAsia" w:ascii="Times New Roman" w:hAnsi="Times New Roman" w:eastAsia="黑体"/>
          <w:color w:val="auto"/>
          <w:sz w:val="44"/>
          <w:szCs w:val="44"/>
          <w:highlight w:val="none"/>
        </w:rPr>
      </w:pPr>
      <w:bookmarkStart w:id="56"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16"/>
      <w:bookmarkEnd w:id="56"/>
      <w:bookmarkStart w:id="57" w:name="_Toc1539661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AE36DA"/>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0A5162"/>
    <w:rsid w:val="2186353C"/>
    <w:rsid w:val="23860B96"/>
    <w:rsid w:val="240371BF"/>
    <w:rsid w:val="244F3473"/>
    <w:rsid w:val="24C97D99"/>
    <w:rsid w:val="25A718F0"/>
    <w:rsid w:val="25BB59F6"/>
    <w:rsid w:val="260F557C"/>
    <w:rsid w:val="26970054"/>
    <w:rsid w:val="26A10F4B"/>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A05B5"/>
    <w:rsid w:val="389B6C89"/>
    <w:rsid w:val="38D469F0"/>
    <w:rsid w:val="39627CCD"/>
    <w:rsid w:val="397BAF1F"/>
    <w:rsid w:val="3AB79AF3"/>
    <w:rsid w:val="3AE834C0"/>
    <w:rsid w:val="3B7EF35A"/>
    <w:rsid w:val="3B9FDB6C"/>
    <w:rsid w:val="3BF5BC2F"/>
    <w:rsid w:val="3CEBA265"/>
    <w:rsid w:val="3D98207C"/>
    <w:rsid w:val="3DEE7CF3"/>
    <w:rsid w:val="3E452C57"/>
    <w:rsid w:val="3E740A63"/>
    <w:rsid w:val="3E78745D"/>
    <w:rsid w:val="3EBF2015"/>
    <w:rsid w:val="3EE17838"/>
    <w:rsid w:val="3F55381A"/>
    <w:rsid w:val="3F7F7599"/>
    <w:rsid w:val="3FF4CAE0"/>
    <w:rsid w:val="3FF7B227"/>
    <w:rsid w:val="44E268DA"/>
    <w:rsid w:val="450D13D7"/>
    <w:rsid w:val="45506656"/>
    <w:rsid w:val="468F280A"/>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62106"/>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102A6D"/>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1206AD"/>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index 5"/>
    <w:basedOn w:val="1"/>
    <w:next w:val="1"/>
    <w:qFormat/>
    <w:uiPriority w:val="0"/>
    <w:pPr>
      <w:ind w:left="800" w:leftChars="800"/>
    </w:pPr>
  </w:style>
  <w:style w:type="paragraph" w:styleId="7">
    <w:name w:val="Salutation"/>
    <w:basedOn w:val="1"/>
    <w:next w:val="1"/>
    <w:qFormat/>
    <w:uiPriority w:val="0"/>
    <w:rPr>
      <w:rFonts w:ascii="Times New Roman" w:hAnsi="Times New Roman"/>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LY\2024\&#20915;&#31639;\&#20915;&#31639;&#20844;&#24320;\&#38468;&#34920;&#21046;&#2031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LY\2024\&#20915;&#31639;\&#20915;&#31639;&#20844;&#24320;\&#38468;&#3492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收、支决算总计变动情况图</a:t>
            </a:r>
            <a:endParaRPr lang="zh-CN" altLang="en-US"/>
          </a:p>
        </c:rich>
      </c:tx>
      <c:layout/>
      <c:overlay val="0"/>
    </c:title>
    <c:autoTitleDeleted val="0"/>
    <c:plotArea>
      <c:layout/>
      <c:barChart>
        <c:barDir val="col"/>
        <c:grouping val="clustered"/>
        <c:varyColors val="0"/>
        <c:ser>
          <c:idx val="0"/>
          <c:order val="0"/>
          <c:tx>
            <c:strRef>
              <c:f>[附表制作.xlsx]Sheet1!$A$4</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[附表制作.xlsx]Sheet1!$B$4:$E$4</c:f>
              <c:numCache>
                <c:formatCode>#,##0.00</c:formatCode>
                <c:ptCount val="4"/>
                <c:pt idx="0">
                  <c:v>1605.9</c:v>
                </c:pt>
                <c:pt idx="2">
                  <c:v>1605.9</c:v>
                </c:pt>
              </c:numCache>
            </c:numRef>
          </c:val>
        </c:ser>
        <c:ser>
          <c:idx val="1"/>
          <c:order val="1"/>
          <c:tx>
            <c:strRef>
              <c:f>[附表制作.xlsx]Sheet1!$A$5</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[附表制作.xlsx]Sheet1!$B$5:$E$5</c:f>
              <c:numCache>
                <c:formatCode>General</c:formatCode>
                <c:ptCount val="4"/>
                <c:pt idx="0">
                  <c:v>1591.56</c:v>
                </c:pt>
                <c:pt idx="2">
                  <c:v>1591.56</c:v>
                </c:pt>
              </c:numCache>
            </c:numRef>
          </c:val>
        </c:ser>
        <c:dLbls>
          <c:showLegendKey val="0"/>
          <c:showVal val="1"/>
          <c:showCatName val="0"/>
          <c:showSerName val="0"/>
          <c:showPercent val="0"/>
          <c:showBubbleSize val="0"/>
        </c:dLbls>
        <c:gapWidth val="150"/>
        <c:axId val="126648320"/>
        <c:axId val="126650240"/>
      </c:barChart>
      <c:catAx>
        <c:axId val="1266483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650240"/>
        <c:crosses val="autoZero"/>
        <c:auto val="1"/>
        <c:lblAlgn val="ctr"/>
        <c:lblOffset val="100"/>
        <c:noMultiLvlLbl val="0"/>
      </c:catAx>
      <c:valAx>
        <c:axId val="126650240"/>
        <c:scaling>
          <c:orientation val="minMax"/>
        </c:scaling>
        <c:delete val="0"/>
        <c:axPos val="l"/>
        <c:majorGridlines/>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64832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709.13</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870749780396701"/>
                  <c:y val="0.079289426148034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452.82</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[附表制作.xlsx]Sheet2!$B$4:$B$5</c:f>
              <c:strCache>
                <c:ptCount val="2"/>
                <c:pt idx="0">
                  <c:v>2024年度一般公共预算财政拨款收入</c:v>
                </c:pt>
                <c:pt idx="1">
                  <c:v>2024年度政府性基金预算财政拨款收入</c:v>
                </c:pt>
              </c:strCache>
            </c:strRef>
          </c:cat>
          <c:val>
            <c:numRef>
              <c:f>[附表制作.xlsx]Sheet2!$C$4:$C$5</c:f>
              <c:numCache>
                <c:formatCode>General</c:formatCode>
                <c:ptCount val="2"/>
                <c:pt idx="0">
                  <c:v>709.13</c:v>
                </c:pt>
                <c:pt idx="1">
                  <c:v>452.82</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458.5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1133.05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[附表制作.xlsx]Sheet7!$C$3:$C$5</c:f>
              <c:strCache>
                <c:ptCount val="3"/>
                <c:pt idx="0">
                  <c:v>2024年支出合计</c:v>
                </c:pt>
                <c:pt idx="1">
                  <c:v>基本支出</c:v>
                </c:pt>
                <c:pt idx="2">
                  <c:v>项目支出</c:v>
                </c:pt>
              </c:strCache>
            </c:strRef>
          </c:cat>
          <c:val>
            <c:numRef>
              <c:f>[附表制作.xlsx]Sheet7!$D$3:$D$5</c:f>
              <c:numCache>
                <c:formatCode>General</c:formatCode>
                <c:ptCount val="3"/>
                <c:pt idx="1">
                  <c:v>458.5</c:v>
                </c:pt>
                <c:pt idx="2">
                  <c:v>1133.05</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财政拨款收、支总计变动表</a:t>
            </a:r>
            <a:endParaRPr lang="zh-CN" altLang="en-US"/>
          </a:p>
        </c:rich>
      </c:tx>
      <c:layout/>
      <c:overlay val="0"/>
    </c:title>
    <c:autoTitleDeleted val="0"/>
    <c:plotArea>
      <c:layout/>
      <c:barChart>
        <c:barDir val="col"/>
        <c:grouping val="clustered"/>
        <c:varyColors val="0"/>
        <c:ser>
          <c:idx val="0"/>
          <c:order val="0"/>
          <c:tx>
            <c:strRef>
              <c:f>[附表制作.xlsx]Sheet6!$B$4</c:f>
              <c:strCache>
                <c:ptCount val="1"/>
                <c:pt idx="0">
                  <c:v>2023</c:v>
                </c:pt>
              </c:strCache>
            </c:strRef>
          </c:tx>
          <c:invertIfNegative val="0"/>
          <c:dLbls>
            <c:delete val="1"/>
          </c:dLbls>
          <c:cat>
            <c:strRef>
              <c:f>[附表制作.xlsx]Sheet6!$C$3:$E$3</c:f>
              <c:strCache>
                <c:ptCount val="3"/>
                <c:pt idx="0">
                  <c:v>收入</c:v>
                </c:pt>
                <c:pt idx="2">
                  <c:v>支出</c:v>
                </c:pt>
              </c:strCache>
            </c:strRef>
          </c:cat>
          <c:val>
            <c:numRef>
              <c:f>[附表制作.xlsx]Sheet6!$C$4:$E$4</c:f>
              <c:numCache>
                <c:formatCode>#,##0.00</c:formatCode>
                <c:ptCount val="3"/>
                <c:pt idx="0">
                  <c:v>1605.9</c:v>
                </c:pt>
                <c:pt idx="2">
                  <c:v>1605.9</c:v>
                </c:pt>
              </c:numCache>
            </c:numRef>
          </c:val>
        </c:ser>
        <c:ser>
          <c:idx val="1"/>
          <c:order val="1"/>
          <c:tx>
            <c:strRef>
              <c:f>[附表制作.xlsx]Sheet6!$B$5</c:f>
              <c:strCache>
                <c:ptCount val="1"/>
                <c:pt idx="0">
                  <c:v>2024</c:v>
                </c:pt>
              </c:strCache>
            </c:strRef>
          </c:tx>
          <c:invertIfNegative val="0"/>
          <c:dLbls>
            <c:delete val="1"/>
          </c:dLbls>
          <c:cat>
            <c:strRef>
              <c:f>[附表制作.xlsx]Sheet6!$C$3:$E$3</c:f>
              <c:strCache>
                <c:ptCount val="3"/>
                <c:pt idx="0">
                  <c:v>收入</c:v>
                </c:pt>
                <c:pt idx="2">
                  <c:v>支出</c:v>
                </c:pt>
              </c:strCache>
            </c:strRef>
          </c:cat>
          <c:val>
            <c:numRef>
              <c:f>[附表制作.xlsx]Sheet6!$C$5:$E$5</c:f>
              <c:numCache>
                <c:formatCode>General</c:formatCode>
                <c:ptCount val="3"/>
                <c:pt idx="0">
                  <c:v>1591.56</c:v>
                </c:pt>
                <c:pt idx="2">
                  <c:v>1591.56</c:v>
                </c:pt>
              </c:numCache>
            </c:numRef>
          </c:val>
        </c:ser>
        <c:dLbls>
          <c:showLegendKey val="0"/>
          <c:showVal val="0"/>
          <c:showCatName val="0"/>
          <c:showSerName val="0"/>
          <c:showPercent val="0"/>
          <c:showBubbleSize val="0"/>
        </c:dLbls>
        <c:gapWidth val="150"/>
        <c:axId val="104592896"/>
        <c:axId val="104594432"/>
      </c:barChart>
      <c:catAx>
        <c:axId val="1045928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594432"/>
        <c:crosses val="autoZero"/>
        <c:auto val="1"/>
        <c:lblAlgn val="ctr"/>
        <c:lblOffset val="100"/>
        <c:noMultiLvlLbl val="0"/>
      </c:catAx>
      <c:valAx>
        <c:axId val="104594432"/>
        <c:scaling>
          <c:orientation val="minMax"/>
        </c:scaling>
        <c:delete val="0"/>
        <c:axPos val="l"/>
        <c:majorGridlines/>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59289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600"/>
              <a:t>一般公共预算财政拨款支出变动情况表</a:t>
            </a:r>
            <a:endParaRPr lang="zh-CN" sz="1600"/>
          </a:p>
        </c:rich>
      </c:tx>
      <c:layout>
        <c:manualLayout>
          <c:xMode val="edge"/>
          <c:yMode val="edge"/>
          <c:x val="0.0985415573053368"/>
          <c:y val="0.0277777777777778"/>
        </c:manualLayout>
      </c:layout>
      <c:overlay val="0"/>
    </c:title>
    <c:autoTitleDeleted val="0"/>
    <c:plotArea>
      <c:layout/>
      <c:barChart>
        <c:barDir val="col"/>
        <c:grouping val="stacked"/>
        <c:varyColors val="0"/>
        <c:ser>
          <c:idx val="0"/>
          <c:order val="0"/>
          <c:invertIfNegative val="0"/>
          <c:dLbls>
            <c:delete val="1"/>
          </c:dLbls>
          <c:cat>
            <c:strRef>
              <c:f>[附表制作.xlsx]Sheet5!$D$4:$D$6</c:f>
              <c:strCache>
                <c:ptCount val="3"/>
                <c:pt idx="1">
                  <c:v>2023年度一般公共预算财政拨款支出</c:v>
                </c:pt>
                <c:pt idx="2">
                  <c:v>2024年度一般公共预算财政拨款支出</c:v>
                </c:pt>
              </c:strCache>
            </c:strRef>
          </c:cat>
          <c:val>
            <c:numRef>
              <c:f>[附表制作.xlsx]Sheet5!$E$4:$E$6</c:f>
              <c:numCache>
                <c:formatCode>General</c:formatCode>
                <c:ptCount val="3"/>
                <c:pt idx="1" c:formatCode="#,##0.00">
                  <c:v>1102.43</c:v>
                </c:pt>
                <c:pt idx="2">
                  <c:v>1138.74</c:v>
                </c:pt>
              </c:numCache>
            </c:numRef>
          </c:val>
        </c:ser>
        <c:dLbls>
          <c:showLegendKey val="0"/>
          <c:showVal val="0"/>
          <c:showCatName val="0"/>
          <c:showSerName val="0"/>
          <c:showPercent val="0"/>
          <c:showBubbleSize val="0"/>
        </c:dLbls>
        <c:gapWidth val="95"/>
        <c:overlap val="100"/>
        <c:axId val="124893056"/>
        <c:axId val="124894592"/>
      </c:barChart>
      <c:catAx>
        <c:axId val="1248930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4894592"/>
        <c:crosses val="autoZero"/>
        <c:auto val="1"/>
        <c:lblAlgn val="ctr"/>
        <c:lblOffset val="100"/>
        <c:noMultiLvlLbl val="0"/>
      </c:catAx>
      <c:valAx>
        <c:axId val="124894592"/>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489305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ofPieChart>
        <c:ofPieType val="bar"/>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[附表制作.xlsx]Sheet4!$B$3:$B$8</c:f>
              <c:strCache>
                <c:ptCount val="6"/>
                <c:pt idx="0">
                  <c:v>2024年农林水支出</c:v>
                </c:pt>
                <c:pt idx="1">
                  <c:v>2024年社会保障和就业支出</c:v>
                </c:pt>
                <c:pt idx="2">
                  <c:v>2024年卫生健康支出</c:v>
                </c:pt>
                <c:pt idx="3">
                  <c:v>2024年住房保障支出</c:v>
                </c:pt>
                <c:pt idx="4">
                  <c:v>2024年节能环保支出</c:v>
                </c:pt>
                <c:pt idx="5">
                  <c:v>2024年灾害防治及应急管理支出</c:v>
                </c:pt>
              </c:strCache>
            </c:strRef>
          </c:cat>
          <c:val>
            <c:numRef>
              <c:f>[附表制作.xlsx]Sheet4!$C$3:$C$8</c:f>
              <c:numCache>
                <c:formatCode>General</c:formatCode>
                <c:ptCount val="6"/>
                <c:pt idx="0">
                  <c:v>857.06</c:v>
                </c:pt>
                <c:pt idx="1">
                  <c:v>70.95</c:v>
                </c:pt>
                <c:pt idx="2">
                  <c:v>36.19</c:v>
                </c:pt>
                <c:pt idx="3">
                  <c:v>28.73</c:v>
                </c:pt>
                <c:pt idx="4">
                  <c:v>0.18</c:v>
                </c:pt>
                <c:pt idx="5">
                  <c:v>145.63</c:v>
                </c:pt>
              </c:numCache>
            </c:numRef>
          </c:val>
        </c:ser>
        <c:dLbls>
          <c:showLegendKey val="0"/>
          <c:showVal val="1"/>
          <c:showCatName val="0"/>
          <c:showSerName val="0"/>
          <c:showPercent val="0"/>
          <c:showBubbleSize val="0"/>
          <c:showLeaderLines val="1"/>
        </c:dLbls>
        <c:gapWidth val="100"/>
        <c:secondPieSize val="75"/>
        <c:serLines/>
      </c:of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[附表制作.xlsx]Sheet3!$A$31:$A$33</c:f>
              <c:strCache>
                <c:ptCount val="3"/>
                <c:pt idx="0">
                  <c:v>因公出国（境）费</c:v>
                </c:pt>
                <c:pt idx="1">
                  <c:v>公务用车购置及运行维护费</c:v>
                </c:pt>
                <c:pt idx="2">
                  <c:v>公务接待</c:v>
                </c:pt>
              </c:strCache>
            </c:strRef>
          </c:cat>
          <c:val>
            <c:numRef>
              <c:f>[附表制作.xlsx]Sheet3!$B$31:$B$33</c:f>
              <c:numCache>
                <c:formatCode>General</c:formatCode>
                <c:ptCount val="3"/>
                <c:pt idx="0">
                  <c:v>0</c:v>
                </c:pt>
                <c:pt idx="1">
                  <c:v>22.01</c:v>
                </c:pt>
                <c:pt idx="2">
                  <c:v>1.41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66842105263158"/>
          <c:y val="0.1462962962962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11</TotalTime>
  <ScaleCrop>false</ScaleCrop>
  <LinksUpToDate>false</LinksUpToDate>
  <CharactersWithSpaces>8692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2025-11-04T09:00:21Z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04787F2533EB45DC91BCDE4AB213247F</vt:lpwstr>
  </property>
</Properties>
</file>