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597"/>
      <w:bookmarkStart w:id="2" w:name="_Toc15377425"/>
      <w:bookmarkStart w:id="3" w:name="_Toc15396475"/>
      <w:bookmarkStart w:id="4" w:name="_Toc15377193"/>
      <w:bookmarkStart w:id="5" w:name="_Toc15306267"/>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8442"/>
      <w:bookmarkStart w:id="8" w:name="_Toc15396598"/>
      <w:bookmarkStart w:id="9" w:name="_Toc15377194"/>
      <w:bookmarkStart w:id="10" w:name="_Toc15377426"/>
      <w:r>
        <w:rPr>
          <w:rFonts w:hint="default" w:ascii="Times New Roman" w:hAnsi="Times New Roman" w:eastAsia="方正小标宋简体" w:cs="Times New Roman"/>
          <w:color w:val="auto"/>
          <w:kern w:val="2"/>
          <w:sz w:val="44"/>
          <w:szCs w:val="44"/>
          <w:highlight w:val="none"/>
          <w:lang w:val="en-US" w:eastAsia="zh-CN" w:bidi="ar-SA"/>
        </w:rPr>
        <w:t>2024年度</w:t>
      </w:r>
    </w:p>
    <w:bookmarkEnd w:id="5"/>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color w:val="auto"/>
          <w:kern w:val="2"/>
          <w:sz w:val="44"/>
          <w:szCs w:val="44"/>
          <w:highlight w:val="none"/>
          <w:lang w:val="en-US" w:eastAsia="zh-CN" w:bidi="ar-SA"/>
        </w:rPr>
      </w:pPr>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攀枝花市西区人力资源和社会保障局</w:t>
      </w: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pStyle w:val="14"/>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color w:val="auto"/>
          <w:sz w:val="36"/>
          <w:szCs w:val="36"/>
          <w:highlight w:val="none"/>
        </w:rPr>
        <w:br w:type="page"/>
      </w:r>
    </w:p>
    <w:p>
      <w:pPr>
        <w:pageBreakBefore w:val="0"/>
        <w:widowControl/>
        <w:kinsoku/>
        <w:wordWrap/>
        <w:overflowPunct/>
        <w:topLinePunct w:val="0"/>
        <w:bidi w:val="0"/>
        <w:jc w:val="center"/>
        <w:textAlignment w:val="auto"/>
        <w:rPr>
          <w:rFonts w:hint="default" w:ascii="Times New Roman" w:hAnsi="Times New Roman" w:eastAsia="黑体" w:cs="Times New Roman"/>
          <w:sz w:val="48"/>
          <w:szCs w:val="48"/>
        </w:rPr>
      </w:pPr>
      <w:bookmarkStart w:id="12" w:name="_Toc15377196"/>
      <w:bookmarkStart w:id="13" w:name="_Toc15396599"/>
      <w:r>
        <w:rPr>
          <w:rFonts w:hint="default" w:ascii="Times New Roman" w:hAnsi="Times New Roman" w:eastAsia="黑体" w:cs="Times New Roman"/>
          <w:sz w:val="48"/>
          <w:szCs w:val="48"/>
        </w:rPr>
        <w:t>目录</w:t>
      </w:r>
    </w:p>
    <w:p>
      <w:pPr>
        <w:pStyle w:val="14"/>
        <w:pageBreakBefore w:val="0"/>
        <w:kinsoku/>
        <w:wordWrap/>
        <w:overflowPunct/>
        <w:topLinePunct w:val="0"/>
        <w:bidi w:val="0"/>
        <w:spacing w:before="0"/>
        <w:jc w:val="center"/>
        <w:textAlignment w:val="auto"/>
        <w:rPr>
          <w:rFonts w:hint="default" w:ascii="Times New Roman" w:hAnsi="Times New Roman" w:cs="Times New Roman"/>
        </w:rPr>
      </w:pPr>
      <w:r>
        <w:rPr>
          <w:rFonts w:hint="default" w:ascii="Times New Roman" w:hAnsi="Times New Roman" w:cs="Times New Roman"/>
        </w:rPr>
        <w:t>公开时间：202</w:t>
      </w:r>
      <w:r>
        <w:rPr>
          <w:rFonts w:hint="default" w:ascii="Times New Roman" w:hAnsi="Times New Roman" w:cs="Times New Roman"/>
          <w:lang w:val="en-US" w:eastAsia="zh-CN"/>
        </w:rPr>
        <w:t>5</w:t>
      </w:r>
      <w:r>
        <w:rPr>
          <w:rFonts w:hint="default" w:ascii="Times New Roman" w:hAnsi="Times New Roman" w:cs="Times New Roman"/>
        </w:rPr>
        <w:t>年</w:t>
      </w:r>
      <w:r>
        <w:rPr>
          <w:rFonts w:hint="default" w:ascii="Times New Roman" w:hAnsi="Times New Roman" w:cs="Times New Roman"/>
          <w:lang w:val="en-US" w:eastAsia="zh-CN"/>
        </w:rPr>
        <w:t>10月30</w:t>
      </w:r>
      <w:r>
        <w:rPr>
          <w:rFonts w:hint="default" w:ascii="Times New Roman" w:hAnsi="Times New Roman" w:cs="Times New Roman"/>
        </w:rPr>
        <w:t>日</w:t>
      </w: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b/>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pPr>
        <w:pStyle w:val="36"/>
        <w:pageBreakBefore w:val="0"/>
        <w:tabs>
          <w:tab w:val="right" w:leader="dot" w:pos="8306"/>
        </w:tabs>
        <w:kinsoku/>
        <w:wordWrap/>
        <w:overflowPunct/>
        <w:topLinePunct w:val="0"/>
        <w:bidi w:val="0"/>
        <w:textAlignment w:val="auto"/>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_Toc17871 </w:instrText>
      </w:r>
      <w:r>
        <w:rPr>
          <w:rFonts w:hint="default" w:ascii="Times New Roman" w:hAnsi="Times New Roman" w:cs="Times New Roman"/>
          <w:b/>
        </w:rPr>
        <w:fldChar w:fldCharType="separate"/>
      </w:r>
      <w:r>
        <w:rPr>
          <w:rFonts w:hint="default" w:ascii="Times New Roman" w:hAnsi="Times New Roman" w:eastAsia="黑体" w:cs="Times New Roman"/>
          <w:b/>
        </w:rPr>
        <w:t>第</w:t>
      </w:r>
      <w:r>
        <w:rPr>
          <w:rFonts w:hint="default" w:ascii="Times New Roman" w:hAnsi="Times New Roman" w:eastAsia="黑体" w:cs="Times New Roman"/>
          <w:b/>
          <w:lang w:val="en-US" w:eastAsia="zh-CN"/>
        </w:rPr>
        <w:t>一</w:t>
      </w:r>
      <w:r>
        <w:rPr>
          <w:rFonts w:hint="default" w:ascii="Times New Roman" w:hAnsi="Times New Roman" w:eastAsia="黑体" w:cs="Times New Roman"/>
          <w:b/>
        </w:rPr>
        <w:t xml:space="preserve">部分 </w:t>
      </w:r>
      <w:r>
        <w:rPr>
          <w:rFonts w:hint="default" w:ascii="Times New Roman" w:hAnsi="Times New Roman" w:eastAsia="黑体" w:cs="Times New Roman"/>
          <w:b/>
          <w:bCs w:val="0"/>
        </w:rPr>
        <w:t>部门概况</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_Toc17871 \h </w:instrText>
      </w:r>
      <w:r>
        <w:rPr>
          <w:rFonts w:hint="default" w:ascii="Times New Roman" w:hAnsi="Times New Roman" w:cs="Times New Roman"/>
          <w:b/>
        </w:rPr>
        <w:fldChar w:fldCharType="separate"/>
      </w:r>
      <w:r>
        <w:rPr>
          <w:rFonts w:hint="default" w:ascii="Times New Roman" w:hAnsi="Times New Roman" w:cs="Times New Roman"/>
          <w:b/>
        </w:rPr>
        <w:t>3</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_Toc28864 </w:instrText>
      </w:r>
      <w:r>
        <w:rPr>
          <w:rFonts w:hint="default" w:ascii="Times New Roman" w:hAnsi="Times New Roman" w:eastAsia="宋体" w:cs="Times New Roman"/>
        </w:rPr>
        <w:fldChar w:fldCharType="separate"/>
      </w:r>
      <w:r>
        <w:rPr>
          <w:rFonts w:hint="default" w:ascii="Times New Roman" w:hAnsi="Times New Roman" w:eastAsia="宋体" w:cs="Times New Roman"/>
        </w:rPr>
        <w:t>一、 部门职责</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_Toc28864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_Toc22512 </w:instrText>
      </w:r>
      <w:r>
        <w:rPr>
          <w:rFonts w:hint="default" w:ascii="Times New Roman" w:hAnsi="Times New Roman" w:eastAsia="宋体" w:cs="Times New Roman"/>
        </w:rPr>
        <w:fldChar w:fldCharType="separate"/>
      </w:r>
      <w:r>
        <w:rPr>
          <w:rFonts w:hint="default" w:ascii="Times New Roman" w:hAnsi="Times New Roman" w:eastAsia="宋体" w:cs="Times New Roman"/>
        </w:rPr>
        <w:t>二、机构设置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_Toc22512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6"/>
        <w:pageBreakBefore w:val="0"/>
        <w:tabs>
          <w:tab w:val="right" w:leader="dot" w:pos="8306"/>
        </w:tabs>
        <w:kinsoku/>
        <w:wordWrap/>
        <w:overflowPunct/>
        <w:topLinePunct w:val="0"/>
        <w:bidi w:val="0"/>
        <w:textAlignment w:val="auto"/>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_Toc19912 </w:instrText>
      </w:r>
      <w:r>
        <w:rPr>
          <w:rFonts w:hint="default" w:ascii="Times New Roman" w:hAnsi="Times New Roman" w:cs="Times New Roman"/>
          <w:b/>
        </w:rPr>
        <w:fldChar w:fldCharType="separate"/>
      </w:r>
      <w:r>
        <w:rPr>
          <w:rFonts w:hint="default" w:ascii="Times New Roman" w:hAnsi="Times New Roman" w:eastAsia="黑体" w:cs="Times New Roman"/>
          <w:b/>
        </w:rPr>
        <w:t>第</w:t>
      </w:r>
      <w:r>
        <w:rPr>
          <w:rFonts w:hint="default" w:ascii="Times New Roman" w:hAnsi="Times New Roman" w:eastAsia="黑体" w:cs="Times New Roman"/>
          <w:b/>
          <w:lang w:val="en-US" w:eastAsia="zh-CN"/>
        </w:rPr>
        <w:t>二</w:t>
      </w:r>
      <w:r>
        <w:rPr>
          <w:rFonts w:hint="default" w:ascii="Times New Roman" w:hAnsi="Times New Roman" w:eastAsia="黑体" w:cs="Times New Roman"/>
          <w:b/>
        </w:rPr>
        <w:t>部分 202</w:t>
      </w:r>
      <w:r>
        <w:rPr>
          <w:rFonts w:hint="default" w:ascii="Times New Roman" w:hAnsi="Times New Roman" w:eastAsia="黑体" w:cs="Times New Roman"/>
          <w:b/>
          <w:lang w:val="en-US" w:eastAsia="zh-CN"/>
        </w:rPr>
        <w:t>3</w:t>
      </w:r>
      <w:r>
        <w:rPr>
          <w:rFonts w:hint="default" w:ascii="Times New Roman" w:hAnsi="Times New Roman" w:eastAsia="黑体" w:cs="Times New Roman"/>
          <w:b/>
        </w:rPr>
        <w:t>年度</w:t>
      </w:r>
      <w:r>
        <w:rPr>
          <w:rFonts w:hint="default" w:ascii="Times New Roman" w:hAnsi="Times New Roman" w:eastAsia="黑体" w:cs="Times New Roman"/>
          <w:b/>
          <w:bCs/>
        </w:rPr>
        <w:t>部门决算情况说明</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_Toc19912 \h </w:instrText>
      </w:r>
      <w:r>
        <w:rPr>
          <w:rFonts w:hint="default" w:ascii="Times New Roman" w:hAnsi="Times New Roman" w:cs="Times New Roman"/>
          <w:b/>
        </w:rPr>
        <w:fldChar w:fldCharType="separate"/>
      </w:r>
      <w:r>
        <w:rPr>
          <w:rFonts w:hint="default" w:ascii="Times New Roman" w:hAnsi="Times New Roman" w:cs="Times New Roman"/>
          <w:b/>
        </w:rPr>
        <w:t>8</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_Toc32691 </w:instrText>
      </w:r>
      <w:r>
        <w:rPr>
          <w:rFonts w:hint="default" w:ascii="Times New Roman" w:hAnsi="Times New Roman" w:eastAsia="宋体" w:cs="Times New Roman"/>
        </w:rPr>
        <w:fldChar w:fldCharType="separate"/>
      </w:r>
      <w:r>
        <w:rPr>
          <w:rFonts w:hint="default" w:ascii="Times New Roman" w:hAnsi="Times New Roman" w:eastAsia="宋体" w:cs="Times New Roman"/>
        </w:rPr>
        <w:t>一、 收入支出决算总体情况说明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_Toc32691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_Toc11913 </w:instrText>
      </w:r>
      <w:r>
        <w:rPr>
          <w:rFonts w:hint="default" w:ascii="Times New Roman" w:hAnsi="Times New Roman" w:eastAsia="宋体" w:cs="Times New Roman"/>
        </w:rPr>
        <w:fldChar w:fldCharType="separate"/>
      </w:r>
      <w:r>
        <w:rPr>
          <w:rFonts w:hint="default" w:ascii="Times New Roman" w:hAnsi="Times New Roman" w:eastAsia="宋体" w:cs="Times New Roman"/>
        </w:rPr>
        <w:t>二、 收入决算情况说明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_Toc11913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_Toc29410 </w:instrText>
      </w:r>
      <w:r>
        <w:rPr>
          <w:rFonts w:hint="default" w:ascii="Times New Roman" w:hAnsi="Times New Roman" w:eastAsia="宋体" w:cs="Times New Roman"/>
        </w:rPr>
        <w:fldChar w:fldCharType="separate"/>
      </w:r>
      <w:r>
        <w:rPr>
          <w:rFonts w:hint="default" w:ascii="Times New Roman" w:hAnsi="Times New Roman" w:eastAsia="宋体" w:cs="Times New Roman"/>
        </w:rPr>
        <w:t>三、 支出决算情况说明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_Toc29410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_Toc16063 </w:instrText>
      </w:r>
      <w:r>
        <w:rPr>
          <w:rFonts w:hint="default" w:ascii="Times New Roman" w:hAnsi="Times New Roman" w:eastAsia="宋体" w:cs="Times New Roman"/>
        </w:rPr>
        <w:fldChar w:fldCharType="separate"/>
      </w:r>
      <w:r>
        <w:rPr>
          <w:rFonts w:hint="default" w:ascii="Times New Roman" w:hAnsi="Times New Roman" w:eastAsia="宋体" w:cs="Times New Roman"/>
        </w:rPr>
        <w:t>四、财政拨款收入支出决算总体情况说明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_Toc16063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_Toc25221 </w:instrText>
      </w:r>
      <w:r>
        <w:rPr>
          <w:rFonts w:hint="default" w:ascii="Times New Roman" w:hAnsi="Times New Roman" w:eastAsia="宋体" w:cs="Times New Roman"/>
        </w:rPr>
        <w:fldChar w:fldCharType="separate"/>
      </w:r>
      <w:r>
        <w:rPr>
          <w:rFonts w:hint="default" w:ascii="Times New Roman" w:hAnsi="Times New Roman" w:eastAsia="宋体" w:cs="Times New Roman"/>
        </w:rPr>
        <w:t>五、一般公共预算财政拨款支出决算情况说明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_Toc25221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_Toc13592 </w:instrText>
      </w:r>
      <w:r>
        <w:rPr>
          <w:rFonts w:hint="default" w:ascii="Times New Roman" w:hAnsi="Times New Roman" w:eastAsia="宋体" w:cs="Times New Roman"/>
        </w:rPr>
        <w:fldChar w:fldCharType="separate"/>
      </w:r>
      <w:r>
        <w:rPr>
          <w:rFonts w:hint="default" w:ascii="Times New Roman" w:hAnsi="Times New Roman" w:eastAsia="宋体" w:cs="Times New Roman"/>
        </w:rPr>
        <w:t>六、一般公共预算财政拨款基本支出决算情况说明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_Toc13592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_Toc18442 </w:instrText>
      </w:r>
      <w:r>
        <w:rPr>
          <w:rFonts w:hint="default" w:ascii="Times New Roman" w:hAnsi="Times New Roman" w:eastAsia="宋体" w:cs="Times New Roman"/>
        </w:rPr>
        <w:fldChar w:fldCharType="separate"/>
      </w:r>
      <w:r>
        <w:rPr>
          <w:rFonts w:hint="default" w:ascii="Times New Roman" w:hAnsi="Times New Roman" w:eastAsia="宋体" w:cs="Times New Roman"/>
        </w:rPr>
        <w:t>七、财政拨款“三公”经费支出决算情况说明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_Toc18442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_Toc24675 </w:instrText>
      </w:r>
      <w:r>
        <w:rPr>
          <w:rFonts w:hint="default" w:ascii="Times New Roman" w:hAnsi="Times New Roman" w:eastAsia="宋体" w:cs="Times New Roman"/>
        </w:rPr>
        <w:fldChar w:fldCharType="separate"/>
      </w:r>
      <w:r>
        <w:rPr>
          <w:rFonts w:hint="default" w:ascii="Times New Roman" w:hAnsi="Times New Roman" w:eastAsia="宋体" w:cs="Times New Roman"/>
        </w:rPr>
        <w:t>八、政府性基金预算支出决算情况说明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_Toc24675 \h </w:instrText>
      </w:r>
      <w:r>
        <w:rPr>
          <w:rFonts w:hint="default" w:ascii="Times New Roman" w:hAnsi="Times New Roman" w:eastAsia="宋体" w:cs="Times New Roman"/>
        </w:rPr>
        <w:fldChar w:fldCharType="separate"/>
      </w:r>
      <w:r>
        <w:rPr>
          <w:rFonts w:hint="default" w:ascii="Times New Roman" w:hAnsi="Times New Roman" w:eastAsia="宋体" w:cs="Times New Roman"/>
        </w:rPr>
        <w:t>18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_Toc4151 </w:instrText>
      </w:r>
      <w:r>
        <w:rPr>
          <w:rFonts w:hint="default" w:ascii="Times New Roman" w:hAnsi="Times New Roman" w:eastAsia="宋体" w:cs="Times New Roman"/>
        </w:rPr>
        <w:fldChar w:fldCharType="separate"/>
      </w:r>
      <w:r>
        <w:rPr>
          <w:rFonts w:hint="default" w:ascii="Times New Roman" w:hAnsi="Times New Roman" w:eastAsia="宋体" w:cs="Times New Roman"/>
        </w:rPr>
        <w:t>九、 国有资本经营预算支出决算情况说明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_Toc4151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_Toc4302 </w:instrText>
      </w:r>
      <w:r>
        <w:rPr>
          <w:rFonts w:hint="default" w:ascii="Times New Roman" w:hAnsi="Times New Roman" w:eastAsia="宋体" w:cs="Times New Roman"/>
        </w:rPr>
        <w:fldChar w:fldCharType="separate"/>
      </w:r>
      <w:r>
        <w:rPr>
          <w:rFonts w:hint="default" w:ascii="Times New Roman" w:hAnsi="Times New Roman" w:eastAsia="宋体" w:cs="Times New Roman"/>
        </w:rPr>
        <w:t>十、 其他重要事项的情况说明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_Toc4302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36"/>
        <w:pageBreakBefore w:val="0"/>
        <w:tabs>
          <w:tab w:val="right" w:leader="dot" w:pos="8306"/>
        </w:tabs>
        <w:kinsoku/>
        <w:wordWrap/>
        <w:overflowPunct/>
        <w:topLinePunct w:val="0"/>
        <w:bidi w:val="0"/>
        <w:textAlignment w:val="auto"/>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_Toc11968 </w:instrText>
      </w:r>
      <w:r>
        <w:rPr>
          <w:rFonts w:hint="default" w:ascii="Times New Roman" w:hAnsi="Times New Roman" w:cs="Times New Roman"/>
          <w:b/>
        </w:rPr>
        <w:fldChar w:fldCharType="separate"/>
      </w:r>
      <w:r>
        <w:rPr>
          <w:rFonts w:hint="default" w:ascii="Times New Roman" w:hAnsi="Times New Roman" w:eastAsia="黑体" w:cs="Times New Roman"/>
          <w:b/>
        </w:rPr>
        <w:t>第</w:t>
      </w:r>
      <w:r>
        <w:rPr>
          <w:rFonts w:hint="default" w:ascii="Times New Roman" w:hAnsi="Times New Roman" w:eastAsia="黑体" w:cs="Times New Roman"/>
          <w:b/>
          <w:lang w:val="en-US" w:eastAsia="zh-CN"/>
        </w:rPr>
        <w:t>三</w:t>
      </w:r>
      <w:r>
        <w:rPr>
          <w:rFonts w:hint="default" w:ascii="Times New Roman" w:hAnsi="Times New Roman" w:eastAsia="黑体" w:cs="Times New Roman"/>
          <w:b/>
        </w:rPr>
        <w:t xml:space="preserve">部分 </w:t>
      </w:r>
      <w:r>
        <w:rPr>
          <w:rFonts w:hint="default" w:ascii="Times New Roman" w:hAnsi="Times New Roman" w:eastAsia="黑体" w:cs="Times New Roman"/>
          <w:b/>
          <w:szCs w:val="44"/>
        </w:rPr>
        <w:t>名</w:t>
      </w:r>
      <w:r>
        <w:rPr>
          <w:rFonts w:hint="default" w:ascii="Times New Roman" w:hAnsi="Times New Roman" w:eastAsia="黑体" w:cs="Times New Roman"/>
          <w:b/>
        </w:rPr>
        <w:t>词解释</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_Toc11968 \h </w:instrText>
      </w:r>
      <w:r>
        <w:rPr>
          <w:rFonts w:hint="default" w:ascii="Times New Roman" w:hAnsi="Times New Roman" w:cs="Times New Roman"/>
          <w:b/>
        </w:rPr>
        <w:fldChar w:fldCharType="separate"/>
      </w:r>
      <w:r>
        <w:rPr>
          <w:rFonts w:hint="default" w:ascii="Times New Roman" w:hAnsi="Times New Roman" w:cs="Times New Roman"/>
          <w:b/>
        </w:rPr>
        <w:t>21</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6"/>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_Toc17913 </w:instrText>
      </w:r>
      <w:r>
        <w:rPr>
          <w:rFonts w:hint="default" w:ascii="Times New Roman" w:hAnsi="Times New Roman" w:cs="Times New Roman"/>
          <w:b/>
        </w:rPr>
        <w:fldChar w:fldCharType="separate"/>
      </w:r>
      <w:r>
        <w:rPr>
          <w:rFonts w:hint="default" w:ascii="Times New Roman" w:hAnsi="Times New Roman" w:eastAsia="黑体" w:cs="Times New Roman"/>
          <w:b/>
          <w:szCs w:val="44"/>
        </w:rPr>
        <w:t>第</w:t>
      </w:r>
      <w:r>
        <w:rPr>
          <w:rFonts w:hint="default" w:ascii="Times New Roman" w:hAnsi="Times New Roman" w:eastAsia="黑体" w:cs="Times New Roman"/>
          <w:b/>
          <w:lang w:val="en-US" w:eastAsia="zh-CN"/>
        </w:rPr>
        <w:t>四</w:t>
      </w:r>
      <w:r>
        <w:rPr>
          <w:rFonts w:hint="default" w:ascii="Times New Roman" w:hAnsi="Times New Roman" w:eastAsia="黑体" w:cs="Times New Roman"/>
          <w:b/>
        </w:rPr>
        <w:t>部分 附件</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_Toc17913 \h </w:instrText>
      </w:r>
      <w:r>
        <w:rPr>
          <w:rFonts w:hint="default" w:ascii="Times New Roman" w:hAnsi="Times New Roman" w:cs="Times New Roman"/>
          <w:b/>
        </w:rPr>
        <w:fldChar w:fldCharType="separate"/>
      </w:r>
      <w:r>
        <w:rPr>
          <w:rFonts w:hint="default" w:ascii="Times New Roman" w:hAnsi="Times New Roman" w:cs="Times New Roman"/>
          <w:b/>
        </w:rPr>
        <w:t>25</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6"/>
        <w:pageBreakBefore w:val="0"/>
        <w:tabs>
          <w:tab w:val="right" w:leader="dot" w:pos="8306"/>
        </w:tabs>
        <w:kinsoku/>
        <w:wordWrap/>
        <w:overflowPunct/>
        <w:topLinePunct w:val="0"/>
        <w:bidi w:val="0"/>
        <w:textAlignment w:val="auto"/>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_Toc20633 </w:instrText>
      </w:r>
      <w:r>
        <w:rPr>
          <w:rFonts w:hint="default" w:ascii="Times New Roman" w:hAnsi="Times New Roman" w:cs="Times New Roman"/>
          <w:b/>
        </w:rPr>
        <w:fldChar w:fldCharType="separate"/>
      </w:r>
      <w:r>
        <w:rPr>
          <w:rFonts w:hint="default" w:ascii="Times New Roman" w:hAnsi="Times New Roman" w:eastAsia="黑体" w:cs="Times New Roman"/>
          <w:b/>
          <w:szCs w:val="44"/>
        </w:rPr>
        <w:t>第</w:t>
      </w:r>
      <w:r>
        <w:rPr>
          <w:rFonts w:hint="default" w:ascii="Times New Roman" w:hAnsi="Times New Roman" w:eastAsia="黑体" w:cs="Times New Roman"/>
          <w:b/>
          <w:szCs w:val="44"/>
          <w:lang w:val="en-US" w:eastAsia="zh-CN"/>
        </w:rPr>
        <w:t>五</w:t>
      </w:r>
      <w:r>
        <w:rPr>
          <w:rFonts w:hint="default" w:ascii="Times New Roman" w:hAnsi="Times New Roman" w:eastAsia="黑体" w:cs="Times New Roman"/>
          <w:b/>
        </w:rPr>
        <w:t>部分 附表</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_Toc20633 \h </w:instrText>
      </w:r>
      <w:r>
        <w:rPr>
          <w:rFonts w:hint="default" w:ascii="Times New Roman" w:hAnsi="Times New Roman" w:cs="Times New Roman"/>
          <w:b/>
        </w:rPr>
        <w:fldChar w:fldCharType="separate"/>
      </w:r>
      <w:r>
        <w:rPr>
          <w:rFonts w:hint="default" w:ascii="Times New Roman" w:hAnsi="Times New Roman" w:cs="Times New Roman"/>
          <w:b/>
        </w:rPr>
        <w:t>54</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_Toc20243 </w:instrText>
      </w:r>
      <w:r>
        <w:rPr>
          <w:rFonts w:hint="default" w:ascii="Times New Roman" w:hAnsi="Times New Roman" w:cs="Times New Roman"/>
        </w:rPr>
        <w:fldChar w:fldCharType="separate"/>
      </w:r>
      <w:r>
        <w:rPr>
          <w:rFonts w:hint="default" w:ascii="Times New Roman" w:hAnsi="Times New Roman" w:eastAsia="仿宋" w:cs="Times New Roman"/>
        </w:rPr>
        <w:t>一、收</w:t>
      </w:r>
      <w:r>
        <w:rPr>
          <w:rFonts w:hint="default" w:ascii="Times New Roman" w:hAnsi="Times New Roman" w:eastAsia="仿宋" w:cs="Times New Roman"/>
          <w:bCs w:val="0"/>
        </w:rPr>
        <w:t>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_Toc20243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_Toc16951 </w:instrText>
      </w:r>
      <w:r>
        <w:rPr>
          <w:rFonts w:hint="default" w:ascii="Times New Roman" w:hAnsi="Times New Roman" w:cs="Times New Roman"/>
        </w:rPr>
        <w:fldChar w:fldCharType="separate"/>
      </w:r>
      <w:r>
        <w:rPr>
          <w:rFonts w:hint="default" w:ascii="Times New Roman" w:hAnsi="Times New Roman" w:eastAsia="仿宋" w:cs="Times New Roman"/>
        </w:rPr>
        <w:t>二、收</w:t>
      </w:r>
      <w:r>
        <w:rPr>
          <w:rFonts w:hint="default" w:ascii="Times New Roman" w:hAnsi="Times New Roman" w:eastAsia="仿宋" w:cs="Times New Roman"/>
          <w:bCs w:val="0"/>
        </w:rPr>
        <w:t>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_Toc16951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_Toc15174 </w:instrText>
      </w:r>
      <w:r>
        <w:rPr>
          <w:rFonts w:hint="default" w:ascii="Times New Roman" w:hAnsi="Times New Roman" w:cs="Times New Roman"/>
        </w:rPr>
        <w:fldChar w:fldCharType="separate"/>
      </w:r>
      <w:r>
        <w:rPr>
          <w:rFonts w:hint="default" w:ascii="Times New Roman" w:hAnsi="Times New Roman" w:eastAsia="仿宋" w:cs="Times New Roman"/>
          <w:bCs w:val="0"/>
        </w:rPr>
        <w:t>三、</w:t>
      </w:r>
      <w:r>
        <w:rPr>
          <w:rFonts w:hint="default" w:ascii="Times New Roman" w:hAnsi="Times New Roman" w:eastAsia="仿宋" w:cs="Times New Roman"/>
        </w:rPr>
        <w:t>支</w:t>
      </w:r>
      <w:r>
        <w:rPr>
          <w:rFonts w:hint="default" w:ascii="Times New Roman" w:hAnsi="Times New Roman" w:eastAsia="仿宋" w:cs="Times New Roman"/>
          <w:bCs w:val="0"/>
        </w:rPr>
        <w:t>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_Toc15174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_Toc15896 </w:instrText>
      </w:r>
      <w:r>
        <w:rPr>
          <w:rFonts w:hint="default" w:ascii="Times New Roman" w:hAnsi="Times New Roman" w:cs="Times New Roman"/>
        </w:rPr>
        <w:fldChar w:fldCharType="separate"/>
      </w:r>
      <w:r>
        <w:rPr>
          <w:rFonts w:hint="default" w:ascii="Times New Roman" w:hAnsi="Times New Roman" w:eastAsia="仿宋" w:cs="Times New Roman"/>
          <w:bCs w:val="0"/>
        </w:rPr>
        <w:t>四、</w:t>
      </w:r>
      <w:r>
        <w:rPr>
          <w:rFonts w:hint="default" w:ascii="Times New Roman" w:hAnsi="Times New Roman" w:eastAsia="仿宋" w:cs="Times New Roman"/>
        </w:rPr>
        <w:t>财</w:t>
      </w:r>
      <w:r>
        <w:rPr>
          <w:rFonts w:hint="default" w:ascii="Times New Roman" w:hAnsi="Times New Roman" w:eastAsia="仿宋" w:cs="Times New Roman"/>
          <w:bCs w:val="0"/>
        </w:rPr>
        <w:t>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_Toc15896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_Toc31569 </w:instrText>
      </w:r>
      <w:r>
        <w:rPr>
          <w:rFonts w:hint="default" w:ascii="Times New Roman" w:hAnsi="Times New Roman" w:cs="Times New Roman"/>
        </w:rPr>
        <w:fldChar w:fldCharType="separate"/>
      </w:r>
      <w:r>
        <w:rPr>
          <w:rFonts w:hint="default" w:ascii="Times New Roman" w:hAnsi="Times New Roman" w:eastAsia="仿宋" w:cs="Times New Roman"/>
          <w:bCs w:val="0"/>
        </w:rPr>
        <w:t>五、</w:t>
      </w:r>
      <w:r>
        <w:rPr>
          <w:rFonts w:hint="default" w:ascii="Times New Roman" w:hAnsi="Times New Roman" w:eastAsia="仿宋" w:cs="Times New Roman"/>
        </w:rPr>
        <w:t>财</w:t>
      </w:r>
      <w:r>
        <w:rPr>
          <w:rFonts w:hint="default" w:ascii="Times New Roman" w:hAnsi="Times New Roman" w:eastAsia="仿宋" w:cs="Times New Roman"/>
          <w:bCs w:val="0"/>
        </w:rPr>
        <w:t>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_Toc31569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_Toc905 </w:instrText>
      </w:r>
      <w:r>
        <w:rPr>
          <w:rFonts w:hint="default" w:ascii="Times New Roman" w:hAnsi="Times New Roman" w:cs="Times New Roman"/>
        </w:rPr>
        <w:fldChar w:fldCharType="separate"/>
      </w:r>
      <w:r>
        <w:rPr>
          <w:rFonts w:hint="default" w:ascii="Times New Roman" w:hAnsi="Times New Roman" w:eastAsia="仿宋" w:cs="Times New Roman"/>
          <w:bCs w:val="0"/>
        </w:rPr>
        <w:t>六、</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_Toc905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_Toc14444 </w:instrText>
      </w:r>
      <w:r>
        <w:rPr>
          <w:rFonts w:hint="default" w:ascii="Times New Roman" w:hAnsi="Times New Roman" w:cs="Times New Roman"/>
        </w:rPr>
        <w:fldChar w:fldCharType="separate"/>
      </w:r>
      <w:r>
        <w:rPr>
          <w:rFonts w:hint="default" w:ascii="Times New Roman" w:hAnsi="Times New Roman" w:eastAsia="仿宋" w:cs="Times New Roman"/>
          <w:bCs w:val="0"/>
        </w:rPr>
        <w:t>七、</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_Toc14444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_Toc18831 </w:instrText>
      </w:r>
      <w:r>
        <w:rPr>
          <w:rFonts w:hint="default" w:ascii="Times New Roman" w:hAnsi="Times New Roman" w:cs="Times New Roman"/>
        </w:rPr>
        <w:fldChar w:fldCharType="separate"/>
      </w:r>
      <w:r>
        <w:rPr>
          <w:rFonts w:hint="default" w:ascii="Times New Roman" w:hAnsi="Times New Roman" w:eastAsia="仿宋" w:cs="Times New Roman"/>
          <w:bCs w:val="0"/>
        </w:rPr>
        <w:t>八、</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_Toc18831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_Toc32110 </w:instrText>
      </w:r>
      <w:r>
        <w:rPr>
          <w:rFonts w:hint="default" w:ascii="Times New Roman" w:hAnsi="Times New Roman" w:cs="Times New Roman"/>
        </w:rPr>
        <w:fldChar w:fldCharType="separate"/>
      </w:r>
      <w:r>
        <w:rPr>
          <w:rFonts w:hint="default" w:ascii="Times New Roman" w:hAnsi="Times New Roman" w:eastAsia="仿宋" w:cs="Times New Roman"/>
          <w:bCs w:val="0"/>
        </w:rPr>
        <w:t>九、</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般公共预算财政拨款项目支出决算表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_Toc32110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_Toc2029 </w:instrText>
      </w:r>
      <w:r>
        <w:rPr>
          <w:rFonts w:hint="default" w:ascii="Times New Roman" w:hAnsi="Times New Roman" w:cs="Times New Roman"/>
        </w:rPr>
        <w:fldChar w:fldCharType="separate"/>
      </w:r>
      <w:r>
        <w:rPr>
          <w:rFonts w:hint="default" w:ascii="Times New Roman" w:hAnsi="Times New Roman" w:eastAsia="仿宋" w:cs="Times New Roman"/>
          <w:bCs w:val="0"/>
        </w:rPr>
        <w:t>十、</w:t>
      </w:r>
      <w:r>
        <w:rPr>
          <w:rFonts w:hint="default" w:ascii="Times New Roman" w:hAnsi="Times New Roman" w:eastAsia="仿宋" w:cs="Times New Roman"/>
        </w:rPr>
        <w:t>政</w:t>
      </w:r>
      <w:r>
        <w:rPr>
          <w:rFonts w:hint="default" w:ascii="Times New Roman" w:hAnsi="Times New Roman" w:eastAsia="仿宋" w:cs="Times New Roman"/>
          <w:bCs w:val="0"/>
        </w:rPr>
        <w:t>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_Toc2029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_Toc8776 </w:instrText>
      </w:r>
      <w:r>
        <w:rPr>
          <w:rFonts w:hint="default" w:ascii="Times New Roman" w:hAnsi="Times New Roman" w:cs="Times New Roman"/>
        </w:rPr>
        <w:fldChar w:fldCharType="separate"/>
      </w:r>
      <w:r>
        <w:rPr>
          <w:rFonts w:hint="default" w:ascii="Times New Roman" w:hAnsi="Times New Roman" w:eastAsia="仿宋" w:cs="Times New Roman"/>
          <w:bCs w:val="0"/>
        </w:rPr>
        <w:t>十一、</w:t>
      </w:r>
      <w:r>
        <w:rPr>
          <w:rFonts w:hint="default" w:ascii="Times New Roman" w:hAnsi="Times New Roman" w:eastAsia="仿宋" w:cs="Times New Roman"/>
        </w:rPr>
        <w:t>国</w:t>
      </w:r>
      <w:r>
        <w:rPr>
          <w:rFonts w:hint="default" w:ascii="Times New Roman" w:hAnsi="Times New Roman" w:eastAsia="仿宋" w:cs="Times New Roman"/>
          <w:bCs w:val="0"/>
        </w:rPr>
        <w:t>有资本经营预算财政拨款收入支出决算表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_Toc8776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_Toc24863 </w:instrText>
      </w:r>
      <w:r>
        <w:rPr>
          <w:rFonts w:hint="default" w:ascii="Times New Roman" w:hAnsi="Times New Roman" w:cs="Times New Roman"/>
        </w:rPr>
        <w:fldChar w:fldCharType="separate"/>
      </w:r>
      <w:r>
        <w:rPr>
          <w:rFonts w:hint="default" w:ascii="Times New Roman" w:hAnsi="Times New Roman" w:eastAsia="仿宋" w:cs="Times New Roman"/>
          <w:bCs w:val="0"/>
        </w:rPr>
        <w:t>十二、国有资本经营预算财政拨款支出决算表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_Toc24863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7"/>
        <w:pageBreakBefore w:val="0"/>
        <w:tabs>
          <w:tab w:val="right" w:leader="dot" w:pos="8306"/>
        </w:tabs>
        <w:kinsoku/>
        <w:wordWrap/>
        <w:overflowPunct/>
        <w:topLinePunct w:val="0"/>
        <w:bidi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_Toc2197 </w:instrText>
      </w:r>
      <w:r>
        <w:rPr>
          <w:rFonts w:hint="default" w:ascii="Times New Roman" w:hAnsi="Times New Roman" w:cs="Times New Roman"/>
        </w:rPr>
        <w:fldChar w:fldCharType="separate"/>
      </w:r>
      <w:r>
        <w:rPr>
          <w:rFonts w:hint="default" w:ascii="Times New Roman" w:hAnsi="Times New Roman" w:eastAsia="仿宋" w:cs="Times New Roman"/>
          <w:bCs w:val="0"/>
        </w:rPr>
        <w:t>十三、财政拨款“三公”经费支出决算表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_Toc2197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6"/>
        <w:bidi w:val="0"/>
        <w:rPr>
          <w:rFonts w:hint="default" w:ascii="Times New Roman" w:hAnsi="Times New Roman" w:cs="Times New Roman"/>
        </w:rPr>
      </w:pPr>
      <w:r>
        <w:rPr>
          <w:rFonts w:hint="default" w:ascii="Times New Roman" w:hAnsi="Times New Roman" w:cs="Times New Roman"/>
          <w:b/>
        </w:rPr>
        <w:fldChar w:fldCharType="end"/>
      </w:r>
    </w:p>
    <w:p>
      <w:pPr>
        <w:pStyle w:val="3"/>
        <w:jc w:val="center"/>
        <w:rPr>
          <w:rStyle w:val="29"/>
          <w:rFonts w:hint="default" w:ascii="Times New Roman" w:hAnsi="Times New Roman" w:eastAsia="方正小标宋简体" w:cs="Times New Roman"/>
          <w:b/>
          <w:bCs w:val="0"/>
          <w:color w:val="auto"/>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29"/>
          <w:rFonts w:hint="default" w:ascii="Times New Roman" w:hAnsi="Times New Roman" w:eastAsia="方正小标宋简体" w:cs="Times New Roman"/>
          <w:b w:val="0"/>
          <w:bCs w:val="0"/>
          <w:color w:val="auto"/>
          <w:highlight w:val="none"/>
        </w:rPr>
        <w:t>部门概况</w:t>
      </w:r>
      <w:bookmarkEnd w:id="12"/>
      <w:bookmarkEnd w:id="13"/>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640" w:firstLineChars="200"/>
        <w:textAlignment w:val="auto"/>
        <w:rPr>
          <w:rFonts w:hint="default" w:ascii="Times New Roman" w:hAnsi="Times New Roman" w:eastAsia="黑体" w:cs="Times New Roman"/>
          <w:b w:val="0"/>
          <w:lang w:eastAsia="zh-CN"/>
        </w:rPr>
      </w:pPr>
      <w:bookmarkStart w:id="14" w:name="_Toc15377197"/>
      <w:bookmarkStart w:id="15" w:name="_Toc15396600"/>
      <w:r>
        <w:rPr>
          <w:rFonts w:hint="default" w:ascii="Times New Roman" w:hAnsi="Times New Roman" w:eastAsia="黑体" w:cs="Times New Roman"/>
          <w:b w:val="0"/>
          <w:color w:val="auto"/>
          <w:highlight w:val="none"/>
        </w:rPr>
        <w:t>一、</w:t>
      </w:r>
      <w:bookmarkEnd w:id="14"/>
      <w:bookmarkEnd w:id="15"/>
      <w:r>
        <w:rPr>
          <w:rFonts w:hint="default" w:ascii="Times New Roman" w:hAnsi="Times New Roman" w:eastAsia="黑体" w:cs="Times New Roman"/>
          <w:b w:val="0"/>
          <w:color w:val="auto"/>
          <w:highlight w:val="none"/>
          <w:lang w:eastAsia="zh-CN"/>
        </w:rPr>
        <w:t>部门</w:t>
      </w:r>
      <w:r>
        <w:rPr>
          <w:rFonts w:hint="default" w:ascii="Times New Roman" w:hAnsi="Times New Roman" w:eastAsia="黑体" w:cs="Times New Roman"/>
          <w:b w:val="0"/>
          <w:lang w:eastAsia="zh-CN"/>
        </w:rPr>
        <w:t>职责</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624" w:firstLineChars="200"/>
        <w:textAlignment w:val="auto"/>
        <w:rPr>
          <w:rFonts w:hint="default" w:ascii="Times New Roman" w:hAnsi="Times New Roman" w:eastAsia="仿宋_GB2312" w:cs="Times New Roman"/>
          <w:b w:val="0"/>
          <w:bCs w:val="0"/>
          <w:color w:val="000000"/>
          <w:spacing w:val="-4"/>
          <w:kern w:val="2"/>
          <w:sz w:val="32"/>
          <w:szCs w:val="32"/>
          <w:lang w:val="en-US" w:eastAsia="zh-CN" w:bidi="ar-SA"/>
        </w:rPr>
      </w:pPr>
      <w:r>
        <w:rPr>
          <w:rFonts w:hint="default" w:ascii="Times New Roman" w:hAnsi="Times New Roman" w:eastAsia="仿宋_GB2312" w:cs="Times New Roman"/>
          <w:b w:val="0"/>
          <w:bCs w:val="0"/>
          <w:color w:val="000000"/>
          <w:spacing w:val="-4"/>
          <w:kern w:val="2"/>
          <w:sz w:val="32"/>
          <w:szCs w:val="32"/>
          <w:lang w:val="en-US" w:eastAsia="zh-CN" w:bidi="ar-SA"/>
        </w:rPr>
        <w:t>1.贯彻执行国家、省、市人力资源和社会保障工作的法律、法规、规章和政策，拟订全区人力资源和社会保障事业发展规划、政策并组织实施，统筹推进人力资源和社会保障事业发展。</w:t>
      </w:r>
    </w:p>
    <w:p>
      <w:pPr>
        <w:pageBreakBefore w:val="0"/>
        <w:kinsoku/>
        <w:wordWrap/>
        <w:overflowPunct/>
        <w:topLinePunct w:val="0"/>
        <w:bidi w:val="0"/>
        <w:spacing w:line="353" w:lineRule="auto"/>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2.拟订并组织实施全区人力资源市场发展规划和人力资源服务业发展、人力资源流动政策，建立、健全全区统一规范的人力资源市场，促进人力资源合理流动，有效配置。</w:t>
      </w:r>
    </w:p>
    <w:p>
      <w:pPr>
        <w:pageBreakBefore w:val="0"/>
        <w:kinsoku/>
        <w:wordWrap/>
        <w:overflowPunct/>
        <w:topLinePunct w:val="0"/>
        <w:bidi w:val="0"/>
        <w:spacing w:line="353" w:lineRule="auto"/>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3.负责促进就业工作，拟订统筹全区城乡的就业发展规划和政策，完善公共就业创业服务体系，组织落实创业、就业援助制度，提出就业资金安排计划并组织实施；建立健全失业预警制度，稳定就业形势。落实城乡劳动者的职业技能培训制度；组织实施社会力量举办的职业技能培训，指导企业在职职工技能培训和再就业培训、农村劳动力技能培训等工作；贯彻执行高校毕业生就业政策，组织实施高校毕业生就业创业服务工作。</w:t>
      </w:r>
    </w:p>
    <w:p>
      <w:pPr>
        <w:pageBreakBefore w:val="0"/>
        <w:kinsoku/>
        <w:wordWrap/>
        <w:overflowPunct/>
        <w:topLinePunct w:val="0"/>
        <w:bidi w:val="0"/>
        <w:spacing w:line="353" w:lineRule="auto"/>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4.统筹推进建立覆盖全区城乡的多层次社会保障体系。贯彻执行国家、省、市养老、失业、工伤等社会保险及其补充保险政策和标准，贯彻落实养老保险全国统筹办法和全国统一的养老、失业、工伤保险关系转续办法；负责对养老、失业、工伤保险基金管理实施行政监督；综合管理就业、社保经办机构；组织实施全区养老、失业、工伤服务体系建设；负责企业职工正常退休和特殊工种提前退休审批；协助办理工伤和特殊工种认定及劳动能力鉴定工作；会同有关部门实施全民参保计划并建立全区统一的养老、失业，工伤社会保险公共服务平台。</w:t>
      </w:r>
    </w:p>
    <w:p>
      <w:pPr>
        <w:pageBreakBefore w:val="0"/>
        <w:kinsoku/>
        <w:wordWrap/>
        <w:overflowPunct/>
        <w:topLinePunct w:val="0"/>
        <w:bidi w:val="0"/>
        <w:spacing w:line="353" w:lineRule="auto"/>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5.负责就业、失业及社会保障基金监测预警，拟订应对预案，实施预防、调节和控制，保持就业形势稳定和相关社会保险基金总体收支平衡。</w:t>
      </w:r>
    </w:p>
    <w:p>
      <w:pPr>
        <w:pageBreakBefore w:val="0"/>
        <w:kinsoku/>
        <w:wordWrap/>
        <w:overflowPunct/>
        <w:topLinePunct w:val="0"/>
        <w:bidi w:val="0"/>
        <w:spacing w:line="353" w:lineRule="auto"/>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6.贯彻执行劳动人事争议调解仲裁制度和劳动关系政策，完善劳动关系协调机制，贯彻执行劳动者权益保护政策，协调劳动者维权工作，组织实施劳动保障监察，依法查处侵犯劳动者合法权益的案件。</w:t>
      </w:r>
    </w:p>
    <w:p>
      <w:pPr>
        <w:pageBreakBefore w:val="0"/>
        <w:widowControl/>
        <w:kinsoku/>
        <w:wordWrap/>
        <w:overflowPunct/>
        <w:topLinePunct w:val="0"/>
        <w:bidi w:val="0"/>
        <w:spacing w:line="353" w:lineRule="auto"/>
        <w:ind w:firstLine="624" w:firstLineChars="200"/>
        <w:jc w:val="lef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7.实施事业单位人员综合管理工作，会同有关部门指导事业单位人事制度改革，按照管理权限承办事业单位岗位设置、公开招聘、人员聘用等人事综合管理工作，拟订事业单位人员和机关工勤人员管理政策；负责专业技术人员管理和继续教育工作；组织实施深化职称制度改革；负责高层次专业技术人才选拔和培养工作，组织实施技能人才培养评价、使用和激励制度，健全职业技能多元化评价政策。指导、监督各级各类技工学校、民办职业培训机构按国家、省和我市有关规定履行安全管理责任。</w:t>
      </w:r>
    </w:p>
    <w:p>
      <w:pPr>
        <w:pageBreakBefore w:val="0"/>
        <w:widowControl/>
        <w:kinsoku/>
        <w:wordWrap/>
        <w:overflowPunct/>
        <w:topLinePunct w:val="0"/>
        <w:bidi w:val="0"/>
        <w:spacing w:line="353" w:lineRule="auto"/>
        <w:ind w:firstLine="624" w:firstLineChars="200"/>
        <w:jc w:val="lef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8.组织实施国家表彰制度，综合管理政府表彰奖励工作，承担评比达标表彰等工作。承办区委管理的部分领导人员的行政任免手续。</w:t>
      </w:r>
    </w:p>
    <w:p>
      <w:pPr>
        <w:pageBreakBefore w:val="0"/>
        <w:widowControl/>
        <w:kinsoku/>
        <w:wordWrap/>
        <w:overflowPunct/>
        <w:topLinePunct w:val="0"/>
        <w:bidi w:val="0"/>
        <w:spacing w:line="353" w:lineRule="auto"/>
        <w:ind w:firstLine="624" w:firstLineChars="200"/>
        <w:jc w:val="lef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9.贯彻执行国家、省、市企业职工工资收入分配、支付、保障和调控政策，贯彻落实事业单位人员工资收入分配政策，建立事业单位人员工资决定、正常增长和支付保障机制，贯彻落实企事业单位人员工资福利和退休政策。</w:t>
      </w:r>
    </w:p>
    <w:p>
      <w:pPr>
        <w:pageBreakBefore w:val="0"/>
        <w:widowControl/>
        <w:kinsoku/>
        <w:wordWrap/>
        <w:overflowPunct/>
        <w:topLinePunct w:val="0"/>
        <w:bidi w:val="0"/>
        <w:spacing w:line="353" w:lineRule="auto"/>
        <w:ind w:firstLine="624" w:firstLineChars="200"/>
        <w:jc w:val="lef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10.会同有关部门拟订劳务开发及农民工工作综合性政策和规划并推动相关政策的落实，协调解决重点难点问题，维护农民工合法权益。</w:t>
      </w:r>
    </w:p>
    <w:p>
      <w:pPr>
        <w:pageBreakBefore w:val="0"/>
        <w:kinsoku/>
        <w:wordWrap/>
        <w:overflowPunct/>
        <w:topLinePunct w:val="0"/>
        <w:bidi w:val="0"/>
        <w:spacing w:line="353" w:lineRule="auto"/>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11.受理人力资源和社会保障方面的信访事项，会同有关部门协调处理重大信访事件或突发事件。</w:t>
      </w:r>
      <w:r>
        <w:rPr>
          <w:rFonts w:hint="default" w:ascii="Times New Roman" w:hAnsi="Times New Roman" w:eastAsia="仿宋_GB2312" w:cs="Times New Roman"/>
          <w:color w:val="000000"/>
          <w:spacing w:val="-4"/>
          <w:sz w:val="32"/>
          <w:szCs w:val="32"/>
        </w:rPr>
        <w:br w:type="textWrapping"/>
      </w:r>
      <w:r>
        <w:rPr>
          <w:rFonts w:hint="default" w:ascii="Times New Roman" w:hAnsi="Times New Roman" w:eastAsia="仿宋_GB2312" w:cs="Times New Roman"/>
          <w:color w:val="000000"/>
          <w:spacing w:val="-4"/>
          <w:sz w:val="32"/>
          <w:szCs w:val="32"/>
        </w:rPr>
        <w:t xml:space="preserve">    12.负责区人力资源社会保障领域的对外交流与合作工作</w:t>
      </w:r>
      <w:r>
        <w:rPr>
          <w:rFonts w:hint="default"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br w:type="textWrapping"/>
      </w:r>
      <w:r>
        <w:rPr>
          <w:rFonts w:hint="default" w:ascii="Times New Roman" w:hAnsi="Times New Roman" w:eastAsia="仿宋_GB2312" w:cs="Times New Roman"/>
          <w:color w:val="000000"/>
          <w:spacing w:val="-4"/>
          <w:sz w:val="32"/>
          <w:szCs w:val="32"/>
        </w:rPr>
        <w:t xml:space="preserve">    13.承担职责范围内的安全生产和职业健康、生态环境保护、审批服务便民化等工作。</w:t>
      </w:r>
      <w:r>
        <w:rPr>
          <w:rFonts w:hint="default" w:ascii="Times New Roman" w:hAnsi="Times New Roman" w:eastAsia="仿宋_GB2312" w:cs="Times New Roman"/>
          <w:color w:val="000000"/>
          <w:spacing w:val="-4"/>
          <w:sz w:val="32"/>
          <w:szCs w:val="32"/>
        </w:rPr>
        <w:br w:type="textWrapping"/>
      </w:r>
      <w:r>
        <w:rPr>
          <w:rFonts w:hint="default" w:ascii="Times New Roman" w:hAnsi="Times New Roman" w:eastAsia="仿宋_GB2312" w:cs="Times New Roman"/>
          <w:color w:val="000000"/>
          <w:spacing w:val="-4"/>
          <w:sz w:val="32"/>
          <w:szCs w:val="32"/>
        </w:rPr>
        <w:t xml:space="preserve">    14.完成区委和区政府交办的其他任务。</w:t>
      </w:r>
      <w:r>
        <w:rPr>
          <w:rFonts w:hint="default" w:ascii="Times New Roman" w:hAnsi="Times New Roman" w:eastAsia="仿宋_GB2312" w:cs="Times New Roman"/>
          <w:color w:val="000000"/>
          <w:spacing w:val="-4"/>
          <w:sz w:val="32"/>
          <w:szCs w:val="32"/>
        </w:rPr>
        <w:br w:type="textWrapping"/>
      </w:r>
      <w:r>
        <w:rPr>
          <w:rFonts w:hint="default" w:ascii="Times New Roman" w:hAnsi="Times New Roman" w:eastAsia="仿宋_GB2312" w:cs="Times New Roman"/>
          <w:color w:val="000000"/>
          <w:spacing w:val="-4"/>
          <w:sz w:val="32"/>
          <w:szCs w:val="32"/>
        </w:rPr>
        <w:t xml:space="preserve">    15.职能转变。深入推进简政放权、放管结合、优化服务改革，进一步减少行政审批事项，规范和优化对外办理事项，减少职业资格许可和认定等事项，实行国家职业资格目录清单管理，加强事中事后监管，创新就业和社会保障等公共服务方式，加强信息共享，提高公共服务水平。</w:t>
      </w:r>
    </w:p>
    <w:p>
      <w:pPr>
        <w:pageBreakBefore w:val="0"/>
        <w:kinsoku/>
        <w:wordWrap/>
        <w:overflowPunct/>
        <w:topLinePunct w:val="0"/>
        <w:bidi w:val="0"/>
        <w:spacing w:line="353" w:lineRule="auto"/>
        <w:ind w:firstLine="62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16.区社会保险事务中心主要职责：</w:t>
      </w:r>
      <w:r>
        <w:rPr>
          <w:rFonts w:hint="default" w:ascii="Times New Roman" w:hAnsi="Times New Roman" w:eastAsia="仿宋_GB2312" w:cs="Times New Roman"/>
          <w:sz w:val="32"/>
          <w:szCs w:val="32"/>
        </w:rPr>
        <w:t>贯彻执行国家、省、市社会保险工作的法律、法规、规章和政策；负责贯彻落实机关企事业单位基本养老保险及其补充养老保险政策、城乡居民（含被征地人员）养老保险政策；贯彻落实国家养老保险基金管理办法；贯彻落实城镇企业职工退休、工龄与缴费年限计算政策和非因工伤残人员待遇政策；负责全区养老保险、工伤保险及失业保险基金支付和管理，职业年金的征缴、支付和管理；受区人力资源和社会保障局授权委托，承担退休审批职能。</w:t>
      </w:r>
    </w:p>
    <w:p>
      <w:pPr>
        <w:pageBreakBefore w:val="0"/>
        <w:kinsoku/>
        <w:wordWrap/>
        <w:overflowPunct/>
        <w:topLinePunct w:val="0"/>
        <w:bidi w:val="0"/>
        <w:spacing w:line="353" w:lineRule="auto"/>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17.区就业创业促进中心主要职责：</w:t>
      </w:r>
      <w:r>
        <w:rPr>
          <w:rFonts w:hint="default" w:ascii="Times New Roman" w:hAnsi="Times New Roman" w:eastAsia="仿宋_GB2312" w:cs="Times New Roman"/>
          <w:sz w:val="32"/>
          <w:szCs w:val="32"/>
        </w:rPr>
        <w:t>负责贯彻执行《中华人民共和国就业促进法》、省、市有关促进就业的法律、法规、方针和政策，组织实施积极的就业政策，促进城乡劳动者充分就业、自主创业；组织开展全区就业管理服务，制定并实施全区公共就业服务计划；组织实施统筹城乡就业，为辖区失业登记人员、进城务工农民、失地农民、外来务工人员和高校毕业生等城乡劳动者提供均等化就业服务，协调有关部门落实好促进就业和创业促就业的政策、措施；负责全区公共就业服务体系建设。指导检查各街道（乡、镇）、社区（村）公共就业服务机构实施基层平台建设，开展就业（失业）登记、职业介绍、就业指导、就业培训等就业服务工作；负责全区就业创业培训工作，全面开展对城乡劳动者、大学生的就业技能培训和创业培训；贯彻落实中央、省、市关于失业保险法律、法规和政策，负责失业保险各项待遇的申领发放和为领取失业保险金期间失业人员代缴基本医疗保险费等工作；负责全区就业援助工作，组织实施就业困难人员的认定，积极开展就业援助，并负责做好职业介绍补贴、社会保险补贴、职业培训补贴、岗位补贴、高校毕业生创业补贴等促进就业创业政策；负责高校毕业生就业创业服务、就业见习基地及见习生的认定审核、离校未就业的高校毕业生跟踪服务和实名制管理、困难高校毕业生的就业援助、大学生就业创业培训；负责对城乡各类失业人员自主创业、合伙经营企业的创业担保贷款进行审核、推荐；负责全区公共就业服务信息化建设，组织开展人力资源调查、失业预警监测、综合分析统计；行使区人力资源和社会保障局赋予的其他职权，完成区委、区政府和区人力资源和社会保障局交办的其它工作。</w:t>
      </w:r>
    </w:p>
    <w:p>
      <w:pPr>
        <w:pStyle w:val="4"/>
        <w:keepNext/>
        <w:keepLines/>
        <w:pageBreakBefore w:val="0"/>
        <w:widowControl w:val="0"/>
        <w:kinsoku/>
        <w:wordWrap/>
        <w:overflowPunct/>
        <w:topLinePunct w:val="0"/>
        <w:autoSpaceDE/>
        <w:autoSpaceDN/>
        <w:bidi w:val="0"/>
        <w:adjustRightInd/>
        <w:snapToGrid/>
        <w:spacing w:before="0" w:after="0" w:line="416" w:lineRule="auto"/>
        <w:ind w:firstLine="640" w:firstLineChars="200"/>
        <w:textAlignment w:val="auto"/>
        <w:rPr>
          <w:rStyle w:val="38"/>
          <w:rFonts w:hint="default" w:ascii="Times New Roman" w:hAnsi="Times New Roman" w:cs="Times New Roman"/>
          <w:b w:val="0"/>
          <w:bCs w:val="0"/>
        </w:rPr>
      </w:pPr>
      <w:bookmarkStart w:id="16" w:name="_Toc22512"/>
      <w:r>
        <w:rPr>
          <w:rFonts w:hint="default" w:ascii="Times New Roman" w:hAnsi="Times New Roman" w:eastAsia="黑体" w:cs="Times New Roman"/>
          <w:b w:val="0"/>
        </w:rPr>
        <w:t>二、机</w:t>
      </w:r>
      <w:r>
        <w:rPr>
          <w:rStyle w:val="38"/>
          <w:rFonts w:hint="default" w:ascii="Times New Roman" w:hAnsi="Times New Roman" w:eastAsia="黑体" w:cs="Times New Roman"/>
          <w:b w:val="0"/>
          <w:bCs w:val="0"/>
        </w:rPr>
        <w:t>构设置</w:t>
      </w:r>
      <w:bookmarkEnd w:id="16"/>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攀枝花市西区人力资源和社会保障局下属二级预算单位</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个，其中行政单位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个，参照公务员法管理的事业单位</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个，其他事业单位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纳入攀枝花市西区人力资源和社会保障局</w:t>
      </w:r>
      <w:r>
        <w:rPr>
          <w:rFonts w:hint="default" w:ascii="Times New Roman" w:hAnsi="Times New Roman" w:eastAsia="仿宋_GB2312" w:cs="Times New Roman"/>
          <w:sz w:val="32"/>
          <w:szCs w:val="32"/>
          <w:lang w:eastAsia="zh-CN"/>
        </w:rPr>
        <w:t>2024年度</w:t>
      </w:r>
      <w:r>
        <w:rPr>
          <w:rFonts w:hint="default" w:ascii="Times New Roman" w:hAnsi="Times New Roman" w:eastAsia="仿宋_GB2312" w:cs="Times New Roman"/>
          <w:sz w:val="32"/>
          <w:szCs w:val="32"/>
        </w:rPr>
        <w:t>部门决算编制范围的二级预算单位包括：</w:t>
      </w:r>
    </w:p>
    <w:p>
      <w:pPr>
        <w:pStyle w:val="6"/>
        <w:pageBreakBefore w:val="0"/>
        <w:numPr>
          <w:ilvl w:val="0"/>
          <w:numId w:val="1"/>
        </w:numPr>
        <w:kinsoku/>
        <w:wordWrap/>
        <w:overflowPunct/>
        <w:topLinePunct w:val="0"/>
        <w:bidi w:val="0"/>
        <w:adjustRightInd w:val="0"/>
        <w:snapToGrid w:val="0"/>
        <w:spacing w:beforeLines="0" w:line="600" w:lineRule="exact"/>
        <w:textAlignment w:val="auto"/>
        <w:outlineLvl w:val="2"/>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区社会保险事务中心</w:t>
      </w:r>
    </w:p>
    <w:p>
      <w:pPr>
        <w:pStyle w:val="6"/>
        <w:pageBreakBefore w:val="0"/>
        <w:numPr>
          <w:ilvl w:val="0"/>
          <w:numId w:val="1"/>
        </w:numPr>
        <w:kinsoku/>
        <w:wordWrap/>
        <w:overflowPunct/>
        <w:topLinePunct w:val="0"/>
        <w:bidi w:val="0"/>
        <w:adjustRightInd w:val="0"/>
        <w:snapToGrid w:val="0"/>
        <w:spacing w:beforeLines="0" w:line="600" w:lineRule="exact"/>
        <w:textAlignment w:val="auto"/>
        <w:outlineLvl w:val="2"/>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区就业创业促进中心</w:t>
      </w:r>
    </w:p>
    <w:p>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3"/>
        <w:jc w:val="center"/>
        <w:rPr>
          <w:rFonts w:hint="default" w:ascii="Times New Roman" w:hAnsi="Times New Roman" w:eastAsia="方正小标宋简体" w:cs="Times New Roman"/>
          <w:b w:val="0"/>
          <w:color w:val="auto"/>
          <w:highlight w:val="none"/>
        </w:rPr>
      </w:pPr>
      <w:bookmarkStart w:id="17" w:name="_Toc15377204"/>
      <w:bookmarkStart w:id="18" w:name="_Toc15396602"/>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17"/>
      <w:bookmarkEnd w:id="18"/>
    </w:p>
    <w:p>
      <w:pPr>
        <w:rPr>
          <w:rFonts w:hint="default" w:ascii="Times New Roman" w:hAnsi="Times New Roman" w:cs="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default" w:ascii="Times New Roman" w:hAnsi="Times New Roman" w:eastAsia="黑体" w:cs="Times New Roman"/>
          <w:b w:val="0"/>
          <w:color w:val="auto"/>
          <w:highlight w:val="none"/>
        </w:rPr>
      </w:pPr>
      <w:bookmarkStart w:id="19" w:name="_Toc15377205"/>
      <w:bookmarkStart w:id="20"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0"/>
          <w:rFonts w:hint="default" w:ascii="Times New Roman" w:hAnsi="Times New Roman" w:eastAsia="黑体" w:cs="Times New Roman"/>
          <w:b w:val="0"/>
          <w:color w:val="auto"/>
          <w:highlight w:val="none"/>
        </w:rPr>
        <w:t>入支出决算总体情况说明</w:t>
      </w:r>
      <w:bookmarkEnd w:id="19"/>
      <w:bookmarkEnd w:id="20"/>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3699.77</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总计增加</w:t>
      </w:r>
      <w:r>
        <w:rPr>
          <w:rFonts w:hint="default" w:ascii="Times New Roman" w:hAnsi="Times New Roman" w:eastAsia="仿宋_GB2312" w:cs="Times New Roman"/>
          <w:color w:val="auto"/>
          <w:sz w:val="32"/>
          <w:szCs w:val="32"/>
          <w:highlight w:val="none"/>
          <w:lang w:val="en-US" w:eastAsia="zh-CN"/>
        </w:rPr>
        <w:t>747.17</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25.31</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 w:cs="Times New Roman"/>
          <w:sz w:val="32"/>
          <w:szCs w:val="32"/>
        </w:rPr>
        <w:t>增加了攀枝花市西区公共实训基地建设项目。</w:t>
      </w:r>
    </w:p>
    <w:p>
      <w:pPr>
        <w:rPr>
          <w:rFonts w:hint="default" w:ascii="Times New Roman" w:hAnsi="Times New Roman" w:eastAsia="仿宋_GB2312" w:cs="Times New Roman"/>
          <w:color w:val="auto"/>
          <w:sz w:val="32"/>
          <w:szCs w:val="32"/>
          <w:highlight w:val="none"/>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1" w:name="_Toc15377206"/>
      <w:bookmarkStart w:id="22" w:name="_Toc15396604"/>
      <w:r>
        <w:rPr>
          <w:rFonts w:hint="default" w:ascii="Times New Roman" w:hAnsi="Times New Roman" w:eastAsia="黑体" w:cs="Times New Roman"/>
          <w:color w:val="auto"/>
          <w:sz w:val="32"/>
          <w:szCs w:val="32"/>
          <w:highlight w:val="none"/>
          <w:lang w:eastAsia="zh-CN"/>
        </w:rPr>
        <w:t>二、收入决算情况说明</w:t>
      </w:r>
      <w:bookmarkEnd w:id="21"/>
      <w:bookmarkEnd w:id="22"/>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3686.67万元，其中：一般公共预算财政拨款收入3681.67</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99.86</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sz w:val="32"/>
          <w:szCs w:val="32"/>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sz w:val="32"/>
          <w:szCs w:val="32"/>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sz w:val="32"/>
          <w:szCs w:val="32"/>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sz w:val="32"/>
          <w:szCs w:val="32"/>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0" w:firstLineChars="300"/>
        <w:jc w:val="left"/>
        <w:textAlignment w:val="auto"/>
        <w:outlineLvl w:val="1"/>
        <w:rPr>
          <w:rStyle w:val="30"/>
          <w:rFonts w:hint="default" w:ascii="Times New Roman" w:hAnsi="Times New Roman" w:eastAsia="黑体" w:cs="Times New Roman"/>
          <w:b w:val="0"/>
          <w:color w:val="auto"/>
          <w:highlight w:val="none"/>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233045</wp:posOffset>
            </wp:positionH>
            <wp:positionV relativeFrom="paragraph">
              <wp:posOffset>90170</wp:posOffset>
            </wp:positionV>
            <wp:extent cx="4572000" cy="2743200"/>
            <wp:effectExtent l="4445" t="4445" r="14605" b="1460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23" w:name="_Toc15396605"/>
      <w:bookmarkStart w:id="24" w:name="_Toc15377207"/>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0"/>
          <w:rFonts w:hint="default" w:ascii="Times New Roman" w:hAnsi="Times New Roman" w:eastAsia="黑体" w:cs="Times New Roman"/>
          <w:b w:val="0"/>
          <w:color w:val="auto"/>
          <w:highlight w:val="none"/>
        </w:rPr>
        <w:t>出决算情况说明</w:t>
      </w:r>
      <w:bookmarkEnd w:id="23"/>
      <w:bookmarkEnd w:id="24"/>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3699.77</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1381.65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37.34</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2318.12</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62.6</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color w:val="auto"/>
          <w:sz w:val="32"/>
          <w:szCs w:val="32"/>
          <w:highlight w:val="none"/>
          <w:lang w:eastAsia="zh-CN"/>
        </w:rPr>
        <w:t>%。</w:t>
      </w:r>
    </w:p>
    <w:p>
      <w:pPr>
        <w:pStyle w:val="2"/>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0"/>
          <w:rFonts w:hint="default" w:ascii="Times New Roman" w:hAnsi="Times New Roman" w:eastAsia="黑体" w:cs="Times New Roman"/>
          <w:b w:val="0"/>
          <w:color w:val="auto"/>
          <w:highlight w:val="none"/>
        </w:rPr>
      </w:pPr>
      <w:bookmarkStart w:id="25" w:name="_Toc15396606"/>
      <w:bookmarkStart w:id="26" w:name="_Toc15377208"/>
      <w:r>
        <w:rPr>
          <w:rFonts w:hint="default" w:ascii="Times New Roman" w:hAnsi="Times New Roman" w:eastAsia="黑体" w:cs="Times New Roman"/>
          <w:color w:val="auto"/>
          <w:sz w:val="32"/>
          <w:szCs w:val="32"/>
          <w:highlight w:val="none"/>
        </w:rPr>
        <w:t>四、财</w:t>
      </w:r>
      <w:r>
        <w:rPr>
          <w:rStyle w:val="30"/>
          <w:rFonts w:hint="default" w:ascii="Times New Roman" w:hAnsi="Times New Roman" w:eastAsia="黑体" w:cs="Times New Roman"/>
          <w:b w:val="0"/>
          <w:color w:val="auto"/>
          <w:highlight w:val="none"/>
        </w:rPr>
        <w:t>政拨款收入支出决算总体情况说明</w:t>
      </w:r>
      <w:bookmarkEnd w:id="25"/>
      <w:bookmarkEnd w:id="2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739140</wp:posOffset>
            </wp:positionH>
            <wp:positionV relativeFrom="paragraph">
              <wp:posOffset>1615440</wp:posOffset>
            </wp:positionV>
            <wp:extent cx="3852545" cy="1819275"/>
            <wp:effectExtent l="5080" t="4445" r="9525"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2024年度财政拨款收入、支出总计均为3699.77万元。与2023年度相比，财政拨款收入、支出总计增加747.17万元，增长25.31%。主要变动原因是增加了攀枝花市西区公共实训基地建设项目。</w:t>
      </w:r>
    </w:p>
    <w:p>
      <w:pPr>
        <w:spacing w:line="600" w:lineRule="exact"/>
        <w:ind w:firstLine="640" w:firstLineChars="200"/>
        <w:rPr>
          <w:rStyle w:val="30"/>
          <w:rFonts w:hint="default" w:ascii="Times New Roman" w:hAnsi="Times New Roman" w:eastAsia="黑体" w:cs="Times New Roman"/>
          <w:b w:val="0"/>
          <w:color w:val="auto"/>
          <w:highlight w:val="none"/>
        </w:rPr>
      </w:pPr>
      <w:r>
        <w:rPr>
          <w:rFonts w:hint="default" w:ascii="Times New Roman" w:hAnsi="Times New Roman" w:eastAsia="仿宋_GB2312" w:cs="Times New Roman"/>
          <w:color w:val="auto"/>
          <w:kern w:val="2"/>
          <w:sz w:val="32"/>
          <w:szCs w:val="32"/>
          <w:highlight w:val="none"/>
          <w:lang w:val="en-US" w:eastAsia="zh-CN" w:bidi="ar-SA"/>
        </w:rPr>
        <w:t xml:space="preserve"> </w:t>
      </w:r>
      <w:bookmarkStart w:id="27" w:name="_Toc15377209"/>
      <w:bookmarkStart w:id="28"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般公共预算财政拨款支出决算情况说明</w:t>
      </w:r>
      <w:bookmarkEnd w:id="27"/>
      <w:bookmarkEnd w:id="28"/>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29"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2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2024年度一般公共预算财政拨款支出3694.77万元，占本年支出合计的99.86%。与2023年度相比，一般公共预算财政拨款支出增加761.16万元，增长25.95%。主要变动原因是增加了攀枝花市西区公共实训基地建设项目。</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2336" behindDoc="1" locked="0" layoutInCell="1" allowOverlap="1">
            <wp:simplePos x="0" y="0"/>
            <wp:positionH relativeFrom="column">
              <wp:posOffset>723265</wp:posOffset>
            </wp:positionH>
            <wp:positionV relativeFrom="page">
              <wp:posOffset>7059930</wp:posOffset>
            </wp:positionV>
            <wp:extent cx="3874770" cy="2225040"/>
            <wp:effectExtent l="4445" t="4445" r="6985" b="18415"/>
            <wp:wrapTight wrapText="bothSides">
              <wp:wrapPolygon>
                <wp:start x="-25" y="-43"/>
                <wp:lineTo x="-25" y="21409"/>
                <wp:lineTo x="21533" y="21409"/>
                <wp:lineTo x="21533" y="-43"/>
                <wp:lineTo x="-25" y="-43"/>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rPr>
          <w:rFonts w:hint="default" w:ascii="Times New Roman" w:hAnsi="Times New Roman" w:cs="Times New Roman"/>
          <w:lang w:val="en-US" w:eastAsia="zh-CN"/>
        </w:rPr>
      </w:pP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0" w:name="_Toc15377211"/>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30"/>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3694.77</w:t>
      </w:r>
      <w:r>
        <w:rPr>
          <w:rFonts w:hint="default" w:ascii="Times New Roman" w:hAnsi="Times New Roman" w:eastAsia="仿宋_GB2312" w:cs="Times New Roman"/>
          <w:color w:val="auto"/>
          <w:kern w:val="2"/>
          <w:sz w:val="32"/>
          <w:szCs w:val="32"/>
          <w:highlight w:val="none"/>
          <w:lang w:val="en-US" w:eastAsia="zh-CN" w:bidi="ar-SA"/>
        </w:rPr>
        <w:t>万元，主要用于以下方面：教育支出1000万元，占27.07%；社会保障和就业支出2525.88万元，占68.36%；卫生健康支出90.6万元，占2.45%；住房保障支出78.29万元，占2.14%。</w:t>
      </w:r>
    </w:p>
    <w:p>
      <w:pPr>
        <w:spacing w:line="600" w:lineRule="exact"/>
        <w:ind w:firstLine="640"/>
        <w:rPr>
          <w:rFonts w:hint="default" w:ascii="Times New Roman" w:hAnsi="Times New Roman" w:cs="Times New Roman"/>
          <w:lang w:val="en-US" w:eastAsia="zh-CN"/>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382270</wp:posOffset>
            </wp:positionH>
            <wp:positionV relativeFrom="paragraph">
              <wp:posOffset>42545</wp:posOffset>
            </wp:positionV>
            <wp:extent cx="4572000" cy="2828925"/>
            <wp:effectExtent l="4445" t="4445" r="14605" b="508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仿宋_GB2312" w:cs="Times New Roman"/>
          <w:b/>
          <w:bCs/>
          <w:color w:val="auto"/>
          <w:kern w:val="2"/>
          <w:sz w:val="32"/>
          <w:szCs w:val="32"/>
          <w:highlight w:val="none"/>
          <w:lang w:val="en-US" w:eastAsia="zh-CN" w:bidi="ar-SA"/>
        </w:rPr>
        <w:t xml:space="preserve">      </w:t>
      </w: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left="638" w:leftChars="304" w:firstLine="0" w:firstLineChars="0"/>
        <w:outlineLvl w:val="2"/>
        <w:rPr>
          <w:rFonts w:hint="default" w:ascii="Times New Roman" w:hAnsi="Times New Roman" w:eastAsia="楷体_GB2312" w:cs="Times New Roman"/>
          <w:b/>
          <w:color w:val="auto"/>
          <w:sz w:val="32"/>
          <w:szCs w:val="32"/>
          <w:highlight w:val="none"/>
          <w:lang w:eastAsia="zh-CN"/>
        </w:rPr>
      </w:pPr>
      <w:bookmarkStart w:id="31" w:name="_Toc15377212"/>
    </w:p>
    <w:p>
      <w:pPr>
        <w:spacing w:line="600" w:lineRule="exact"/>
        <w:ind w:left="638" w:leftChars="304" w:firstLine="0" w:firstLineChars="0"/>
        <w:outlineLvl w:val="2"/>
        <w:rPr>
          <w:rFonts w:hint="default" w:ascii="Times New Roman" w:hAnsi="Times New Roman" w:eastAsia="楷体_GB2312" w:cs="Times New Roman"/>
          <w:b/>
          <w:color w:val="auto"/>
          <w:sz w:val="32"/>
          <w:szCs w:val="32"/>
          <w:highlight w:val="none"/>
        </w:rPr>
      </w:pPr>
      <w:bookmarkStart w:id="70" w:name="_GoBack"/>
      <w:bookmarkEnd w:id="70"/>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rPr>
        <w:t>三）一般公共预算财政拨款支出决算具体情况</w:t>
      </w:r>
      <w:bookmarkEnd w:id="31"/>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32" w:name="_Toc15377213"/>
      <w:bookmarkStart w:id="33" w:name="_Toc15378460"/>
      <w:bookmarkStart w:id="34" w:name="_Toc15377444"/>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3694.77</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32"/>
      <w:bookmarkEnd w:id="33"/>
      <w:bookmarkEnd w:id="34"/>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Style w:val="19"/>
          <w:rFonts w:hint="default" w:ascii="Times New Roman" w:hAnsi="Times New Roman" w:eastAsia="仿宋" w:cs="Times New Roman"/>
          <w:bCs/>
          <w:kern w:val="0"/>
          <w:sz w:val="32"/>
          <w:szCs w:val="32"/>
          <w:lang w:val="en-US" w:eastAsia="zh-CN" w:bidi="ar-SA"/>
        </w:rPr>
        <w:t>教育支出（类）其他教育支出（款）其他教育支出（项）:</w:t>
      </w:r>
      <w:r>
        <w:rPr>
          <w:rFonts w:hint="default" w:ascii="Times New Roman" w:hAnsi="Times New Roman" w:eastAsia="仿宋_GB2312" w:cs="Times New Roman"/>
          <w:color w:val="auto"/>
          <w:kern w:val="2"/>
          <w:sz w:val="32"/>
          <w:szCs w:val="32"/>
          <w:highlight w:val="none"/>
          <w:lang w:val="en-US" w:eastAsia="zh-CN" w:bidi="ar-SA"/>
        </w:rPr>
        <w:t xml:space="preserve"> 支出决算为1000万元，完成预算100%，决算数等于预算数。</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Style w:val="19"/>
          <w:rFonts w:hint="default" w:ascii="Times New Roman" w:hAnsi="Times New Roman" w:eastAsia="仿宋" w:cs="Times New Roman"/>
          <w:bCs/>
          <w:kern w:val="0"/>
          <w:sz w:val="32"/>
          <w:szCs w:val="32"/>
          <w:lang w:val="en-US" w:eastAsia="zh-CN" w:bidi="ar-SA"/>
        </w:rPr>
        <w:t>2.社会保障和就业支出（类）人力资源和社会保障管理事务（款）行政运行（项）：</w:t>
      </w:r>
      <w:r>
        <w:rPr>
          <w:rFonts w:hint="default" w:ascii="Times New Roman" w:hAnsi="Times New Roman" w:eastAsia="仿宋_GB2312" w:cs="Times New Roman"/>
          <w:color w:val="auto"/>
          <w:kern w:val="2"/>
          <w:sz w:val="32"/>
          <w:szCs w:val="32"/>
          <w:highlight w:val="none"/>
          <w:lang w:val="en-US" w:eastAsia="zh-CN" w:bidi="ar-SA"/>
        </w:rPr>
        <w:t>支出决算为511.68万元，完成预算100%，决算数等于预算数。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highlight w:val="none"/>
        </w:rPr>
      </w:pPr>
      <w:r>
        <w:rPr>
          <w:rStyle w:val="19"/>
          <w:rFonts w:hint="default" w:ascii="Times New Roman" w:hAnsi="Times New Roman" w:eastAsia="仿宋" w:cs="Times New Roman"/>
          <w:bCs/>
          <w:sz w:val="32"/>
          <w:szCs w:val="32"/>
        </w:rPr>
        <w:t>3.社会保障和就业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（类）人力资源和社会保障管理事务（款）</w:t>
      </w:r>
      <w:r>
        <w:rPr>
          <w:rStyle w:val="19"/>
          <w:rFonts w:hint="default" w:ascii="Times New Roman" w:hAnsi="Times New Roman" w:eastAsia="仿宋" w:cs="Times New Roman"/>
          <w:bCs/>
          <w:sz w:val="32"/>
          <w:szCs w:val="32"/>
          <w:lang w:eastAsia="zh-CN"/>
        </w:rPr>
        <w:t>信息化建设</w:t>
      </w:r>
      <w:r>
        <w:rPr>
          <w:rStyle w:val="19"/>
          <w:rFonts w:hint="default" w:ascii="Times New Roman" w:hAnsi="Times New Roman" w:eastAsia="仿宋" w:cs="Times New Roman"/>
          <w:bCs/>
          <w:sz w:val="32"/>
          <w:szCs w:val="32"/>
        </w:rPr>
        <w:t xml:space="preserve">（项）: </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4.2</w:t>
      </w:r>
      <w:r>
        <w:rPr>
          <w:rStyle w:val="19"/>
          <w:rFonts w:hint="default" w:ascii="Times New Roman" w:hAnsi="Times New Roman" w:eastAsia="仿宋" w:cs="Times New Roman"/>
          <w:b w:val="0"/>
          <w:bCs/>
          <w:sz w:val="32"/>
          <w:szCs w:val="32"/>
        </w:rPr>
        <w:t>万元，</w:t>
      </w:r>
      <w:r>
        <w:rPr>
          <w:rStyle w:val="19"/>
          <w:rFonts w:hint="default" w:ascii="Times New Roman" w:hAnsi="Times New Roman" w:eastAsia="仿宋" w:cs="Times New Roman"/>
          <w:b w:val="0"/>
          <w:bCs/>
          <w:sz w:val="32"/>
          <w:szCs w:val="32"/>
          <w:highlight w:val="none"/>
        </w:rPr>
        <w:t>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left="-2" w:leftChars="0" w:firstLine="643" w:firstLineChars="200"/>
        <w:textAlignment w:val="auto"/>
        <w:rPr>
          <w:rStyle w:val="19"/>
          <w:rFonts w:hint="default" w:ascii="Times New Roman" w:hAnsi="Times New Roman" w:eastAsia="仿宋" w:cs="Times New Roman"/>
          <w:b w:val="0"/>
          <w:bCs w:val="0"/>
          <w:sz w:val="32"/>
          <w:szCs w:val="32"/>
          <w:lang w:eastAsia="zh-CN"/>
        </w:rPr>
      </w:pPr>
      <w:r>
        <w:rPr>
          <w:rStyle w:val="19"/>
          <w:rFonts w:hint="default" w:ascii="Times New Roman" w:hAnsi="Times New Roman" w:eastAsia="仿宋" w:cs="Times New Roman"/>
          <w:bCs/>
          <w:sz w:val="32"/>
          <w:szCs w:val="32"/>
        </w:rPr>
        <w:t>4.社会保障和就业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（类）人力资源和社会保障管理事务（款</w:t>
      </w:r>
      <w:r>
        <w:rPr>
          <w:rStyle w:val="19"/>
          <w:rFonts w:hint="default" w:ascii="Times New Roman" w:hAnsi="Times New Roman" w:eastAsia="仿宋" w:cs="Times New Roman"/>
          <w:bCs/>
          <w:sz w:val="32"/>
          <w:szCs w:val="32"/>
          <w:lang w:val="en-US" w:eastAsia="zh-CN"/>
        </w:rPr>
        <w:t>）社会保险经办机构（项）</w:t>
      </w:r>
      <w:r>
        <w:rPr>
          <w:rStyle w:val="19"/>
          <w:rFonts w:hint="default" w:ascii="Times New Roman" w:hAnsi="Times New Roman" w:eastAsia="仿宋" w:cs="Times New Roman"/>
          <w:bCs/>
          <w:sz w:val="32"/>
          <w:szCs w:val="32"/>
        </w:rPr>
        <w:t xml:space="preserve">: </w:t>
      </w:r>
      <w:r>
        <w:rPr>
          <w:rStyle w:val="19"/>
          <w:rFonts w:hint="default" w:ascii="Times New Roman" w:hAnsi="Times New Roman" w:eastAsia="仿宋" w:cs="Times New Roman"/>
          <w:b w:val="0"/>
          <w:bCs w:val="0"/>
          <w:sz w:val="32"/>
          <w:szCs w:val="32"/>
        </w:rPr>
        <w:t>支出决算为</w:t>
      </w:r>
      <w:r>
        <w:rPr>
          <w:rStyle w:val="19"/>
          <w:rFonts w:hint="default" w:ascii="Times New Roman" w:hAnsi="Times New Roman" w:eastAsia="仿宋" w:cs="Times New Roman"/>
          <w:b w:val="0"/>
          <w:bCs w:val="0"/>
          <w:sz w:val="32"/>
          <w:szCs w:val="32"/>
          <w:lang w:val="en-US" w:eastAsia="zh-CN"/>
        </w:rPr>
        <w:t>90.04</w:t>
      </w:r>
      <w:r>
        <w:rPr>
          <w:rStyle w:val="19"/>
          <w:rFonts w:hint="default" w:ascii="Times New Roman" w:hAnsi="Times New Roman" w:eastAsia="仿宋" w:cs="Times New Roman"/>
          <w:b w:val="0"/>
          <w:bCs w:val="0"/>
          <w:sz w:val="32"/>
          <w:szCs w:val="32"/>
        </w:rPr>
        <w:t>万元，完成预算100%，决算数等于预算数</w:t>
      </w:r>
      <w:r>
        <w:rPr>
          <w:rStyle w:val="19"/>
          <w:rFonts w:hint="default" w:ascii="Times New Roman" w:hAnsi="Times New Roman" w:eastAsia="仿宋" w:cs="Times New Roman"/>
          <w:b w:val="0"/>
          <w:bCs w:val="0"/>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5.</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（类）人力资源和社会保障管理事务（款）劳动关系和维权（项）: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1</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6</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（类）人力资源和社会保障管理事务（款）劳动人事争议调解仲裁（项）: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2</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7</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（类）人力资源和社会保障管理事务（款）引进人才费用（项）: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12.11</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8</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（类）人力资源和社会保障管理事务（款）事业运行（项）: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213.07</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9</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（类）人力资源和社会保障管理事务（款）</w:t>
      </w:r>
      <w:r>
        <w:rPr>
          <w:rStyle w:val="19"/>
          <w:rFonts w:hint="default" w:ascii="Times New Roman" w:hAnsi="Times New Roman" w:eastAsia="仿宋" w:cs="Times New Roman"/>
          <w:bCs/>
          <w:sz w:val="32"/>
          <w:szCs w:val="32"/>
          <w:lang w:eastAsia="zh-CN"/>
        </w:rPr>
        <w:t>其他</w:t>
      </w:r>
      <w:r>
        <w:rPr>
          <w:rStyle w:val="19"/>
          <w:rFonts w:hint="default" w:ascii="Times New Roman" w:hAnsi="Times New Roman" w:eastAsia="仿宋" w:cs="Times New Roman"/>
          <w:bCs/>
          <w:sz w:val="32"/>
          <w:szCs w:val="32"/>
        </w:rPr>
        <w:t>人力资源和社会保障管理事务</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334.39</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left="0" w:leftChars="0" w:firstLine="643" w:firstLineChars="200"/>
        <w:textAlignment w:val="auto"/>
        <w:rPr>
          <w:rFonts w:hint="default" w:ascii="Times New Roman" w:hAnsi="Times New Roman" w:eastAsia="仿宋" w:cs="Times New Roman"/>
          <w:b/>
          <w:sz w:val="32"/>
          <w:szCs w:val="32"/>
        </w:rPr>
      </w:pPr>
      <w:r>
        <w:rPr>
          <w:rStyle w:val="19"/>
          <w:rFonts w:hint="default" w:ascii="Times New Roman" w:hAnsi="Times New Roman" w:eastAsia="仿宋" w:cs="Times New Roman"/>
          <w:bCs/>
          <w:sz w:val="32"/>
          <w:szCs w:val="32"/>
          <w:lang w:val="en-US" w:eastAsia="zh-CN"/>
        </w:rPr>
        <w:t>10</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 xml:space="preserve">（类）行政事业单位养老支出（款）行政单位离退休（项）: </w:t>
      </w:r>
      <w:r>
        <w:rPr>
          <w:rStyle w:val="19"/>
          <w:rFonts w:hint="default" w:ascii="Times New Roman" w:hAnsi="Times New Roman" w:eastAsia="仿宋" w:cs="Times New Roman"/>
          <w:b w:val="0"/>
          <w:bCs w:val="0"/>
          <w:sz w:val="32"/>
          <w:szCs w:val="32"/>
        </w:rPr>
        <w:t>支出决算为</w:t>
      </w:r>
      <w:r>
        <w:rPr>
          <w:rStyle w:val="19"/>
          <w:rFonts w:hint="default" w:ascii="Times New Roman" w:hAnsi="Times New Roman" w:eastAsia="仿宋" w:cs="Times New Roman"/>
          <w:b w:val="0"/>
          <w:bCs w:val="0"/>
          <w:sz w:val="32"/>
          <w:szCs w:val="32"/>
          <w:lang w:val="en-US" w:eastAsia="zh-CN"/>
        </w:rPr>
        <w:t>39.56</w:t>
      </w:r>
      <w:r>
        <w:rPr>
          <w:rStyle w:val="19"/>
          <w:rFonts w:hint="default" w:ascii="Times New Roman" w:hAnsi="Times New Roman" w:eastAsia="仿宋" w:cs="Times New Roman"/>
          <w:b w:val="0"/>
          <w:bCs w:val="0"/>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11</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（类）行政事业单位养老支出（款）机关事业单位基本养老保险缴费支出（项）: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93.05</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12</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（类）行政事业单位养老支出（款）机关事业单位职业年金缴费支出（项）: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13.76</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13</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（类）就业补助（款）其他就业补助支出（项）: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1204.01</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14</w:t>
      </w:r>
      <w:r>
        <w:rPr>
          <w:rStyle w:val="19"/>
          <w:rFonts w:hint="default" w:ascii="Times New Roman" w:hAnsi="Times New Roman" w:eastAsia="仿宋" w:cs="Times New Roman"/>
          <w:bCs/>
          <w:sz w:val="32"/>
          <w:szCs w:val="32"/>
        </w:rPr>
        <w:t>.社会保障和就业</w:t>
      </w:r>
      <w:r>
        <w:rPr>
          <w:rStyle w:val="19"/>
          <w:rFonts w:hint="default" w:ascii="Times New Roman" w:hAnsi="Times New Roman" w:eastAsia="仿宋" w:cs="Times New Roman"/>
          <w:bCs/>
          <w:sz w:val="32"/>
          <w:szCs w:val="32"/>
          <w:lang w:eastAsia="zh-CN"/>
        </w:rPr>
        <w:t>支出</w:t>
      </w:r>
      <w:r>
        <w:rPr>
          <w:rStyle w:val="19"/>
          <w:rFonts w:hint="default" w:ascii="Times New Roman" w:hAnsi="Times New Roman" w:eastAsia="仿宋" w:cs="Times New Roman"/>
          <w:bCs/>
          <w:sz w:val="32"/>
          <w:szCs w:val="32"/>
        </w:rPr>
        <w:t>（类）财政代缴社会保险费支出（款）财政代缴城乡居民基本养老保险费支出（项）: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7.01</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left="-2" w:leftChars="0" w:firstLine="640" w:firstLineChars="200"/>
        <w:textAlignment w:val="auto"/>
        <w:rPr>
          <w:rStyle w:val="19"/>
          <w:rFonts w:hint="default" w:ascii="Times New Roman" w:hAnsi="Times New Roman" w:eastAsia="仿宋" w:cs="Times New Roman"/>
          <w:bCs/>
          <w:sz w:val="32"/>
          <w:szCs w:val="32"/>
        </w:rPr>
      </w:pPr>
      <w:r>
        <w:rPr>
          <w:rStyle w:val="19"/>
          <w:rFonts w:hint="default" w:ascii="Times New Roman" w:hAnsi="Times New Roman" w:eastAsia="仿宋" w:cs="Times New Roman"/>
          <w:b w:val="0"/>
          <w:bCs/>
          <w:sz w:val="32"/>
          <w:szCs w:val="32"/>
          <w:highlight w:val="none"/>
          <w:lang w:val="en-US" w:eastAsia="zh-CN"/>
        </w:rPr>
        <w:t>1</w:t>
      </w:r>
      <w:r>
        <w:rPr>
          <w:rStyle w:val="19"/>
          <w:rFonts w:hint="default" w:ascii="Times New Roman" w:hAnsi="Times New Roman" w:eastAsia="仿宋" w:cs="Times New Roman"/>
          <w:bCs/>
          <w:sz w:val="32"/>
          <w:szCs w:val="32"/>
        </w:rPr>
        <w:t xml:space="preserve">5.卫生健康支出（类）行政事业单位医疗（款）行政单位医疗（项）: </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34.12</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Cs/>
          <w:sz w:val="32"/>
          <w:szCs w:val="32"/>
        </w:rPr>
      </w:pPr>
      <w:r>
        <w:rPr>
          <w:rStyle w:val="19"/>
          <w:rFonts w:hint="default" w:ascii="Times New Roman" w:hAnsi="Times New Roman" w:eastAsia="仿宋" w:cs="Times New Roman"/>
          <w:bCs/>
          <w:sz w:val="32"/>
          <w:szCs w:val="32"/>
          <w:lang w:val="en-US" w:eastAsia="zh-CN"/>
        </w:rPr>
        <w:t>16.</w:t>
      </w:r>
      <w:r>
        <w:rPr>
          <w:rStyle w:val="19"/>
          <w:rFonts w:hint="default" w:ascii="Times New Roman" w:hAnsi="Times New Roman" w:eastAsia="仿宋" w:cs="Times New Roman"/>
          <w:bCs/>
          <w:sz w:val="32"/>
          <w:szCs w:val="32"/>
        </w:rPr>
        <w:t xml:space="preserve">卫生健康支出（类）行政事业单位医疗（款）事业单位医疗（项）: </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18.44</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17.</w:t>
      </w:r>
      <w:r>
        <w:rPr>
          <w:rStyle w:val="19"/>
          <w:rFonts w:hint="default" w:ascii="Times New Roman" w:hAnsi="Times New Roman" w:eastAsia="仿宋" w:cs="Times New Roman"/>
          <w:bCs/>
          <w:sz w:val="32"/>
          <w:szCs w:val="32"/>
        </w:rPr>
        <w:t xml:space="preserve">卫生健康支出（类）行政事业单位医疗（款）公务员医疗补助（项）: </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28.56</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18.</w:t>
      </w:r>
      <w:r>
        <w:rPr>
          <w:rStyle w:val="19"/>
          <w:rFonts w:hint="default" w:ascii="Times New Roman" w:hAnsi="Times New Roman" w:eastAsia="仿宋" w:cs="Times New Roman"/>
          <w:bCs/>
          <w:sz w:val="32"/>
          <w:szCs w:val="32"/>
        </w:rPr>
        <w:t xml:space="preserve">卫生健康支出（类）行政事业单位医疗（款） 其他行政事业单位医疗支出（项）: </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9.48</w:t>
      </w:r>
      <w:r>
        <w:rPr>
          <w:rStyle w:val="19"/>
          <w:rFonts w:hint="default" w:ascii="Times New Roman" w:hAnsi="Times New Roman" w:eastAsia="仿宋" w:cs="Times New Roman"/>
          <w:b w:val="0"/>
          <w:bCs/>
          <w:sz w:val="32"/>
          <w:szCs w:val="32"/>
        </w:rPr>
        <w:t>万元，完成预算100%，决算数等于预算数。</w:t>
      </w:r>
    </w:p>
    <w:p>
      <w:pPr>
        <w:pStyle w:val="6"/>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19</w:t>
      </w:r>
      <w:r>
        <w:rPr>
          <w:rStyle w:val="19"/>
          <w:rFonts w:hint="default" w:ascii="Times New Roman" w:hAnsi="Times New Roman" w:eastAsia="仿宋" w:cs="Times New Roman"/>
          <w:bCs/>
          <w:sz w:val="32"/>
          <w:szCs w:val="32"/>
        </w:rPr>
        <w:t>.住房保障支出（类）住房改革支出（款）住房公积金（项）:</w:t>
      </w:r>
      <w:r>
        <w:rPr>
          <w:rStyle w:val="19"/>
          <w:rFonts w:hint="default" w:ascii="Times New Roman" w:hAnsi="Times New Roman" w:eastAsia="仿宋" w:cs="Times New Roman"/>
          <w:b w:val="0"/>
          <w:bCs/>
          <w:sz w:val="32"/>
          <w:szCs w:val="32"/>
        </w:rPr>
        <w:t>支出决算为</w:t>
      </w:r>
      <w:r>
        <w:rPr>
          <w:rStyle w:val="19"/>
          <w:rFonts w:hint="default" w:ascii="Times New Roman" w:hAnsi="Times New Roman" w:eastAsia="仿宋" w:cs="Times New Roman"/>
          <w:b w:val="0"/>
          <w:bCs/>
          <w:sz w:val="32"/>
          <w:szCs w:val="32"/>
          <w:lang w:val="en-US" w:eastAsia="zh-CN"/>
        </w:rPr>
        <w:t>78.29</w:t>
      </w:r>
      <w:r>
        <w:rPr>
          <w:rStyle w:val="19"/>
          <w:rFonts w:hint="default" w:ascii="Times New Roman" w:hAnsi="Times New Roman" w:eastAsia="仿宋" w:cs="Times New Roman"/>
          <w:b w:val="0"/>
          <w:bCs/>
          <w:sz w:val="32"/>
          <w:szCs w:val="32"/>
        </w:rPr>
        <w:t>万元，完成预算100%，决算数等于预算数。</w:t>
      </w:r>
    </w:p>
    <w:p>
      <w:pPr>
        <w:tabs>
          <w:tab w:val="right" w:pos="8306"/>
        </w:tabs>
        <w:spacing w:line="600" w:lineRule="exact"/>
        <w:ind w:firstLine="640"/>
        <w:outlineLvl w:val="1"/>
        <w:rPr>
          <w:rStyle w:val="30"/>
          <w:rFonts w:hint="default" w:ascii="Times New Roman" w:hAnsi="Times New Roman" w:cs="Times New Roman"/>
          <w:color w:val="auto"/>
          <w:highlight w:val="none"/>
        </w:rPr>
      </w:pPr>
      <w:bookmarkStart w:id="35" w:name="_Toc15377214"/>
      <w:bookmarkStart w:id="36"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般公共预算财政拨款基本支出决算情况说明</w:t>
      </w:r>
      <w:bookmarkEnd w:id="35"/>
      <w:bookmarkEnd w:id="36"/>
      <w:r>
        <w:rPr>
          <w:rStyle w:val="30"/>
          <w:rFonts w:hint="default" w:ascii="Times New Roman" w:hAnsi="Times New Roman" w:eastAsia="黑体" w:cs="Times New Roman"/>
          <w:b w:val="0"/>
          <w:color w:val="auto"/>
          <w:highlight w:val="none"/>
        </w:rPr>
        <w:tab/>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1381.65</w:t>
      </w:r>
      <w:r>
        <w:rPr>
          <w:rFonts w:hint="default" w:ascii="Times New Roman" w:hAnsi="Times New Roman" w:eastAsia="仿宋_GB2312" w:cs="Times New Roman"/>
          <w:color w:val="auto"/>
          <w:kern w:val="2"/>
          <w:sz w:val="32"/>
          <w:szCs w:val="32"/>
          <w:highlight w:val="none"/>
          <w:lang w:val="en-US" w:eastAsia="zh-CN" w:bidi="ar-SA"/>
        </w:rPr>
        <w:t>万元，其中：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1144.18</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绩效工资、机关事业单位基本养老保险缴费、职业年金缴费、职工基本医疗保险缴费、公务员医疗补助缴费、其他社会保障缴费、住房公积金、其他工资福利支出、离休费、生活补助、奖励金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237.47</w:t>
      </w:r>
      <w:r>
        <w:rPr>
          <w:rFonts w:hint="default" w:ascii="Times New Roman" w:hAnsi="Times New Roman" w:eastAsia="仿宋_GB2312" w:cs="Times New Roman"/>
          <w:color w:val="auto"/>
          <w:kern w:val="2"/>
          <w:sz w:val="32"/>
          <w:szCs w:val="32"/>
          <w:highlight w:val="none"/>
          <w:lang w:val="en-US" w:eastAsia="zh-CN" w:bidi="ar-SA"/>
        </w:rPr>
        <w:t>万元，主要包括：办公费、咨询费、邮电费、差旅费、维修（护）费、公务接待费、劳务费、委托业务费、工会经费、福利费、其他交通费、其他商品和服务支出、办公设备购置等。</w:t>
      </w:r>
    </w:p>
    <w:p>
      <w:pPr>
        <w:spacing w:line="600" w:lineRule="exact"/>
        <w:ind w:firstLine="640"/>
        <w:outlineLvl w:val="1"/>
        <w:rPr>
          <w:rStyle w:val="30"/>
          <w:rFonts w:hint="default" w:ascii="Times New Roman" w:hAnsi="Times New Roman" w:eastAsia="黑体" w:cs="Times New Roman"/>
          <w:b w:val="0"/>
          <w:color w:val="auto"/>
          <w:highlight w:val="none"/>
        </w:rPr>
      </w:pPr>
      <w:bookmarkStart w:id="37" w:name="_Toc15377215"/>
      <w:bookmarkStart w:id="38" w:name="_Toc15396609"/>
      <w:r>
        <w:rPr>
          <w:rFonts w:hint="default" w:ascii="Times New Roman" w:hAnsi="Times New Roman" w:eastAsia="黑体" w:cs="Times New Roman"/>
          <w:color w:val="auto"/>
          <w:sz w:val="32"/>
          <w:szCs w:val="32"/>
          <w:highlight w:val="none"/>
        </w:rPr>
        <w:t>七、</w:t>
      </w:r>
      <w:r>
        <w:rPr>
          <w:rStyle w:val="30"/>
          <w:rFonts w:hint="default" w:ascii="Times New Roman" w:hAnsi="Times New Roman" w:eastAsia="黑体" w:cs="Times New Roman"/>
          <w:b w:val="0"/>
          <w:color w:val="auto"/>
          <w:highlight w:val="none"/>
        </w:rPr>
        <w:t>财政拨款</w:t>
      </w:r>
      <w:r>
        <w:rPr>
          <w:rStyle w:val="30"/>
          <w:rFonts w:hint="default" w:ascii="Times New Roman" w:hAnsi="Times New Roman" w:eastAsia="黑体" w:cs="Times New Roman"/>
          <w:color w:val="auto"/>
          <w:highlight w:val="none"/>
        </w:rPr>
        <w:t>“</w:t>
      </w:r>
      <w:r>
        <w:rPr>
          <w:rStyle w:val="30"/>
          <w:rFonts w:hint="default" w:ascii="Times New Roman" w:hAnsi="Times New Roman" w:eastAsia="黑体" w:cs="Times New Roman"/>
          <w:b w:val="0"/>
          <w:color w:val="auto"/>
          <w:highlight w:val="none"/>
        </w:rPr>
        <w:t>三公”经费支出决算情况说明</w:t>
      </w:r>
      <w:bookmarkEnd w:id="37"/>
      <w:bookmarkEnd w:id="38"/>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9"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39"/>
    </w:p>
    <w:p>
      <w:pPr>
        <w:spacing w:line="600" w:lineRule="exact"/>
        <w:ind w:firstLine="640"/>
        <w:rPr>
          <w:rFonts w:hint="default" w:ascii="Times New Roman" w:hAnsi="Times New Roman" w:eastAsia="仿宋_GB2312" w:cs="Times New Roman"/>
          <w:color w:val="FF0000"/>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color w:val="auto"/>
          <w:sz w:val="32"/>
          <w:szCs w:val="32"/>
        </w:rPr>
        <w:t>0.67</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color w:val="auto"/>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%，较上年度增加0.21万元，增长45.65%。主要原因是</w:t>
      </w:r>
      <w:r>
        <w:rPr>
          <w:rFonts w:hint="default" w:ascii="Times New Roman" w:hAnsi="Times New Roman" w:eastAsia="仿宋" w:cs="Times New Roman"/>
          <w:color w:val="auto"/>
          <w:sz w:val="32"/>
          <w:szCs w:val="32"/>
          <w:lang w:val="en-US" w:eastAsia="zh-CN"/>
        </w:rPr>
        <w:t>项目增加，工作业务量增加，接待增加</w:t>
      </w:r>
      <w:r>
        <w:rPr>
          <w:rFonts w:hint="default" w:ascii="Times New Roman" w:hAnsi="Times New Roman" w:eastAsia="仿宋_GB2312" w:cs="Times New Roman"/>
          <w:sz w:val="32"/>
          <w:szCs w:val="32"/>
        </w:rPr>
        <w:t>。</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40"/>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万元，占0%；公务接待费支出决算</w:t>
      </w:r>
      <w:r>
        <w:rPr>
          <w:rFonts w:hint="default" w:ascii="Times New Roman" w:hAnsi="Times New Roman" w:eastAsia="仿宋_GB2312" w:cs="Times New Roman"/>
          <w:sz w:val="32"/>
          <w:szCs w:val="32"/>
        </w:rPr>
        <w:t>0.67</w:t>
      </w:r>
      <w:r>
        <w:rPr>
          <w:rFonts w:hint="default" w:ascii="Times New Roman" w:hAnsi="Times New Roman" w:eastAsia="仿宋_GB2312" w:cs="Times New Roman"/>
          <w:color w:val="auto"/>
          <w:kern w:val="2"/>
          <w:sz w:val="32"/>
          <w:szCs w:val="32"/>
          <w:highlight w:val="none"/>
          <w:lang w:val="en-US" w:eastAsia="zh-CN" w:bidi="ar-SA"/>
        </w:rPr>
        <w:t>万元，占100%。具体情况如下：</w:t>
      </w:r>
    </w:p>
    <w:p>
      <w:pP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72000" cy="2714625"/>
            <wp:effectExtent l="4445" t="4445" r="1460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sz w:val="32"/>
          <w:szCs w:val="32"/>
        </w:rPr>
        <w:t>1.因公出国（境）经费支出</w:t>
      </w:r>
      <w:r>
        <w:rPr>
          <w:rFonts w:hint="default" w:ascii="Times New Roman" w:hAnsi="Times New Roman" w:eastAsia="仿宋_GB2312" w:cs="Times New Roman"/>
          <w:b/>
          <w:sz w:val="32"/>
          <w:szCs w:val="32"/>
          <w:lang w:val="en-US" w:eastAsia="zh-CN"/>
        </w:rPr>
        <w:t>0</w:t>
      </w:r>
      <w:r>
        <w:rPr>
          <w:rFonts w:hint="default" w:ascii="Times New Roman" w:hAnsi="Times New Roman" w:eastAsia="仿宋_GB2312" w:cs="Times New Roman"/>
          <w:b/>
          <w:sz w:val="32"/>
          <w:szCs w:val="32"/>
        </w:rPr>
        <w:t>万元</w:t>
      </w:r>
      <w:r>
        <w:rPr>
          <w:rFonts w:hint="default" w:ascii="Times New Roman" w:hAnsi="Times New Roman" w:eastAsia="仿宋_GB2312" w:cs="Times New Roman"/>
          <w:sz w:val="32"/>
          <w:szCs w:val="32"/>
        </w:rPr>
        <w:t>，</w:t>
      </w:r>
      <w:r>
        <w:rPr>
          <w:rStyle w:val="19"/>
          <w:rFonts w:hint="default" w:ascii="Times New Roman" w:hAnsi="Times New Roman" w:eastAsia="仿宋" w:cs="Times New Roman"/>
          <w:b w:val="0"/>
          <w:bCs/>
          <w:sz w:val="32"/>
          <w:szCs w:val="32"/>
        </w:rPr>
        <w:t>完成预算</w:t>
      </w:r>
      <w:r>
        <w:rPr>
          <w:rStyle w:val="19"/>
          <w:rFonts w:hint="default" w:ascii="Times New Roman" w:hAnsi="Times New Roman" w:eastAsia="仿宋" w:cs="Times New Roman"/>
          <w:b w:val="0"/>
          <w:bCs/>
          <w:sz w:val="32"/>
          <w:szCs w:val="32"/>
          <w:lang w:val="en-US" w:eastAsia="zh-CN"/>
        </w:rPr>
        <w:t>100</w:t>
      </w:r>
      <w:r>
        <w:rPr>
          <w:rStyle w:val="19"/>
          <w:rFonts w:hint="default" w:ascii="Times New Roman" w:hAnsi="Times New Roman" w:eastAsia="仿宋" w:cs="Times New Roman"/>
          <w:b w:val="0"/>
          <w:bCs/>
          <w:sz w:val="32"/>
          <w:szCs w:val="32"/>
        </w:rPr>
        <w:t>%。全年安排因公出国（境）团组</w:t>
      </w:r>
      <w:r>
        <w:rPr>
          <w:rStyle w:val="19"/>
          <w:rFonts w:hint="default" w:ascii="Times New Roman" w:hAnsi="Times New Roman" w:eastAsia="仿宋" w:cs="Times New Roman"/>
          <w:b w:val="0"/>
          <w:bCs/>
          <w:sz w:val="32"/>
          <w:szCs w:val="32"/>
          <w:lang w:val="en-US" w:eastAsia="zh-CN"/>
        </w:rPr>
        <w:t>0</w:t>
      </w:r>
      <w:r>
        <w:rPr>
          <w:rStyle w:val="19"/>
          <w:rFonts w:hint="default" w:ascii="Times New Roman" w:hAnsi="Times New Roman" w:eastAsia="仿宋" w:cs="Times New Roman"/>
          <w:b w:val="0"/>
          <w:bCs/>
          <w:sz w:val="32"/>
          <w:szCs w:val="32"/>
        </w:rPr>
        <w:t>次，出国（境）</w:t>
      </w:r>
      <w:r>
        <w:rPr>
          <w:rStyle w:val="19"/>
          <w:rFonts w:hint="default" w:ascii="Times New Roman" w:hAnsi="Times New Roman" w:eastAsia="仿宋" w:cs="Times New Roman"/>
          <w:b w:val="0"/>
          <w:bCs/>
          <w:sz w:val="32"/>
          <w:szCs w:val="32"/>
          <w:lang w:val="en-US" w:eastAsia="zh-CN"/>
        </w:rPr>
        <w:t>0</w:t>
      </w:r>
      <w:r>
        <w:rPr>
          <w:rStyle w:val="19"/>
          <w:rFonts w:hint="default" w:ascii="Times New Roman" w:hAnsi="Times New Roman" w:eastAsia="仿宋" w:cs="Times New Roman"/>
          <w:b w:val="0"/>
          <w:bCs/>
          <w:sz w:val="32"/>
          <w:szCs w:val="32"/>
        </w:rPr>
        <w:t>人。</w:t>
      </w:r>
      <w:r>
        <w:rPr>
          <w:rFonts w:hint="default" w:ascii="Times New Roman" w:hAnsi="Times New Roman" w:eastAsia="仿宋_GB2312" w:cs="Times New Roman"/>
          <w:color w:val="auto"/>
          <w:kern w:val="2"/>
          <w:sz w:val="32"/>
          <w:szCs w:val="32"/>
          <w:highlight w:val="none"/>
          <w:lang w:val="en-US" w:eastAsia="zh-CN" w:bidi="ar-SA"/>
        </w:rPr>
        <w:t>因公出国（境）支出决算与2023年持平。</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公务用车购置及运行维护费支出决算与2023年持平。</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3.公务接待费支出0.67万元，完成预算100%。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公务接待费支出决算比2023年度增加0.21万元，增长%增长45.65%。主要原因是</w:t>
      </w:r>
      <w:r>
        <w:rPr>
          <w:rFonts w:hint="default" w:ascii="Times New Roman" w:hAnsi="Times New Roman" w:eastAsia="仿宋" w:cs="Times New Roman"/>
          <w:color w:val="auto"/>
          <w:sz w:val="32"/>
          <w:szCs w:val="32"/>
          <w:lang w:val="en-US" w:eastAsia="zh-CN"/>
        </w:rPr>
        <w:t>项目增加，工作业务量增加，接待增加</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2"/>
          <w:sz w:val="32"/>
          <w:szCs w:val="32"/>
          <w:highlight w:val="none"/>
          <w:lang w:val="en-US" w:eastAsia="zh-CN" w:bidi="ar-SA"/>
        </w:rPr>
        <w:t>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0.67</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default" w:ascii="Times New Roman" w:hAnsi="Times New Roman" w:eastAsia="仿宋_GB2312" w:cs="Times New Roman"/>
          <w:color w:val="auto"/>
          <w:sz w:val="32"/>
          <w:szCs w:val="32"/>
          <w:lang w:val="en-US" w:eastAsia="zh-CN"/>
        </w:rPr>
        <w:t>业务检查</w:t>
      </w:r>
      <w:r>
        <w:rPr>
          <w:rFonts w:hint="default" w:ascii="Times New Roman" w:hAnsi="Times New Roman" w:eastAsia="仿宋_GB2312" w:cs="Times New Roman"/>
          <w:color w:val="auto"/>
          <w:sz w:val="32"/>
          <w:szCs w:val="32"/>
        </w:rPr>
        <w:t>用餐费</w:t>
      </w:r>
      <w:r>
        <w:rPr>
          <w:rFonts w:hint="default" w:ascii="Times New Roman" w:hAnsi="Times New Roman" w:eastAsia="仿宋_GB2312" w:cs="Times New Roman"/>
          <w:color w:val="auto"/>
          <w:kern w:val="2"/>
          <w:sz w:val="32"/>
          <w:szCs w:val="32"/>
          <w:highlight w:val="none"/>
          <w:lang w:val="en-US" w:eastAsia="zh-CN" w:bidi="ar-SA"/>
        </w:rPr>
        <w:t>。国内公务接待</w:t>
      </w:r>
      <w:r>
        <w:rPr>
          <w:rFonts w:hint="default" w:ascii="Times New Roman" w:hAnsi="Times New Roman" w:eastAsia="仿宋_GB2312" w:cs="Times New Roman"/>
          <w:sz w:val="32"/>
          <w:szCs w:val="32"/>
        </w:rPr>
        <w:t>7</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56</w:t>
      </w:r>
      <w:r>
        <w:rPr>
          <w:rFonts w:hint="default" w:ascii="Times New Roman" w:hAnsi="Times New Roman" w:eastAsia="仿宋_GB2312" w:cs="Times New Roman"/>
          <w:color w:val="auto"/>
          <w:kern w:val="2"/>
          <w:sz w:val="32"/>
          <w:szCs w:val="32"/>
          <w:highlight w:val="none"/>
          <w:lang w:val="en-US" w:eastAsia="zh-CN" w:bidi="ar-SA"/>
        </w:rPr>
        <w:t>人次（不包括陪同人员），共计支出0.67万元，具体内容包括：</w:t>
      </w:r>
      <w:r>
        <w:rPr>
          <w:rFonts w:hint="default" w:ascii="Times New Roman" w:hAnsi="Times New Roman" w:eastAsia="仿宋_GB2312" w:cs="Times New Roman"/>
          <w:color w:val="auto"/>
          <w:sz w:val="32"/>
          <w:szCs w:val="32"/>
          <w:lang w:val="en-US" w:eastAsia="zh-CN"/>
        </w:rPr>
        <w:t>接待省人社厅开展全省技工院校学籍资助等专项检查0.11万元；省市联合工作组到西区检查矿山企业劳务派遣用工情况0.07万元；督导整治群众身边不正之风和腐败问题及行风建设工作0.06万元；市农工办检查组实地检查农民工支付工作0.13万元；市农工办检查组实地检查农民工支付工作0.14万元；市人社局调研公共就业创业服务示范城市创建工作0.08万元；市人社局到西区开展社会保险基金管理巩固提升行动现场督导0.07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p>
    <w:p>
      <w:pPr>
        <w:spacing w:line="600" w:lineRule="exact"/>
        <w:ind w:firstLine="640"/>
        <w:outlineLvl w:val="1"/>
        <w:rPr>
          <w:rStyle w:val="30"/>
          <w:rFonts w:hint="default" w:ascii="Times New Roman" w:hAnsi="Times New Roman" w:eastAsia="黑体" w:cs="Times New Roman"/>
          <w:color w:val="auto"/>
          <w:highlight w:val="none"/>
        </w:rPr>
      </w:pPr>
      <w:bookmarkStart w:id="41" w:name="_Toc15377218"/>
      <w:bookmarkStart w:id="42" w:name="_Toc15396610"/>
      <w:r>
        <w:rPr>
          <w:rFonts w:hint="default" w:ascii="Times New Roman" w:hAnsi="Times New Roman" w:eastAsia="黑体" w:cs="Times New Roman"/>
          <w:color w:val="auto"/>
          <w:sz w:val="32"/>
          <w:szCs w:val="32"/>
          <w:highlight w:val="none"/>
        </w:rPr>
        <w:t>八、</w:t>
      </w:r>
      <w:r>
        <w:rPr>
          <w:rStyle w:val="30"/>
          <w:rFonts w:hint="default" w:ascii="Times New Roman" w:hAnsi="Times New Roman" w:eastAsia="黑体" w:cs="Times New Roman"/>
          <w:b w:val="0"/>
          <w:color w:val="auto"/>
          <w:highlight w:val="none"/>
        </w:rPr>
        <w:t>政府性基金预算支出决算情况说明</w:t>
      </w:r>
      <w:bookmarkEnd w:id="41"/>
      <w:bookmarkEnd w:id="42"/>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0.13</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%。与2023年度相比，政府性基金预算财政拨款支出减少13.98万元，下降73.66%。主要变动原因是人才引进经费由政府性基金预算财政拨款调整到一般公共预算财政拨款，且增加了奖励性工作经费。</w:t>
      </w:r>
    </w:p>
    <w:p>
      <w:pPr>
        <w:numPr>
          <w:ilvl w:val="0"/>
          <w:numId w:val="0"/>
        </w:numPr>
        <w:spacing w:line="600" w:lineRule="exact"/>
        <w:ind w:left="630" w:leftChars="0"/>
        <w:outlineLvl w:val="1"/>
        <w:rPr>
          <w:rStyle w:val="30"/>
          <w:rFonts w:hint="default" w:ascii="Times New Roman" w:hAnsi="Times New Roman" w:eastAsia="黑体" w:cs="Times New Roman"/>
          <w:b w:val="0"/>
          <w:color w:val="auto"/>
          <w:highlight w:val="none"/>
        </w:rPr>
      </w:pPr>
      <w:bookmarkStart w:id="43" w:name="_Toc15377219"/>
      <w:bookmarkStart w:id="44" w:name="_Toc15396611"/>
      <w:r>
        <w:rPr>
          <w:rStyle w:val="30"/>
          <w:rFonts w:hint="default" w:ascii="Times New Roman" w:hAnsi="Times New Roman" w:eastAsia="黑体" w:cs="Times New Roman"/>
          <w:b w:val="0"/>
          <w:color w:val="auto"/>
          <w:highlight w:val="none"/>
          <w:lang w:eastAsia="zh-CN"/>
        </w:rPr>
        <w:t>九、</w:t>
      </w:r>
      <w:r>
        <w:rPr>
          <w:rStyle w:val="30"/>
          <w:rFonts w:hint="default" w:ascii="Times New Roman" w:hAnsi="Times New Roman" w:eastAsia="黑体" w:cs="Times New Roman"/>
          <w:b w:val="0"/>
          <w:color w:val="auto"/>
          <w:highlight w:val="none"/>
        </w:rPr>
        <w:t>国有资本经营预算支出决算情况说明</w:t>
      </w:r>
      <w:bookmarkEnd w:id="43"/>
      <w:bookmarkEnd w:id="44"/>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%，与2023年度持平。</w:t>
      </w:r>
    </w:p>
    <w:p>
      <w:pPr>
        <w:numPr>
          <w:ilvl w:val="0"/>
          <w:numId w:val="0"/>
        </w:numPr>
        <w:spacing w:line="600" w:lineRule="exact"/>
        <w:ind w:left="630" w:leftChars="0"/>
        <w:outlineLvl w:val="1"/>
        <w:rPr>
          <w:rStyle w:val="30"/>
          <w:rFonts w:hint="default" w:ascii="Times New Roman" w:hAnsi="Times New Roman" w:eastAsia="黑体" w:cs="Times New Roman"/>
          <w:b w:val="0"/>
          <w:color w:val="auto"/>
          <w:highlight w:val="none"/>
        </w:rPr>
      </w:pPr>
      <w:bookmarkStart w:id="45" w:name="_Toc15377221"/>
      <w:bookmarkStart w:id="46" w:name="_Toc15396612"/>
      <w:r>
        <w:rPr>
          <w:rStyle w:val="30"/>
          <w:rFonts w:hint="default" w:ascii="Times New Roman" w:hAnsi="Times New Roman" w:eastAsia="黑体" w:cs="Times New Roman"/>
          <w:b w:val="0"/>
          <w:color w:val="auto"/>
          <w:highlight w:val="none"/>
          <w:lang w:eastAsia="zh-CN"/>
        </w:rPr>
        <w:t>十、</w:t>
      </w:r>
      <w:r>
        <w:rPr>
          <w:rStyle w:val="30"/>
          <w:rFonts w:hint="default" w:ascii="Times New Roman" w:hAnsi="Times New Roman" w:eastAsia="黑体" w:cs="Times New Roman"/>
          <w:b w:val="0"/>
          <w:color w:val="auto"/>
          <w:highlight w:val="none"/>
        </w:rPr>
        <w:t>其他重要事项的情况说明</w:t>
      </w:r>
      <w:bookmarkEnd w:id="45"/>
      <w:bookmarkEnd w:id="46"/>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7" w:name="_Toc15377222"/>
      <w:r>
        <w:rPr>
          <w:rFonts w:hint="default" w:ascii="Times New Roman" w:hAnsi="Times New Roman" w:eastAsia="楷体_GB2312" w:cs="Times New Roman"/>
          <w:b/>
          <w:color w:val="auto"/>
          <w:sz w:val="32"/>
          <w:szCs w:val="32"/>
          <w:highlight w:val="none"/>
        </w:rPr>
        <w:t>（一）机关运行经费支出情况</w:t>
      </w:r>
      <w:bookmarkEnd w:id="47"/>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攀枝花市西区人力资源和社会保障局</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237.47</w:t>
      </w:r>
      <w:r>
        <w:rPr>
          <w:rFonts w:hint="default" w:ascii="Times New Roman" w:hAnsi="Times New Roman" w:eastAsia="仿宋_GB2312" w:cs="Times New Roman"/>
          <w:color w:val="auto"/>
          <w:kern w:val="2"/>
          <w:sz w:val="32"/>
          <w:szCs w:val="32"/>
          <w:highlight w:val="none"/>
          <w:lang w:val="en-US" w:eastAsia="zh-CN" w:bidi="ar-SA"/>
        </w:rPr>
        <w:t>万元，比2023年度增加170.84万元，增长256.4%。主要原因是协理员工资保险按照公用经费统计。</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8" w:name="_Toc15377223"/>
      <w:r>
        <w:rPr>
          <w:rFonts w:hint="default" w:ascii="Times New Roman" w:hAnsi="Times New Roman" w:eastAsia="楷体_GB2312" w:cs="Times New Roman"/>
          <w:b/>
          <w:color w:val="auto"/>
          <w:sz w:val="32"/>
          <w:szCs w:val="32"/>
          <w:highlight w:val="none"/>
        </w:rPr>
        <w:t>（二）政府采购支出情况</w:t>
      </w:r>
      <w:bookmarkEnd w:id="48"/>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攀枝花市西区人力资源和社会保障局</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0.84</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0.84</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default" w:ascii="Times New Roman" w:hAnsi="Times New Roman" w:eastAsia="仿宋_GB2312" w:cs="Times New Roman"/>
          <w:color w:val="auto"/>
          <w:sz w:val="32"/>
          <w:szCs w:val="32"/>
          <w:lang w:val="en-US" w:eastAsia="zh-CN"/>
        </w:rPr>
        <w:t>购买办公设备</w:t>
      </w:r>
      <w:r>
        <w:rPr>
          <w:rFonts w:hint="default" w:ascii="Times New Roman" w:hAnsi="Times New Roman" w:eastAsia="仿宋_GB2312" w:cs="Times New Roman"/>
          <w:color w:val="auto"/>
          <w:kern w:val="2"/>
          <w:sz w:val="32"/>
          <w:szCs w:val="32"/>
          <w:highlight w:val="none"/>
          <w:lang w:val="en-US" w:eastAsia="zh-CN" w:bidi="ar-SA"/>
        </w:rPr>
        <w:t>。授予中小企业合同金额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9" w:name="_Toc15377224"/>
      <w:r>
        <w:rPr>
          <w:rFonts w:hint="default" w:ascii="Times New Roman" w:hAnsi="Times New Roman" w:eastAsia="楷体_GB2312" w:cs="Times New Roman"/>
          <w:b/>
          <w:color w:val="auto"/>
          <w:sz w:val="32"/>
          <w:szCs w:val="32"/>
          <w:highlight w:val="none"/>
        </w:rPr>
        <w:t>（三）国有资产占有使用情况</w:t>
      </w:r>
      <w:bookmarkEnd w:id="49"/>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攀枝花市西区人力资源和社会保障局</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w:t>
      </w:r>
      <w:r>
        <w:rPr>
          <w:rFonts w:hint="default" w:ascii="Times New Roman" w:hAnsi="Times New Roman" w:eastAsia="仿宋_GB2312" w:cs="Times New Roman"/>
          <w:sz w:val="32"/>
          <w:szCs w:val="32"/>
        </w:rPr>
        <w:t>攀枝花市西区人力资源和社会保障局</w:t>
      </w:r>
      <w:r>
        <w:rPr>
          <w:rFonts w:hint="default" w:ascii="Times New Roman" w:hAnsi="Times New Roman" w:eastAsia="仿宋_GB2312" w:cs="Times New Roman"/>
          <w:color w:val="auto"/>
          <w:kern w:val="2"/>
          <w:sz w:val="32"/>
          <w:szCs w:val="32"/>
          <w:highlight w:val="none"/>
          <w:lang w:val="en-US" w:eastAsia="zh-CN" w:bidi="ar-SA"/>
        </w:rPr>
        <w:t>在2024年度预算编制阶段，组织对</w:t>
      </w:r>
      <w:r>
        <w:rPr>
          <w:rFonts w:hint="default" w:ascii="Times New Roman" w:hAnsi="Times New Roman" w:eastAsia="仿宋_GB2312" w:cs="Times New Roman"/>
          <w:sz w:val="32"/>
          <w:szCs w:val="32"/>
          <w:lang w:eastAsia="zh-CN"/>
        </w:rPr>
        <w:t>三支一扶补助资金、</w:t>
      </w:r>
      <w:r>
        <w:rPr>
          <w:rFonts w:hint="default" w:ascii="Times New Roman" w:hAnsi="Times New Roman" w:eastAsia="仿宋_GB2312" w:cs="Times New Roman"/>
          <w:sz w:val="32"/>
          <w:szCs w:val="32"/>
        </w:rPr>
        <w:t>攀枝花市西区公共实训基地建设项目</w:t>
      </w:r>
      <w:r>
        <w:rPr>
          <w:rFonts w:hint="default" w:ascii="Times New Roman" w:hAnsi="Times New Roman" w:eastAsia="仿宋_GB2312" w:cs="Times New Roman"/>
          <w:color w:val="auto"/>
          <w:kern w:val="2"/>
          <w:sz w:val="32"/>
          <w:szCs w:val="32"/>
          <w:highlight w:val="none"/>
          <w:lang w:val="en-US" w:eastAsia="zh-CN" w:bidi="ar-SA"/>
        </w:rPr>
        <w:t>等21个项目开展了预算事前绩效评估，对21个项目编制了绩效目标，预算执行过程中，选取21个项目开展绩效监控。</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组织对2024年度一般公共预算、政府性基金预算全面开展绩效自评，形成本部门整体（含部门预算项目）绩效自评报告、</w:t>
      </w:r>
      <w:r>
        <w:rPr>
          <w:rFonts w:hint="default" w:ascii="Times New Roman" w:hAnsi="Times New Roman" w:eastAsia="仿宋_GB2312" w:cs="Times New Roman"/>
          <w:sz w:val="32"/>
          <w:szCs w:val="32"/>
        </w:rPr>
        <w:t>攀枝花市西区公共实训基地建设项目</w:t>
      </w:r>
      <w:r>
        <w:rPr>
          <w:rFonts w:hint="default" w:ascii="Times New Roman" w:hAnsi="Times New Roman" w:eastAsia="仿宋_GB2312" w:cs="Times New Roman"/>
          <w:color w:val="auto"/>
          <w:kern w:val="2"/>
          <w:sz w:val="32"/>
          <w:szCs w:val="32"/>
          <w:highlight w:val="none"/>
          <w:lang w:val="en-US" w:eastAsia="zh-CN" w:bidi="ar-SA"/>
        </w:rPr>
        <w:t>等专项预算项目绩效自评报告，绩效自评报告详见附件。</w:t>
      </w:r>
    </w:p>
    <w:p>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50" w:name="_Toc15396613"/>
      <w:bookmarkStart w:id="51" w:name="_Toc15377225"/>
    </w:p>
    <w:p>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p>
    <w:p>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50"/>
      <w:bookmarkEnd w:id="51"/>
    </w:p>
    <w:p>
      <w:pPr>
        <w:spacing w:line="600" w:lineRule="exact"/>
        <w:jc w:val="left"/>
        <w:rPr>
          <w:rFonts w:hint="default" w:ascii="Times New Roman" w:hAnsi="Times New Roman" w:cs="Times New Roman"/>
          <w:b/>
          <w:color w:val="auto"/>
          <w:sz w:val="44"/>
          <w:szCs w:val="44"/>
          <w:highlight w:val="none"/>
        </w:rPr>
      </w:pP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Style w:val="27"/>
        <w:pageBreakBefore w:val="0"/>
        <w:kinsoku/>
        <w:wordWrap/>
        <w:overflowPunct/>
        <w:topLinePunct w:val="0"/>
        <w:bidi w:val="0"/>
        <w:spacing w:line="353" w:lineRule="auto"/>
        <w:ind w:left="67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.其他收入：指单位取得的除上述收入以外的各项收入。</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年初结转和结余：指以前年度尚未完成、结转到本年按有关规定继续使用的资金。</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.结余分配：指事业单位按照事业单位会计制度的规定从非财政补助结余中分配的事业基金和职工福利基金等。</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年末结转和结余：指单位按有关规定结转到下年或以后年度继续使用的资金。</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（类）人力资源和社会保障管理事务（款）行政运行（项）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指反应映行政单位（包括实行公务员管理的事业单位）的基本支出。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（类）人力资源和社会保障管理事务（款）事业运行（项）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指反映事业单位的基本支出，不包括行政单位（包括实行公务员管理的事业单位）后勤服务中心、医务室等附属事业。</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w:t>
      </w:r>
      <w:r>
        <w:rPr>
          <w:rFonts w:hint="default" w:ascii="Times New Roman" w:hAnsi="Times New Roman" w:eastAsia="仿宋_GB2312" w:cs="Times New Roman"/>
          <w:sz w:val="32"/>
          <w:szCs w:val="32"/>
          <w:lang w:val="en-US" w:eastAsia="zh-CN"/>
        </w:rPr>
        <w:t>）其他人力资源和社会保障管理事务支出（项）：指除上述项目以外的其他用于人力资源和社会保障管理事务方面的指出。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（类）行政事业单位养老支出（款）行政单位离退休（项）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指反映行政单位（包括实行公务员管理的事业单位）开支的离退休经费。</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（类）行政事业单位养老支出（款）机关事业单位基本养老保险缴费支出（项）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指反映事业单位实施养老保险制度由单位实际缴纳的基本养老保险费支出。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（类）行政事业单位养老支出（款）机关事业单位职业年金缴费支出（项）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指反映事业单位实施养老保险制度由单位实际缴纳的职业年金支出。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.卫生健康支出（类）行政事业单位医疗（款）行政单位医疗（项）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指反映财政部门安排的行政单位（包括实行公务员管理事业单位，下同）基本医疗保险缴费经费，未参加医疗保险的行政单位的公费医疗经费，按照国家规定享受离退休人员、红军老战士待遇人员的医疗经费。</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卫生健康支出（类）行政事业单位医疗（款）事业单位医疗（项）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指反映财政部门安排的事业单位基本医疗保险缴费经费，未参加医疗保险的事业单位的公费医疗经费，按照国家规定享受离退休人员待遇的医疗经费。</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卫生健康支出（类）行政事业单位医疗（款）公务员医疗补助（项）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指反映财政部门安排的公务员医疗补助经费。</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卫生健康支出（类）行政事业单位医疗（款）</w:t>
      </w:r>
      <w:r>
        <w:rPr>
          <w:rFonts w:hint="default" w:ascii="Times New Roman" w:hAnsi="Times New Roman" w:eastAsia="仿宋_GB2312" w:cs="Times New Roman"/>
          <w:sz w:val="32"/>
          <w:szCs w:val="32"/>
          <w:lang w:val="en-US" w:eastAsia="zh-CN"/>
        </w:rPr>
        <w:t>其他行政事业单位医疗支出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指反映除上述项目以外的其他用于行政事业单位医疗方面的支出。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.城乡社区（类）</w:t>
      </w:r>
      <w:r>
        <w:rPr>
          <w:rFonts w:hint="default" w:ascii="Times New Roman" w:hAnsi="Times New Roman" w:eastAsia="仿宋_GB2312" w:cs="Times New Roman"/>
          <w:sz w:val="32"/>
          <w:szCs w:val="32"/>
          <w:lang w:val="en-US" w:eastAsia="zh-CN"/>
        </w:rPr>
        <w:t>国有土地使用权出让收入安排支出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土地开发支出</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反映新疆生产建设兵团和地方政府用于前期土地开发性支出以及与前期土地开发相关的费用等支出</w:t>
      </w:r>
      <w:r>
        <w:rPr>
          <w:rFonts w:hint="default" w:ascii="Times New Roman" w:hAnsi="Times New Roman" w:eastAsia="仿宋_GB2312" w:cs="Times New Roman"/>
          <w:sz w:val="32"/>
          <w:szCs w:val="32"/>
        </w:rPr>
        <w:t>。</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.住房保障支出（类）住房改革支出（款）住房公积金（项）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指反映行政事业单位按人力资源和社会保障部、财政部规定的基本工资和津贴补贴以及规定比列未职工缴纳的住房公积金。</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（类）人力资源和社会保障管理事务（款）社会保险经办机构（项）：指社会保险经办机构开展业务工作的支出。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19.社会保障和就业支出（类）财政代缴社会保险费支付（款）政代缴城乡居民基本养老保险费支出（项）：指财政为生活困难人员缴纳的城乡居民基本养老保险费支出。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社会保障和就业支出（类）就业补助（款）其他就业补助支出（项）：反映除上述项目以外按规定确定的其他用于促进就业的补助支出。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（类）人力资源和社会保障管理事务（款）引进人才费用（项）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指引进外国专家补助、引智成果推广等方面的支出。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（类）人力资源和社会保障管理事务（款）信息化建设（项）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指反映人力资源和社会保障部门用于信息化建设、运行维护和数据分析等方面的支出。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（类）人力资源和社会保障管理事务（款）劳动关系和维权（项）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指反映劳动关系和维权事务支出。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（类）人力资源和社会保障管理事务（款）劳动人事争议调解仲裁（项）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指反映仲裁机构实体化建设、办案经费、调解仲裁能力建设等支出。</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教育支出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其他教育支出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其他教育支出</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攀枝花市西区公共实训基地建设项目支出</w:t>
      </w:r>
      <w:r>
        <w:rPr>
          <w:rFonts w:hint="default" w:ascii="Times New Roman" w:hAnsi="Times New Roman" w:eastAsia="仿宋_GB2312" w:cs="Times New Roman"/>
          <w:sz w:val="32"/>
          <w:szCs w:val="32"/>
        </w:rPr>
        <w:t>。</w:t>
      </w:r>
    </w:p>
    <w:p>
      <w:pPr>
        <w:pStyle w:val="27"/>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27.项目支出：指在基本支出之外为完成特定行政任务和事业发展目标所发生的支出。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28.经营支出：指事业单位在专业业务活动及其辅助活动之外开展非独立核算经营活动发生的支出。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9"/>
          <w:rFonts w:hint="default" w:ascii="Times New Roman" w:hAnsi="Times New Roman" w:eastAsia="黑体" w:cs="Times New Roman"/>
          <w:b w:val="0"/>
          <w:color w:val="auto"/>
          <w:highlight w:val="none"/>
          <w:lang w:eastAsia="zh-CN"/>
        </w:rPr>
      </w:pPr>
      <w:bookmarkStart w:id="52"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53" w:name="_Toc15396614"/>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53"/>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lang w:eastAsia="zh-CN"/>
        </w:rPr>
      </w:pP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lang w:eastAsia="zh-CN"/>
        </w:rPr>
        <w:t>攀枝花市西区人力资源和社会保障局</w:t>
      </w: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部门预算绩效评</w:t>
      </w:r>
      <w:r>
        <w:rPr>
          <w:rFonts w:hint="default" w:ascii="Times New Roman" w:hAnsi="Times New Roman" w:eastAsia="方正小标宋简体" w:cs="Times New Roman"/>
          <w:bCs/>
          <w:sz w:val="44"/>
          <w:szCs w:val="44"/>
          <w:shd w:val="clear" w:color="auto" w:fill="FFFFFF"/>
          <w:lang w:eastAsia="zh-CN"/>
        </w:rPr>
        <w:t>价</w:t>
      </w:r>
      <w:r>
        <w:rPr>
          <w:rFonts w:hint="default" w:ascii="Times New Roman" w:hAnsi="Times New Roman" w:eastAsia="方正小标宋简体" w:cs="Times New Roman"/>
          <w:bCs/>
          <w:sz w:val="44"/>
          <w:szCs w:val="44"/>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bookmarkStart w:id="54" w:name="_Toc15396618"/>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pPr>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lang w:val="zh-CN"/>
        </w:rPr>
        <w:t>（一）机构组成。</w:t>
      </w:r>
      <w:r>
        <w:rPr>
          <w:rFonts w:hint="default" w:ascii="Times New Roman" w:hAnsi="Times New Roman" w:eastAsia="仿宋_GB2312" w:cs="Times New Roman"/>
          <w:sz w:val="32"/>
          <w:szCs w:val="32"/>
          <w:lang w:val="en-US" w:eastAsia="zh-CN"/>
        </w:rPr>
        <w:t>区人力资源社会保障局内设股室5个，分别为办公室、就业促进和人力资源开发股、养老工伤保险股（社会保险基金监督股）、事业单位人事管理股（西区职称改革领导小组办公室）、劳动监察仲裁和政策法规股（农民工工作股）；下属二级单位4个，其中行政单位0个，参照公务员法管理的事业单位2个（区社会保险事务中心、区就业创业促进中心），其他事业单位2个（区劳动人事争议仲裁院、区人才交流服务中心），其中区社会保险事务中心、区就业创业促进中心为独立预算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lang w:val="zh-CN"/>
        </w:rPr>
        <w:t>（二）机构职能。</w:t>
      </w:r>
      <w:r>
        <w:rPr>
          <w:rFonts w:hint="default" w:ascii="Times New Roman" w:hAnsi="Times New Roman" w:eastAsia="仿宋_GB2312" w:cs="Times New Roman"/>
          <w:sz w:val="32"/>
          <w:szCs w:val="32"/>
          <w:lang w:val="en-US" w:eastAsia="zh-CN"/>
        </w:rPr>
        <w:t>1.贯彻执行国家、省、市人力资源和社会保障工作的法律、法规、规章和政策，拟订全区人力资源和社会保障事业发展规划、政策并组织实施，统筹推进人力资源和社会保障事业发展。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2.拟订并组织实施全区人力资源市场发展规划和人力资源服务业发展、人力资源流动政策，建立、健全全区统一规范的人力资源市场，促进人力资源合理流动，有效配置。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负责促进就业工作，拟订统筹全区城乡的就业发展规划和政策，完善公共就业创业服务体系，组织落实创业、就业援助制度，提出就业资金安排计划并组织实施；建立健全失业预警制度，稳定就业形势。落实城乡劳动者的职业技能培训制度；组织实施社会力量举办的职业技能培训，指导企业在职职工技能培训和再就业培训、农村劳动力技能培训等工作；贯彻执行高校毕业生就业政策，组织实施高校毕业生就业创业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统筹推进建立覆盖全区城乡的多层次社会保障体系。贯彻执行国家、省、市养老、失业、工伤等社会保险及其补充保险政策和标准，贯彻落实养老保险全国统筹办法和全国统一的养老、失业、工伤保险关系转续办法；负责对养老、失业、工伤保险基金管理实施行政监督；综合管理就业、社保经办机构；组织实施全区养老、失业、工伤服务体系建设；负责企业职工正常退休和特殊工种提前退休审批；协助办理工伤和特殊工种认定及劳动能力鉴定工作；会同有关部门实施全民参保计划并建立全区统一的养老、失业，工伤社会保险公共服务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5.负责就业、失业及社会保障基金监测预警，拟订应对预案，实施预防、调节和控制，保持就业形势稳定和相关社会保险基金总体收支平衡。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6.贯彻执行劳动人事争议调解仲裁制度和劳动关系政策，完善劳动关系协调机制，贯彻执行劳动者权益保护政策，协调劳动者维权工作，组织实施劳动保障监察，依法查处侵犯劳动者合法权益的案件。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实施事业单位人员综合管理工作，会同有关部门指导事业单位人事制度改革，按照管理权限承办事业单位岗位设置、公开招聘、人员聘用等人事综合管理工作，拟订事业单位人员和机关工勤人员管理政策；负责专业技术人员管理和继续教育工作；组织实施深化职称制度改革；负责高层次专业技术人才选拔和培养工作，组织实施技能人才培养评价、使用和激励制度，健全职业技能多元化评价政策。指导、监督各级各类技工学校、民办职业培训机构按国家、省和我市有关规定履行安全管理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8.组织实施国家表彰制度，综合管理政府表彰奖励工作，承担评比达标表彰等工作。承办区委管理的部分领导人员的行政任免手续。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贯彻执行国家、省、市企业职工工资收入分配、支付、保障和调控政策，贯彻落实事业单位人员工资收入分配政策，建立事业单位人员工资决定、正常增长和支付保障机制，贯彻落实企事业单位人员工资福利和退休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10.会同有关部门拟订劳务开发及农民工工作综合性政策和规划并推动相关政策的落实，协调解决重点难点问题，维护农民工合法权益。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仿宋_GB2312" w:cs="Times New Roman"/>
          <w:sz w:val="32"/>
          <w:szCs w:val="32"/>
          <w:lang w:val="en-US" w:eastAsia="zh-CN"/>
        </w:rPr>
        <w:t>11.受理人力资源和社会保障方面的信访事项，会同有关部门协调处理重大信访事件或突发事件。</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12.负责区人力资源社会保障领域的对外交流与合作工作。</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13.承担职责范围内的安全生产和职业健康、生态环境保护、审批服务便民化等工作。</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14.完成区委和区政府交办的其他任务。</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15.职能转变。深入推进简政放权、放管结合、优化服务改革，进一步减少行政审批事项，规范和优化对外办理事项，减少职业资格许可和认定等事项，实行国家职业资格目录清单管理，加强事中事后监管，创新就业和社会保障等公共服务方式，加强信息共享，提高公共服务水平。</w:t>
      </w:r>
    </w:p>
    <w:p>
      <w:pPr>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区人力资源社会保障局公务员编制6人，实有在职在岗职工5人，事业编制11人，实有在职在岗职工17人，离休人员1人，退休职工7人，编内聘用人员1人；区社会保险事务中心参公编制18人，实有在职在岗职工14人，机关工勤1人，事业编制0人，实有在职在岗职工1人，退休人员2人，编内聘用人员4人；区就业创业促进中心参公编制15人，实有在职在岗职工13人，退休人员5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default" w:ascii="Times New Roman" w:hAnsi="Times New Roman" w:eastAsia="仿宋_GB2312" w:cs="Times New Roman"/>
          <w:sz w:val="32"/>
          <w:szCs w:val="32"/>
          <w:lang w:val="zh-CN" w:eastAsia="zh-CN"/>
        </w:rPr>
        <w:t>区人力资源社会保障局</w:t>
      </w:r>
      <w:r>
        <w:rPr>
          <w:rFonts w:hint="default" w:ascii="Times New Roman" w:hAnsi="Times New Roman" w:eastAsia="仿宋_GB2312" w:cs="Times New Roman"/>
          <w:sz w:val="32"/>
          <w:szCs w:val="32"/>
          <w:lang w:val="en-US" w:eastAsia="zh-CN"/>
        </w:rPr>
        <w:t>2024年年初预算收入1742.64万元、决算报表收入3699.77万元。</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eastAsia="仿宋_GB2312" w:cs="Times New Roman"/>
          <w:color w:val="auto"/>
          <w:kern w:val="2"/>
          <w:sz w:val="32"/>
          <w:szCs w:val="32"/>
          <w:highlight w:val="none"/>
          <w:lang w:val="zh-CN" w:eastAsia="zh-CN" w:bidi="ar-SA"/>
        </w:rPr>
        <w:t>区人力资源社会保障局2024年年初预算支出</w:t>
      </w:r>
      <w:r>
        <w:rPr>
          <w:rFonts w:hint="default" w:ascii="Times New Roman" w:hAnsi="Times New Roman" w:eastAsia="仿宋_GB2312" w:cs="Times New Roman"/>
          <w:color w:val="auto"/>
          <w:kern w:val="2"/>
          <w:sz w:val="32"/>
          <w:szCs w:val="32"/>
          <w:highlight w:val="none"/>
          <w:lang w:val="en-US" w:eastAsia="zh-CN" w:bidi="ar-SA"/>
        </w:rPr>
        <w:t>1742.64万元</w:t>
      </w:r>
      <w:r>
        <w:rPr>
          <w:rFonts w:hint="default" w:ascii="Times New Roman" w:hAnsi="Times New Roman" w:eastAsia="仿宋_GB2312" w:cs="Times New Roman"/>
          <w:color w:val="auto"/>
          <w:kern w:val="2"/>
          <w:sz w:val="32"/>
          <w:szCs w:val="32"/>
          <w:highlight w:val="none"/>
          <w:lang w:val="zh-CN" w:eastAsia="zh-CN" w:bidi="ar-SA"/>
        </w:rPr>
        <w:t>、决算数为</w:t>
      </w:r>
      <w:r>
        <w:rPr>
          <w:rFonts w:hint="default" w:ascii="Times New Roman" w:hAnsi="Times New Roman" w:eastAsia="仿宋_GB2312" w:cs="Times New Roman"/>
          <w:color w:val="auto"/>
          <w:kern w:val="2"/>
          <w:sz w:val="32"/>
          <w:szCs w:val="32"/>
          <w:highlight w:val="none"/>
          <w:lang w:val="en-US" w:eastAsia="zh-CN" w:bidi="ar-SA"/>
        </w:rPr>
        <w:t>3699.77万元。</w:t>
      </w:r>
      <w:r>
        <w:rPr>
          <w:rFonts w:hint="default" w:ascii="Times New Roman" w:hAnsi="Times New Roman" w:eastAsia="仿宋_GB2312" w:cs="Times New Roman"/>
          <w:color w:val="auto"/>
          <w:kern w:val="2"/>
          <w:sz w:val="32"/>
          <w:szCs w:val="32"/>
          <w:highlight w:val="none"/>
          <w:lang w:val="zh-CN" w:eastAsia="zh-CN" w:bidi="ar-SA"/>
        </w:rPr>
        <w:t>其中：人员经费年初预算数为</w:t>
      </w:r>
      <w:r>
        <w:rPr>
          <w:rFonts w:hint="default" w:ascii="Times New Roman" w:hAnsi="Times New Roman" w:eastAsia="仿宋_GB2312" w:cs="Times New Roman"/>
          <w:color w:val="auto"/>
          <w:kern w:val="2"/>
          <w:sz w:val="32"/>
          <w:szCs w:val="32"/>
          <w:highlight w:val="none"/>
          <w:lang w:val="en-US" w:eastAsia="zh-CN" w:bidi="ar-SA"/>
        </w:rPr>
        <w:t>1383.81</w:t>
      </w:r>
      <w:r>
        <w:rPr>
          <w:rFonts w:hint="default" w:ascii="Times New Roman" w:hAnsi="Times New Roman" w:eastAsia="仿宋_GB2312" w:cs="Times New Roman"/>
          <w:color w:val="auto"/>
          <w:kern w:val="2"/>
          <w:sz w:val="32"/>
          <w:szCs w:val="32"/>
          <w:highlight w:val="none"/>
          <w:lang w:val="zh-CN" w:eastAsia="zh-CN" w:bidi="ar-SA"/>
        </w:rPr>
        <w:t>万元，决算数为</w:t>
      </w:r>
      <w:r>
        <w:rPr>
          <w:rFonts w:hint="default" w:ascii="Times New Roman" w:hAnsi="Times New Roman" w:eastAsia="仿宋_GB2312" w:cs="Times New Roman"/>
          <w:color w:val="auto"/>
          <w:kern w:val="2"/>
          <w:sz w:val="32"/>
          <w:szCs w:val="32"/>
          <w:highlight w:val="none"/>
          <w:lang w:val="en-US" w:eastAsia="zh-CN" w:bidi="ar-SA"/>
        </w:rPr>
        <w:t>1144.18</w:t>
      </w:r>
      <w:r>
        <w:rPr>
          <w:rFonts w:hint="default" w:ascii="Times New Roman" w:hAnsi="Times New Roman" w:eastAsia="仿宋_GB2312" w:cs="Times New Roman"/>
          <w:color w:val="auto"/>
          <w:kern w:val="2"/>
          <w:sz w:val="32"/>
          <w:szCs w:val="32"/>
          <w:highlight w:val="none"/>
          <w:lang w:val="zh-CN" w:eastAsia="zh-CN" w:bidi="ar-SA"/>
        </w:rPr>
        <w:t>万元；公用经费年初预算数为</w:t>
      </w:r>
      <w:r>
        <w:rPr>
          <w:rFonts w:hint="default" w:ascii="Times New Roman" w:hAnsi="Times New Roman" w:eastAsia="仿宋_GB2312" w:cs="Times New Roman"/>
          <w:color w:val="auto"/>
          <w:kern w:val="2"/>
          <w:sz w:val="32"/>
          <w:szCs w:val="32"/>
          <w:highlight w:val="none"/>
          <w:lang w:val="en-US" w:eastAsia="zh-CN" w:bidi="ar-SA"/>
        </w:rPr>
        <w:t>85.44</w:t>
      </w:r>
      <w:r>
        <w:rPr>
          <w:rFonts w:hint="default" w:ascii="Times New Roman" w:hAnsi="Times New Roman" w:eastAsia="仿宋_GB2312" w:cs="Times New Roman"/>
          <w:color w:val="auto"/>
          <w:kern w:val="2"/>
          <w:sz w:val="32"/>
          <w:szCs w:val="32"/>
          <w:highlight w:val="none"/>
          <w:lang w:val="zh-CN" w:eastAsia="zh-CN" w:bidi="ar-SA"/>
        </w:rPr>
        <w:t>万元,决算数为</w:t>
      </w:r>
      <w:r>
        <w:rPr>
          <w:rFonts w:hint="default" w:ascii="Times New Roman" w:hAnsi="Times New Roman" w:eastAsia="仿宋_GB2312" w:cs="Times New Roman"/>
          <w:color w:val="auto"/>
          <w:kern w:val="2"/>
          <w:sz w:val="32"/>
          <w:szCs w:val="32"/>
          <w:highlight w:val="none"/>
          <w:lang w:val="en-US" w:eastAsia="zh-CN" w:bidi="ar-SA"/>
        </w:rPr>
        <w:t>237.47</w:t>
      </w:r>
      <w:r>
        <w:rPr>
          <w:rFonts w:hint="default" w:ascii="Times New Roman" w:hAnsi="Times New Roman" w:eastAsia="仿宋_GB2312" w:cs="Times New Roman"/>
          <w:color w:val="auto"/>
          <w:kern w:val="2"/>
          <w:sz w:val="32"/>
          <w:szCs w:val="32"/>
          <w:highlight w:val="none"/>
          <w:lang w:val="zh-CN" w:eastAsia="zh-CN" w:bidi="ar-SA"/>
        </w:rPr>
        <w:t>万元；项目经费年初预算数为</w:t>
      </w:r>
      <w:r>
        <w:rPr>
          <w:rFonts w:hint="default" w:ascii="Times New Roman" w:hAnsi="Times New Roman" w:eastAsia="仿宋_GB2312" w:cs="Times New Roman"/>
          <w:color w:val="auto"/>
          <w:kern w:val="2"/>
          <w:sz w:val="32"/>
          <w:szCs w:val="32"/>
          <w:highlight w:val="none"/>
          <w:lang w:val="en-US" w:eastAsia="zh-CN" w:bidi="ar-SA"/>
        </w:rPr>
        <w:t>273.4</w:t>
      </w:r>
      <w:r>
        <w:rPr>
          <w:rFonts w:hint="default" w:ascii="Times New Roman" w:hAnsi="Times New Roman" w:eastAsia="仿宋_GB2312" w:cs="Times New Roman"/>
          <w:color w:val="auto"/>
          <w:kern w:val="2"/>
          <w:sz w:val="32"/>
          <w:szCs w:val="32"/>
          <w:highlight w:val="none"/>
          <w:lang w:val="zh-CN" w:eastAsia="zh-CN" w:bidi="ar-SA"/>
        </w:rPr>
        <w:t>万元，决算数为</w:t>
      </w:r>
      <w:r>
        <w:rPr>
          <w:rFonts w:hint="default" w:ascii="Times New Roman" w:hAnsi="Times New Roman" w:eastAsia="仿宋_GB2312" w:cs="Times New Roman"/>
          <w:color w:val="auto"/>
          <w:kern w:val="2"/>
          <w:sz w:val="32"/>
          <w:szCs w:val="32"/>
          <w:highlight w:val="none"/>
          <w:lang w:val="en-US" w:eastAsia="zh-CN" w:bidi="ar-SA"/>
        </w:rPr>
        <w:t>2318.12</w:t>
      </w:r>
      <w:r>
        <w:rPr>
          <w:rFonts w:hint="default" w:ascii="Times New Roman" w:hAnsi="Times New Roman" w:eastAsia="仿宋_GB2312" w:cs="Times New Roman"/>
          <w:color w:val="auto"/>
          <w:kern w:val="2"/>
          <w:sz w:val="32"/>
          <w:szCs w:val="32"/>
          <w:highlight w:val="none"/>
          <w:lang w:val="zh-CN" w:eastAsia="zh-CN" w:bidi="ar-SA"/>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3" w:firstLineChars="200"/>
        <w:contextualSpacing/>
        <w:jc w:val="left"/>
        <w:textAlignment w:val="auto"/>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auto"/>
          <w:kern w:val="2"/>
          <w:sz w:val="32"/>
          <w:szCs w:val="32"/>
          <w:highlight w:val="none"/>
          <w:lang w:val="zh-CN" w:eastAsia="zh-CN" w:bidi="ar-SA"/>
        </w:rPr>
        <w:t>区人力资源社会保障局</w:t>
      </w:r>
      <w:r>
        <w:rPr>
          <w:rFonts w:hint="default" w:ascii="Times New Roman" w:hAnsi="Times New Roman" w:eastAsia="仿宋_GB2312" w:cs="Times New Roman"/>
          <w:color w:val="auto"/>
          <w:kern w:val="2"/>
          <w:sz w:val="32"/>
          <w:szCs w:val="32"/>
          <w:highlight w:val="none"/>
          <w:lang w:val="en-US" w:eastAsia="zh-CN" w:bidi="ar-SA"/>
        </w:rPr>
        <w:t>2024年决算报表无结转结余。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r>
        <w:rPr>
          <w:rFonts w:hint="default" w:ascii="Times New Roman" w:hAnsi="Times New Roman" w:eastAsia="仿宋_GB2312" w:cs="Times New Roman"/>
          <w:color w:val="auto"/>
          <w:kern w:val="2"/>
          <w:sz w:val="32"/>
          <w:szCs w:val="32"/>
          <w:highlight w:val="none"/>
          <w:lang w:val="zh-CN" w:eastAsia="zh-CN" w:bidi="ar-SA"/>
        </w:rPr>
        <w:t>根据部门预算绩效评价指标体系“总体绩效”涉及二、三级指标进行逐项绩效分析并评分，依次包括履职效能、预算管理、财务管理、资产管理、采购管理等情况。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履职效能。</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2024年，区人力资源社会保障局分类施策，夯实“消底、提低、扩中”基础，助力共同富裕。统筹推进就业创业、社会保障、人才人事、构建和谐劳动关系等各项社会保障事业，完成就业政策落地见效、社会保险扩面增效、人事人才引育并重、劳动关系固本增基等重点任务。全年城镇新增就业2 932人，失业人员再就业2 158人，就业困难人员再就业718人，西区城镇居民人均可支配收入完成46 850元，增速4.8%，增速排位全市第2位。2024年，区人力资源社会保障局获全市共同富裕试验区建设改革创新工作表现突出集体、社会保险工作表现突出集体、人才人事工作表现突出集体、“人社系统业务技能练兵比武”全市团体二等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预算管理。</w:t>
      </w:r>
      <w:r>
        <w:rPr>
          <w:rFonts w:hint="default" w:ascii="Times New Roman" w:hAnsi="Times New Roman" w:eastAsia="仿宋_GB2312" w:cs="Times New Roman"/>
          <w:sz w:val="32"/>
          <w:szCs w:val="32"/>
          <w:lang w:val="en-US" w:eastAsia="zh-CN"/>
        </w:rPr>
        <w:t>2024年我单位</w:t>
      </w:r>
      <w:r>
        <w:rPr>
          <w:rFonts w:hint="default" w:ascii="Times New Roman" w:hAnsi="Times New Roman" w:eastAsia="仿宋_GB2312" w:cs="Times New Roman"/>
          <w:b w:val="0"/>
          <w:bCs w:val="0"/>
          <w:color w:val="auto"/>
          <w:spacing w:val="0"/>
          <w:sz w:val="32"/>
          <w:szCs w:val="32"/>
          <w:u w:val="none"/>
          <w:lang w:val="en-US" w:eastAsia="zh-CN"/>
        </w:rPr>
        <w:t>全力</w:t>
      </w:r>
      <w:r>
        <w:rPr>
          <w:rFonts w:hint="default" w:ascii="Times New Roman" w:hAnsi="Times New Roman" w:eastAsia="仿宋_GB2312" w:cs="Times New Roman"/>
          <w:sz w:val="32"/>
          <w:szCs w:val="32"/>
        </w:rPr>
        <w:t>筹推进人力资源和社会保障事业发展</w:t>
      </w:r>
      <w:r>
        <w:rPr>
          <w:rFonts w:hint="default" w:ascii="Times New Roman" w:hAnsi="Times New Roman" w:eastAsia="仿宋_GB2312" w:cs="Times New Roman"/>
          <w:b w:val="0"/>
          <w:bCs w:val="0"/>
          <w:color w:val="auto"/>
          <w:spacing w:val="0"/>
          <w:sz w:val="32"/>
          <w:szCs w:val="32"/>
          <w:u w:val="none"/>
          <w:lang w:val="en-US" w:eastAsia="zh-CN"/>
        </w:rPr>
        <w:t>出发，</w:t>
      </w:r>
      <w:r>
        <w:rPr>
          <w:rFonts w:hint="default" w:ascii="Times New Roman" w:hAnsi="Times New Roman" w:eastAsia="仿宋_GB2312" w:cs="Times New Roman"/>
          <w:kern w:val="0"/>
          <w:sz w:val="32"/>
          <w:szCs w:val="32"/>
        </w:rPr>
        <w:t>根据《中华人民共和国预算法》《中华人民共和国预算法实施条例》《完善市级财政预算管理的实施方案》《市本级基本支出预算管理办法》</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《市本级项目支出预算管理办法》等预算编制的法律法规和有关制度，</w:t>
      </w:r>
      <w:r>
        <w:rPr>
          <w:rFonts w:hint="default" w:ascii="Times New Roman" w:hAnsi="Times New Roman" w:eastAsia="仿宋_GB2312" w:cs="Times New Roman"/>
          <w:kern w:val="0"/>
          <w:sz w:val="32"/>
          <w:szCs w:val="32"/>
          <w:lang w:eastAsia="zh-CN"/>
        </w:rPr>
        <w:t>完善单位基础信息，规范使用项目支出分类，建立项目库，</w:t>
      </w:r>
      <w:r>
        <w:rPr>
          <w:rFonts w:hint="default" w:ascii="Times New Roman" w:hAnsi="Times New Roman" w:eastAsia="仿宋_GB2312" w:cs="Times New Roman"/>
          <w:kern w:val="0"/>
          <w:sz w:val="32"/>
          <w:szCs w:val="32"/>
        </w:rPr>
        <w:t>科学编制</w:t>
      </w:r>
      <w:r>
        <w:rPr>
          <w:rFonts w:hint="default" w:ascii="Times New Roman" w:hAnsi="Times New Roman" w:eastAsia="仿宋_GB2312" w:cs="Times New Roman"/>
          <w:kern w:val="0"/>
          <w:sz w:val="32"/>
          <w:szCs w:val="32"/>
          <w:lang w:eastAsia="zh-CN"/>
        </w:rPr>
        <w:t>部门</w:t>
      </w:r>
      <w:r>
        <w:rPr>
          <w:rFonts w:hint="default" w:ascii="Times New Roman" w:hAnsi="Times New Roman" w:eastAsia="仿宋_GB2312" w:cs="Times New Roman"/>
          <w:kern w:val="0"/>
          <w:sz w:val="32"/>
          <w:szCs w:val="32"/>
        </w:rPr>
        <w:t>预算</w:t>
      </w:r>
      <w:r>
        <w:rPr>
          <w:rFonts w:hint="default" w:ascii="Times New Roman" w:hAnsi="Times New Roman" w:eastAsia="仿宋_GB2312" w:cs="Times New Roman"/>
          <w:kern w:val="0"/>
          <w:sz w:val="32"/>
          <w:szCs w:val="32"/>
          <w:lang w:eastAsia="zh-CN"/>
        </w:rPr>
        <w:t>。年中根据财政批复的部门预算合理安排支出，做到量入而出，各项业务活动与预算支出执行进度基本同步，</w:t>
      </w:r>
      <w:r>
        <w:rPr>
          <w:rFonts w:hint="default" w:ascii="Times New Roman" w:hAnsi="Times New Roman" w:eastAsia="仿宋_GB2312" w:cs="Times New Roman"/>
          <w:sz w:val="32"/>
          <w:szCs w:val="32"/>
          <w:lang w:val="zh-CN" w:eastAsia="zh-CN"/>
        </w:rPr>
        <w:t>严控一般性支出和“三公”经费支出。</w:t>
      </w:r>
    </w:p>
    <w:p>
      <w:pPr>
        <w:pStyle w:val="6"/>
        <w:pageBreakBefore w:val="0"/>
        <w:kinsoku/>
        <w:wordWrap/>
        <w:overflowPunct/>
        <w:topLinePunct w:val="0"/>
        <w:bidi w:val="0"/>
        <w:spacing w:beforeLines="0"/>
        <w:ind w:firstLine="64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财务管理。</w:t>
      </w:r>
      <w:r>
        <w:rPr>
          <w:rFonts w:hint="default" w:ascii="Times New Roman" w:hAnsi="Times New Roman" w:eastAsia="仿宋_GB2312" w:cs="Times New Roman"/>
          <w:color w:val="auto"/>
          <w:kern w:val="2"/>
          <w:sz w:val="32"/>
          <w:szCs w:val="32"/>
          <w:lang w:val="en-US" w:eastAsia="zh-CN" w:bidi="ar-SA"/>
        </w:rPr>
        <w:t>在部门预算执行中，严格遵守各项财经纪律，严格执行</w:t>
      </w:r>
      <w:r>
        <w:rPr>
          <w:rFonts w:hint="default" w:ascii="Times New Roman" w:hAnsi="Times New Roman" w:eastAsia="仿宋_GB2312" w:cs="Times New Roman"/>
          <w:sz w:val="32"/>
          <w:szCs w:val="32"/>
          <w:lang w:val="zh-CN" w:eastAsia="zh-CN"/>
        </w:rPr>
        <w:t>财务管理制度，</w:t>
      </w:r>
      <w:r>
        <w:rPr>
          <w:rFonts w:hint="default" w:ascii="Times New Roman" w:hAnsi="Times New Roman" w:eastAsia="仿宋_GB2312" w:cs="Times New Roman"/>
          <w:color w:val="auto"/>
          <w:kern w:val="2"/>
          <w:sz w:val="32"/>
          <w:szCs w:val="32"/>
          <w:lang w:val="en-US" w:eastAsia="zh-CN" w:bidi="ar-SA"/>
        </w:rPr>
        <w:t>严格执行财务岗位不相容原则，</w:t>
      </w:r>
      <w:r>
        <w:rPr>
          <w:rFonts w:hint="default" w:ascii="Times New Roman" w:hAnsi="Times New Roman" w:eastAsia="仿宋_GB2312" w:cs="Times New Roman"/>
          <w:sz w:val="32"/>
          <w:szCs w:val="32"/>
          <w:lang w:val="zh-CN" w:eastAsia="zh-CN"/>
        </w:rPr>
        <w:t>资金使用规范。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CN" w:eastAsia="zh-CN" w:bidi="ar-SA"/>
        </w:rPr>
        <w:t>资产管理。我单位严格落实资产生命周期管理要求，定期核查，资产登记、入库、领用流程规范。</w:t>
      </w:r>
    </w:p>
    <w:p>
      <w:pPr>
        <w:spacing w:line="600" w:lineRule="exact"/>
        <w:ind w:firstLine="640"/>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CN" w:eastAsia="zh-CN" w:bidi="ar-SA"/>
        </w:rPr>
        <w:t>采购管理。</w:t>
      </w: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攀枝花市西区人力资源和社会保障局</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0.84</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0.84</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default" w:ascii="Times New Roman" w:hAnsi="Times New Roman" w:eastAsia="仿宋_GB2312" w:cs="Times New Roman"/>
          <w:color w:val="auto"/>
          <w:sz w:val="32"/>
          <w:szCs w:val="32"/>
          <w:lang w:val="en-US" w:eastAsia="zh-CN"/>
        </w:rPr>
        <w:t>购买办公设备</w:t>
      </w:r>
      <w:r>
        <w:rPr>
          <w:rFonts w:hint="default" w:ascii="Times New Roman" w:hAnsi="Times New Roman" w:eastAsia="仿宋_GB2312" w:cs="Times New Roman"/>
          <w:color w:val="auto"/>
          <w:kern w:val="2"/>
          <w:sz w:val="32"/>
          <w:szCs w:val="32"/>
          <w:highlight w:val="none"/>
          <w:lang w:val="en-US" w:eastAsia="zh-CN" w:bidi="ar-SA"/>
        </w:rPr>
        <w:t>。授予中小企业合同金额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常年项目绩效分析。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default" w:ascii="Times New Roman" w:hAnsi="Times New Roman" w:eastAsia="仿宋_GB2312" w:cs="Times New Roman"/>
          <w:color w:val="auto"/>
          <w:kern w:val="2"/>
          <w:sz w:val="32"/>
          <w:szCs w:val="32"/>
          <w:highlight w:val="none"/>
          <w:lang w:val="en-US" w:eastAsia="zh-CN" w:bidi="ar-SA"/>
        </w:rPr>
        <w:t>11</w:t>
      </w:r>
      <w:r>
        <w:rPr>
          <w:rFonts w:hint="default" w:ascii="Times New Roman" w:hAnsi="Times New Roman" w:eastAsia="仿宋_GB2312" w:cs="Times New Roman"/>
          <w:color w:val="auto"/>
          <w:kern w:val="2"/>
          <w:sz w:val="32"/>
          <w:szCs w:val="32"/>
          <w:highlight w:val="none"/>
          <w:lang w:val="zh-CN" w:eastAsia="zh-CN" w:bidi="ar-SA"/>
        </w:rPr>
        <w:t>个，涉及预算总金额</w:t>
      </w:r>
      <w:r>
        <w:rPr>
          <w:rFonts w:hint="default" w:ascii="Times New Roman" w:hAnsi="Times New Roman" w:eastAsia="仿宋_GB2312" w:cs="Times New Roman"/>
          <w:color w:val="auto"/>
          <w:kern w:val="2"/>
          <w:sz w:val="32"/>
          <w:szCs w:val="32"/>
          <w:highlight w:val="none"/>
          <w:lang w:val="en-US" w:eastAsia="zh-CN" w:bidi="ar-SA"/>
        </w:rPr>
        <w:t>1467.15</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default"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default"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zh-CN"/>
        </w:rPr>
        <w:t>促居民增收工作经费</w:t>
      </w:r>
      <w:r>
        <w:rPr>
          <w:rFonts w:hint="default" w:ascii="Times New Roman" w:hAnsi="Times New Roman" w:eastAsia="仿宋_GB2312" w:cs="Times New Roman"/>
          <w:color w:val="auto"/>
          <w:sz w:val="32"/>
          <w:szCs w:val="32"/>
        </w:rPr>
        <w:t>1万元。主要</w:t>
      </w:r>
      <w:r>
        <w:rPr>
          <w:rFonts w:hint="default" w:ascii="Times New Roman" w:hAnsi="Times New Roman" w:eastAsia="仿宋_GB2312" w:cs="Times New Roman"/>
          <w:color w:val="auto"/>
          <w:sz w:val="32"/>
          <w:szCs w:val="32"/>
          <w:lang w:eastAsia="zh-CN"/>
        </w:rPr>
        <w:t>用于保障</w:t>
      </w:r>
      <w:r>
        <w:rPr>
          <w:rFonts w:hint="default" w:ascii="Times New Roman" w:hAnsi="Times New Roman" w:eastAsia="仿宋_GB2312" w:cs="Times New Roman"/>
          <w:color w:val="auto"/>
          <w:sz w:val="32"/>
          <w:szCs w:val="32"/>
          <w:lang w:val="zh-CN"/>
        </w:rPr>
        <w:t>该项工作的开展，推进该项</w:t>
      </w:r>
      <w:r>
        <w:rPr>
          <w:rFonts w:hint="default" w:ascii="Times New Roman" w:hAnsi="Times New Roman" w:eastAsia="仿宋_GB2312" w:cs="Times New Roman"/>
          <w:color w:val="auto"/>
          <w:sz w:val="32"/>
          <w:szCs w:val="32"/>
          <w:lang w:val="en-US" w:eastAsia="zh-CN"/>
        </w:rPr>
        <w:t xml:space="preserve"> 5</w:t>
      </w:r>
      <w:r>
        <w:rPr>
          <w:rFonts w:hint="default" w:ascii="Times New Roman" w:hAnsi="Times New Roman" w:eastAsia="仿宋_GB2312" w:cs="Times New Roman"/>
          <w:color w:val="auto"/>
          <w:sz w:val="32"/>
          <w:szCs w:val="32"/>
          <w:lang w:val="zh-CN"/>
        </w:rPr>
        <w:t>指标任务的圆满完成。</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zh-CN"/>
        </w:rPr>
        <w:t>根治欠薪、农民工服务保障工作经费</w:t>
      </w:r>
      <w:r>
        <w:rPr>
          <w:rFonts w:hint="default" w:ascii="Times New Roman" w:hAnsi="Times New Roman" w:eastAsia="仿宋_GB2312" w:cs="Times New Roman"/>
          <w:color w:val="auto"/>
          <w:sz w:val="32"/>
          <w:szCs w:val="32"/>
        </w:rPr>
        <w:t>1万元。</w:t>
      </w:r>
      <w:r>
        <w:rPr>
          <w:rFonts w:hint="default" w:ascii="Times New Roman" w:hAnsi="Times New Roman" w:eastAsia="仿宋_GB2312" w:cs="Times New Roman"/>
          <w:color w:val="auto"/>
          <w:sz w:val="32"/>
          <w:szCs w:val="32"/>
          <w:lang w:val="zh-CN"/>
        </w:rPr>
        <w:t>主要用于</w:t>
      </w:r>
      <w:r>
        <w:rPr>
          <w:rFonts w:hint="default" w:ascii="Times New Roman" w:hAnsi="Times New Roman" w:eastAsia="仿宋_GB2312" w:cs="Times New Roman"/>
          <w:color w:val="auto"/>
          <w:sz w:val="32"/>
          <w:szCs w:val="32"/>
        </w:rPr>
        <w:t>对用人单位劳务派遣经营许可证审核、发放和劳动保障年度执法审验用人单位工作、劳动保障监察投诉案件办理工作；开展根治欠薪专项行动、清理整顿人力资源市场秩序专项行动、用人单位书面审查及企业诚信评价专项工作、“双随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一公开”工作</w:t>
      </w:r>
      <w:r>
        <w:rPr>
          <w:rFonts w:hint="default" w:ascii="Times New Roman" w:hAnsi="Times New Roman" w:eastAsia="仿宋_GB2312" w:cs="Times New Roman"/>
          <w:color w:val="auto"/>
          <w:sz w:val="32"/>
          <w:szCs w:val="32"/>
          <w:lang w:eastAsia="zh-CN"/>
        </w:rPr>
        <w:t>。</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3.金保网网络经费</w:t>
      </w:r>
      <w:r>
        <w:rPr>
          <w:rFonts w:hint="default"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rPr>
        <w:t>万元。主要用于保障辖区内30个金保网网点正常使用，保障全区各基层劳动保障服务站所、政务服务中心、局机关网点正常运行。</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4.劳动和谐关系协调工作经费2万元。主要用于公正及时解决劳动争议，保护当事人合法权益，构建和谐劳动关系。</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5.人才引进（含考试服务费）</w:t>
      </w:r>
      <w:r>
        <w:rPr>
          <w:rFonts w:hint="default" w:ascii="Times New Roman" w:hAnsi="Times New Roman" w:eastAsia="仿宋_GB2312" w:cs="Times New Roman"/>
          <w:color w:val="auto"/>
          <w:sz w:val="32"/>
          <w:szCs w:val="32"/>
          <w:highlight w:val="none"/>
          <w:lang w:val="en-US" w:eastAsia="zh-CN"/>
        </w:rPr>
        <w:t>12.11</w:t>
      </w:r>
      <w:r>
        <w:rPr>
          <w:rFonts w:hint="default" w:ascii="Times New Roman" w:hAnsi="Times New Roman" w:eastAsia="仿宋_GB2312" w:cs="Times New Roman"/>
          <w:color w:val="auto"/>
          <w:sz w:val="32"/>
          <w:szCs w:val="32"/>
        </w:rPr>
        <w:t>万元。主要用于组织事业单位公开考试招聘工作、赴外引才工作，招聘符合西区发展及工作需要的高素质人才。</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6.2024年城乡居民养老保险区级财政补助资金76.57万元，主要用于辖区内居民参加城乡居民养老保险按政策由区级财政承担的补助资金划拨。</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7.2024年困难群众城乡居民养老保险市级代缴补助资金7.01万元，主要用于辖区内困难群众参加城乡居民养老保。</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cs="Times New Roman"/>
          <w:color w:val="auto"/>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高校毕业生创业工作经费全年执行数为</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万元，完成全年预算的</w:t>
      </w:r>
      <w:r>
        <w:rPr>
          <w:rFonts w:hint="default" w:ascii="Times New Roman" w:hAnsi="Times New Roman"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lang w:val="en-US" w:eastAsia="zh-CN" w:bidi="ar-SA"/>
        </w:rPr>
        <w:t>用于保障西区就业创业促进中心为完成特定的行政工作任务或事业发展目标的经费专项支出。</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上级就业创业补助资金</w:t>
      </w:r>
      <w:r>
        <w:rPr>
          <w:rFonts w:hint="default" w:ascii="Times New Roman" w:hAnsi="Times New Roman" w:eastAsia="仿宋_GB2312" w:cs="Times New Roman"/>
          <w:color w:val="auto"/>
          <w:sz w:val="32"/>
          <w:szCs w:val="32"/>
        </w:rPr>
        <w:t>项目全年执行数为</w:t>
      </w:r>
      <w:r>
        <w:rPr>
          <w:rFonts w:hint="default" w:ascii="Times New Roman" w:hAnsi="Times New Roman" w:eastAsia="仿宋_GB2312" w:cs="Times New Roman"/>
          <w:color w:val="auto"/>
          <w:sz w:val="32"/>
          <w:szCs w:val="32"/>
          <w:lang w:val="en-US" w:eastAsia="zh-CN"/>
        </w:rPr>
        <w:t>1201.41</w:t>
      </w:r>
      <w:r>
        <w:rPr>
          <w:rFonts w:hint="default" w:ascii="Times New Roman" w:hAnsi="Times New Roman" w:eastAsia="仿宋_GB2312" w:cs="Times New Roman"/>
          <w:color w:val="auto"/>
          <w:sz w:val="32"/>
          <w:szCs w:val="32"/>
        </w:rPr>
        <w:t>万元，通过项目实施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深入贯彻落实攀枝花市高质量发展建设共同富裕试验区精神，聚焦“高校毕业生”“农民工”“就业困难人员”等重点群体，强化就业优先政策，扎实做好稳就业各项工作，确保全区就业形势总体稳定 ，扎实推进共同富裕。</w:t>
      </w:r>
    </w:p>
    <w:p>
      <w:pPr>
        <w:adjustRightInd w:val="0"/>
        <w:snapToGrid w:val="0"/>
        <w:spacing w:line="560" w:lineRule="exact"/>
        <w:ind w:firstLine="720"/>
        <w:rPr>
          <w:rFonts w:hint="default" w:ascii="Times New Roman" w:hAnsi="Times New Roman" w:cs="Times New Roman"/>
          <w:color w:val="auto"/>
          <w:lang w:val="zh-CN"/>
        </w:rPr>
      </w:pPr>
      <w:r>
        <w:rPr>
          <w:rFonts w:hint="default" w:ascii="Times New Roman" w:hAnsi="Times New Roman" w:eastAsia="仿宋_GB2312" w:cs="Times New Roman"/>
          <w:color w:val="auto"/>
          <w:sz w:val="32"/>
          <w:szCs w:val="32"/>
          <w:lang w:val="en-US" w:eastAsia="zh-CN"/>
        </w:rPr>
        <w:t>10.三支一扶补助资金（含结转2021年高校毕业生“三支一扶”计划中央补助资金）。</w:t>
      </w:r>
      <w:r>
        <w:rPr>
          <w:rFonts w:hint="default" w:ascii="Times New Roman" w:hAnsi="Times New Roman" w:eastAsia="仿宋_GB2312" w:cs="Times New Roman"/>
          <w:color w:val="auto"/>
          <w:kern w:val="2"/>
          <w:sz w:val="32"/>
          <w:szCs w:val="32"/>
          <w:lang w:val="en-US" w:eastAsia="zh-CN" w:bidi="ar-SA"/>
        </w:rPr>
        <w:t>2024年三支一扶补助资金全年执行数104.45万元。</w:t>
      </w:r>
      <w:r>
        <w:rPr>
          <w:rFonts w:hint="default" w:ascii="Times New Roman" w:hAnsi="Times New Roman" w:eastAsia="仿宋_GB2312" w:cs="Times New Roman"/>
          <w:color w:val="auto"/>
          <w:kern w:val="2"/>
          <w:sz w:val="32"/>
          <w:szCs w:val="32"/>
          <w:lang w:val="zh-CN" w:eastAsia="zh-CN" w:bidi="ar-SA"/>
        </w:rPr>
        <w:t>该资金用于对西区“三支一扶”工作人员发放“三支一扶”工作人员</w:t>
      </w:r>
      <w:r>
        <w:rPr>
          <w:rFonts w:hint="default" w:ascii="Times New Roman" w:hAnsi="Times New Roman" w:eastAsia="仿宋_GB2312" w:cs="Times New Roman"/>
          <w:color w:val="auto"/>
          <w:kern w:val="2"/>
          <w:sz w:val="32"/>
          <w:szCs w:val="32"/>
          <w:lang w:val="en-US" w:eastAsia="zh-CN" w:bidi="ar-SA"/>
        </w:rPr>
        <w:t>工作生活补贴和参加社会保险等费用，以及一次性安家费</w:t>
      </w:r>
      <w:r>
        <w:rPr>
          <w:rFonts w:hint="default" w:ascii="Times New Roman" w:hAnsi="Times New Roman" w:eastAsia="仿宋_GB2312" w:cs="Times New Roman"/>
          <w:color w:val="auto"/>
          <w:kern w:val="2"/>
          <w:sz w:val="32"/>
          <w:szCs w:val="32"/>
          <w:lang w:val="zh-CN" w:eastAsia="zh-CN" w:bidi="ar-SA"/>
        </w:rPr>
        <w:t>。资金开支范围、标准、依据合规合法，资金支付与预算相符。</w:t>
      </w:r>
    </w:p>
    <w:p>
      <w:pPr>
        <w:adjustRightInd w:val="0"/>
        <w:snapToGrid w:val="0"/>
        <w:spacing w:line="560" w:lineRule="exact"/>
        <w:ind w:firstLine="72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zh-CN" w:eastAsia="zh-CN"/>
        </w:rPr>
        <w:t>职业年金投资运营前（2014年至2018年）实账贴息专项预算项目全年执行数为</w:t>
      </w:r>
      <w:r>
        <w:rPr>
          <w:rFonts w:hint="default" w:ascii="Times New Roman" w:hAnsi="Times New Roman" w:eastAsia="仿宋_GB2312" w:cs="Times New Roman"/>
          <w:color w:val="auto"/>
          <w:sz w:val="32"/>
          <w:szCs w:val="32"/>
          <w:lang w:val="en-US" w:eastAsia="zh-CN"/>
        </w:rPr>
        <w:t>55万元，该资金用于</w:t>
      </w:r>
      <w:r>
        <w:rPr>
          <w:rFonts w:hint="default" w:ascii="Times New Roman" w:hAnsi="Times New Roman" w:eastAsia="仿宋_GB2312" w:cs="Times New Roman"/>
          <w:color w:val="auto"/>
          <w:sz w:val="32"/>
          <w:szCs w:val="32"/>
        </w:rPr>
        <w:t>足额保障机关事业人员职业年金投资运营前（2014年10月至2018年12月）实账贴息</w:t>
      </w:r>
      <w:r>
        <w:rPr>
          <w:rFonts w:hint="default" w:ascii="Times New Roman" w:hAnsi="Times New Roman" w:cs="Times New Roman"/>
          <w:color w:val="auto"/>
          <w:lang w:val="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cs="Times New Roman"/>
          <w:color w:val="auto"/>
          <w:kern w:val="0"/>
          <w:szCs w:val="32"/>
          <w:shd w:val="clear" w:color="auto" w:fill="FFFFFF"/>
          <w:lang w:val="zh-CN"/>
        </w:rPr>
      </w:pPr>
      <w:r>
        <w:rPr>
          <w:rFonts w:hint="default" w:ascii="Times New Roman" w:hAnsi="Times New Roman" w:eastAsia="仿宋_GB2312" w:cs="Times New Roman"/>
          <w:color w:val="auto"/>
          <w:sz w:val="32"/>
          <w:szCs w:val="32"/>
          <w:lang w:val="en-US" w:eastAsia="zh-CN"/>
        </w:rPr>
        <w:t>本单位阶段（含一次性）项目</w:t>
      </w:r>
      <w:r>
        <w:rPr>
          <w:rFonts w:hint="default" w:ascii="Times New Roman" w:hAnsi="Times New Roman" w:eastAsia="仿宋_GB2312" w:cs="Times New Roman"/>
          <w:color w:val="auto"/>
          <w:sz w:val="32"/>
          <w:szCs w:val="32"/>
          <w:lang w:val="zh-CN" w:eastAsia="zh-CN"/>
        </w:rPr>
        <w:t>总数</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zh-CN" w:eastAsia="zh-CN"/>
        </w:rPr>
        <w:t>个，涉及预算总金额</w:t>
      </w:r>
      <w:r>
        <w:rPr>
          <w:rFonts w:hint="default" w:ascii="Times New Roman" w:hAnsi="Times New Roman" w:eastAsia="仿宋_GB2312" w:cs="Times New Roman"/>
          <w:color w:val="auto"/>
          <w:sz w:val="32"/>
          <w:szCs w:val="32"/>
          <w:lang w:val="en-US" w:eastAsia="zh-CN"/>
        </w:rPr>
        <w:t>1011.53</w:t>
      </w:r>
      <w:r>
        <w:rPr>
          <w:rFonts w:hint="default" w:ascii="Times New Roman" w:hAnsi="Times New Roman" w:eastAsia="仿宋_GB2312" w:cs="Times New Roman"/>
          <w:color w:val="auto"/>
          <w:sz w:val="32"/>
          <w:szCs w:val="32"/>
          <w:lang w:val="zh-CN" w:eastAsia="zh-CN"/>
        </w:rPr>
        <w:t>万元，1—1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月预算执行总体进度为</w:t>
      </w:r>
      <w:r>
        <w:rPr>
          <w:rFonts w:hint="default" w:ascii="Times New Roman" w:hAnsi="Times New Roman" w:eastAsia="仿宋_GB2312" w:cs="Times New Roman"/>
          <w:color w:val="auto"/>
          <w:sz w:val="32"/>
          <w:szCs w:val="32"/>
          <w:lang w:val="en-US" w:eastAsia="zh-CN"/>
        </w:rPr>
        <w:t>65.83</w:t>
      </w:r>
      <w:r>
        <w:rPr>
          <w:rFonts w:hint="default" w:ascii="Times New Roman" w:hAnsi="Times New Roman" w:eastAsia="仿宋_GB2312" w:cs="Times New Roman"/>
          <w:color w:val="auto"/>
          <w:sz w:val="32"/>
          <w:szCs w:val="32"/>
          <w:lang w:val="zh-CN" w:eastAsia="zh-CN"/>
        </w:rPr>
        <w:t>%，其中：预算结余率大于</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zh-CN" w:eastAsia="zh-CN"/>
        </w:rPr>
        <w:t>的项目共计</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eastAsia="zh-CN"/>
        </w:rPr>
        <w:t>个。具体为：</w:t>
      </w:r>
      <w:r>
        <w:rPr>
          <w:rFonts w:hint="default" w:ascii="Times New Roman" w:hAnsi="Times New Roman" w:eastAsia="仿宋_GB2312" w:cs="Times New Roman"/>
          <w:color w:val="auto"/>
          <w:sz w:val="32"/>
          <w:szCs w:val="32"/>
          <w:lang w:val="en-US" w:eastAsia="zh-CN"/>
        </w:rPr>
        <w:t>攀枝花市西区公共实训基地建设项目</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就业创业上级补助及低收入群体托底改革行动（区县）项目</w:t>
      </w:r>
      <w:r>
        <w:rPr>
          <w:rFonts w:hint="default" w:ascii="Times New Roman" w:hAnsi="Times New Roman" w:cs="Times New Roman"/>
          <w:color w:val="auto"/>
          <w:sz w:val="32"/>
          <w:szCs w:val="32"/>
          <w:lang w:val="en-US" w:eastAsia="zh-CN"/>
        </w:rPr>
        <w:t>。</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大中专毕业生就业补助资金</w:t>
      </w:r>
      <w:r>
        <w:rPr>
          <w:rFonts w:hint="default" w:ascii="Times New Roman" w:hAnsi="Times New Roman" w:eastAsia="仿宋_GB2312" w:cs="Times New Roman"/>
          <w:color w:val="auto"/>
          <w:sz w:val="32"/>
          <w:szCs w:val="32"/>
          <w:lang w:val="en-US" w:eastAsia="zh-CN"/>
        </w:rPr>
        <w:t>1.34万元，主要用于保障大中专生就业补助资金拨付。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2.争取资金工作经费5万元，主要用于保障单位政策办公运转。</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3.2023年省级财政社保公共服务能力建设资金年初预算下达3.01万元，实际使用1.01万元，主要用于开展保障农民工工资支付更正的设施设备购置。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4.16条政策措施补贴0.2万元，主要用于</w:t>
      </w:r>
      <w:r>
        <w:rPr>
          <w:rFonts w:hint="default" w:ascii="Times New Roman" w:hAnsi="Times New Roman" w:eastAsia="仿宋_GB2312" w:cs="Times New Roman"/>
          <w:sz w:val="32"/>
          <w:szCs w:val="32"/>
          <w:lang w:val="en-US" w:eastAsia="zh-CN"/>
        </w:rPr>
        <w:t>鼓励2家企业吸纳2人就业，增加就业机会，优化人力资源配置，推动经济的可持续发展。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5.攀枝花市西区公共实训基地建设项目预算1500万元，实际使用1000万元；项目主要用于满足企业、院校和社会培训机构对培养技能人才以及紧缺技能人才的需求</w:t>
      </w:r>
      <w:r>
        <w:rPr>
          <w:rFonts w:hint="default" w:ascii="Times New Roman" w:hAnsi="Times New Roman" w:eastAsia="方正仿宋_GBK" w:cs="Times New Roman"/>
          <w:snapToGrid w:val="0"/>
          <w:sz w:val="33"/>
          <w:szCs w:val="33"/>
          <w:lang w:val="en-US" w:eastAsia="zh-CN"/>
        </w:rPr>
        <w:t>。</w:t>
      </w:r>
      <w:r>
        <w:rPr>
          <w:rFonts w:hint="default" w:ascii="Times New Roman" w:hAnsi="Times New Roman" w:eastAsia="仿宋_GB2312" w:cs="Times New Roman"/>
          <w:sz w:val="32"/>
          <w:szCs w:val="32"/>
          <w:lang w:val="en-US" w:eastAsia="zh-CN"/>
        </w:rPr>
        <w:t>项目建设完成后能提升当地公共职业技能培训基础能力和提高培训人员就业能力和收入水平。</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6.就业创业上级补助及低收入群体托底改革行动（区县）项目资金共23万元，实际使用0万元，于2024年12月下达，该资金结转至2025年使用。</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年省级财政社保公共服务能力建设资金</w:t>
      </w:r>
      <w:r>
        <w:rPr>
          <w:rFonts w:hint="default" w:ascii="Times New Roman" w:hAnsi="Times New Roman" w:eastAsia="仿宋_GB2312" w:cs="Times New Roman"/>
          <w:sz w:val="32"/>
          <w:szCs w:val="32"/>
          <w:lang w:val="en-US" w:eastAsia="zh-CN"/>
        </w:rPr>
        <w:t>2.88</w:t>
      </w:r>
      <w:r>
        <w:rPr>
          <w:rFonts w:hint="default" w:ascii="Times New Roman" w:hAnsi="Times New Roman" w:eastAsia="仿宋_GB2312" w:cs="Times New Roman"/>
          <w:sz w:val="32"/>
          <w:szCs w:val="32"/>
        </w:rPr>
        <w:t>万元，主要用于提高社保公共服务能力而采购的</w:t>
      </w:r>
      <w:r>
        <w:rPr>
          <w:rFonts w:hint="default" w:ascii="Times New Roman" w:hAnsi="Times New Roman" w:eastAsia="仿宋_GB2312" w:cs="Times New Roman"/>
          <w:sz w:val="32"/>
          <w:szCs w:val="32"/>
          <w:lang w:eastAsia="zh-CN"/>
        </w:rPr>
        <w:t>办公设备</w:t>
      </w:r>
      <w:r>
        <w:rPr>
          <w:rFonts w:hint="default" w:ascii="Times New Roman" w:hAnsi="Times New Roman" w:eastAsia="仿宋_GB2312" w:cs="Times New Roman"/>
          <w:sz w:val="32"/>
          <w:szCs w:val="32"/>
        </w:rPr>
        <w:t>支出。</w:t>
      </w:r>
    </w:p>
    <w:p>
      <w:pPr>
        <w:pStyle w:val="10"/>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8.区级就业相关补助118.2万元为就业创业上级补助资金预估项目，就业创业上级补助资金下达后，此项目调整后预算数为0万元，此项目未使用。</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年省级财政社保公共服务能力建设资金</w:t>
      </w:r>
      <w:r>
        <w:rPr>
          <w:rFonts w:hint="default" w:ascii="Times New Roman" w:hAnsi="Times New Roman" w:eastAsia="仿宋_GB2312" w:cs="Times New Roman"/>
          <w:sz w:val="32"/>
          <w:szCs w:val="32"/>
          <w:lang w:val="en-US" w:eastAsia="zh-CN"/>
        </w:rPr>
        <w:t>3.01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2024年实际支出1.1万元，用于购置2台彩色激光打印机档案柜，制作指引牌等。其中劳动人事争议调解仲裁智能化建设资金2万元被市里收回。</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sz w:val="32"/>
          <w:szCs w:val="32"/>
        </w:rPr>
        <w:t>我</w:t>
      </w:r>
      <w:r>
        <w:rPr>
          <w:rFonts w:hint="default" w:ascii="Times New Roman" w:hAnsi="Times New Roman" w:cs="Times New Roman"/>
          <w:sz w:val="32"/>
          <w:szCs w:val="32"/>
          <w:lang w:eastAsia="zh-CN"/>
        </w:rPr>
        <w:t>局</w:t>
      </w:r>
      <w:r>
        <w:rPr>
          <w:rFonts w:hint="default" w:ascii="Times New Roman" w:hAnsi="Times New Roman" w:eastAsia="仿宋_GB2312" w:cs="Times New Roman"/>
          <w:sz w:val="32"/>
          <w:szCs w:val="32"/>
        </w:rPr>
        <w:t>坚持专款专用的原则，严格财务管理，确保专项资金及时、高效、合理、有计划的支出，确保了项目资金能达到预期效果。在使用过程中，严格审批流程，使每一笔资金支付公开透明，充分接受监督。</w:t>
      </w:r>
    </w:p>
    <w:p>
      <w:pPr>
        <w:keepNext w:val="0"/>
        <w:keepLines w:val="0"/>
        <w:pageBreakBefore w:val="0"/>
        <w:kinsoku/>
        <w:wordWrap/>
        <w:overflowPunct/>
        <w:topLinePunct w:val="0"/>
        <w:autoSpaceDE/>
        <w:autoSpaceDN/>
        <w:bidi w:val="0"/>
        <w:snapToGrid w:val="0"/>
        <w:spacing w:line="58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default" w:ascii="Times New Roman" w:hAnsi="Times New Roman" w:eastAsia="仿宋_GB2312" w:cs="Times New Roman"/>
          <w:sz w:val="32"/>
          <w:szCs w:val="32"/>
          <w:u w:val="none"/>
          <w:lang w:val="en-US" w:eastAsia="zh-CN" w:bidi="ar"/>
        </w:rPr>
        <w:t>严格按照信息公开的管理规定，对预算信息及时公开，接受领导和群众的监督。预算的绩效自评工作贯穿整个预算执行过程中，对评价结果认真分析，及时调整执行过程中的偏差，最终让绩效评价发挥最好的作用</w:t>
      </w:r>
      <w:r>
        <w:rPr>
          <w:rFonts w:hint="default" w:ascii="Times New Roman" w:hAnsi="Times New Roman" w:cs="Times New Roman"/>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kinsoku/>
        <w:wordWrap/>
        <w:overflowPunct/>
        <w:topLinePunct w:val="0"/>
        <w:autoSpaceDE/>
        <w:autoSpaceDN/>
        <w:bidi w:val="0"/>
        <w:snapToGrid w:val="0"/>
        <w:spacing w:line="580" w:lineRule="exact"/>
        <w:ind w:firstLine="643" w:firstLineChars="200"/>
        <w:textAlignment w:val="auto"/>
        <w:rPr>
          <w:rFonts w:hint="default" w:ascii="Times New Roman" w:hAnsi="Times New Roman" w:eastAsia="仿宋_GB2312" w:cs="Times New Roman"/>
          <w:sz w:val="32"/>
          <w:szCs w:val="32"/>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sz w:val="32"/>
          <w:szCs w:val="32"/>
          <w:u w:val="none"/>
          <w:lang w:val="zh-CN" w:eastAsia="zh-CN" w:bidi="ar"/>
        </w:rPr>
        <w:t>区人力资源社会保障局</w:t>
      </w:r>
      <w:r>
        <w:rPr>
          <w:rFonts w:hint="default" w:ascii="Times New Roman" w:hAnsi="Times New Roman" w:eastAsia="仿宋_GB2312" w:cs="Times New Roman"/>
          <w:sz w:val="32"/>
          <w:szCs w:val="32"/>
          <w:u w:val="none"/>
          <w:lang w:val="en-US" w:eastAsia="zh-CN" w:bidi="ar"/>
        </w:rPr>
        <w:t>2024年部门预算整体绩效目标完成情况较好，各项目标基本达到预期，财政收支预算执行得到了良好的制度保障和实施效果，自评得分94.1分。</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3"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_GB2312" w:cs="Times New Roman"/>
          <w:sz w:val="32"/>
          <w:szCs w:val="32"/>
          <w:u w:val="none"/>
          <w:lang w:val="zh-CN" w:eastAsia="zh-CN" w:bidi="ar"/>
        </w:rPr>
        <w:t>预算绩效观念不够深入，在日常财务工作中存在着一定程度的“重分配、轻管理、重支出、轻绩效”的情况，造成该问题的主要原因是绩效理念较薄弱，单位绩效目标编制仍有缺失。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5" w:name="_Hlk110546638"/>
      <w:r>
        <w:rPr>
          <w:rFonts w:hint="default" w:ascii="Times New Roman" w:hAnsi="Times New Roman" w:eastAsia="仿宋_GB2312" w:cs="Times New Roman"/>
          <w:sz w:val="32"/>
          <w:szCs w:val="32"/>
          <w:u w:val="none"/>
          <w:lang w:val="zh-CN" w:eastAsia="zh-CN" w:bidi="ar"/>
        </w:rPr>
        <w:t>针对存在的问题主要有以下建议：一、加强年初预算时对全年工作的预判，提高年初预算的全面性、准确性。二、强化绩效管理考核，将绩效考核目标任务层层分解落实，对重点工作加强日常监管，充分体现财政资金使用的主体责任。</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 w:eastAsia="zh-CN" w:bidi="ar"/>
        </w:rPr>
      </w:pPr>
    </w:p>
    <w:bookmarkEnd w:id="55"/>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zh-CN" w:eastAsia="zh-CN" w:bidi="ar"/>
        </w:r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部门预算项目支出绩效自评表（2024年度）</w:t>
      </w: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pPr>
        <w:pStyle w:val="6"/>
        <w:rPr>
          <w:rFonts w:hint="default" w:ascii="Times New Roman" w:hAnsi="Times New Roman" w:cs="Times New Roman"/>
          <w:color w:val="FF0000"/>
          <w:kern w:val="0"/>
          <w:sz w:val="32"/>
          <w:szCs w:val="32"/>
          <w:highlight w:val="yellow"/>
          <w:shd w:val="clear" w:color="auto" w:fill="FFFFFF"/>
          <w:lang w:val="zh-CN"/>
        </w:rPr>
      </w:pPr>
    </w:p>
    <w:p>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pPr>
        <w:pStyle w:val="6"/>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p>
    <w:p>
      <w:pPr>
        <w:pStyle w:val="35"/>
        <w:spacing w:line="600" w:lineRule="exact"/>
        <w:jc w:val="center"/>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lang w:val="en-US" w:eastAsia="zh-CN"/>
        </w:rPr>
        <w:t>攀枝花市西区公共实训基地建设项目</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概况。攀枝花市西区公共实训基地建设项目位于攀枝花市西区大水井片区，建设用地面积约3719平方米，拟新建标准化综合实训楼、标准化实训场地、实训点及信息化设施、基本设施和辅助设施等，总建筑面积约5360平方米。该项目总投资2500万元，其中上级资金2000万元，地方政府配套资金500万元，2024年7月进场施工，建设周期为24个月，预计2026年7月竣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cs="Times New Roman"/>
          <w:lang w:val="zh-CN"/>
        </w:rPr>
      </w:pPr>
      <w:r>
        <w:rPr>
          <w:rFonts w:hint="default" w:ascii="Times New Roman" w:hAnsi="Times New Roman" w:eastAsia="仿宋_GB2312" w:cs="Times New Roman"/>
          <w:sz w:val="32"/>
          <w:szCs w:val="32"/>
          <w:lang w:val="en-US" w:eastAsia="zh-CN"/>
        </w:rPr>
        <w:t>2.项目申报依据。</w:t>
      </w:r>
      <w:r>
        <w:rPr>
          <w:rFonts w:hint="default" w:ascii="Times New Roman" w:hAnsi="Times New Roman" w:eastAsia="仿宋_GB2312" w:cs="Times New Roman"/>
          <w:sz w:val="32"/>
          <w:szCs w:val="32"/>
          <w:highlight w:val="none"/>
          <w:lang w:val="en-US" w:eastAsia="zh-CN"/>
        </w:rPr>
        <w:t>西区，隶属于四川省攀枝花市，位于攀枝花市西部。西区因煤而立、因煤而兴，随着煤炭资源逐步枯竭，经济开始衰退，大量与煤炭经济相关企业相继关闭、停产，导致大量人员下岗，再就业问题相当突出。西区现有煤焦化煤化工、钒钛钢铁精深加工、资源循环利用等重要工业产业设置了智能焊接、智能制造、设备安装检修等工种，为西区产业逐步发展壮大，培养更多实用技能人才，以实现助推产业升级目的。建设公共实训基地有利于帮助群众提升技能培训等问题，促进产业发展带动就业增加收入。</w:t>
      </w:r>
    </w:p>
    <w:p>
      <w:pPr>
        <w:pStyle w:val="39"/>
        <w:keepNext w:val="0"/>
        <w:keepLines w:val="0"/>
        <w:pageBreakBefore w:val="0"/>
        <w:widowControl w:val="0"/>
        <w:kinsoku/>
        <w:wordWrap/>
        <w:overflowPunct/>
        <w:topLinePunct w:val="0"/>
        <w:autoSpaceDE/>
        <w:autoSpaceDN/>
        <w:bidi w:val="0"/>
        <w:adjustRightInd/>
        <w:snapToGrid/>
        <w:spacing w:line="353" w:lineRule="auto"/>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pPr>
        <w:pStyle w:val="39"/>
        <w:keepNext w:val="0"/>
        <w:keepLines w:val="0"/>
        <w:pageBreakBefore w:val="0"/>
        <w:widowControl w:val="0"/>
        <w:kinsoku/>
        <w:wordWrap/>
        <w:overflowPunct/>
        <w:topLinePunct w:val="0"/>
        <w:autoSpaceDE/>
        <w:autoSpaceDN/>
        <w:bidi w:val="0"/>
        <w:adjustRightInd/>
        <w:snapToGrid/>
        <w:spacing w:line="353" w:lineRule="auto"/>
        <w:ind w:left="0" w:leftChars="0" w:firstLine="640" w:firstLineChars="200"/>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kern w:val="2"/>
          <w:sz w:val="32"/>
          <w:szCs w:val="32"/>
          <w:lang w:val="en-US" w:eastAsia="zh-CN" w:bidi="ar-SA"/>
        </w:rPr>
        <w:t>项目制定了专门的资金办法，明确项目应付款金额不超过50000元的，在取得付款凭据（发票、拨付单、收据等）后，经经办人员、项目工作人员、单位分管领导、分管财务领导签字同意后予以支付。应付款金额超过50000元的，在取得付款凭据（发票、拨付单、收据等）后，由经办人员、项目工作人员、分管领导、分管财务领导、主要领导签字后予以支付。确保项目资金支付安全。</w:t>
      </w:r>
    </w:p>
    <w:p>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pPr>
        <w:adjustRightInd w:val="0"/>
        <w:snapToGrid w:val="0"/>
        <w:spacing w:line="600" w:lineRule="exact"/>
        <w:ind w:firstLine="72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项目由区发展改革局和区人力资源社会保障局于2023年上国家发改委申报获批，项目立项资金为2500万元，上级资金2000万元，其中中央资金1500万元，省级资金500万元，区级配套资金500万元。</w:t>
      </w:r>
    </w:p>
    <w:p>
      <w:pPr>
        <w:pStyle w:val="28"/>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项目绩效目标设置。</w:t>
      </w:r>
    </w:p>
    <w:p>
      <w:pPr>
        <w:pStyle w:val="2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val="0"/>
          <w:bCs/>
          <w:color w:val="auto"/>
          <w:sz w:val="32"/>
          <w:szCs w:val="32"/>
          <w:highlight w:val="none"/>
          <w:u w:val="none"/>
          <w:lang w:val="zh-CN"/>
        </w:rPr>
        <w:t>总体目标</w:t>
      </w:r>
      <w:r>
        <w:rPr>
          <w:rFonts w:hint="default" w:ascii="Times New Roman" w:hAnsi="Times New Roman" w:eastAsia="楷体_GB2312" w:cs="Times New Roman"/>
          <w:b w:val="0"/>
          <w:bCs/>
          <w:color w:val="auto"/>
          <w:sz w:val="32"/>
          <w:szCs w:val="32"/>
          <w:highlight w:val="none"/>
          <w:u w:val="none"/>
          <w:lang w:val="zh-CN" w:eastAsia="zh-CN"/>
        </w:rPr>
        <w:t>：</w:t>
      </w:r>
      <w:r>
        <w:rPr>
          <w:rFonts w:hint="default" w:ascii="Times New Roman" w:hAnsi="Times New Roman" w:eastAsia="仿宋_GB2312" w:cs="Times New Roman"/>
          <w:color w:val="auto"/>
          <w:sz w:val="32"/>
          <w:szCs w:val="32"/>
          <w:lang w:val="en-US" w:eastAsia="zh-CN" w:bidi="ar-SA"/>
        </w:rPr>
        <w:t>2024年度绩效目标完成情况，产出指标：安排区级项目1个，完成率100%。计划管理指标：市发展改革委根据《四川省发展和改革委员会关于转下达教育强国推进工程</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公共实训基地建设向</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2024年第一批中央预算内投资计划的通知》</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川发改投资〔2024〕186号</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文件精神，于2024年5月13日将投资计划转发至西区发展改革局，西区发展改革局于2024年5月14日将投资计划转发至西区财政局和西区人力资源社会保障局，转发用时≤10个工作日，完成率100%。“两个责任”按项目落实到位，完成率100%；资金管理指标：2024年完成总投资60%，完成率≥40%，完成率100%。中央预算内投资支付率66.67%，支付率≥60%，完成率100%。</w:t>
      </w:r>
      <w:r>
        <w:rPr>
          <w:rFonts w:hint="default" w:ascii="Times New Roman" w:hAnsi="Times New Roman" w:eastAsia="仿宋_GB2312" w:cs="Times New Roman"/>
          <w:color w:val="000000"/>
          <w:sz w:val="32"/>
          <w:szCs w:val="32"/>
          <w:lang w:val="en-US" w:eastAsia="zh-CN" w:bidi="ar-SA"/>
        </w:rPr>
        <w:t>项目管理</w:t>
      </w:r>
      <w:r>
        <w:rPr>
          <w:rFonts w:hint="default" w:ascii="Times New Roman" w:hAnsi="Times New Roman" w:eastAsia="仿宋_GB2312" w:cs="Times New Roman"/>
          <w:color w:val="auto"/>
          <w:sz w:val="32"/>
          <w:szCs w:val="32"/>
          <w:lang w:val="en-US" w:eastAsia="zh-CN" w:bidi="ar-SA"/>
        </w:rPr>
        <w:t>指标：2024年7月开工建设，开工率100%，完成率100%。监督检查指标：</w:t>
      </w:r>
      <w:bookmarkStart w:id="56" w:name="OLE_LINK1"/>
      <w:r>
        <w:rPr>
          <w:rFonts w:hint="default" w:ascii="Times New Roman" w:hAnsi="Times New Roman" w:eastAsia="仿宋_GB2312" w:cs="Times New Roman"/>
          <w:color w:val="auto"/>
          <w:sz w:val="32"/>
          <w:szCs w:val="32"/>
          <w:lang w:val="en-US" w:eastAsia="zh-CN" w:bidi="ar-SA"/>
        </w:rPr>
        <w:t>审计、督查、巡视等指出问题</w:t>
      </w:r>
      <w:bookmarkEnd w:id="56"/>
      <w:r>
        <w:rPr>
          <w:rFonts w:hint="default" w:ascii="Times New Roman" w:hAnsi="Times New Roman" w:eastAsia="仿宋_GB2312" w:cs="Times New Roman"/>
          <w:color w:val="auto"/>
          <w:sz w:val="32"/>
          <w:szCs w:val="32"/>
          <w:lang w:val="en-US" w:eastAsia="zh-CN" w:bidi="ar-SA"/>
        </w:rPr>
        <w:t>项目比例为0，完成率100%</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通过项目绩效自评掌握项目的实施情况及目标任务的完成情况。</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按照绩效评价指标体系，对资金支出使用全过程及其实施效果进行综合评价和判断。</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评价选点。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项目绩效自评所抽样点位为攀枝花市人力资源和社会保障局。</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评价方法。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eastAsia="zh-CN"/>
        </w:rPr>
        <w:t>采用</w:t>
      </w:r>
      <w:r>
        <w:rPr>
          <w:rFonts w:hint="default" w:ascii="Times New Roman" w:hAnsi="Times New Roman" w:eastAsia="仿宋_GB2312" w:cs="Times New Roman"/>
          <w:sz w:val="32"/>
          <w:szCs w:val="32"/>
          <w:lang w:val="zh-CN"/>
        </w:rPr>
        <w:t>单位自评法、实地勘察法、问卷调查法、座谈调研法等多种方法。</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评价组织。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outlineLvl w:val="9"/>
        <w:rPr>
          <w:rFonts w:hint="default" w:ascii="Times New Roman" w:hAnsi="Times New Roman" w:eastAsia="仿宋_GB2312" w:cs="Times New Roman"/>
          <w:bCs/>
          <w:lang w:eastAsia="zh-CN"/>
        </w:rPr>
      </w:pPr>
      <w:r>
        <w:rPr>
          <w:rFonts w:hint="default" w:ascii="Times New Roman" w:hAnsi="Times New Roman" w:eastAsia="仿宋_GB2312" w:cs="Times New Roman"/>
          <w:b w:val="0"/>
          <w:bCs w:val="0"/>
          <w:kern w:val="0"/>
          <w:position w:val="0"/>
          <w:sz w:val="32"/>
          <w:szCs w:val="32"/>
          <w:highlight w:val="none"/>
          <w:lang w:val="zh-CN" w:eastAsia="zh-CN" w:bidi="ar-SA"/>
        </w:rPr>
        <w:t>本项目采用单位自评法进行评价。</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pPr>
        <w:pStyle w:val="2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color w:val="auto"/>
          <w:sz w:val="32"/>
          <w:szCs w:val="32"/>
          <w:lang w:val="en-US" w:eastAsia="zh-CN" w:bidi="ar-SA"/>
        </w:rPr>
        <w:t>两个责任”按项目落实到位，完成率100%；资金管理指标：2024年完成总投资60%，完成率≥40%，完成率100%。中央预算内投资支付率66.67%，支付率≥60%，完成率100%。</w:t>
      </w:r>
      <w:r>
        <w:rPr>
          <w:rFonts w:hint="default" w:ascii="Times New Roman" w:hAnsi="Times New Roman" w:eastAsia="仿宋_GB2312" w:cs="Times New Roman"/>
          <w:color w:val="000000"/>
          <w:sz w:val="32"/>
          <w:szCs w:val="32"/>
          <w:lang w:val="en-US" w:eastAsia="zh-CN" w:bidi="ar-SA"/>
        </w:rPr>
        <w:t>项目管理</w:t>
      </w:r>
      <w:r>
        <w:rPr>
          <w:rFonts w:hint="default" w:ascii="Times New Roman" w:hAnsi="Times New Roman" w:eastAsia="仿宋_GB2312" w:cs="Times New Roman"/>
          <w:color w:val="auto"/>
          <w:sz w:val="32"/>
          <w:szCs w:val="32"/>
          <w:lang w:val="en-US" w:eastAsia="zh-CN" w:bidi="ar-SA"/>
        </w:rPr>
        <w:t>指标：2024年7月开工建设，开工率100%，完成率100%。监督检查指标：审计、督查、巡视等指出问题项目比例为0，完成率100%</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1.</w:t>
      </w:r>
      <w:r>
        <w:rPr>
          <w:rFonts w:hint="default" w:ascii="Times New Roman" w:hAnsi="Times New Roman" w:eastAsia="楷体_GB2312" w:cs="Times New Roman"/>
          <w:sz w:val="32"/>
          <w:szCs w:val="32"/>
          <w:lang w:val="zh-CN"/>
        </w:rPr>
        <w:t>项目决策。</w:t>
      </w:r>
      <w:r>
        <w:rPr>
          <w:rFonts w:hint="default" w:ascii="Times New Roman" w:hAnsi="Times New Roman" w:eastAsia="仿宋_GB2312" w:cs="Times New Roman"/>
          <w:color w:val="auto"/>
          <w:kern w:val="2"/>
          <w:sz w:val="32"/>
          <w:szCs w:val="32"/>
          <w:lang w:val="en-US" w:eastAsia="zh-CN" w:bidi="ar-SA"/>
        </w:rPr>
        <w:t>该项目与单位职责相符，经过事前评估论证，设立符合基本规范和程序要求，依据充分、可行。</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53" w:lineRule="auto"/>
        <w:ind w:firstLine="640" w:firstLineChars="200"/>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2.</w:t>
      </w:r>
      <w:r>
        <w:rPr>
          <w:rFonts w:hint="default" w:ascii="Times New Roman" w:hAnsi="Times New Roman" w:eastAsia="楷体_GB2312" w:cs="Times New Roman"/>
          <w:sz w:val="32"/>
          <w:szCs w:val="32"/>
          <w:lang w:val="zh-CN"/>
        </w:rPr>
        <w:t>项目管理。</w:t>
      </w:r>
      <w:r>
        <w:rPr>
          <w:rFonts w:hint="default" w:ascii="Times New Roman" w:hAnsi="Times New Roman" w:eastAsia="仿宋_GB2312" w:cs="Times New Roman"/>
          <w:color w:val="auto"/>
          <w:kern w:val="2"/>
          <w:sz w:val="32"/>
          <w:szCs w:val="32"/>
          <w:lang w:val="en-US" w:eastAsia="zh-CN" w:bidi="ar-SA"/>
        </w:rPr>
        <w:t>该项目制度明确、各级财政分摊比例确定，绩效指标明确。项目资金严格按照国家财经法规和财务管理制度及有关专项资金管理办法规定，专款专用，资金拨付有完整的审批程序和手续。</w:t>
      </w:r>
    </w:p>
    <w:p>
      <w:pPr>
        <w:pStyle w:val="2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3.</w:t>
      </w:r>
      <w:r>
        <w:rPr>
          <w:rFonts w:hint="default" w:ascii="Times New Roman" w:hAnsi="Times New Roman" w:eastAsia="楷体_GB2312" w:cs="Times New Roman"/>
          <w:sz w:val="32"/>
          <w:szCs w:val="32"/>
          <w:lang w:val="zh-CN"/>
        </w:rPr>
        <w:t>项目实施。</w:t>
      </w:r>
      <w:r>
        <w:rPr>
          <w:rFonts w:hint="default" w:ascii="Times New Roman" w:hAnsi="Times New Roman" w:eastAsia="仿宋_GB2312" w:cs="Times New Roman"/>
          <w:kern w:val="2"/>
          <w:sz w:val="32"/>
          <w:szCs w:val="32"/>
          <w:lang w:val="en-US" w:eastAsia="zh-CN" w:bidi="ar-SA"/>
        </w:rPr>
        <w:t>根据项目施工计划安排，项目已于2024年7月进场施工，截至2025年5月中旬项目施工已完成围挡、冲洗设施、临时水电搭建、验桩、排洪沟钢筋制作、塔吊安装、西南方向排洪沟钢筋及模板安装、西南侧排洪沟混凝土浇筑、抗滑桩实训楼桩基础工程及检测、实训大楼主体地下室底板外防水保护层施工、实训大楼桩基础验收、地下室施工、主体一、二层施工等工作，目前正在进行主体三层施工等工作。</w:t>
      </w:r>
    </w:p>
    <w:p>
      <w:pPr>
        <w:adjustRightInd w:val="0"/>
        <w:snapToGrid w:val="0"/>
        <w:spacing w:line="600" w:lineRule="exact"/>
        <w:ind w:firstLine="720"/>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4.项目结果。项目于2024年7月入场施工，预计2026年7月完成建设，项目建设完成后一方面能为辖区居民提供职业技能培训，有效提高辖区居民技能水平和就业竞争力，扩展就业机会，另一方面能为辖区企业培育优质技能型人才，优化辖区产业结构，满足辖区企业对技能人才的需求，促进企业发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1.产业发展。</w:t>
      </w:r>
      <w:r>
        <w:rPr>
          <w:rFonts w:hint="default" w:ascii="Times New Roman" w:hAnsi="Times New Roman" w:eastAsia="仿宋_GB2312" w:cs="Times New Roman"/>
          <w:kern w:val="2"/>
          <w:sz w:val="32"/>
          <w:szCs w:val="32"/>
          <w:lang w:val="en-US" w:eastAsia="zh-CN" w:bidi="ar-SA"/>
        </w:rPr>
        <w:t>自项目立项以来，我单位严格按照国家项目规章制度办理项目开工前期准备工作，通过采取公开招标、项目比选等方式确定第三方公司，截至目前项目已完成立项批复、勘查设计招标、地勘、初设、确定代建单位、初设评审、施工图设计、概算评审、财评、施工招标、监理招标等开工前期准备工作。</w:t>
      </w:r>
    </w:p>
    <w:p>
      <w:pPr>
        <w:spacing w:line="353" w:lineRule="auto"/>
        <w:ind w:firstLine="652" w:firstLineChars="204"/>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position w:val="0"/>
          <w:sz w:val="32"/>
          <w:szCs w:val="32"/>
          <w:highlight w:val="none"/>
          <w:lang w:val="en-US" w:eastAsia="zh-CN" w:bidi="ar-SA"/>
        </w:rPr>
        <w:t>2.</w:t>
      </w:r>
      <w:r>
        <w:rPr>
          <w:rFonts w:hint="default" w:ascii="Times New Roman" w:hAnsi="Times New Roman" w:eastAsia="仿宋_GB2312" w:cs="Times New Roman"/>
          <w:b w:val="0"/>
          <w:bCs w:val="0"/>
          <w:kern w:val="0"/>
          <w:position w:val="0"/>
          <w:sz w:val="32"/>
          <w:szCs w:val="32"/>
          <w:highlight w:val="none"/>
          <w:lang w:val="zh-CN" w:eastAsia="zh-CN" w:bidi="ar-SA"/>
        </w:rPr>
        <w:t>民生保障。</w:t>
      </w:r>
      <w:r>
        <w:rPr>
          <w:rFonts w:hint="default" w:ascii="Times New Roman" w:hAnsi="Times New Roman" w:eastAsia="仿宋_GB2312" w:cs="Times New Roman"/>
          <w:sz w:val="32"/>
          <w:szCs w:val="32"/>
          <w:lang w:val="en-US" w:eastAsia="zh-CN"/>
        </w:rPr>
        <w:t>西区</w:t>
      </w:r>
      <w:r>
        <w:rPr>
          <w:rFonts w:hint="default" w:ascii="Times New Roman" w:hAnsi="Times New Roman" w:eastAsia="仿宋_GB2312" w:cs="Times New Roman"/>
          <w:sz w:val="32"/>
          <w:szCs w:val="32"/>
        </w:rPr>
        <w:t>公共实训基地要实现培训资源共建共享,承担公共培训任务。加强初级、中级技能人才培训，全面提升劳动力技能水平;大力培训乡土人才，为乡村振兴发展服务;</w:t>
      </w:r>
      <w:r>
        <w:rPr>
          <w:rFonts w:hint="default" w:ascii="Times New Roman" w:hAnsi="Times New Roman" w:eastAsia="仿宋_GB2312" w:cs="Times New Roman"/>
          <w:sz w:val="32"/>
          <w:szCs w:val="32"/>
          <w:lang w:val="en-US" w:eastAsia="zh-CN"/>
        </w:rPr>
        <w:t>按照社会、企业需求，</w:t>
      </w:r>
      <w:r>
        <w:rPr>
          <w:rFonts w:hint="default" w:ascii="Times New Roman" w:hAnsi="Times New Roman" w:eastAsia="仿宋_GB2312" w:cs="Times New Roman"/>
          <w:sz w:val="32"/>
          <w:szCs w:val="32"/>
        </w:rPr>
        <w:t>点对点为</w:t>
      </w:r>
      <w:r>
        <w:rPr>
          <w:rFonts w:hint="default" w:ascii="Times New Roman" w:hAnsi="Times New Roman" w:eastAsia="仿宋_GB2312" w:cs="Times New Roman"/>
          <w:sz w:val="32"/>
          <w:szCs w:val="32"/>
          <w:lang w:val="en-US" w:eastAsia="zh-CN"/>
        </w:rPr>
        <w:t>社会、</w:t>
      </w:r>
      <w:r>
        <w:rPr>
          <w:rFonts w:hint="default" w:ascii="Times New Roman" w:hAnsi="Times New Roman" w:eastAsia="仿宋_GB2312" w:cs="Times New Roman"/>
          <w:sz w:val="32"/>
          <w:szCs w:val="32"/>
        </w:rPr>
        <w:t>企业培训紧缺人才。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3.基础设施。</w:t>
      </w:r>
      <w:r>
        <w:rPr>
          <w:rFonts w:hint="default" w:ascii="Times New Roman" w:hAnsi="Times New Roman" w:eastAsia="仿宋_GB2312" w:cs="Times New Roman"/>
          <w:sz w:val="32"/>
          <w:szCs w:val="32"/>
          <w:lang w:val="en-US" w:eastAsia="zh-CN"/>
        </w:rPr>
        <w:t>攀枝花市西区公共实训基地建设项目位于攀枝花市西区大水井片区，建设用地面积约3719平方米，拟新建标准化综合实训楼、标准化实训场地、实训点及信息化设施、基本设施和辅助设施等，总建筑面积约5360平方米。该项目总投资2500万元，其中上级资金2000万元，地方政府配套资金500万元，2024年7月进场施工，建设周期为24个月，预计2026年7月竣工。</w:t>
      </w:r>
    </w:p>
    <w:p>
      <w:pPr>
        <w:spacing w:line="353" w:lineRule="auto"/>
        <w:ind w:firstLine="652" w:firstLineChars="204"/>
        <w:rPr>
          <w:rFonts w:hint="default" w:ascii="Times New Roman" w:hAnsi="Times New Roman" w:eastAsia="仿宋_GB2312" w:cs="Times New Roman"/>
          <w:b w:val="0"/>
          <w:bCs w:val="0"/>
          <w:kern w:val="0"/>
          <w:position w:val="0"/>
          <w:sz w:val="32"/>
          <w:szCs w:val="32"/>
          <w:highlight w:val="none"/>
          <w:lang w:val="en-US" w:eastAsia="zh-CN" w:bidi="ar-SA"/>
        </w:rPr>
      </w:pPr>
    </w:p>
    <w:p>
      <w:pPr>
        <w:pStyle w:val="39"/>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default" w:ascii="Times New Roman" w:hAnsi="Times New Roman" w:eastAsia="仿宋_GB2312" w:cs="Times New Roman"/>
          <w:b w:val="0"/>
          <w:bCs w:val="0"/>
          <w:kern w:val="0"/>
          <w:position w:val="0"/>
          <w:sz w:val="32"/>
          <w:szCs w:val="32"/>
          <w:highlight w:val="none"/>
          <w:lang w:val="zh-CN" w:eastAsia="zh-CN" w:bidi="ar-SA"/>
        </w:rPr>
        <w:t>行政运转。</w:t>
      </w:r>
      <w:r>
        <w:rPr>
          <w:rFonts w:hint="default" w:ascii="Times New Roman" w:hAnsi="Times New Roman" w:eastAsia="仿宋_GB2312" w:cs="Times New Roman"/>
          <w:kern w:val="2"/>
          <w:sz w:val="32"/>
          <w:szCs w:val="32"/>
          <w:lang w:val="en-US" w:eastAsia="zh-CN" w:bidi="ar"/>
        </w:rPr>
        <w:t>基地面向高等院校、职业学校、技工学校、社会力量培训机构、企业等单位开放，不以营利为目的，仅收取一定的原材料、水电、师资成本费用以维持正常运营，吸引上述单位成规模组织学员来基地实训。</w:t>
      </w:r>
    </w:p>
    <w:p>
      <w:pPr>
        <w:adjustRightInd w:val="0"/>
        <w:snapToGrid w:val="0"/>
        <w:spacing w:line="600" w:lineRule="exact"/>
        <w:ind w:firstLine="720"/>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kern w:val="0"/>
          <w:position w:val="0"/>
          <w:sz w:val="32"/>
          <w:szCs w:val="32"/>
          <w:highlight w:val="none"/>
          <w:lang w:val="en-US" w:eastAsia="zh-CN" w:bidi="ar-SA"/>
        </w:rPr>
        <w:t>项目自成功申报以来，我单位严格按照国家规章制度推进项目进展，通过公开招标、比选、竞争性磋商等方式确定项目勘察设计、监理、施工等单位，同时通过公开招标网站技术公布中标结果，接受社会监督。</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项目自向上申报获批以来，我单位严格按照国家法律法规推进项目建设，截止目前项目按时间节点圆满向前推进，资金使用高效安全，未发生项目安全隐患，也未被审计、督查、巡视等指出问题。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zh-CN" w:eastAsia="zh-CN" w:bidi="ar-SA"/>
        </w:rPr>
      </w:pPr>
      <w:r>
        <w:rPr>
          <w:rFonts w:hint="default" w:ascii="Times New Roman" w:hAnsi="Times New Roman" w:eastAsia="黑体" w:cs="Times New Roman"/>
          <w:b w:val="0"/>
          <w:bCs w:val="0"/>
          <w:kern w:val="0"/>
          <w:position w:val="0"/>
          <w:sz w:val="32"/>
          <w:szCs w:val="32"/>
          <w:highlight w:val="none"/>
          <w:lang w:val="zh-CN" w:eastAsia="zh-CN" w:bidi="ar-SA"/>
        </w:rPr>
        <w:t>六、改进建议</w:t>
      </w:r>
    </w:p>
    <w:p>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无。</w:t>
      </w:r>
    </w:p>
    <w:p>
      <w:pPr>
        <w:rPr>
          <w:rFonts w:hint="default" w:ascii="Times New Roman" w:hAnsi="Times New Roman" w:cs="Times New Roman"/>
          <w:lang w:val="en-US" w:eastAsia="zh-CN"/>
        </w:rPr>
      </w:pPr>
    </w:p>
    <w:p>
      <w:pPr>
        <w:pStyle w:val="6"/>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6"/>
        <w:rPr>
          <w:rFonts w:hint="default" w:ascii="Times New Roman" w:hAnsi="Times New Roman" w:cs="Times New Roman"/>
          <w:lang w:val="en-US" w:eastAsia="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大标宋简体" w:cs="Times New Roman"/>
          <w:sz w:val="44"/>
          <w:szCs w:val="44"/>
          <w:lang w:val="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zh-CN" w:eastAsia="zh-CN"/>
        </w:rPr>
      </w:pPr>
      <w:r>
        <w:rPr>
          <w:rFonts w:hint="default" w:ascii="Times New Roman" w:hAnsi="Times New Roman" w:eastAsia="方正小标宋简体" w:cs="Times New Roman"/>
          <w:color w:val="auto"/>
          <w:kern w:val="2"/>
          <w:sz w:val="44"/>
          <w:szCs w:val="44"/>
          <w:highlight w:val="none"/>
          <w:lang w:val="zh-CN" w:eastAsia="zh-CN"/>
        </w:rPr>
        <w:t>职业年金投资运营前（2014年至2018年）</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zh-CN" w:eastAsia="zh-CN"/>
        </w:rPr>
        <w:t>实</w:t>
      </w:r>
      <w:r>
        <w:rPr>
          <w:rFonts w:hint="default" w:ascii="Times New Roman" w:hAnsi="Times New Roman" w:eastAsia="方正大标宋简体" w:cs="Times New Roman"/>
          <w:sz w:val="44"/>
          <w:szCs w:val="44"/>
          <w:lang w:val="zh-CN"/>
        </w:rPr>
        <w:t>账贴息</w:t>
      </w: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pPr>
        <w:adjustRightInd w:val="0"/>
        <w:snapToGrid w:val="0"/>
        <w:spacing w:line="560" w:lineRule="exact"/>
        <w:ind w:firstLine="720"/>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4"/>
          <w:sz w:val="32"/>
          <w:szCs w:val="32"/>
        </w:rPr>
        <w:t>《国务院办公厅关于印发机关事业单位职业年金办法的通知》（国办发〔2015〕18号）规定：职业年金，是指机关事业单位及其工作人员在参加机关事业单位基本养老保险的基础上，建立的补充养老保险制度。职业年金所需费用由单位和工作人员个人共同承担。单位缴纳职业年金费用的比例为本单位工资总额的8%，个人缴费比例为本人缴费工资的4%，由单位代扣。职业年金基金采用个人账户方式管理。个人缴费实行实账积累。实账积累形成的职业年金基金，实行市场化投资运营，按实际收益计息。四川省职业年金于2019年1月1日起启动投资运营，</w:t>
      </w:r>
      <w:r>
        <w:rPr>
          <w:rFonts w:hint="default" w:ascii="Times New Roman" w:hAnsi="Times New Roman" w:eastAsia="仿宋_GB2312" w:cs="Times New Roman"/>
          <w:color w:val="000000"/>
          <w:spacing w:val="-4"/>
          <w:sz w:val="32"/>
          <w:szCs w:val="32"/>
        </w:rPr>
        <w:t>根据</w:t>
      </w:r>
      <w:r>
        <w:rPr>
          <w:rFonts w:hint="default" w:ascii="Times New Roman" w:hAnsi="Times New Roman" w:eastAsia="仿宋_GB2312" w:cs="Times New Roman"/>
          <w:kern w:val="0"/>
          <w:sz w:val="32"/>
          <w:szCs w:val="32"/>
        </w:rPr>
        <w:t xml:space="preserve">《人力资源社会保障部办公厅财政部办公厅关于职业年金启动投资运营前个人账户记账利率和投资收益率有关事项的通知》（人社厅发〔2019〕3号）文件规定：“2014年10月1日至2018年12月31日，机关事业单位参保人员职业年金个人账户利息由同级财政给予保障” </w:t>
      </w:r>
    </w:p>
    <w:p>
      <w:pPr>
        <w:pStyle w:val="39"/>
        <w:keepNext w:val="0"/>
        <w:keepLines w:val="0"/>
        <w:pageBreakBefore w:val="0"/>
        <w:widowControl w:val="0"/>
        <w:numPr>
          <w:ilvl w:val="0"/>
          <w:numId w:val="4"/>
        </w:numPr>
        <w:kinsoku/>
        <w:wordWrap/>
        <w:overflowPunct/>
        <w:topLinePunct w:val="0"/>
        <w:autoSpaceDE/>
        <w:autoSpaceDN/>
        <w:bidi w:val="0"/>
        <w:adjustRightInd/>
        <w:snapToGrid/>
        <w:spacing w:line="353" w:lineRule="auto"/>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en-US" w:eastAsia="zh-CN"/>
        </w:rPr>
        <w:t>实施目的及支持方向。</w:t>
      </w:r>
    </w:p>
    <w:p>
      <w:pPr>
        <w:pStyle w:val="39"/>
        <w:keepNext w:val="0"/>
        <w:keepLines w:val="0"/>
        <w:pageBreakBefore w:val="0"/>
        <w:widowControl w:val="0"/>
        <w:kinsoku/>
        <w:wordWrap/>
        <w:overflowPunct/>
        <w:topLinePunct w:val="0"/>
        <w:autoSpaceDE/>
        <w:autoSpaceDN/>
        <w:bidi w:val="0"/>
        <w:adjustRightInd/>
        <w:snapToGrid/>
        <w:spacing w:line="353" w:lineRule="auto"/>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该项资金于202</w:t>
      </w: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zh-CN" w:eastAsia="zh-CN" w:bidi="ar-SA"/>
        </w:rPr>
        <w:t>年</w:t>
      </w:r>
      <w:r>
        <w:rPr>
          <w:rFonts w:hint="default"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zh-CN" w:eastAsia="zh-CN" w:bidi="ar-SA"/>
        </w:rPr>
        <w:t>月全部归集至四川省职业年金专户，用于对西区机关事业单位退休及转移人员进行职业年金实账贴息。</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en-US" w:eastAsia="zh-CN" w:bidi="ar-SA"/>
        </w:rPr>
        <w:t>（三）预算安排及分配管理</w:t>
      </w:r>
      <w:r>
        <w:rPr>
          <w:rFonts w:hint="default" w:ascii="Times New Roman" w:hAnsi="Times New Roman" w:eastAsia="楷体_GB2312" w:cs="Times New Roman"/>
          <w:b/>
          <w:color w:val="auto"/>
          <w:kern w:val="2"/>
          <w:sz w:val="32"/>
          <w:szCs w:val="32"/>
          <w:highlight w:val="none"/>
          <w:u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该项目为部门预算项目资金，区财政下达指标后由我单位录入支付计划，将资金按照要求全额转账至职业年金归集户，月末统一上解至省职业年金归集户。会计按照支付凭条进行账务处理。项目严格执行财务管理制度、财务处理及时、会计核算规范。决算时</w:t>
      </w:r>
      <w:r>
        <w:rPr>
          <w:rFonts w:hint="default" w:ascii="Times New Roman" w:hAnsi="Times New Roman" w:eastAsia="仿宋_GB2312" w:cs="Times New Roman"/>
          <w:color w:val="auto"/>
          <w:kern w:val="2"/>
          <w:sz w:val="32"/>
          <w:szCs w:val="32"/>
          <w:lang w:val="en-US" w:eastAsia="zh-CN" w:bidi="ar-SA"/>
        </w:rPr>
        <w:t>该项目由西区财政代列，不在本单位决算中体现。</w:t>
      </w:r>
    </w:p>
    <w:p>
      <w:pPr>
        <w:pStyle w:val="28"/>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jc w:val="both"/>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数量指标：人员保障率</w:t>
      </w:r>
      <w:r>
        <w:rPr>
          <w:rFonts w:hint="default" w:ascii="Times New Roman" w:hAnsi="Times New Roman" w:eastAsia="仿宋_GB2312" w:cs="Times New Roman"/>
          <w:color w:val="auto"/>
          <w:kern w:val="2"/>
          <w:sz w:val="32"/>
          <w:szCs w:val="32"/>
          <w:lang w:val="en-US" w:eastAsia="zh-CN" w:bidi="ar-SA"/>
        </w:rPr>
        <w:t>100%</w:t>
      </w:r>
      <w:r>
        <w:rPr>
          <w:rFonts w:hint="default" w:ascii="Times New Roman" w:hAnsi="Times New Roman" w:eastAsia="仿宋_GB2312" w:cs="Times New Roman"/>
          <w:color w:val="auto"/>
          <w:kern w:val="2"/>
          <w:sz w:val="32"/>
          <w:szCs w:val="32"/>
          <w:lang w:val="zh-CN" w:eastAsia="zh-CN" w:bidi="ar-SA"/>
        </w:rPr>
        <w:t>;质量指标：补助资金到位率100%；时效指标：202</w:t>
      </w: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zh-CN" w:eastAsia="zh-CN" w:bidi="ar-SA"/>
        </w:rPr>
        <w:t>年</w:t>
      </w:r>
      <w:r>
        <w:rPr>
          <w:rFonts w:hint="default" w:ascii="Times New Roman" w:hAnsi="Times New Roman" w:eastAsia="仿宋_GB2312" w:cs="Times New Roman"/>
          <w:color w:val="auto"/>
          <w:kern w:val="2"/>
          <w:sz w:val="32"/>
          <w:szCs w:val="32"/>
          <w:lang w:val="en-US" w:eastAsia="zh-CN" w:bidi="ar-SA"/>
        </w:rPr>
        <w:t>10月完成</w:t>
      </w:r>
      <w:r>
        <w:rPr>
          <w:rFonts w:hint="default" w:ascii="Times New Roman" w:hAnsi="Times New Roman" w:eastAsia="仿宋_GB2312" w:cs="Times New Roman"/>
          <w:color w:val="auto"/>
          <w:kern w:val="2"/>
          <w:sz w:val="32"/>
          <w:szCs w:val="32"/>
          <w:lang w:val="zh-CN" w:eastAsia="zh-CN" w:bidi="ar-SA"/>
        </w:rPr>
        <w:t>支付；成本指标：所需资金</w:t>
      </w:r>
      <w:r>
        <w:rPr>
          <w:rFonts w:hint="default" w:ascii="Times New Roman" w:hAnsi="Times New Roman" w:eastAsia="仿宋_GB2312" w:cs="Times New Roman"/>
          <w:color w:val="auto"/>
          <w:kern w:val="2"/>
          <w:sz w:val="32"/>
          <w:szCs w:val="32"/>
          <w:lang w:val="en-US" w:eastAsia="zh-CN" w:bidi="ar-SA"/>
        </w:rPr>
        <w:t>55</w:t>
      </w:r>
      <w:r>
        <w:rPr>
          <w:rFonts w:hint="default" w:ascii="Times New Roman" w:hAnsi="Times New Roman" w:eastAsia="仿宋_GB2312" w:cs="Times New Roman"/>
          <w:color w:val="auto"/>
          <w:kern w:val="2"/>
          <w:sz w:val="32"/>
          <w:szCs w:val="32"/>
          <w:lang w:val="zh-CN" w:eastAsia="zh-CN" w:bidi="ar-SA"/>
        </w:rPr>
        <w:t>万元；社会效益指标：保障职工利益；满意度指标：职工满意度</w:t>
      </w:r>
      <w:r>
        <w:rPr>
          <w:rFonts w:hint="default" w:ascii="Times New Roman" w:hAnsi="Times New Roman" w:eastAsia="仿宋_GB2312" w:cs="Times New Roman"/>
          <w:color w:val="auto"/>
          <w:kern w:val="2"/>
          <w:sz w:val="32"/>
          <w:szCs w:val="32"/>
          <w:lang w:val="en-US" w:eastAsia="zh-CN" w:bidi="ar-SA"/>
        </w:rPr>
        <w:t>100</w:t>
      </w:r>
      <w:r>
        <w:rPr>
          <w:rFonts w:hint="default" w:ascii="Times New Roman" w:hAnsi="Times New Roman" w:eastAsia="仿宋_GB2312" w:cs="Times New Roman"/>
          <w:color w:val="auto"/>
          <w:kern w:val="2"/>
          <w:sz w:val="32"/>
          <w:szCs w:val="32"/>
          <w:lang w:val="zh-CN" w:eastAsia="zh-CN" w:bidi="ar-SA"/>
        </w:rPr>
        <w:t>%。各项指标达到预期水平，项目圆满完成。</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通过项目绩效自评掌握项目的实施情况及目标任务的完成情况。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按照绩效评价指标体系，对资金支出使用全过程及其实施效果进行综合评价和判断。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（三）评价选点。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项目绩效自评所抽样点位为攀枝花市西区社会保险事务中心。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（四）评价方法。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eastAsia="zh-CN"/>
        </w:rPr>
        <w:t>采用</w:t>
      </w:r>
      <w:r>
        <w:rPr>
          <w:rFonts w:hint="default" w:ascii="Times New Roman" w:hAnsi="Times New Roman" w:eastAsia="仿宋_GB2312" w:cs="Times New Roman"/>
          <w:sz w:val="32"/>
          <w:szCs w:val="32"/>
          <w:lang w:val="zh-CN"/>
        </w:rPr>
        <w:t>单位自评法。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（五）评价组织。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outlineLvl w:val="9"/>
        <w:rPr>
          <w:rFonts w:hint="default" w:ascii="Times New Roman" w:hAnsi="Times New Roman" w:eastAsia="仿宋_GB2312" w:cs="Times New Roman"/>
          <w:bCs/>
          <w:lang w:eastAsia="zh-CN"/>
        </w:rPr>
      </w:pPr>
      <w:r>
        <w:rPr>
          <w:rFonts w:hint="default" w:ascii="Times New Roman" w:hAnsi="Times New Roman" w:eastAsia="仿宋_GB2312" w:cs="Times New Roman"/>
          <w:b w:val="0"/>
          <w:bCs w:val="0"/>
          <w:kern w:val="0"/>
          <w:position w:val="0"/>
          <w:sz w:val="32"/>
          <w:szCs w:val="32"/>
          <w:highlight w:val="none"/>
          <w:lang w:val="zh-CN" w:eastAsia="zh-CN" w:bidi="ar-SA"/>
        </w:rPr>
        <w:t>本项目采用单位自评法进行评价。</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en-US" w:eastAsia="zh-CN" w:bidi="ar-SA"/>
        </w:rPr>
        <w:t>数量指标：人员保障率100%;质量指标：补助资金到位率100%；时效指标：2024年10月完成支付；成本指标：所需资金55万元；社会效益指标：保障职工利益；满意度指标：职工满意度100%。各项指标达到预期水平，项目圆满完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1.</w:t>
      </w:r>
      <w:r>
        <w:rPr>
          <w:rFonts w:hint="default" w:ascii="Times New Roman" w:hAnsi="Times New Roman" w:eastAsia="楷体_GB2312" w:cs="Times New Roman"/>
          <w:sz w:val="32"/>
          <w:szCs w:val="32"/>
          <w:lang w:val="zh-CN"/>
        </w:rPr>
        <w:t>项目决策。</w:t>
      </w:r>
      <w:r>
        <w:rPr>
          <w:rFonts w:hint="default" w:ascii="Times New Roman" w:hAnsi="Times New Roman" w:eastAsia="仿宋_GB2312" w:cs="Times New Roman"/>
          <w:color w:val="auto"/>
          <w:kern w:val="2"/>
          <w:sz w:val="32"/>
          <w:szCs w:val="32"/>
          <w:lang w:val="en-US" w:eastAsia="zh-CN" w:bidi="ar-SA"/>
        </w:rPr>
        <w:t>该项目与单位职责相符，经过事前评估论证，设立符合基本规范和程序要求，依据充分、可行。</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53" w:lineRule="auto"/>
        <w:ind w:firstLine="640" w:firstLineChars="200"/>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2.</w:t>
      </w:r>
      <w:r>
        <w:rPr>
          <w:rFonts w:hint="default" w:ascii="Times New Roman" w:hAnsi="Times New Roman" w:eastAsia="楷体_GB2312" w:cs="Times New Roman"/>
          <w:sz w:val="32"/>
          <w:szCs w:val="32"/>
          <w:lang w:val="zh-CN"/>
        </w:rPr>
        <w:t>项目管理。</w:t>
      </w:r>
      <w:r>
        <w:rPr>
          <w:rFonts w:hint="default" w:ascii="Times New Roman" w:hAnsi="Times New Roman" w:eastAsia="仿宋_GB2312" w:cs="Times New Roman"/>
          <w:color w:val="auto"/>
          <w:kern w:val="2"/>
          <w:sz w:val="32"/>
          <w:szCs w:val="32"/>
          <w:lang w:val="en-US" w:eastAsia="zh-CN" w:bidi="ar-SA"/>
        </w:rPr>
        <w:t>该项目制度明确、各级财政分摊比例确定，绩效指标明确。项目资金严格按照国家财经法规和财务管理制度及有关专项资金管理办法规定，专款专用，资金拨付有完整的审批程序和手续。</w:t>
      </w:r>
    </w:p>
    <w:p>
      <w:pPr>
        <w:adjustRightInd w:val="0"/>
        <w:snapToGrid w:val="0"/>
        <w:spacing w:line="560" w:lineRule="exact"/>
        <w:ind w:firstLine="720"/>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3.</w:t>
      </w:r>
      <w:r>
        <w:rPr>
          <w:rFonts w:hint="default" w:ascii="Times New Roman" w:hAnsi="Times New Roman" w:eastAsia="楷体_GB2312" w:cs="Times New Roman"/>
          <w:sz w:val="32"/>
          <w:szCs w:val="32"/>
          <w:lang w:val="zh-CN"/>
        </w:rPr>
        <w:t>项目实施。</w:t>
      </w:r>
      <w:r>
        <w:rPr>
          <w:rFonts w:hint="default" w:ascii="Times New Roman" w:hAnsi="Times New Roman" w:eastAsia="仿宋_GB2312" w:cs="Times New Roman"/>
          <w:spacing w:val="-4"/>
          <w:sz w:val="32"/>
          <w:szCs w:val="32"/>
        </w:rPr>
        <w:t>四川省职业年金于2019年1月1日起启动投资运营，</w:t>
      </w:r>
      <w:r>
        <w:rPr>
          <w:rFonts w:hint="default" w:ascii="Times New Roman" w:hAnsi="Times New Roman" w:eastAsia="仿宋_GB2312" w:cs="Times New Roman"/>
          <w:color w:val="000000"/>
          <w:spacing w:val="-4"/>
          <w:sz w:val="32"/>
          <w:szCs w:val="32"/>
        </w:rPr>
        <w:t>根据</w:t>
      </w:r>
      <w:r>
        <w:rPr>
          <w:rFonts w:hint="default" w:ascii="Times New Roman" w:hAnsi="Times New Roman" w:eastAsia="仿宋_GB2312" w:cs="Times New Roman"/>
          <w:kern w:val="0"/>
          <w:sz w:val="32"/>
          <w:szCs w:val="32"/>
        </w:rPr>
        <w:t xml:space="preserve">《人力资源社会保障部办公厅财政部办公厅关于职业年金启动投资运营前个人账户记账利率和投资收益率有关事项的通知》（人社厅发〔2019〕3号）文件规定：“2014年10月1日至2018年12月31日，机关事业单位参保人员职业年金个人账户利息由同级财政给予保障” </w:t>
      </w:r>
    </w:p>
    <w:p>
      <w:pPr>
        <w:adjustRightInd w:val="0"/>
        <w:snapToGrid w:val="0"/>
        <w:spacing w:line="600" w:lineRule="exact"/>
        <w:ind w:firstLine="720"/>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4.项目结果。</w:t>
      </w:r>
      <w:r>
        <w:rPr>
          <w:rFonts w:hint="default" w:ascii="Times New Roman" w:hAnsi="Times New Roman" w:eastAsia="仿宋_GB2312" w:cs="Times New Roman"/>
          <w:sz w:val="32"/>
          <w:szCs w:val="32"/>
        </w:rPr>
        <w:t>足额保障机关事业人员职业年金投资运营前（2014年10月至2018年12月）实账贴息</w:t>
      </w:r>
      <w:r>
        <w:rPr>
          <w:rFonts w:hint="default" w:ascii="Times New Roman" w:hAnsi="Times New Roman" w:cs="Times New Roman"/>
          <w:lang w:val="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adjustRightInd w:val="0"/>
        <w:snapToGrid w:val="0"/>
        <w:spacing w:line="560" w:lineRule="exact"/>
        <w:ind w:firstLine="72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1.产业发展。</w:t>
      </w:r>
      <w:r>
        <w:rPr>
          <w:rFonts w:hint="default" w:ascii="Times New Roman" w:hAnsi="Times New Roman" w:eastAsia="仿宋_GB2312" w:cs="Times New Roman"/>
          <w:spacing w:val="-4"/>
          <w:sz w:val="32"/>
          <w:szCs w:val="32"/>
        </w:rPr>
        <w:t>《国务院办公厅关于印发机关事业单位职业年金办法的通知》（国办发〔2015〕18号）规定：职业年金，是指机关事业单位及其工作人员在参加机关事业单位基本养老保险的基础上，建立的补充养老保险制度。职业年金所需费用由单位和工作人员个人共同承担。单位缴纳职业年金费用的比例为本单位工资总额的8%，个人缴费比例为本人缴费工资的4%，由单位代扣。职业年金基金采用个人账户方式管理。个人缴费实行实账积累。实账积累形成的职业年金基金，实行市场化投资运营，按实际收益计息。四川省职业年金于2019年1月1日起启动投资运营，</w:t>
      </w:r>
      <w:r>
        <w:rPr>
          <w:rFonts w:hint="default" w:ascii="Times New Roman" w:hAnsi="Times New Roman" w:eastAsia="仿宋_GB2312" w:cs="Times New Roman"/>
          <w:color w:val="000000"/>
          <w:spacing w:val="-4"/>
          <w:sz w:val="32"/>
          <w:szCs w:val="32"/>
        </w:rPr>
        <w:t>根据</w:t>
      </w:r>
      <w:r>
        <w:rPr>
          <w:rFonts w:hint="default" w:ascii="Times New Roman" w:hAnsi="Times New Roman" w:eastAsia="仿宋_GB2312" w:cs="Times New Roman"/>
          <w:kern w:val="0"/>
          <w:sz w:val="32"/>
          <w:szCs w:val="32"/>
        </w:rPr>
        <w:t xml:space="preserve">《人力资源社会保障部办公厅财政部办公厅关于职业年金启动投资运营前个人账户记账利率和投资收益率有关事项的通知》（人社厅发〔2019〕3号）文件规定：“2014年10月1日至2018年12月31日，机关事业单位参保人员职业年金个人账户利息由同级财政给予保障” </w:t>
      </w:r>
    </w:p>
    <w:p>
      <w:pPr>
        <w:spacing w:line="353" w:lineRule="auto"/>
        <w:ind w:firstLine="652" w:firstLineChars="204"/>
        <w:rPr>
          <w:rFonts w:hint="default" w:ascii="Times New Roman" w:hAnsi="Times New Roman" w:cs="Times New Roman"/>
          <w:lang w:val="zh-CN"/>
        </w:rPr>
      </w:pPr>
      <w:r>
        <w:rPr>
          <w:rFonts w:hint="default" w:ascii="Times New Roman" w:hAnsi="Times New Roman" w:eastAsia="仿宋_GB2312" w:cs="Times New Roman"/>
          <w:b w:val="0"/>
          <w:bCs w:val="0"/>
          <w:kern w:val="0"/>
          <w:position w:val="0"/>
          <w:sz w:val="32"/>
          <w:szCs w:val="32"/>
          <w:highlight w:val="none"/>
          <w:lang w:val="en-US" w:eastAsia="zh-CN" w:bidi="ar-SA"/>
        </w:rPr>
        <w:t>2.</w:t>
      </w:r>
      <w:r>
        <w:rPr>
          <w:rFonts w:hint="default" w:ascii="Times New Roman" w:hAnsi="Times New Roman" w:eastAsia="仿宋_GB2312" w:cs="Times New Roman"/>
          <w:b w:val="0"/>
          <w:bCs w:val="0"/>
          <w:kern w:val="0"/>
          <w:position w:val="0"/>
          <w:sz w:val="32"/>
          <w:szCs w:val="32"/>
          <w:highlight w:val="none"/>
          <w:lang w:val="zh-CN" w:eastAsia="zh-CN" w:bidi="ar-SA"/>
        </w:rPr>
        <w:t>民生保障。</w:t>
      </w:r>
      <w:r>
        <w:rPr>
          <w:rFonts w:hint="default" w:ascii="Times New Roman" w:hAnsi="Times New Roman" w:eastAsia="仿宋_GB2312" w:cs="Times New Roman"/>
          <w:sz w:val="32"/>
          <w:szCs w:val="32"/>
        </w:rPr>
        <w:t>足额保障机关事业人员职业年金投资运营前（2014年10月至2018年12月）实账贴息</w:t>
      </w:r>
      <w:r>
        <w:rPr>
          <w:rFonts w:hint="default" w:ascii="Times New Roman" w:hAnsi="Times New Roman" w:cs="Times New Roman"/>
          <w:lang w:val="zh-CN"/>
        </w:rPr>
        <w:t>。</w:t>
      </w:r>
    </w:p>
    <w:p>
      <w:pPr>
        <w:spacing w:line="353" w:lineRule="auto"/>
        <w:ind w:firstLine="652" w:firstLineChars="204"/>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3.基础设施。</w:t>
      </w:r>
      <w:r>
        <w:rPr>
          <w:rFonts w:hint="default" w:ascii="Times New Roman" w:hAnsi="Times New Roman" w:eastAsia="仿宋_GB2312" w:cs="Times New Roman"/>
          <w:sz w:val="32"/>
          <w:szCs w:val="32"/>
          <w:lang w:eastAsia="zh-CN"/>
        </w:rPr>
        <w:t>无。</w:t>
      </w:r>
    </w:p>
    <w:p>
      <w:pPr>
        <w:pStyle w:val="39"/>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default" w:ascii="Times New Roman" w:hAnsi="Times New Roman" w:eastAsia="仿宋_GB2312" w:cs="Times New Roman"/>
          <w:b w:val="0"/>
          <w:bCs w:val="0"/>
          <w:kern w:val="0"/>
          <w:position w:val="0"/>
          <w:sz w:val="32"/>
          <w:szCs w:val="32"/>
          <w:highlight w:val="none"/>
          <w:lang w:val="zh-CN" w:eastAsia="zh-CN" w:bidi="ar-SA"/>
        </w:rPr>
        <w:t>行政运转。该项资金于202</w:t>
      </w: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default" w:ascii="Times New Roman" w:hAnsi="Times New Roman" w:eastAsia="仿宋_GB2312" w:cs="Times New Roman"/>
          <w:b w:val="0"/>
          <w:bCs w:val="0"/>
          <w:kern w:val="0"/>
          <w:position w:val="0"/>
          <w:sz w:val="32"/>
          <w:szCs w:val="32"/>
          <w:highlight w:val="none"/>
          <w:lang w:val="zh-CN" w:eastAsia="zh-CN" w:bidi="ar-SA"/>
        </w:rPr>
        <w:t>年</w:t>
      </w:r>
      <w:r>
        <w:rPr>
          <w:rFonts w:hint="default" w:ascii="Times New Roman" w:hAnsi="Times New Roman" w:eastAsia="仿宋_GB2312" w:cs="Times New Roman"/>
          <w:b w:val="0"/>
          <w:bCs w:val="0"/>
          <w:kern w:val="0"/>
          <w:position w:val="0"/>
          <w:sz w:val="32"/>
          <w:szCs w:val="32"/>
          <w:highlight w:val="none"/>
          <w:lang w:val="en-US" w:eastAsia="zh-CN" w:bidi="ar-SA"/>
        </w:rPr>
        <w:t>10</w:t>
      </w:r>
      <w:r>
        <w:rPr>
          <w:rFonts w:hint="default" w:ascii="Times New Roman" w:hAnsi="Times New Roman" w:eastAsia="仿宋_GB2312" w:cs="Times New Roman"/>
          <w:b w:val="0"/>
          <w:bCs w:val="0"/>
          <w:kern w:val="0"/>
          <w:position w:val="0"/>
          <w:sz w:val="32"/>
          <w:szCs w:val="32"/>
          <w:highlight w:val="none"/>
          <w:lang w:val="zh-CN" w:eastAsia="zh-CN" w:bidi="ar-SA"/>
        </w:rPr>
        <w:t>月全部归集至四川省职业年金专户，用于对西区机关事业单位退休及转移人员进行职业年金实账贴息。</w:t>
      </w:r>
    </w:p>
    <w:p>
      <w:pPr>
        <w:adjustRightInd w:val="0"/>
        <w:snapToGrid w:val="0"/>
        <w:spacing w:line="600" w:lineRule="exact"/>
        <w:ind w:firstLine="720"/>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kern w:val="0"/>
          <w:position w:val="0"/>
          <w:sz w:val="32"/>
          <w:szCs w:val="32"/>
          <w:highlight w:val="none"/>
          <w:lang w:val="zh-CN" w:eastAsia="zh-CN" w:bidi="ar-SA"/>
        </w:rPr>
        <w:t>该项资金于202</w:t>
      </w: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default" w:ascii="Times New Roman" w:hAnsi="Times New Roman" w:eastAsia="仿宋_GB2312" w:cs="Times New Roman"/>
          <w:b w:val="0"/>
          <w:bCs w:val="0"/>
          <w:kern w:val="0"/>
          <w:position w:val="0"/>
          <w:sz w:val="32"/>
          <w:szCs w:val="32"/>
          <w:highlight w:val="none"/>
          <w:lang w:val="zh-CN" w:eastAsia="zh-CN" w:bidi="ar-SA"/>
        </w:rPr>
        <w:t>年</w:t>
      </w:r>
      <w:r>
        <w:rPr>
          <w:rFonts w:hint="default" w:ascii="Times New Roman" w:hAnsi="Times New Roman" w:eastAsia="仿宋_GB2312" w:cs="Times New Roman"/>
          <w:b w:val="0"/>
          <w:bCs w:val="0"/>
          <w:kern w:val="0"/>
          <w:position w:val="0"/>
          <w:sz w:val="32"/>
          <w:szCs w:val="32"/>
          <w:highlight w:val="none"/>
          <w:lang w:val="en-US" w:eastAsia="zh-CN" w:bidi="ar-SA"/>
        </w:rPr>
        <w:t>10</w:t>
      </w:r>
      <w:r>
        <w:rPr>
          <w:rFonts w:hint="default" w:ascii="Times New Roman" w:hAnsi="Times New Roman" w:eastAsia="仿宋_GB2312" w:cs="Times New Roman"/>
          <w:b w:val="0"/>
          <w:bCs w:val="0"/>
          <w:kern w:val="0"/>
          <w:position w:val="0"/>
          <w:sz w:val="32"/>
          <w:szCs w:val="32"/>
          <w:highlight w:val="none"/>
          <w:lang w:val="zh-CN" w:eastAsia="zh-CN" w:bidi="ar-SA"/>
        </w:rPr>
        <w:t>月全部归集至四川省职业年金专户，用于对西区机关事业单位退休及转移人员进行职业年金实账贴息。</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该项目政策明确，受益群体目标明确，根据根据四川省社会保险管理局下发文件《关于进一步做好职业年金征收工作的通知》及西区财政实际情况，在全面保障退休人员及社保关系转移人员的利益情况下进行项目资金申报，绩效目标合理可行。</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zh-CN" w:eastAsia="zh-CN" w:bidi="ar-SA"/>
        </w:rPr>
      </w:pPr>
      <w:r>
        <w:rPr>
          <w:rFonts w:hint="default" w:ascii="Times New Roman" w:hAnsi="Times New Roman" w:eastAsia="黑体" w:cs="Times New Roman"/>
          <w:b w:val="0"/>
          <w:bCs w:val="0"/>
          <w:kern w:val="0"/>
          <w:position w:val="0"/>
          <w:sz w:val="32"/>
          <w:szCs w:val="32"/>
          <w:highlight w:val="none"/>
          <w:lang w:val="zh-CN" w:eastAsia="zh-CN" w:bidi="ar-SA"/>
        </w:rPr>
        <w:t>六、改进建议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6"/>
        <w:rPr>
          <w:rFonts w:hint="default" w:ascii="Times New Roman" w:hAnsi="Times New Roman" w:eastAsia="仿宋_GB2312" w:cs="Times New Roman"/>
          <w:b w:val="0"/>
          <w:bCs w:val="0"/>
          <w:kern w:val="0"/>
          <w:position w:val="0"/>
          <w:sz w:val="32"/>
          <w:szCs w:val="32"/>
          <w:highlight w:val="none"/>
          <w:lang w:val="en-US" w:eastAsia="zh-CN" w:bidi="ar-SA"/>
        </w:rPr>
      </w:pPr>
    </w:p>
    <w:p>
      <w:pPr>
        <w:rPr>
          <w:rFonts w:hint="default" w:ascii="Times New Roman" w:hAnsi="Times New Roman" w:eastAsia="仿宋_GB2312" w:cs="Times New Roman"/>
          <w:b w:val="0"/>
          <w:bCs w:val="0"/>
          <w:kern w:val="0"/>
          <w:position w:val="0"/>
          <w:sz w:val="32"/>
          <w:szCs w:val="32"/>
          <w:highlight w:val="none"/>
          <w:lang w:val="en-US" w:eastAsia="zh-CN" w:bidi="ar-SA"/>
        </w:rPr>
      </w:pPr>
    </w:p>
    <w:p>
      <w:pPr>
        <w:pStyle w:val="6"/>
        <w:rPr>
          <w:rFonts w:hint="default" w:ascii="Times New Roman" w:hAnsi="Times New Roman" w:eastAsia="仿宋_GB2312" w:cs="Times New Roman"/>
          <w:b w:val="0"/>
          <w:bCs w:val="0"/>
          <w:kern w:val="0"/>
          <w:position w:val="0"/>
          <w:sz w:val="32"/>
          <w:szCs w:val="32"/>
          <w:highlight w:val="none"/>
          <w:lang w:val="en-US" w:eastAsia="zh-CN" w:bidi="ar-SA"/>
        </w:rPr>
      </w:pPr>
    </w:p>
    <w:p>
      <w:pPr>
        <w:rPr>
          <w:rFonts w:hint="default" w:ascii="Times New Roman" w:hAnsi="Times New Roman" w:eastAsia="仿宋_GB2312" w:cs="Times New Roman"/>
          <w:b w:val="0"/>
          <w:bCs w:val="0"/>
          <w:kern w:val="0"/>
          <w:position w:val="0"/>
          <w:sz w:val="32"/>
          <w:szCs w:val="32"/>
          <w:highlight w:val="none"/>
          <w:lang w:val="en-US" w:eastAsia="zh-CN" w:bidi="ar-SA"/>
        </w:rPr>
      </w:pPr>
    </w:p>
    <w:p>
      <w:pPr>
        <w:pStyle w:val="6"/>
        <w:rPr>
          <w:rFonts w:hint="default" w:ascii="Times New Roman" w:hAnsi="Times New Roman" w:eastAsia="仿宋_GB2312" w:cs="Times New Roman"/>
          <w:b w:val="0"/>
          <w:bCs w:val="0"/>
          <w:kern w:val="0"/>
          <w:position w:val="0"/>
          <w:sz w:val="32"/>
          <w:szCs w:val="32"/>
          <w:highlight w:val="none"/>
          <w:lang w:val="en-US" w:eastAsia="zh-CN" w:bidi="ar-SA"/>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上级就业创业补助资金</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2"/>
          <w:sz w:val="32"/>
          <w:szCs w:val="32"/>
          <w:lang w:val="zh-CN" w:eastAsia="zh-CN" w:bidi="ar-SA"/>
        </w:rPr>
        <w:t>根据《就业创业补助资金管理使用办法》（川财社〔2019〕38 号）文件精神，为贯彻落实好各项就业创业政策，全面落实“我为群众办实事”部署要求，做好资金审核拨付工作，保证各项惠企惠民政策落实到位。</w:t>
      </w:r>
    </w:p>
    <w:p>
      <w:pPr>
        <w:pStyle w:val="39"/>
        <w:keepNext w:val="0"/>
        <w:keepLines w:val="0"/>
        <w:pageBreakBefore w:val="0"/>
        <w:widowControl w:val="0"/>
        <w:numPr>
          <w:ilvl w:val="0"/>
          <w:numId w:val="0"/>
        </w:numPr>
        <w:kinsoku/>
        <w:wordWrap/>
        <w:overflowPunct/>
        <w:topLinePunct w:val="0"/>
        <w:autoSpaceDE/>
        <w:autoSpaceDN/>
        <w:bidi w:val="0"/>
        <w:adjustRightInd/>
        <w:snapToGrid/>
        <w:spacing w:line="353" w:lineRule="auto"/>
        <w:ind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en-US" w:eastAsia="zh-CN"/>
        </w:rPr>
        <w:t>（二）实施目的及支持方向。</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通过落实培训补贴、社会保险补贴、公益性岗位补贴、就业见习补贴、求职创业补贴、就业创业服务补助等补助政策，确保完成年度城镇新增就业目标任务，努力实现全区就业局势基本稳定。</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en-US" w:eastAsia="zh-CN" w:bidi="ar-SA"/>
        </w:rPr>
        <w:t>（三）预算安排及分配管理</w:t>
      </w:r>
      <w:r>
        <w:rPr>
          <w:rFonts w:hint="default" w:ascii="Times New Roman" w:hAnsi="Times New Roman" w:eastAsia="楷体_GB2312" w:cs="Times New Roman"/>
          <w:b/>
          <w:color w:val="auto"/>
          <w:kern w:val="2"/>
          <w:sz w:val="32"/>
          <w:szCs w:val="32"/>
          <w:highlight w:val="none"/>
          <w:u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根据相关政策文件，</w:t>
      </w:r>
      <w:r>
        <w:rPr>
          <w:rFonts w:hint="default" w:ascii="Times New Roman" w:hAnsi="Times New Roman" w:eastAsia="仿宋_GB2312" w:cs="Times New Roman"/>
          <w:color w:val="auto"/>
          <w:kern w:val="2"/>
          <w:sz w:val="32"/>
          <w:szCs w:val="32"/>
          <w:lang w:val="en-US" w:eastAsia="zh-CN" w:bidi="ar-SA"/>
        </w:rPr>
        <w:t>2024年度下达上级就业创业补助资预算1201.41万元，其中：中央为1071.08万元，省级为130.33万元。</w:t>
      </w:r>
    </w:p>
    <w:p>
      <w:pPr>
        <w:pStyle w:val="28"/>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楷体_GB2312" w:cs="Times New Roman"/>
          <w:b/>
          <w:color w:val="auto"/>
          <w:sz w:val="32"/>
          <w:szCs w:val="32"/>
          <w:highlight w:val="none"/>
          <w:u w:val="none"/>
          <w:lang w:val="en-US" w:eastAsia="zh-CN"/>
        </w:rPr>
        <w:t>四</w:t>
      </w:r>
      <w:r>
        <w:rPr>
          <w:rFonts w:hint="eastAsia"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楷体_GB2312" w:cs="Times New Roman"/>
          <w:b/>
          <w:color w:val="auto"/>
          <w:sz w:val="32"/>
          <w:szCs w:val="32"/>
          <w:highlight w:val="none"/>
          <w:u w:val="none"/>
          <w:lang w:val="zh-CN" w:eastAsia="zh-CN"/>
        </w:rPr>
        <w:t>项目绩效目标设置。</w:t>
      </w:r>
    </w:p>
    <w:p>
      <w:pPr>
        <w:pStyle w:val="2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质量指标：毕业年度高校毕业生享受一次性求职创业补贴完成37人；就业困难人员享受公益性岗位补贴人数完成185人。时效指标：补贴资金在规定时间内支付到位率完成目标的≥98%。成本指标：社会保险补贴人均标准原则上灵活就业社保补贴不超过其社会保险费实际缴费金额的三分之二规定执行，公益性岗位补贴人均标准原则上不高于当地最低工资标准执行。效益指标：城镇新增就业人数完成2933人，失业人员再就业人数完成2158人，就业困难人员就业人数完成718人，城镇调查失业率完成3.66%。服务对象满意度指标：就业政策经办满意度≥90%。</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通过项目绩效自评掌握项目的实施情况及目标任务的完成情况。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按照绩效评价指标体系，对资金支出使用全过程及其实施效果进行综合评价和判断。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（三）评价选点。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项目绩效自评所抽样点位为攀枝花市西区就业创业促进中心。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（四）评价方法。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eastAsia="zh-CN"/>
        </w:rPr>
        <w:t>采用</w:t>
      </w:r>
      <w:r>
        <w:rPr>
          <w:rFonts w:hint="default" w:ascii="Times New Roman" w:hAnsi="Times New Roman" w:eastAsia="仿宋_GB2312" w:cs="Times New Roman"/>
          <w:sz w:val="32"/>
          <w:szCs w:val="32"/>
          <w:lang w:val="zh-CN"/>
        </w:rPr>
        <w:t>单位自评法。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（五）评价组织。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outlineLvl w:val="9"/>
        <w:rPr>
          <w:rFonts w:hint="default" w:ascii="Times New Roman" w:hAnsi="Times New Roman" w:eastAsia="仿宋_GB2312" w:cs="Times New Roman"/>
          <w:bCs/>
          <w:lang w:eastAsia="zh-CN"/>
        </w:rPr>
      </w:pPr>
      <w:r>
        <w:rPr>
          <w:rFonts w:hint="default" w:ascii="Times New Roman" w:hAnsi="Times New Roman" w:eastAsia="仿宋_GB2312" w:cs="Times New Roman"/>
          <w:b w:val="0"/>
          <w:bCs w:val="0"/>
          <w:kern w:val="0"/>
          <w:position w:val="0"/>
          <w:sz w:val="32"/>
          <w:szCs w:val="32"/>
          <w:highlight w:val="none"/>
          <w:lang w:val="zh-CN" w:eastAsia="zh-CN" w:bidi="ar-SA"/>
        </w:rPr>
        <w:t>本项目采用单位自评法进行评价。</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beforeLines="30" w:line="560" w:lineRule="exact"/>
        <w:ind w:firstLine="60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0"/>
          <w:szCs w:val="24"/>
          <w:lang w:val="en-US" w:eastAsia="zh-CN" w:bidi="ar-SA"/>
        </w:rPr>
        <w:t>质量指标：毕业年度高校毕业生享受一次性求职创业补贴</w:t>
      </w:r>
      <w:r>
        <w:rPr>
          <w:rFonts w:hint="default" w:ascii="Times New Roman" w:hAnsi="Times New Roman" w:eastAsia="仿宋_GB2312" w:cs="Times New Roman"/>
          <w:kern w:val="2"/>
          <w:sz w:val="32"/>
          <w:szCs w:val="32"/>
          <w:lang w:val="en-US" w:eastAsia="zh-CN" w:bidi="ar-SA"/>
        </w:rPr>
        <w:t>完成</w:t>
      </w:r>
      <w:r>
        <w:rPr>
          <w:rFonts w:hint="default" w:ascii="Times New Roman" w:hAnsi="Times New Roman" w:eastAsia="仿宋_GB2312" w:cs="Times New Roman"/>
          <w:kern w:val="0"/>
          <w:sz w:val="30"/>
          <w:szCs w:val="24"/>
          <w:lang w:val="en-US" w:eastAsia="zh-CN" w:bidi="ar-SA"/>
        </w:rPr>
        <w:t>37人；</w:t>
      </w:r>
      <w:r>
        <w:rPr>
          <w:rFonts w:hint="default" w:ascii="Times New Roman" w:hAnsi="Times New Roman" w:eastAsia="仿宋_GB2312" w:cs="Times New Roman"/>
          <w:kern w:val="2"/>
          <w:sz w:val="32"/>
          <w:szCs w:val="32"/>
          <w:lang w:val="en-US" w:eastAsia="zh-CN" w:bidi="ar-SA"/>
        </w:rPr>
        <w:t>就业困难人员享受公益性岗位补贴人数完成185人。时效指标：补贴资金在规定时间内支付到位率完成目标的≥98%。成本指标：社会保险补贴人均标准原则上灵活就业社保补贴不超过其社会保险费实际缴费金额的三分之二规定执行，公益性岗位补贴人均标准原则上不高于当地最低工资标准执行。效益指标：城镇新增就业人数完成2933人，失业人员再就业人数完成2158人，就业困难人员就业人数完成718人，城镇调查失业率完成3.66%。服务对象满意度指标：就业政策经办满意度≥90%。</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1.</w:t>
      </w:r>
      <w:r>
        <w:rPr>
          <w:rFonts w:hint="default" w:ascii="Times New Roman" w:hAnsi="Times New Roman" w:eastAsia="楷体_GB2312" w:cs="Times New Roman"/>
          <w:sz w:val="32"/>
          <w:szCs w:val="32"/>
          <w:lang w:val="zh-CN"/>
        </w:rPr>
        <w:t>项目决策。</w:t>
      </w:r>
      <w:r>
        <w:rPr>
          <w:rFonts w:hint="default" w:ascii="Times New Roman" w:hAnsi="Times New Roman" w:eastAsia="仿宋_GB2312" w:cs="Times New Roman"/>
          <w:color w:val="auto"/>
          <w:kern w:val="2"/>
          <w:sz w:val="32"/>
          <w:szCs w:val="32"/>
          <w:lang w:val="en-US" w:eastAsia="zh-CN" w:bidi="ar-SA"/>
        </w:rPr>
        <w:t>该项目与单位职责相符，经过事前评估论证，设立符合基本规范和程序要求，依据充分、可行。</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53" w:lineRule="auto"/>
        <w:ind w:firstLine="640" w:firstLineChars="200"/>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2.</w:t>
      </w:r>
      <w:r>
        <w:rPr>
          <w:rFonts w:hint="default" w:ascii="Times New Roman" w:hAnsi="Times New Roman" w:eastAsia="楷体_GB2312" w:cs="Times New Roman"/>
          <w:sz w:val="32"/>
          <w:szCs w:val="32"/>
          <w:lang w:val="zh-CN"/>
        </w:rPr>
        <w:t>项目管理。</w:t>
      </w:r>
      <w:r>
        <w:rPr>
          <w:rFonts w:hint="default" w:ascii="Times New Roman" w:hAnsi="Times New Roman" w:eastAsia="仿宋_GB2312" w:cs="Times New Roman"/>
          <w:color w:val="auto"/>
          <w:kern w:val="2"/>
          <w:sz w:val="32"/>
          <w:szCs w:val="32"/>
          <w:lang w:val="zh-CN" w:eastAsia="zh-CN" w:bidi="ar-SA"/>
        </w:rPr>
        <w:t>该项目在财务管理上，按照内部控制建设要求，制定了相关财务管理制度，在资金使用上，严格按照资金使用用途进行审核审批，项目管理规范有序，财务核算及时，会计信息真实。</w:t>
      </w:r>
    </w:p>
    <w:p>
      <w:pPr>
        <w:adjustRightInd w:val="0"/>
        <w:snapToGrid w:val="0"/>
        <w:spacing w:line="600" w:lineRule="exact"/>
        <w:ind w:firstLine="720"/>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3.</w:t>
      </w:r>
      <w:r>
        <w:rPr>
          <w:rFonts w:hint="default" w:ascii="Times New Roman" w:hAnsi="Times New Roman" w:eastAsia="楷体_GB2312" w:cs="Times New Roman"/>
          <w:sz w:val="32"/>
          <w:szCs w:val="32"/>
          <w:lang w:val="zh-CN"/>
        </w:rPr>
        <w:t>项目实施。</w:t>
      </w:r>
      <w:r>
        <w:rPr>
          <w:rFonts w:hint="default" w:ascii="Times New Roman" w:hAnsi="Times New Roman" w:eastAsia="仿宋_GB2312" w:cs="Times New Roman"/>
          <w:sz w:val="32"/>
          <w:szCs w:val="32"/>
        </w:rPr>
        <w:t>资料收集。梳理项目资料，核实项目情况，统计项目数据。绩效自评。根据资料收集的情况，按照区财政支出绩效评价指标体系，以定量与定性相结合的方式，对项目绩效情况进行判断，对项目存在的问题进行分析，对各项考评指标进行自评。撰写报告。结合项目定性与定量评价分析，得出自评结论，并撰写自评报告</w:t>
      </w:r>
      <w:r>
        <w:rPr>
          <w:rFonts w:hint="default" w:ascii="Times New Roman" w:hAnsi="Times New Roman" w:eastAsia="仿宋_GB2312" w:cs="Times New Roman"/>
          <w:sz w:val="32"/>
          <w:szCs w:val="32"/>
          <w:lang w:val="zh-CN"/>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4.项目结果。</w:t>
      </w:r>
      <w:r>
        <w:rPr>
          <w:rFonts w:hint="default" w:ascii="Times New Roman" w:hAnsi="Times New Roman" w:eastAsia="仿宋_GB2312" w:cs="Times New Roman"/>
          <w:kern w:val="2"/>
          <w:sz w:val="32"/>
          <w:szCs w:val="32"/>
          <w:lang w:val="en-US" w:eastAsia="zh-CN" w:bidi="ar-SA"/>
        </w:rPr>
        <w:t>享受职业培训补贴人员数量完成</w:t>
      </w:r>
      <w:r>
        <w:rPr>
          <w:rFonts w:hint="default" w:ascii="Times New Roman" w:hAnsi="Times New Roman" w:cs="Times New Roman"/>
          <w:kern w:val="2"/>
          <w:sz w:val="32"/>
          <w:szCs w:val="32"/>
          <w:lang w:val="en-US" w:eastAsia="zh-CN" w:bidi="ar-SA"/>
        </w:rPr>
        <w:t>667人次；</w:t>
      </w:r>
      <w:r>
        <w:rPr>
          <w:rFonts w:hint="default" w:ascii="Times New Roman" w:hAnsi="Times New Roman" w:eastAsia="仿宋_GB2312" w:cs="Times New Roman"/>
          <w:kern w:val="2"/>
          <w:sz w:val="32"/>
          <w:szCs w:val="32"/>
          <w:lang w:val="en-US" w:eastAsia="zh-CN" w:bidi="ar-SA"/>
        </w:rPr>
        <w:t>享受社会保险补贴人员数量完成</w:t>
      </w:r>
      <w:r>
        <w:rPr>
          <w:rFonts w:hint="default" w:ascii="Times New Roman" w:hAnsi="Times New Roman" w:cs="Times New Roman"/>
          <w:kern w:val="2"/>
          <w:sz w:val="32"/>
          <w:szCs w:val="32"/>
          <w:lang w:val="en-US" w:eastAsia="zh-CN" w:bidi="ar-SA"/>
        </w:rPr>
        <w:t>494人次；</w:t>
      </w:r>
      <w:r>
        <w:rPr>
          <w:rFonts w:hint="default" w:ascii="Times New Roman" w:hAnsi="Times New Roman" w:eastAsia="仿宋_GB2312" w:cs="Times New Roman"/>
          <w:kern w:val="2"/>
          <w:sz w:val="32"/>
          <w:szCs w:val="32"/>
          <w:lang w:val="en-US" w:eastAsia="zh-CN" w:bidi="ar-SA"/>
        </w:rPr>
        <w:t>享受就业见习补贴人员数量完成</w:t>
      </w:r>
      <w:r>
        <w:rPr>
          <w:rFonts w:hint="default" w:ascii="Times New Roman" w:hAnsi="Times New Roman" w:cs="Times New Roman"/>
          <w:kern w:val="2"/>
          <w:sz w:val="32"/>
          <w:szCs w:val="32"/>
          <w:lang w:val="en-US" w:eastAsia="zh-CN" w:bidi="ar-SA"/>
        </w:rPr>
        <w:t>98</w:t>
      </w:r>
      <w:r>
        <w:rPr>
          <w:rFonts w:hint="default" w:ascii="Times New Roman" w:hAnsi="Times New Roman" w:eastAsia="仿宋_GB2312" w:cs="Times New Roman"/>
          <w:kern w:val="2"/>
          <w:sz w:val="32"/>
          <w:szCs w:val="32"/>
          <w:lang w:val="en-US" w:eastAsia="zh-CN" w:bidi="ar-SA"/>
        </w:rPr>
        <w:t>人</w:t>
      </w:r>
      <w:r>
        <w:rPr>
          <w:rFonts w:hint="default" w:ascii="Times New Roman" w:hAnsi="Times New Roman" w:cs="Times New Roman"/>
          <w:kern w:val="2"/>
          <w:sz w:val="32"/>
          <w:szCs w:val="32"/>
          <w:lang w:val="en-US" w:eastAsia="zh-CN" w:bidi="ar-SA"/>
        </w:rPr>
        <w:t>。</w:t>
      </w:r>
    </w:p>
    <w:p>
      <w:pPr>
        <w:adjustRightInd w:val="0"/>
        <w:snapToGrid w:val="0"/>
        <w:spacing w:line="600" w:lineRule="exact"/>
        <w:ind w:firstLine="720"/>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adjustRightInd w:val="0"/>
        <w:snapToGrid w:val="0"/>
        <w:spacing w:line="560" w:lineRule="exact"/>
        <w:ind w:firstLine="72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1.产业发展。</w:t>
      </w:r>
      <w:r>
        <w:rPr>
          <w:rFonts w:hint="default" w:ascii="Times New Roman" w:hAnsi="Times New Roman" w:eastAsia="仿宋_GB2312" w:cs="Times New Roman"/>
          <w:sz w:val="32"/>
          <w:szCs w:val="32"/>
        </w:rPr>
        <w:t>根据《就业创业补助资金管理使用办法》（川财社〔2019〕38 号）文件精神，为贯彻落实好各项就业创业政策，全面落实“我为群众办实事”部署要求，做好资金审核拨付工作，保证各项惠企惠民政策落实到位。</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zh-CN"/>
        </w:rPr>
      </w:pPr>
      <w:r>
        <w:rPr>
          <w:rFonts w:hint="default" w:ascii="Times New Roman" w:hAnsi="Times New Roman" w:eastAsia="仿宋_GB2312" w:cs="Times New Roman"/>
          <w:b w:val="0"/>
          <w:bCs w:val="0"/>
          <w:kern w:val="0"/>
          <w:position w:val="0"/>
          <w:sz w:val="32"/>
          <w:szCs w:val="32"/>
          <w:highlight w:val="none"/>
          <w:lang w:val="en-US" w:eastAsia="zh-CN" w:bidi="ar-SA"/>
        </w:rPr>
        <w:t>2.</w:t>
      </w:r>
      <w:r>
        <w:rPr>
          <w:rFonts w:hint="default" w:ascii="Times New Roman" w:hAnsi="Times New Roman" w:eastAsia="仿宋_GB2312" w:cs="Times New Roman"/>
          <w:b w:val="0"/>
          <w:bCs w:val="0"/>
          <w:kern w:val="0"/>
          <w:position w:val="0"/>
          <w:sz w:val="32"/>
          <w:szCs w:val="32"/>
          <w:highlight w:val="none"/>
          <w:lang w:val="zh-CN" w:eastAsia="zh-CN" w:bidi="ar-SA"/>
        </w:rPr>
        <w:t>民生保障。</w:t>
      </w:r>
      <w:r>
        <w:rPr>
          <w:rFonts w:hint="default" w:ascii="Times New Roman" w:hAnsi="Times New Roman" w:eastAsia="仿宋_GB2312" w:cs="Times New Roman"/>
          <w:kern w:val="2"/>
          <w:sz w:val="32"/>
          <w:szCs w:val="32"/>
          <w:lang w:val="en-US" w:eastAsia="zh-CN" w:bidi="ar-SA"/>
        </w:rPr>
        <w:t>享受职业培训补贴人员数量完成</w:t>
      </w:r>
      <w:r>
        <w:rPr>
          <w:rFonts w:hint="default" w:ascii="Times New Roman" w:hAnsi="Times New Roman" w:cs="Times New Roman"/>
          <w:kern w:val="2"/>
          <w:sz w:val="32"/>
          <w:szCs w:val="32"/>
          <w:lang w:val="en-US" w:eastAsia="zh-CN" w:bidi="ar-SA"/>
        </w:rPr>
        <w:t>667人次；</w:t>
      </w:r>
      <w:r>
        <w:rPr>
          <w:rFonts w:hint="default" w:ascii="Times New Roman" w:hAnsi="Times New Roman" w:eastAsia="仿宋_GB2312" w:cs="Times New Roman"/>
          <w:kern w:val="2"/>
          <w:sz w:val="32"/>
          <w:szCs w:val="32"/>
          <w:lang w:val="en-US" w:eastAsia="zh-CN" w:bidi="ar-SA"/>
        </w:rPr>
        <w:t>享受社会保险补贴人员数量完成</w:t>
      </w:r>
      <w:r>
        <w:rPr>
          <w:rFonts w:hint="default" w:ascii="Times New Roman" w:hAnsi="Times New Roman" w:cs="Times New Roman"/>
          <w:kern w:val="2"/>
          <w:sz w:val="32"/>
          <w:szCs w:val="32"/>
          <w:lang w:val="en-US" w:eastAsia="zh-CN" w:bidi="ar-SA"/>
        </w:rPr>
        <w:t>494人次；</w:t>
      </w:r>
      <w:r>
        <w:rPr>
          <w:rFonts w:hint="default" w:ascii="Times New Roman" w:hAnsi="Times New Roman" w:eastAsia="仿宋_GB2312" w:cs="Times New Roman"/>
          <w:kern w:val="2"/>
          <w:sz w:val="32"/>
          <w:szCs w:val="32"/>
          <w:lang w:val="en-US" w:eastAsia="zh-CN" w:bidi="ar-SA"/>
        </w:rPr>
        <w:t>享受就业见习补贴人员数量完成</w:t>
      </w:r>
      <w:r>
        <w:rPr>
          <w:rFonts w:hint="default" w:ascii="Times New Roman" w:hAnsi="Times New Roman" w:cs="Times New Roman"/>
          <w:kern w:val="2"/>
          <w:sz w:val="32"/>
          <w:szCs w:val="32"/>
          <w:lang w:val="en-US" w:eastAsia="zh-CN" w:bidi="ar-SA"/>
        </w:rPr>
        <w:t>98</w:t>
      </w:r>
      <w:r>
        <w:rPr>
          <w:rFonts w:hint="default" w:ascii="Times New Roman" w:hAnsi="Times New Roman" w:eastAsia="仿宋_GB2312" w:cs="Times New Roman"/>
          <w:kern w:val="2"/>
          <w:sz w:val="32"/>
          <w:szCs w:val="32"/>
          <w:lang w:val="en-US" w:eastAsia="zh-CN" w:bidi="ar-SA"/>
        </w:rPr>
        <w:t>人</w:t>
      </w:r>
      <w:r>
        <w:rPr>
          <w:rFonts w:hint="default" w:ascii="Times New Roman" w:hAnsi="Times New Roman" w:cs="Times New Roman"/>
          <w:kern w:val="2"/>
          <w:sz w:val="32"/>
          <w:szCs w:val="32"/>
          <w:lang w:val="en-US" w:eastAsia="zh-CN" w:bidi="ar-SA"/>
        </w:rPr>
        <w:t>。</w:t>
      </w:r>
    </w:p>
    <w:p>
      <w:pPr>
        <w:spacing w:line="353" w:lineRule="auto"/>
        <w:ind w:firstLine="652" w:firstLineChars="204"/>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3.基础设施。</w:t>
      </w:r>
      <w:r>
        <w:rPr>
          <w:rFonts w:hint="default" w:ascii="Times New Roman" w:hAnsi="Times New Roman" w:eastAsia="仿宋_GB2312" w:cs="Times New Roman"/>
          <w:sz w:val="32"/>
          <w:szCs w:val="32"/>
          <w:lang w:eastAsia="zh-CN"/>
        </w:rPr>
        <w:t>无。</w:t>
      </w:r>
    </w:p>
    <w:p>
      <w:pPr>
        <w:pStyle w:val="39"/>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default" w:ascii="Times New Roman" w:hAnsi="Times New Roman" w:eastAsia="仿宋_GB2312" w:cs="Times New Roman"/>
          <w:b w:val="0"/>
          <w:bCs w:val="0"/>
          <w:kern w:val="0"/>
          <w:position w:val="0"/>
          <w:sz w:val="32"/>
          <w:szCs w:val="32"/>
          <w:highlight w:val="none"/>
          <w:lang w:val="zh-CN" w:eastAsia="zh-CN" w:bidi="ar-SA"/>
        </w:rPr>
        <w:t>行政运转。通过落实培训补贴、社会保险补贴、公益性岗位补贴、就业见习补贴、求职创业补贴、就业创业服务补助等补助政策，确保完成年度城镇新增就业目标任务，努力实现全区就业局势基本稳定。</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kern w:val="2"/>
          <w:sz w:val="32"/>
          <w:szCs w:val="32"/>
          <w:lang w:val="en-US" w:eastAsia="zh-CN" w:bidi="ar-SA"/>
        </w:rPr>
        <w:t>零就业家庭帮扶率完成目标的≥98%</w:t>
      </w:r>
      <w:r>
        <w:rPr>
          <w:rFonts w:hint="default"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因就业问题发生重大群体性事件数量完成目标的0起</w:t>
      </w:r>
      <w:r>
        <w:rPr>
          <w:rFonts w:hint="default" w:ascii="Times New Roman" w:hAnsi="Times New Roman"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项目资金专款专用，全额用于支付</w:t>
      </w:r>
      <w:r>
        <w:rPr>
          <w:rFonts w:hint="default" w:ascii="Times New Roman" w:hAnsi="Times New Roman" w:eastAsia="仿宋_GB2312" w:cs="Times New Roman"/>
          <w:kern w:val="2"/>
          <w:sz w:val="32"/>
          <w:szCs w:val="32"/>
          <w:lang w:val="en-US" w:eastAsia="zh-CN" w:bidi="ar-SA"/>
        </w:rPr>
        <w:t>落实培训补贴、社会保险补贴、公益性岗位补贴、就业见习补贴、求职创业补贴、就业创业服务补助等补助政策。</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还需进一步加强预算编制的准确性和规范性，项目预算及专项经费执行情况受就业创业政策性影响较大，还需结合就业创业发展计划的统筹规划，提升预算编制质量和水平。二是还需要进一步加强项目经费事前、事中、事后监管。就业创业补助项目属于动态管理项目，补贴要根据符合条件的对象的申报情况来拨付，含不定性因素，开展绩效管理还有一定的难度。</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zh-CN" w:eastAsia="zh-CN" w:bidi="ar-SA"/>
        </w:rPr>
      </w:pPr>
      <w:r>
        <w:rPr>
          <w:rFonts w:hint="default" w:ascii="Times New Roman" w:hAnsi="Times New Roman" w:eastAsia="黑体" w:cs="Times New Roman"/>
          <w:b w:val="0"/>
          <w:bCs w:val="0"/>
          <w:kern w:val="0"/>
          <w:position w:val="0"/>
          <w:sz w:val="32"/>
          <w:szCs w:val="32"/>
          <w:highlight w:val="none"/>
          <w:lang w:val="zh-CN" w:eastAsia="zh-CN" w:bidi="ar-SA"/>
        </w:rPr>
        <w:t>六、改进建议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科学合理编制部门预算，推进预算编制科学化、准确化。加强事前、事中、事后监管，定期做好预算分析，加快预算执行进度。二是加大就业创业政策宣传力度，通过多媒体、网络、印制宣传资料等方式。三是多部门联合协作，信息共享，充分发挥主动性，主动联系符合申报条件的补贴对象前来申报补贴。三是推进制度规范化建设。学习先进单位的经验和做法，完善绩效评价制度和管理办法，充实绩效评价指标体系，提高财政资金使用效益。实现“及时纠偏、约束有力，全面覆盖、突出重点，信息共享、运用结果”的预算绩效目标。</w:t>
      </w:r>
    </w:p>
    <w:p>
      <w:pPr>
        <w:pStyle w:val="2"/>
        <w:rPr>
          <w:rFonts w:hint="default"/>
          <w:lang w:val="en-US" w:eastAsia="zh-CN"/>
        </w:rPr>
      </w:pPr>
    </w:p>
    <w:p>
      <w:pPr>
        <w:widowControl/>
        <w:jc w:val="center"/>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29"/>
          <w:rFonts w:hint="default" w:ascii="Times New Roman" w:hAnsi="Times New Roman" w:eastAsia="黑体" w:cs="Times New Roman"/>
          <w:b w:val="0"/>
          <w:color w:val="auto"/>
          <w:highlight w:val="none"/>
        </w:rPr>
        <w:t>五部分 附表</w:t>
      </w:r>
      <w:bookmarkEnd w:id="52"/>
      <w:bookmarkEnd w:id="54"/>
      <w:bookmarkStart w:id="57" w:name="_Toc1539661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57"/>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8" w:name="_Toc15396620"/>
      <w:r>
        <w:rPr>
          <w:rFonts w:hint="default" w:ascii="Times New Roman" w:hAnsi="Times New Roman" w:eastAsia="仿宋_GB2312" w:cs="Times New Roman"/>
          <w:color w:val="auto"/>
          <w:sz w:val="32"/>
          <w:szCs w:val="32"/>
          <w:highlight w:val="none"/>
        </w:rPr>
        <w:t>二、收入决算表</w:t>
      </w:r>
      <w:bookmarkEnd w:id="58"/>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9" w:name="_Toc15396621"/>
      <w:r>
        <w:rPr>
          <w:rFonts w:hint="default" w:ascii="Times New Roman" w:hAnsi="Times New Roman" w:eastAsia="仿宋_GB2312" w:cs="Times New Roman"/>
          <w:color w:val="auto"/>
          <w:sz w:val="32"/>
          <w:szCs w:val="32"/>
          <w:highlight w:val="none"/>
        </w:rPr>
        <w:t>三、支出决算表</w:t>
      </w:r>
      <w:bookmarkEnd w:id="5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0" w:name="_Toc15396622"/>
      <w:r>
        <w:rPr>
          <w:rFonts w:hint="default" w:ascii="Times New Roman" w:hAnsi="Times New Roman" w:eastAsia="仿宋_GB2312" w:cs="Times New Roman"/>
          <w:color w:val="auto"/>
          <w:sz w:val="32"/>
          <w:szCs w:val="32"/>
          <w:highlight w:val="none"/>
        </w:rPr>
        <w:t>四、财政拨款收入支出决算总表</w:t>
      </w:r>
      <w:bookmarkEnd w:id="60"/>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1" w:name="_Toc15396623"/>
      <w:r>
        <w:rPr>
          <w:rFonts w:hint="default" w:ascii="Times New Roman" w:hAnsi="Times New Roman" w:eastAsia="仿宋_GB2312" w:cs="Times New Roman"/>
          <w:color w:val="auto"/>
          <w:sz w:val="32"/>
          <w:szCs w:val="32"/>
          <w:highlight w:val="none"/>
        </w:rPr>
        <w:t>五、财政拨款支出决算明细表</w:t>
      </w:r>
      <w:bookmarkEnd w:id="61"/>
      <w:bookmarkStart w:id="62" w:name="_Toc1539662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62"/>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3" w:name="_Toc15396625"/>
      <w:r>
        <w:rPr>
          <w:rFonts w:hint="default" w:ascii="Times New Roman" w:hAnsi="Times New Roman" w:eastAsia="仿宋_GB2312" w:cs="Times New Roman"/>
          <w:color w:val="auto"/>
          <w:sz w:val="32"/>
          <w:szCs w:val="32"/>
          <w:highlight w:val="none"/>
        </w:rPr>
        <w:t>七、一般公共预算财政拨款支出决算明细表</w:t>
      </w:r>
      <w:bookmarkEnd w:id="63"/>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4" w:name="_Toc15396626"/>
      <w:r>
        <w:rPr>
          <w:rFonts w:hint="default" w:ascii="Times New Roman" w:hAnsi="Times New Roman" w:eastAsia="仿宋_GB2312" w:cs="Times New Roman"/>
          <w:color w:val="auto"/>
          <w:sz w:val="32"/>
          <w:szCs w:val="32"/>
          <w:highlight w:val="none"/>
        </w:rPr>
        <w:t>八、一般公共预算财政拨款基本支出决算表</w:t>
      </w:r>
      <w:bookmarkEnd w:id="6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5" w:name="_Toc15396627"/>
      <w:r>
        <w:rPr>
          <w:rFonts w:hint="default" w:ascii="Times New Roman" w:hAnsi="Times New Roman" w:eastAsia="仿宋_GB2312" w:cs="Times New Roman"/>
          <w:color w:val="auto"/>
          <w:sz w:val="32"/>
          <w:szCs w:val="32"/>
          <w:highlight w:val="none"/>
        </w:rPr>
        <w:t>九、一般公共预算财政拨款项目支出决算表</w:t>
      </w:r>
      <w:bookmarkEnd w:id="65"/>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6" w:name="_Toc15396628"/>
      <w:r>
        <w:rPr>
          <w:rFonts w:hint="default" w:ascii="Times New Roman" w:hAnsi="Times New Roman" w:eastAsia="仿宋_GB2312" w:cs="Times New Roman"/>
          <w:color w:val="auto"/>
          <w:sz w:val="32"/>
          <w:szCs w:val="32"/>
          <w:highlight w:val="none"/>
        </w:rPr>
        <w:t>十、</w:t>
      </w:r>
      <w:bookmarkEnd w:id="66"/>
      <w:r>
        <w:rPr>
          <w:rFonts w:hint="default" w:ascii="Times New Roman" w:hAnsi="Times New Roman" w:eastAsia="仿宋_GB2312" w:cs="Times New Roman"/>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7" w:name="_Toc15396629"/>
      <w:r>
        <w:rPr>
          <w:rFonts w:hint="default" w:ascii="Times New Roman" w:hAnsi="Times New Roman" w:eastAsia="仿宋_GB2312" w:cs="Times New Roman"/>
          <w:color w:val="auto"/>
          <w:sz w:val="32"/>
          <w:szCs w:val="32"/>
          <w:highlight w:val="none"/>
        </w:rPr>
        <w:t>十一、</w:t>
      </w:r>
      <w:bookmarkEnd w:id="67"/>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8" w:name="_Toc15396630"/>
      <w:r>
        <w:rPr>
          <w:rFonts w:hint="default" w:ascii="Times New Roman" w:hAnsi="Times New Roman" w:eastAsia="仿宋_GB2312" w:cs="Times New Roman"/>
          <w:color w:val="auto"/>
          <w:sz w:val="32"/>
          <w:szCs w:val="32"/>
          <w:highlight w:val="none"/>
        </w:rPr>
        <w:t>十二、</w:t>
      </w:r>
      <w:bookmarkEnd w:id="68"/>
      <w:r>
        <w:rPr>
          <w:rFonts w:hint="default" w:ascii="Times New Roman" w:hAnsi="Times New Roman" w:eastAsia="仿宋_GB2312" w:cs="Times New Roman"/>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69" w:name="_Toc15396631"/>
      <w:r>
        <w:rPr>
          <w:rFonts w:hint="default" w:ascii="Times New Roman" w:hAnsi="Times New Roman" w:eastAsia="仿宋_GB2312" w:cs="Times New Roman"/>
          <w:color w:val="auto"/>
          <w:sz w:val="32"/>
          <w:szCs w:val="32"/>
          <w:highlight w:val="none"/>
        </w:rPr>
        <w:t>十三、</w:t>
      </w:r>
      <w:bookmarkEnd w:id="69"/>
      <w:r>
        <w:rPr>
          <w:rFonts w:hint="default" w:ascii="Times New Roman" w:hAnsi="Times New Roman" w:eastAsia="仿宋_GB2312" w:cs="Times New Roman"/>
          <w:color w:val="auto"/>
          <w:sz w:val="32"/>
          <w:szCs w:val="32"/>
          <w:highlight w:val="none"/>
          <w:lang w:eastAsia="zh-CN"/>
        </w:rPr>
        <w:t>财政拨款“三公”经费支出决算表</w:t>
      </w:r>
    </w:p>
    <w:p>
      <w:pPr>
        <w:rPr>
          <w:rFonts w:hint="default" w:ascii="Times New Roman" w:hAnsi="Times New Roman" w:cs="Times New Roman"/>
          <w:lang w:eastAsia="zh-CN"/>
        </w:rPr>
      </w:pPr>
    </w:p>
    <w:sectPr>
      <w:footerReference r:id="rId5" w:type="first"/>
      <w:headerReference r:id="rId3" w:type="default"/>
      <w:footerReference r:id="rId4" w:type="default"/>
      <w:pgSz w:w="11906" w:h="16838"/>
      <w:pgMar w:top="2098" w:right="1474" w:bottom="1984" w:left="1587" w:header="907" w:footer="164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6CA6E"/>
    <w:multiLevelType w:val="singleLevel"/>
    <w:tmpl w:val="8E46CA6E"/>
    <w:lvl w:ilvl="0" w:tentative="0">
      <w:start w:val="2"/>
      <w:numFmt w:val="chineseCounting"/>
      <w:suff w:val="nothing"/>
      <w:lvlText w:val="（%1）"/>
      <w:lvlJc w:val="left"/>
      <w:pPr>
        <w:ind w:left="407"/>
      </w:pPr>
      <w:rPr>
        <w:rFonts w:hint="eastAsia"/>
      </w:rPr>
    </w:lvl>
  </w:abstractNum>
  <w:abstractNum w:abstractNumId="1">
    <w:nsid w:val="36E4A258"/>
    <w:multiLevelType w:val="singleLevel"/>
    <w:tmpl w:val="36E4A258"/>
    <w:lvl w:ilvl="0" w:tentative="0">
      <w:start w:val="3"/>
      <w:numFmt w:val="chineseCounting"/>
      <w:suff w:val="nothing"/>
      <w:lvlText w:val="（%1）"/>
      <w:lvlJc w:val="left"/>
      <w:rPr>
        <w:rFonts w:hint="eastAsia"/>
      </w:rPr>
    </w:lvl>
  </w:abstractNum>
  <w:abstractNum w:abstractNumId="2">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3">
    <w:nsid w:val="662EDFD5"/>
    <w:multiLevelType w:val="singleLevel"/>
    <w:tmpl w:val="662EDFD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024B"/>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7D5AF4"/>
    <w:rsid w:val="07996F6E"/>
    <w:rsid w:val="07DFD8BA"/>
    <w:rsid w:val="08BD44F2"/>
    <w:rsid w:val="09867E8F"/>
    <w:rsid w:val="0A2032A3"/>
    <w:rsid w:val="0B13670D"/>
    <w:rsid w:val="0BE8478B"/>
    <w:rsid w:val="0CA8290A"/>
    <w:rsid w:val="0D35B1ED"/>
    <w:rsid w:val="0E254B6B"/>
    <w:rsid w:val="0F98263C"/>
    <w:rsid w:val="101860EC"/>
    <w:rsid w:val="101F47CC"/>
    <w:rsid w:val="10C055FF"/>
    <w:rsid w:val="11100294"/>
    <w:rsid w:val="11694EBD"/>
    <w:rsid w:val="11772AA4"/>
    <w:rsid w:val="118107EC"/>
    <w:rsid w:val="12E24EE2"/>
    <w:rsid w:val="13D50BC4"/>
    <w:rsid w:val="14B17F78"/>
    <w:rsid w:val="14D96A8C"/>
    <w:rsid w:val="15947B34"/>
    <w:rsid w:val="165E0673"/>
    <w:rsid w:val="16B831D5"/>
    <w:rsid w:val="16BB723D"/>
    <w:rsid w:val="179F7C4F"/>
    <w:rsid w:val="17E50567"/>
    <w:rsid w:val="186504BB"/>
    <w:rsid w:val="188B6452"/>
    <w:rsid w:val="19A445FC"/>
    <w:rsid w:val="1A2C6C3F"/>
    <w:rsid w:val="1BE8440E"/>
    <w:rsid w:val="1D155CEE"/>
    <w:rsid w:val="1D1638FE"/>
    <w:rsid w:val="1E312DEB"/>
    <w:rsid w:val="1E740ACF"/>
    <w:rsid w:val="1FF35744"/>
    <w:rsid w:val="1FF6BC77"/>
    <w:rsid w:val="211A5F29"/>
    <w:rsid w:val="2186353C"/>
    <w:rsid w:val="21C84BA0"/>
    <w:rsid w:val="227635D6"/>
    <w:rsid w:val="23860B96"/>
    <w:rsid w:val="240371BF"/>
    <w:rsid w:val="244F3473"/>
    <w:rsid w:val="24C97D99"/>
    <w:rsid w:val="25A718F0"/>
    <w:rsid w:val="25BB59F6"/>
    <w:rsid w:val="260F557C"/>
    <w:rsid w:val="26970054"/>
    <w:rsid w:val="281408E2"/>
    <w:rsid w:val="287D0F87"/>
    <w:rsid w:val="29FD04D3"/>
    <w:rsid w:val="2A890A1C"/>
    <w:rsid w:val="2BFF7BC6"/>
    <w:rsid w:val="2C8A61B5"/>
    <w:rsid w:val="2DF04E50"/>
    <w:rsid w:val="2E586DFA"/>
    <w:rsid w:val="2E8B0409"/>
    <w:rsid w:val="2F040D46"/>
    <w:rsid w:val="2F5728B3"/>
    <w:rsid w:val="2F6B035B"/>
    <w:rsid w:val="2FAE5751"/>
    <w:rsid w:val="2FB1A395"/>
    <w:rsid w:val="2FD9A7D8"/>
    <w:rsid w:val="2FDBF714"/>
    <w:rsid w:val="307D4932"/>
    <w:rsid w:val="30AB6865"/>
    <w:rsid w:val="319F7F4E"/>
    <w:rsid w:val="324D4B77"/>
    <w:rsid w:val="326A1654"/>
    <w:rsid w:val="32BD1EF1"/>
    <w:rsid w:val="3304709D"/>
    <w:rsid w:val="33A773CB"/>
    <w:rsid w:val="349D6851"/>
    <w:rsid w:val="36AA5135"/>
    <w:rsid w:val="36BE0DA7"/>
    <w:rsid w:val="376B6AA6"/>
    <w:rsid w:val="376D39B2"/>
    <w:rsid w:val="37E16F03"/>
    <w:rsid w:val="37F53A3B"/>
    <w:rsid w:val="385D692C"/>
    <w:rsid w:val="389B6C89"/>
    <w:rsid w:val="38D469F0"/>
    <w:rsid w:val="39627CCD"/>
    <w:rsid w:val="397BAF1F"/>
    <w:rsid w:val="3AB79AF3"/>
    <w:rsid w:val="3AE834C0"/>
    <w:rsid w:val="3B7EF35A"/>
    <w:rsid w:val="3B9FDB6C"/>
    <w:rsid w:val="3BF5BC2F"/>
    <w:rsid w:val="3CEBA265"/>
    <w:rsid w:val="3D0A15CC"/>
    <w:rsid w:val="3D98207C"/>
    <w:rsid w:val="3DEE7CF3"/>
    <w:rsid w:val="3E740A63"/>
    <w:rsid w:val="3E78745D"/>
    <w:rsid w:val="3EE17838"/>
    <w:rsid w:val="3F55381A"/>
    <w:rsid w:val="3F7F7599"/>
    <w:rsid w:val="3FF4CAE0"/>
    <w:rsid w:val="3FF7B227"/>
    <w:rsid w:val="44E268DA"/>
    <w:rsid w:val="450D13D7"/>
    <w:rsid w:val="454B049A"/>
    <w:rsid w:val="45506656"/>
    <w:rsid w:val="45EA0DC5"/>
    <w:rsid w:val="486A6C7A"/>
    <w:rsid w:val="4A627F82"/>
    <w:rsid w:val="4B0E749A"/>
    <w:rsid w:val="4B2477C4"/>
    <w:rsid w:val="4B4F25DA"/>
    <w:rsid w:val="4BE068DB"/>
    <w:rsid w:val="4D577224"/>
    <w:rsid w:val="4DBF1CEB"/>
    <w:rsid w:val="4DF0007C"/>
    <w:rsid w:val="4EAB630A"/>
    <w:rsid w:val="4ECE2238"/>
    <w:rsid w:val="4EE021F5"/>
    <w:rsid w:val="4F833267"/>
    <w:rsid w:val="4FE9BD67"/>
    <w:rsid w:val="4FFB052F"/>
    <w:rsid w:val="537E6D0A"/>
    <w:rsid w:val="53F74C96"/>
    <w:rsid w:val="55170BA8"/>
    <w:rsid w:val="553218C9"/>
    <w:rsid w:val="567E1AA5"/>
    <w:rsid w:val="56E47B74"/>
    <w:rsid w:val="56F0028C"/>
    <w:rsid w:val="57175D52"/>
    <w:rsid w:val="57BD3DD4"/>
    <w:rsid w:val="57D961AD"/>
    <w:rsid w:val="5AF92295"/>
    <w:rsid w:val="5B250254"/>
    <w:rsid w:val="5B260A13"/>
    <w:rsid w:val="5BDD79E6"/>
    <w:rsid w:val="5BF561CA"/>
    <w:rsid w:val="5BFF5DFC"/>
    <w:rsid w:val="5CD71FC4"/>
    <w:rsid w:val="5D1F11B5"/>
    <w:rsid w:val="5D22487D"/>
    <w:rsid w:val="5D695134"/>
    <w:rsid w:val="5DAE1B18"/>
    <w:rsid w:val="5DE7D9E5"/>
    <w:rsid w:val="5ECEC941"/>
    <w:rsid w:val="5FBF9FF3"/>
    <w:rsid w:val="5FCD4E2C"/>
    <w:rsid w:val="5FED3A43"/>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CC12C6C"/>
    <w:rsid w:val="6DBF5E93"/>
    <w:rsid w:val="6DD87267"/>
    <w:rsid w:val="6DFF077E"/>
    <w:rsid w:val="6E714EF0"/>
    <w:rsid w:val="6E7E3605"/>
    <w:rsid w:val="6E7FDCC7"/>
    <w:rsid w:val="6ED6A62E"/>
    <w:rsid w:val="6EE00B15"/>
    <w:rsid w:val="6F6FB3EB"/>
    <w:rsid w:val="6F8731EA"/>
    <w:rsid w:val="6FAA5C3A"/>
    <w:rsid w:val="6FCE6052"/>
    <w:rsid w:val="6FD57C00"/>
    <w:rsid w:val="6FEFFFD8"/>
    <w:rsid w:val="6FF5CC65"/>
    <w:rsid w:val="6FFB47EC"/>
    <w:rsid w:val="6FFF034A"/>
    <w:rsid w:val="70484440"/>
    <w:rsid w:val="70F57389"/>
    <w:rsid w:val="712A28F1"/>
    <w:rsid w:val="715C0E4B"/>
    <w:rsid w:val="71992E7C"/>
    <w:rsid w:val="72233669"/>
    <w:rsid w:val="72734D90"/>
    <w:rsid w:val="72791B84"/>
    <w:rsid w:val="73160E6D"/>
    <w:rsid w:val="7332FE48"/>
    <w:rsid w:val="73AB61DA"/>
    <w:rsid w:val="73AD73D5"/>
    <w:rsid w:val="73B6EB34"/>
    <w:rsid w:val="73FA497D"/>
    <w:rsid w:val="744731E5"/>
    <w:rsid w:val="74BBD01D"/>
    <w:rsid w:val="74ED5379"/>
    <w:rsid w:val="75DEEEC2"/>
    <w:rsid w:val="75E32345"/>
    <w:rsid w:val="7652722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2F3497"/>
    <w:rsid w:val="7B6C7DFB"/>
    <w:rsid w:val="7B8D2FD1"/>
    <w:rsid w:val="7BBFBED0"/>
    <w:rsid w:val="7BC3E394"/>
    <w:rsid w:val="7C1F3737"/>
    <w:rsid w:val="7CB04D76"/>
    <w:rsid w:val="7CBFC87B"/>
    <w:rsid w:val="7CFE0F48"/>
    <w:rsid w:val="7D272ABC"/>
    <w:rsid w:val="7D7EC23E"/>
    <w:rsid w:val="7DF663F6"/>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next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eastAsia="宋体"/>
      <w:sz w:val="21"/>
      <w:szCs w:val="22"/>
    </w:r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1"/>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Calibri" w:hAnsi="Calibri" w:eastAsia="宋体" w:cs="Times New Roman"/>
      <w:sz w:val="20"/>
      <w:szCs w:val="20"/>
    </w:rPr>
  </w:style>
  <w:style w:type="paragraph" w:customStyle="1" w:styleId="37">
    <w:name w:val="WPSOffice手动目录 2"/>
    <w:qFormat/>
    <w:uiPriority w:val="0"/>
    <w:pPr>
      <w:ind w:leftChars="200"/>
    </w:pPr>
    <w:rPr>
      <w:rFonts w:ascii="Calibri" w:hAnsi="Calibri" w:eastAsia="宋体" w:cs="Times New Roman"/>
      <w:sz w:val="20"/>
      <w:szCs w:val="20"/>
    </w:rPr>
  </w:style>
  <w:style w:type="character" w:customStyle="1" w:styleId="38">
    <w:name w:val="标题 2 字符"/>
    <w:basedOn w:val="18"/>
    <w:link w:val="4"/>
    <w:qFormat/>
    <w:uiPriority w:val="9"/>
    <w:rPr>
      <w:rFonts w:ascii="Cambria" w:hAnsi="Cambria" w:eastAsia="宋体" w:cs="Times New Roman"/>
      <w:b/>
      <w:bCs/>
      <w:kern w:val="2"/>
      <w:sz w:val="32"/>
      <w:szCs w:val="32"/>
    </w:rPr>
  </w:style>
  <w:style w:type="paragraph" w:customStyle="1" w:styleId="39">
    <w:name w:val="图表目录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00416666666666667"/>
                  <c:y val="0.01736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020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'[图表、上会报表模版.xlsx]单位决算公开图表 (2)'!$B$3:$B$4</c:f>
              <c:strCache>
                <c:ptCount val="2"/>
                <c:pt idx="0">
                  <c:v>2023年度</c:v>
                </c:pt>
                <c:pt idx="1">
                  <c:v>2024年度</c:v>
                </c:pt>
              </c:strCache>
            </c:strRef>
          </c:cat>
          <c:val>
            <c:numRef>
              <c:f>'[图表、上会报表模版.xlsx]单位决算公开图表 (2)'!$C$3:$C$4</c:f>
              <c:numCache>
                <c:formatCode>General</c:formatCode>
                <c:ptCount val="2"/>
                <c:pt idx="0">
                  <c:v>2952.6</c:v>
                </c:pt>
                <c:pt idx="1">
                  <c:v>3699.77</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Lbls>
            <c:dLbl>
              <c:idx val="0"/>
              <c:layout>
                <c:manualLayout>
                  <c:x val="-0.0130727933975436"/>
                  <c:y val="-0.34958930097168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173512685914261"/>
                  <c:y val="-0.01710629921259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'[图表、上会报表模版.xlsx]单位决算公开图表 (2)'!$B$23:$B$24</c:f>
              <c:strCache>
                <c:ptCount val="2"/>
                <c:pt idx="0">
                  <c:v>一般公共预算财政拨款收入</c:v>
                </c:pt>
                <c:pt idx="1">
                  <c:v>政府性基金预算财政拨款收入</c:v>
                </c:pt>
              </c:strCache>
            </c:strRef>
          </c:cat>
          <c:val>
            <c:numRef>
              <c:f>'[图表、上会报表模版.xlsx]单位决算公开图表 (2)'!$C$23:$C$24</c:f>
              <c:numCache>
                <c:formatCode>General</c:formatCode>
                <c:ptCount val="2"/>
                <c:pt idx="0">
                  <c:v>3681.67</c:v>
                </c:pt>
                <c:pt idx="1">
                  <c:v>5</c:v>
                </c:pt>
              </c:numCache>
            </c:numRef>
          </c:val>
        </c:ser>
        <c:dLbls>
          <c:showLegendKey val="0"/>
          <c:showVal val="0"/>
          <c:showCatName val="0"/>
          <c:showSerName val="0"/>
          <c:showPercent val="1"/>
          <c:showBubbleSize val="0"/>
        </c:dLbls>
      </c:pie3D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Lbls>
            <c:dLbl>
              <c:idx val="0"/>
              <c:layout>
                <c:manualLayout>
                  <c:x val="-0.223510776103565"/>
                  <c:y val="0.01577956629545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2081721410211"/>
                  <c:y val="-0.20036471379247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'[图表、上会报表模版.xlsx]单位决算公开图表 (2)'!$B$48:$B$49</c:f>
              <c:strCache>
                <c:ptCount val="2"/>
                <c:pt idx="0">
                  <c:v>基本支出</c:v>
                </c:pt>
                <c:pt idx="1">
                  <c:v>项目支出</c:v>
                </c:pt>
              </c:strCache>
            </c:strRef>
          </c:cat>
          <c:val>
            <c:numRef>
              <c:f>'[图表、上会报表模版.xlsx]单位决算公开图表 (2)'!$C$48:$C$49</c:f>
              <c:numCache>
                <c:formatCode>General</c:formatCode>
                <c:ptCount val="2"/>
                <c:pt idx="0">
                  <c:v>1381.65</c:v>
                </c:pt>
                <c:pt idx="1">
                  <c:v>2318.12</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00416666666666667"/>
                  <c:y val="0.01736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020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'[图表、上会报表模版.xlsx]单位决算公开图表 (2)'!$B$3:$B$4</c:f>
              <c:strCache>
                <c:ptCount val="2"/>
                <c:pt idx="0">
                  <c:v>2023年度</c:v>
                </c:pt>
                <c:pt idx="1">
                  <c:v>2024年度</c:v>
                </c:pt>
              </c:strCache>
            </c:strRef>
          </c:cat>
          <c:val>
            <c:numRef>
              <c:f>'[图表、上会报表模版.xlsx]单位决算公开图表 (2)'!$C$3:$C$4</c:f>
              <c:numCache>
                <c:formatCode>General</c:formatCode>
                <c:ptCount val="2"/>
                <c:pt idx="0">
                  <c:v>2952.6</c:v>
                </c:pt>
                <c:pt idx="1">
                  <c:v>3699.77</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00416666666666667"/>
                  <c:y val="0.01736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020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'[图表、上会报表模版.xlsx]单位决算公开图表 (2)'!$B$61:$B$62</c:f>
              <c:strCache>
                <c:ptCount val="2"/>
                <c:pt idx="0">
                  <c:v>2023年度</c:v>
                </c:pt>
                <c:pt idx="1">
                  <c:v>2024年度</c:v>
                </c:pt>
              </c:strCache>
            </c:strRef>
          </c:cat>
          <c:val>
            <c:numRef>
              <c:f>'[图表、上会报表模版.xlsx]单位决算公开图表 (2)'!$C$61:$C$62</c:f>
              <c:numCache>
                <c:formatCode>General</c:formatCode>
                <c:ptCount val="2"/>
                <c:pt idx="0">
                  <c:v>2933.61</c:v>
                </c:pt>
                <c:pt idx="1">
                  <c:v>3694.77</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681555555555556"/>
          <c:y val="0.100089786756454"/>
          <c:w val="0.551466666666667"/>
          <c:h val="0.793086419753086"/>
        </c:manualLayout>
      </c:layout>
      <c:pie3DChart>
        <c:varyColors val="1"/>
        <c:ser>
          <c:idx val="0"/>
          <c:order val="0"/>
          <c:explosion val="0"/>
          <c:dPt>
            <c:idx val="0"/>
            <c:bubble3D val="0"/>
          </c:dPt>
          <c:dPt>
            <c:idx val="1"/>
            <c:bubble3D val="0"/>
          </c:dPt>
          <c:dPt>
            <c:idx val="2"/>
            <c:bubble3D val="0"/>
          </c:dPt>
          <c:dPt>
            <c:idx val="3"/>
            <c:bubble3D val="0"/>
          </c:dPt>
          <c:dLbls>
            <c:dLbl>
              <c:idx val="2"/>
              <c:layout>
                <c:manualLayout>
                  <c:x val="-0.0205398686565312"/>
                  <c:y val="0.016763635655520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462819208123573"/>
                  <c:y val="0.011296870176846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2.1</a:t>
                    </a:r>
                    <a:r>
                      <a:rPr lang="en-US" altLang="zh-CN"/>
                      <a:t>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[图表、上会报表模版.xlsx]部门决算公开图表1!$B$83:$B$86</c:f>
              <c:strCache>
                <c:ptCount val="4"/>
                <c:pt idx="0">
                  <c:v>教育支出</c:v>
                </c:pt>
                <c:pt idx="1">
                  <c:v>社会保障和就业支出</c:v>
                </c:pt>
                <c:pt idx="2">
                  <c:v>卫生健康支出</c:v>
                </c:pt>
                <c:pt idx="3">
                  <c:v>住房保障支出</c:v>
                </c:pt>
              </c:strCache>
            </c:strRef>
          </c:cat>
          <c:val>
            <c:numRef>
              <c:f>[图表、上会报表模版.xlsx]部门决算公开图表1!$C$83:$C$86</c:f>
              <c:numCache>
                <c:formatCode>General</c:formatCode>
                <c:ptCount val="4"/>
                <c:pt idx="0">
                  <c:v>1000</c:v>
                </c:pt>
                <c:pt idx="1">
                  <c:v>2525.88</c:v>
                </c:pt>
                <c:pt idx="2">
                  <c:v>90.6</c:v>
                </c:pt>
                <c:pt idx="3">
                  <c:v>78.29</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Lbls>
            <c:dLbl>
              <c:idx val="0"/>
              <c:layout>
                <c:manualLayout>
                  <c:x val="0.00171347331583554"/>
                  <c:y val="-0.44450975426317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100%</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[图表、上会报表模版.xlsx]部门决算公开图表1!$B$100</c:f>
              <c:strCache>
                <c:ptCount val="1"/>
                <c:pt idx="0">
                  <c:v>公务接待费支出</c:v>
                </c:pt>
              </c:strCache>
            </c:strRef>
          </c:cat>
          <c:val>
            <c:numRef>
              <c:f>[图表、上会报表模版.xlsx]部门决算公开图表1!$C$100</c:f>
              <c:numCache>
                <c:formatCode>General</c:formatCode>
                <c:ptCount val="1"/>
                <c:pt idx="0">
                  <c:v>0.6</c:v>
                </c:pt>
              </c:numCache>
            </c:numRef>
          </c:val>
        </c:ser>
        <c:dLbls>
          <c:showLegendKey val="0"/>
          <c:showVal val="0"/>
          <c:showCatName val="0"/>
          <c:showSerName val="0"/>
          <c:showPercent val="1"/>
          <c:showBubbleSize val="0"/>
        </c:dLbls>
      </c:pie3D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11237</Words>
  <Characters>11938</Characters>
  <Lines>61</Lines>
  <Paragraphs>17</Paragraphs>
  <TotalTime>6</TotalTime>
  <ScaleCrop>false</ScaleCrop>
  <LinksUpToDate>false</LinksUpToDate>
  <CharactersWithSpaces>12468</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旷桃仙</cp:lastModifiedBy>
  <cp:lastPrinted>2025-10-30T07:45:00Z</cp:lastPrinted>
  <dcterms:modified xsi:type="dcterms:W3CDTF">2025-11-04T01:47:31Z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04787F2533EB45DC91BCDE4AB213247F</vt:lpwstr>
  </property>
  <property fmtid="{D5CDD505-2E9C-101B-9397-08002B2CF9AE}" pid="4" name="KSOTemplateDocerSaveRecord">
    <vt:lpwstr>eyJoZGlkIjoiNjc3YWQ0OTgxNzMyMjllNTZlMTRmMzYyYmFkNjRhYTIiLCJ1c2VySWQiOiIxNjM3NzUzNzExIn0=</vt:lpwstr>
  </property>
</Properties>
</file>