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77193"/>
      <w:bookmarkStart w:id="3" w:name="_Toc15378441"/>
      <w:bookmarkStart w:id="4" w:name="_Toc15306267"/>
      <w:bookmarkStart w:id="5" w:name="_Toc1539659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bookmarkEnd w:id="5"/>
    <w:p>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2024年度四川省攀枝花市西区</w:t>
      </w:r>
    </w:p>
    <w:p>
      <w:pPr>
        <w:pStyle w:val="2"/>
        <w:jc w:val="center"/>
        <w:rPr>
          <w:rFonts w:hint="default" w:ascii="方正小标宋简体" w:hAnsi="宋体" w:eastAsia="方正小标宋简体" w:cs="Times New Roman"/>
          <w:color w:val="auto"/>
          <w:kern w:val="2"/>
          <w:sz w:val="44"/>
          <w:szCs w:val="44"/>
          <w:highlight w:val="none"/>
          <w:lang w:val="en-US" w:eastAsia="zh-CN" w:bidi="ar-SA"/>
        </w:rPr>
      </w:pPr>
      <w:bookmarkStart w:id="65" w:name="_GoBack"/>
      <w:bookmarkEnd w:id="65"/>
      <w:r>
        <w:rPr>
          <w:rFonts w:hint="eastAsia" w:ascii="方正小标宋简体" w:hAnsi="宋体" w:eastAsia="方正小标宋简体" w:cs="Times New Roman"/>
          <w:color w:val="auto"/>
          <w:kern w:val="2"/>
          <w:sz w:val="44"/>
          <w:szCs w:val="44"/>
          <w:highlight w:val="none"/>
          <w:lang w:val="en-US" w:eastAsia="zh-CN" w:bidi="ar-SA"/>
        </w:rPr>
        <w:t>就业创业促进中心单位决算编制说明</w:t>
      </w:r>
    </w:p>
    <w:p>
      <w:pPr>
        <w:widowControl/>
        <w:jc w:val="both"/>
        <w:rPr>
          <w:rFonts w:hint="eastAsia" w:ascii="Times New Roman" w:hAnsi="Times New Roman" w:eastAsia="黑体"/>
          <w:color w:val="auto"/>
          <w:sz w:val="48"/>
          <w:szCs w:val="48"/>
          <w:highlight w:val="none"/>
        </w:rPr>
        <w:sectPr>
          <w:footerReference r:id="rId3" w:type="default"/>
          <w:pgSz w:w="11906" w:h="16838"/>
          <w:pgMar w:top="1440" w:right="1800" w:bottom="1440" w:left="1800" w:header="720" w:footer="720" w:gutter="0"/>
          <w:pgNumType w:fmt="numberInDash" w:start="0"/>
          <w:cols w:space="720" w:num="1"/>
          <w:docGrid w:type="lines" w:linePitch="312"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第一部分 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1</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2</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3</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4</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7</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8</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9</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kern w:val="2"/>
          <w:sz w:val="32"/>
          <w:szCs w:val="32"/>
          <w:lang w:val="en-US" w:eastAsia="zh-CN" w:bidi="ar-SA"/>
        </w:rPr>
        <w:t>9</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11</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14</w:t>
      </w:r>
    </w:p>
    <w:p>
      <w:pPr>
        <w:pStyle w:val="12"/>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pStyle w:val="14"/>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pPr>
        <w:widowControl/>
        <w:adjustRightInd w:val="0"/>
        <w:snapToGrid w:val="0"/>
        <w:spacing w:line="440" w:lineRule="exact"/>
        <w:ind w:left="0" w:leftChars="0" w:firstLine="314" w:firstLineChars="131"/>
        <w:jc w:val="left"/>
        <w:rPr>
          <w:rFonts w:ascii="仿宋" w:hAnsi="仿宋" w:eastAsia="仿宋"/>
          <w:sz w:val="24"/>
        </w:rPr>
      </w:pPr>
    </w:p>
    <w:p>
      <w:pPr>
        <w:keepNext w:val="0"/>
        <w:keepLines w:val="0"/>
        <w:pageBreakBefore w:val="0"/>
        <w:widowControl/>
        <w:tabs>
          <w:tab w:val="right" w:leader="dot" w:pos="7350"/>
          <w:tab w:val="right" w:leader="dot" w:pos="8296"/>
        </w:tabs>
        <w:kinsoku/>
        <w:wordWrap/>
        <w:overflowPunct/>
        <w:topLinePunct w:val="0"/>
        <w:autoSpaceDE/>
        <w:autoSpaceDN/>
        <w:bidi w:val="0"/>
        <w:adjustRightInd w:val="0"/>
        <w:snapToGrid w:val="0"/>
        <w:spacing w:line="440" w:lineRule="exact"/>
        <w:ind w:firstLine="1320" w:firstLineChars="550"/>
        <w:jc w:val="left"/>
        <w:textAlignment w:val="auto"/>
        <w:rPr>
          <w:rFonts w:ascii="仿宋" w:hAnsi="仿宋" w:eastAsia="仿宋"/>
          <w:color w:val="auto"/>
          <w:sz w:val="24"/>
          <w:highlight w:val="none"/>
        </w:rPr>
      </w:pPr>
    </w:p>
    <w:p>
      <w:pPr>
        <w:keepNext w:val="0"/>
        <w:keepLines w:val="0"/>
        <w:pageBreakBefore w:val="0"/>
        <w:widowControl/>
        <w:tabs>
          <w:tab w:val="right" w:leader="dot" w:pos="7350"/>
          <w:tab w:val="right" w:leader="dot" w:pos="8296"/>
        </w:tabs>
        <w:kinsoku/>
        <w:wordWrap/>
        <w:overflowPunct/>
        <w:topLinePunct w:val="0"/>
        <w:autoSpaceDE/>
        <w:autoSpaceDN/>
        <w:bidi w:val="0"/>
        <w:spacing w:line="440" w:lineRule="exact"/>
        <w:jc w:val="left"/>
        <w:textAlignment w:val="auto"/>
        <w:rPr>
          <w:rFonts w:ascii="仿宋" w:hAnsi="仿宋" w:eastAsia="仿宋"/>
          <w:bCs/>
          <w:color w:val="auto"/>
          <w:kern w:val="44"/>
          <w:sz w:val="24"/>
          <w:highlight w:val="none"/>
        </w:rPr>
        <w:sectPr>
          <w:footerReference r:id="rId4" w:type="default"/>
          <w:pgSz w:w="11906" w:h="16838"/>
          <w:pgMar w:top="2098" w:right="1474" w:bottom="1984" w:left="1587" w:header="720" w:footer="720" w:gutter="0"/>
          <w:paperSrc/>
          <w:pgNumType w:fmt="numberInDash" w:start="1"/>
          <w:cols w:space="0" w:num="1"/>
          <w:docGrid w:type="lines" w:linePitch="312" w:charSpace="0"/>
        </w:sectPr>
      </w:pPr>
    </w:p>
    <w:p>
      <w:pPr>
        <w:pStyle w:val="3"/>
        <w:jc w:val="center"/>
        <w:rPr>
          <w:rStyle w:val="28"/>
          <w:rFonts w:hint="eastAsia" w:ascii="Times New Roman" w:hAnsi="Times New Roman" w:eastAsia="方正小标宋简体" w:cs="方正小标宋简体"/>
          <w:b/>
          <w:bCs w:val="0"/>
          <w:color w:val="auto"/>
          <w:highlight w:val="none"/>
        </w:rPr>
      </w:pPr>
      <w:bookmarkStart w:id="6" w:name="_Toc15396599"/>
      <w:bookmarkStart w:id="7" w:name="_Toc1537719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pPr>
        <w:pStyle w:val="4"/>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一）负责贯彻执行《中华人民共和国就业促进法》、省、市有关促进就业的法律、法规、方针和政策，组织实施积极的就业政策，促进城乡劳动者充分就业、自主创业。</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开展全区就业管理服务，制定并实施全区公共就业服务计划；组织实施统筹城乡就业，为辖区失业登记人员、进城务工农民、失地农民、外来务工人员和高校毕业生等城乡劳动者提供均等化就业服务，协调有关部门落实好促进就业和创业促就业的政策、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（三）负责全区公共就业服务体系建设。指导检查各街道（乡、镇）、社区（村）公共就业服务机构实施基层平台建设，开展就业（失业）登记、职业介绍、就业指导、就业培训等就业服务工作。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（四）负责全区就业创业培训工作，全面开展对城乡劳动者、大学生的就业技能培训和创业培训。</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（五）贯彻落实中央、省、市关于失业保险法律、法规和政策，负责失业保险各项待遇的申领发放和为领取失业保险金期间失业人员代缴基本医疗保险费等工作。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（六）负责全区就业援助工作，组织实施就业困难人员的认定，积极开展就业援助，并负责做好职业介绍补贴、社会保险补贴、职业培训补贴、岗位补贴、高校毕业生创业补贴等促进就业创业政策。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（七）负责高校毕业生就业创业服务、就业见习基地及见习生的认定审核、离校未就业的高校毕业生跟踪服务和实名制管理、困难高校毕业生的就业援助、大学生就业创业培训。</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（八）负责对城乡各类失业人员自主创业、合伙经营企业的创业担保贷款进行审核、推荐。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（九）负责全区公共就业服务信息化建设，组织开展人力资源调查、失业预警监测、综合分析统计。</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（十）行使区人力资源和社会保障局赋予的其他职权，完成区委、区政府和区人力资源和社会保障局交办的其它工作。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（十一）承担农民工回引、就业创业、技能培训、维权救助、健康服务、关怀慰问、志愿服务、表扬激励等工作；承担农民工服务网站、基本信息数据库的运行维护、各类信息数据管理等工作。</w:t>
      </w:r>
    </w:p>
    <w:p>
      <w:pPr>
        <w:pStyle w:val="4"/>
        <w:pageBreakBefore w:val="0"/>
        <w:widowControl w:val="0"/>
        <w:kinsoku/>
        <w:wordWrap/>
        <w:overflowPunct/>
        <w:topLinePunct w:val="0"/>
        <w:autoSpaceDE/>
        <w:autoSpaceDN/>
        <w:bidi w:val="0"/>
        <w:adjustRightInd/>
        <w:snapToGrid/>
        <w:spacing w:before="0" w:after="0" w:line="240" w:lineRule="auto"/>
        <w:ind w:left="0" w:leftChars="0" w:firstLine="640" w:firstLineChars="200"/>
        <w:textAlignment w:val="auto"/>
        <w:rPr>
          <w:rStyle w:val="29"/>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攀枝花市西区就业创业促进中心</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bookmarkStart w:id="12" w:name="_Toc15377204"/>
      <w:bookmarkStart w:id="13" w:name="_Toc15396602"/>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pPr>
        <w:rPr>
          <w:rFonts w:ascii="Times New Roman" w:hAnsi="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1434.08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303.45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17.46</w:t>
      </w:r>
      <w:r>
        <w:rPr>
          <w:rFonts w:hint="eastAsia" w:ascii="Times New Roman" w:hAnsi="Times New Roman" w:eastAsia="仿宋_GB2312" w:cs="仿宋_GB2312"/>
          <w:color w:val="auto"/>
          <w:sz w:val="32"/>
          <w:szCs w:val="32"/>
          <w:highlight w:val="none"/>
        </w:rPr>
        <w:t>%。主要变动原因是社会保障和就业</w:t>
      </w:r>
      <w:r>
        <w:rPr>
          <w:rFonts w:hint="eastAsia" w:eastAsia="仿宋_GB2312" w:cs="仿宋_GB2312"/>
          <w:color w:val="auto"/>
          <w:sz w:val="32"/>
          <w:szCs w:val="32"/>
          <w:highlight w:val="none"/>
          <w:lang w:val="en-US" w:eastAsia="zh-CN"/>
        </w:rPr>
        <w:t>项目</w:t>
      </w:r>
      <w:r>
        <w:rPr>
          <w:rFonts w:hint="eastAsia" w:ascii="Times New Roman" w:hAnsi="Times New Roman" w:eastAsia="仿宋_GB2312" w:cs="仿宋_GB2312"/>
          <w:color w:val="auto"/>
          <w:sz w:val="32"/>
          <w:szCs w:val="32"/>
          <w:highlight w:val="none"/>
        </w:rPr>
        <w:t>支出</w:t>
      </w:r>
      <w:r>
        <w:rPr>
          <w:rFonts w:hint="eastAsia" w:eastAsia="仿宋_GB2312" w:cs="仿宋_GB2312"/>
          <w:color w:val="auto"/>
          <w:sz w:val="32"/>
          <w:szCs w:val="32"/>
          <w:highlight w:val="none"/>
          <w:lang w:val="en-US" w:eastAsia="zh-CN"/>
        </w:rPr>
        <w:t>减少。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705350" cy="2667000"/>
            <wp:effectExtent l="4445" t="4445" r="14605"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1434.08万元，其中：一般公共预算财政拨款收入1434.08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667000"/>
            <wp:effectExtent l="4445" t="4445" r="14605"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1434.08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230.27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16.05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1203.81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83.94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705350" cy="2667000"/>
            <wp:effectExtent l="4445" t="4445" r="1460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1434.08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303.45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17.46</w:t>
      </w:r>
      <w:r>
        <w:rPr>
          <w:rFonts w:hint="eastAsia" w:ascii="Times New Roman" w:hAnsi="Times New Roman" w:eastAsia="仿宋_GB2312" w:cs="仿宋_GB2312"/>
          <w:color w:val="auto"/>
          <w:sz w:val="32"/>
          <w:szCs w:val="32"/>
          <w:highlight w:val="none"/>
        </w:rPr>
        <w:t>%。主要变动原因是社会保障和就业</w:t>
      </w:r>
      <w:r>
        <w:rPr>
          <w:rFonts w:hint="eastAsia" w:eastAsia="仿宋_GB2312" w:cs="仿宋_GB2312"/>
          <w:color w:val="auto"/>
          <w:sz w:val="32"/>
          <w:szCs w:val="32"/>
          <w:highlight w:val="none"/>
          <w:lang w:val="en-US" w:eastAsia="zh-CN"/>
        </w:rPr>
        <w:t>项目</w:t>
      </w:r>
      <w:r>
        <w:rPr>
          <w:rFonts w:hint="eastAsia" w:ascii="Times New Roman" w:hAnsi="Times New Roman" w:eastAsia="仿宋_GB2312" w:cs="仿宋_GB2312"/>
          <w:color w:val="auto"/>
          <w:sz w:val="32"/>
          <w:szCs w:val="32"/>
          <w:highlight w:val="none"/>
        </w:rPr>
        <w:t>支出</w:t>
      </w:r>
      <w:r>
        <w:rPr>
          <w:rFonts w:hint="eastAsia" w:eastAsia="仿宋_GB2312" w:cs="仿宋_GB2312"/>
          <w:color w:val="auto"/>
          <w:sz w:val="32"/>
          <w:szCs w:val="32"/>
          <w:highlight w:val="none"/>
          <w:lang w:val="en-US" w:eastAsia="zh-CN"/>
        </w:rPr>
        <w:t>减少。</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5230495" cy="2906395"/>
            <wp:effectExtent l="4445" t="4445" r="10160" b="1016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29"/>
          <w:rFonts w:ascii="Times New Roman" w:hAnsi="Times New Roman" w:eastAsia="黑体"/>
          <w:b w:val="0"/>
          <w:color w:val="auto"/>
          <w:highlight w:val="none"/>
        </w:rPr>
      </w:pPr>
      <w:bookmarkStart w:id="22" w:name="_Toc15377209"/>
      <w:bookmarkStart w:id="2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1434.08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303.45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17.46</w:t>
      </w:r>
      <w:r>
        <w:rPr>
          <w:rFonts w:hint="eastAsia" w:ascii="Times New Roman" w:hAnsi="Times New Roman" w:eastAsia="仿宋_GB2312" w:cs="仿宋_GB2312"/>
          <w:color w:val="auto"/>
          <w:sz w:val="32"/>
          <w:szCs w:val="32"/>
          <w:highlight w:val="none"/>
        </w:rPr>
        <w:t>%。主要变动原因是社会保障和就业</w:t>
      </w:r>
      <w:r>
        <w:rPr>
          <w:rFonts w:hint="eastAsia" w:eastAsia="仿宋_GB2312" w:cs="仿宋_GB2312"/>
          <w:color w:val="auto"/>
          <w:sz w:val="32"/>
          <w:szCs w:val="32"/>
          <w:highlight w:val="none"/>
          <w:lang w:val="en-US" w:eastAsia="zh-CN"/>
        </w:rPr>
        <w:t>项目</w:t>
      </w:r>
      <w:r>
        <w:rPr>
          <w:rFonts w:hint="eastAsia" w:ascii="Times New Roman" w:hAnsi="Times New Roman" w:eastAsia="仿宋_GB2312" w:cs="仿宋_GB2312"/>
          <w:color w:val="auto"/>
          <w:sz w:val="32"/>
          <w:szCs w:val="32"/>
          <w:highlight w:val="none"/>
        </w:rPr>
        <w:t>支出</w:t>
      </w:r>
      <w:r>
        <w:rPr>
          <w:rFonts w:hint="eastAsia" w:eastAsia="仿宋_GB2312" w:cs="仿宋_GB2312"/>
          <w:color w:val="auto"/>
          <w:sz w:val="32"/>
          <w:szCs w:val="32"/>
          <w:highlight w:val="none"/>
          <w:lang w:val="en-US" w:eastAsia="zh-CN"/>
        </w:rPr>
        <w:t>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1434.08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%；社会保障和就业支出1,398.82万元，占</w:t>
      </w:r>
      <w:r>
        <w:rPr>
          <w:rFonts w:hint="eastAsia" w:eastAsia="仿宋_GB2312" w:cs="仿宋_GB2312"/>
          <w:color w:val="auto"/>
          <w:kern w:val="2"/>
          <w:sz w:val="32"/>
          <w:szCs w:val="32"/>
          <w:highlight w:val="none"/>
          <w:lang w:val="en-US" w:eastAsia="zh-CN" w:bidi="ar-SA"/>
        </w:rPr>
        <w:t>97.54</w:t>
      </w:r>
      <w:r>
        <w:rPr>
          <w:rFonts w:hint="eastAsia" w:ascii="Times New Roman" w:hAnsi="Times New Roman" w:eastAsia="仿宋_GB2312" w:cs="仿宋_GB2312"/>
          <w:color w:val="auto"/>
          <w:kern w:val="2"/>
          <w:sz w:val="32"/>
          <w:szCs w:val="32"/>
          <w:highlight w:val="none"/>
          <w:lang w:val="en-US" w:eastAsia="zh-CN" w:bidi="ar-SA"/>
        </w:rPr>
        <w:t>%；卫生健康支出19.35万元，占</w:t>
      </w:r>
      <w:r>
        <w:rPr>
          <w:rFonts w:hint="eastAsia" w:eastAsia="仿宋_GB2312" w:cs="仿宋_GB2312"/>
          <w:color w:val="auto"/>
          <w:kern w:val="2"/>
          <w:sz w:val="32"/>
          <w:szCs w:val="32"/>
          <w:highlight w:val="none"/>
          <w:lang w:val="en-US" w:eastAsia="zh-CN" w:bidi="ar-SA"/>
        </w:rPr>
        <w:t>1.35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15.91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楷体_GB2312" w:cs="楷体_GB2312"/>
          <w:b/>
          <w:color w:val="auto"/>
          <w:sz w:val="32"/>
          <w:szCs w:val="32"/>
          <w:highlight w:val="none"/>
        </w:rPr>
      </w:pPr>
      <w:r>
        <w:drawing>
          <wp:anchor distT="0" distB="0" distL="114300" distR="114300" simplePos="0" relativeHeight="251659264" behindDoc="0" locked="0" layoutInCell="1" allowOverlap="1">
            <wp:simplePos x="0" y="0"/>
            <wp:positionH relativeFrom="column">
              <wp:posOffset>266065</wp:posOffset>
            </wp:positionH>
            <wp:positionV relativeFrom="paragraph">
              <wp:posOffset>217170</wp:posOffset>
            </wp:positionV>
            <wp:extent cx="4724400" cy="2684780"/>
            <wp:effectExtent l="5080" t="4445" r="7620" b="15875"/>
            <wp:wrapSquare wrapText="bothSides"/>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444"/>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1434.08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3" w:firstLineChars="200"/>
        <w:rPr>
          <w:rStyle w:val="17"/>
          <w:rFonts w:hint="eastAsia" w:ascii="仿宋" w:hAnsi="仿宋" w:eastAsia="仿宋" w:cs="Times New Roman"/>
          <w:b w:val="0"/>
          <w:bCs/>
          <w:color w:val="auto"/>
          <w:sz w:val="32"/>
          <w:szCs w:val="32"/>
          <w:highlight w:val="none"/>
        </w:rPr>
      </w:pPr>
      <w:bookmarkStart w:id="30" w:name="_Toc15396608"/>
      <w:bookmarkStart w:id="31" w:name="_Toc15377214"/>
      <w:r>
        <w:rPr>
          <w:rStyle w:val="17"/>
          <w:rFonts w:hint="eastAsia" w:ascii="方正仿宋_GBK" w:hAnsi="仿宋" w:eastAsia="方正仿宋_GBK"/>
          <w:bCs/>
          <w:sz w:val="32"/>
          <w:szCs w:val="32"/>
        </w:rPr>
        <w:t>1.社会保障和就业（类）人力资源和社会保障管理事务（款）行政运行（项）: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151.07</w:t>
      </w:r>
      <w:r>
        <w:rPr>
          <w:rStyle w:val="17"/>
          <w:rFonts w:hint="eastAsia" w:ascii="仿宋" w:hAnsi="仿宋" w:eastAsia="仿宋" w:cs="Times New Roman"/>
          <w:b w:val="0"/>
          <w:bCs/>
          <w:color w:val="auto"/>
          <w:sz w:val="32"/>
          <w:szCs w:val="32"/>
          <w:highlight w:val="none"/>
        </w:rPr>
        <w:t>万元，完成预算100%。</w:t>
      </w:r>
    </w:p>
    <w:p>
      <w:pPr>
        <w:ind w:firstLine="643" w:firstLineChars="200"/>
        <w:rPr>
          <w:rStyle w:val="17"/>
          <w:rFonts w:ascii="方正仿宋_GBK" w:hAnsi="仿宋" w:eastAsia="方正仿宋_GBK"/>
          <w:b w:val="0"/>
          <w:bCs/>
          <w:sz w:val="32"/>
          <w:szCs w:val="32"/>
        </w:rPr>
      </w:pPr>
      <w:r>
        <w:rPr>
          <w:rStyle w:val="17"/>
          <w:rFonts w:hint="eastAsia" w:ascii="方正仿宋_GBK" w:hAnsi="仿宋" w:eastAsia="方正仿宋_GBK"/>
          <w:bCs/>
          <w:sz w:val="32"/>
          <w:szCs w:val="32"/>
          <w:lang w:val="en-US" w:eastAsia="zh-CN"/>
        </w:rPr>
        <w:t>2</w:t>
      </w:r>
      <w:r>
        <w:rPr>
          <w:rStyle w:val="17"/>
          <w:rFonts w:hint="eastAsia" w:ascii="方正仿宋_GBK" w:hAnsi="仿宋" w:eastAsia="方正仿宋_GBK"/>
          <w:bCs/>
          <w:sz w:val="32"/>
          <w:szCs w:val="32"/>
        </w:rPr>
        <w:t>.社会保障和就业（类）行政事业单位养老支出（款）行政单位离退休（项）: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10.42</w:t>
      </w:r>
      <w:r>
        <w:rPr>
          <w:rStyle w:val="17"/>
          <w:rFonts w:hint="eastAsia" w:ascii="仿宋" w:hAnsi="仿宋" w:eastAsia="仿宋" w:cs="Times New Roman"/>
          <w:b w:val="0"/>
          <w:bCs/>
          <w:color w:val="auto"/>
          <w:sz w:val="32"/>
          <w:szCs w:val="32"/>
          <w:highlight w:val="none"/>
        </w:rPr>
        <w:t>万元，完成预算100%。</w:t>
      </w:r>
    </w:p>
    <w:p>
      <w:pPr>
        <w:ind w:firstLine="643" w:firstLineChars="200"/>
        <w:rPr>
          <w:rStyle w:val="17"/>
          <w:rFonts w:hint="eastAsia" w:ascii="仿宋" w:hAnsi="仿宋" w:eastAsia="仿宋" w:cs="Times New Roman"/>
          <w:b w:val="0"/>
          <w:bCs/>
          <w:color w:val="auto"/>
          <w:sz w:val="32"/>
          <w:szCs w:val="32"/>
          <w:highlight w:val="none"/>
        </w:rPr>
      </w:pPr>
      <w:r>
        <w:rPr>
          <w:rStyle w:val="17"/>
          <w:rFonts w:hint="eastAsia" w:ascii="方正仿宋_GBK" w:hAnsi="仿宋" w:eastAsia="方正仿宋_GBK"/>
          <w:bCs/>
          <w:sz w:val="32"/>
          <w:szCs w:val="32"/>
          <w:lang w:val="en-US" w:eastAsia="zh-CN"/>
        </w:rPr>
        <w:t>3</w:t>
      </w:r>
      <w:r>
        <w:rPr>
          <w:rStyle w:val="17"/>
          <w:rFonts w:hint="eastAsia" w:ascii="方正仿宋_GBK" w:hAnsi="仿宋" w:eastAsia="方正仿宋_GBK"/>
          <w:bCs/>
          <w:sz w:val="32"/>
          <w:szCs w:val="32"/>
        </w:rPr>
        <w:t>.社会保障和就业（类）行政事业单位养老支出（款）机关事业单位基本养老保险缴费支出（项）: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19.76</w:t>
      </w:r>
      <w:r>
        <w:rPr>
          <w:rStyle w:val="17"/>
          <w:rFonts w:hint="eastAsia" w:ascii="仿宋" w:hAnsi="仿宋" w:eastAsia="仿宋" w:cs="Times New Roman"/>
          <w:b w:val="0"/>
          <w:bCs/>
          <w:color w:val="auto"/>
          <w:sz w:val="32"/>
          <w:szCs w:val="32"/>
          <w:highlight w:val="none"/>
        </w:rPr>
        <w:t>万元，完成预算100%。</w:t>
      </w:r>
    </w:p>
    <w:p>
      <w:pPr>
        <w:ind w:firstLine="643" w:firstLineChars="200"/>
        <w:rPr>
          <w:rStyle w:val="17"/>
          <w:rFonts w:hint="eastAsia" w:ascii="仿宋" w:hAnsi="仿宋" w:eastAsia="仿宋" w:cs="Times New Roman"/>
          <w:b w:val="0"/>
          <w:bCs/>
          <w:color w:val="auto"/>
          <w:sz w:val="32"/>
          <w:szCs w:val="32"/>
          <w:highlight w:val="none"/>
        </w:rPr>
      </w:pPr>
      <w:bookmarkStart w:id="32" w:name="OLE_LINK2"/>
      <w:r>
        <w:rPr>
          <w:rStyle w:val="17"/>
          <w:rFonts w:hint="eastAsia" w:ascii="方正仿宋_GBK" w:hAnsi="仿宋" w:eastAsia="方正仿宋_GBK"/>
          <w:bCs/>
          <w:sz w:val="32"/>
          <w:szCs w:val="32"/>
          <w:lang w:val="en-US" w:eastAsia="zh-CN"/>
        </w:rPr>
        <w:t>4</w:t>
      </w:r>
      <w:r>
        <w:rPr>
          <w:rStyle w:val="17"/>
          <w:rFonts w:hint="eastAsia" w:ascii="方正仿宋_GBK" w:hAnsi="仿宋" w:eastAsia="方正仿宋_GBK"/>
          <w:bCs/>
          <w:sz w:val="32"/>
          <w:szCs w:val="32"/>
        </w:rPr>
        <w:t>.社会保障和就业（类）行政事业单位养老支出（款）机关事业单位职业年金缴费支出</w:t>
      </w:r>
      <w:r>
        <w:rPr>
          <w:rStyle w:val="17"/>
          <w:rFonts w:hint="eastAsia" w:ascii="方正仿宋_GBK" w:hAnsi="仿宋" w:eastAsia="方正仿宋_GBK"/>
          <w:bCs/>
          <w:sz w:val="32"/>
          <w:szCs w:val="32"/>
          <w:lang w:eastAsia="zh-CN"/>
        </w:rPr>
        <w:t>（</w:t>
      </w:r>
      <w:r>
        <w:rPr>
          <w:rStyle w:val="17"/>
          <w:rFonts w:hint="eastAsia" w:ascii="方正仿宋_GBK" w:hAnsi="仿宋" w:eastAsia="方正仿宋_GBK"/>
          <w:bCs/>
          <w:sz w:val="32"/>
          <w:szCs w:val="32"/>
          <w:lang w:val="en-US" w:eastAsia="zh-CN"/>
        </w:rPr>
        <w:t>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13.76</w:t>
      </w:r>
      <w:r>
        <w:rPr>
          <w:rStyle w:val="17"/>
          <w:rFonts w:hint="eastAsia" w:ascii="仿宋" w:hAnsi="仿宋" w:eastAsia="仿宋" w:cs="Times New Roman"/>
          <w:b w:val="0"/>
          <w:bCs/>
          <w:color w:val="auto"/>
          <w:sz w:val="32"/>
          <w:szCs w:val="32"/>
          <w:highlight w:val="none"/>
        </w:rPr>
        <w:t>万元，完成预算100%。</w:t>
      </w:r>
    </w:p>
    <w:p>
      <w:pPr>
        <w:ind w:firstLine="643" w:firstLineChars="200"/>
        <w:rPr>
          <w:rStyle w:val="17"/>
          <w:rFonts w:hint="eastAsia" w:ascii="仿宋" w:hAnsi="仿宋" w:eastAsia="仿宋" w:cs="Times New Roman"/>
          <w:b w:val="0"/>
          <w:bCs/>
          <w:color w:val="auto"/>
          <w:sz w:val="32"/>
          <w:szCs w:val="32"/>
          <w:highlight w:val="none"/>
        </w:rPr>
      </w:pPr>
      <w:r>
        <w:rPr>
          <w:rStyle w:val="17"/>
          <w:rFonts w:hint="eastAsia" w:ascii="方正仿宋_GBK" w:hAnsi="仿宋" w:eastAsia="方正仿宋_GBK"/>
          <w:bCs/>
          <w:sz w:val="32"/>
          <w:szCs w:val="32"/>
          <w:lang w:val="en-US" w:eastAsia="zh-CN"/>
        </w:rPr>
        <w:t>5</w:t>
      </w:r>
      <w:r>
        <w:rPr>
          <w:rStyle w:val="17"/>
          <w:rFonts w:hint="eastAsia" w:ascii="方正仿宋_GBK" w:hAnsi="仿宋" w:eastAsia="方正仿宋_GBK"/>
          <w:bCs/>
          <w:sz w:val="32"/>
          <w:szCs w:val="32"/>
        </w:rPr>
        <w:t>.社会保障和就业（类）就业补助（款）其他就业补助支出（项）: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1,203.81</w:t>
      </w:r>
      <w:r>
        <w:rPr>
          <w:rStyle w:val="17"/>
          <w:rFonts w:hint="eastAsia" w:ascii="仿宋" w:hAnsi="仿宋" w:eastAsia="仿宋" w:cs="Times New Roman"/>
          <w:b w:val="0"/>
          <w:bCs/>
          <w:color w:val="auto"/>
          <w:sz w:val="32"/>
          <w:szCs w:val="32"/>
          <w:highlight w:val="none"/>
        </w:rPr>
        <w:t>万元，完成预算100%。</w:t>
      </w:r>
    </w:p>
    <w:bookmarkEnd w:id="32"/>
    <w:p>
      <w:pPr>
        <w:ind w:firstLine="643" w:firstLineChars="200"/>
        <w:rPr>
          <w:rStyle w:val="17"/>
          <w:rFonts w:ascii="方正仿宋_GBK" w:hAnsi="仿宋" w:eastAsia="方正仿宋_GBK"/>
          <w:b w:val="0"/>
          <w:bCs/>
          <w:sz w:val="32"/>
          <w:szCs w:val="32"/>
        </w:rPr>
      </w:pPr>
      <w:r>
        <w:rPr>
          <w:rStyle w:val="17"/>
          <w:rFonts w:hint="eastAsia" w:ascii="方正仿宋_GBK" w:hAnsi="仿宋" w:eastAsia="方正仿宋_GBK"/>
          <w:bCs/>
          <w:sz w:val="32"/>
          <w:szCs w:val="32"/>
          <w:lang w:val="en-US" w:eastAsia="zh-CN"/>
        </w:rPr>
        <w:t>6.</w:t>
      </w:r>
      <w:r>
        <w:rPr>
          <w:rStyle w:val="17"/>
          <w:rFonts w:hint="eastAsia" w:ascii="方正仿宋_GBK" w:hAnsi="仿宋" w:eastAsia="方正仿宋_GBK"/>
          <w:bCs/>
          <w:sz w:val="32"/>
          <w:szCs w:val="32"/>
        </w:rPr>
        <w:t>卫生健康支出（类）行政事业单位医疗（款）行政单位医疗（项）: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11.06</w:t>
      </w:r>
      <w:r>
        <w:rPr>
          <w:rStyle w:val="17"/>
          <w:rFonts w:hint="eastAsia" w:ascii="仿宋" w:hAnsi="仿宋" w:eastAsia="仿宋" w:cs="Times New Roman"/>
          <w:b w:val="0"/>
          <w:bCs/>
          <w:color w:val="auto"/>
          <w:sz w:val="32"/>
          <w:szCs w:val="32"/>
          <w:highlight w:val="none"/>
        </w:rPr>
        <w:t xml:space="preserve">万元，完成预算100%。 </w:t>
      </w:r>
    </w:p>
    <w:p>
      <w:pPr>
        <w:ind w:firstLine="643" w:firstLineChars="200"/>
        <w:rPr>
          <w:rStyle w:val="17"/>
          <w:rFonts w:hint="eastAsia" w:ascii="仿宋" w:hAnsi="仿宋" w:eastAsia="仿宋" w:cs="Times New Roman"/>
          <w:b w:val="0"/>
          <w:bCs/>
          <w:color w:val="auto"/>
          <w:sz w:val="32"/>
          <w:szCs w:val="32"/>
          <w:highlight w:val="none"/>
        </w:rPr>
      </w:pPr>
      <w:r>
        <w:rPr>
          <w:rStyle w:val="17"/>
          <w:rFonts w:hint="eastAsia" w:ascii="方正仿宋_GBK" w:hAnsi="仿宋" w:eastAsia="方正仿宋_GBK"/>
          <w:bCs/>
          <w:sz w:val="32"/>
          <w:szCs w:val="32"/>
          <w:lang w:val="en-US" w:eastAsia="zh-CN"/>
        </w:rPr>
        <w:t>7</w:t>
      </w:r>
      <w:r>
        <w:rPr>
          <w:rStyle w:val="17"/>
          <w:rFonts w:hint="eastAsia" w:ascii="方正仿宋_GBK" w:hAnsi="仿宋" w:eastAsia="方正仿宋_GBK"/>
          <w:bCs/>
          <w:sz w:val="32"/>
          <w:szCs w:val="32"/>
        </w:rPr>
        <w:t>.医疗卫生与计划生育（类）行政事业单位医疗（款）  公务员医疗补助（项）: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8.29</w:t>
      </w:r>
      <w:r>
        <w:rPr>
          <w:rStyle w:val="17"/>
          <w:rFonts w:hint="eastAsia" w:ascii="仿宋" w:hAnsi="仿宋" w:eastAsia="仿宋" w:cs="Times New Roman"/>
          <w:b w:val="0"/>
          <w:bCs/>
          <w:color w:val="auto"/>
          <w:sz w:val="32"/>
          <w:szCs w:val="32"/>
          <w:highlight w:val="none"/>
        </w:rPr>
        <w:t>万元，完成预算100%。</w:t>
      </w:r>
    </w:p>
    <w:p>
      <w:pPr>
        <w:ind w:firstLine="643" w:firstLineChars="200"/>
        <w:rPr>
          <w:rFonts w:ascii="仿宋" w:hAnsi="仿宋" w:eastAsia="仿宋"/>
          <w:b/>
          <w:color w:val="auto"/>
          <w:sz w:val="32"/>
          <w:szCs w:val="32"/>
          <w:highlight w:val="none"/>
        </w:rPr>
      </w:pPr>
      <w:r>
        <w:rPr>
          <w:rStyle w:val="17"/>
          <w:rFonts w:hint="eastAsia" w:ascii="方正仿宋_GBK" w:hAnsi="仿宋" w:eastAsia="方正仿宋_GBK"/>
          <w:bCs/>
          <w:sz w:val="32"/>
          <w:szCs w:val="32"/>
          <w:lang w:val="en-US" w:eastAsia="zh-CN"/>
        </w:rPr>
        <w:t>8</w:t>
      </w:r>
      <w:r>
        <w:rPr>
          <w:rStyle w:val="17"/>
          <w:rFonts w:hint="eastAsia" w:ascii="方正仿宋_GBK" w:hAnsi="仿宋" w:eastAsia="方正仿宋_GBK"/>
          <w:bCs/>
          <w:sz w:val="32"/>
          <w:szCs w:val="32"/>
        </w:rPr>
        <w:t>.住房保障支出（类）住房改革支出（款）住房公积金（项）:</w:t>
      </w:r>
      <w:r>
        <w:rPr>
          <w:rStyle w:val="17"/>
          <w:rFonts w:hint="eastAsia" w:ascii="仿宋" w:hAnsi="仿宋" w:eastAsia="仿宋" w:cs="Times New Roman"/>
          <w:b w:val="0"/>
          <w:bCs/>
          <w:color w:val="auto"/>
          <w:sz w:val="32"/>
          <w:szCs w:val="32"/>
          <w:highlight w:val="none"/>
        </w:rPr>
        <w:t>支出决算为</w:t>
      </w:r>
      <w:r>
        <w:rPr>
          <w:rStyle w:val="17"/>
          <w:rFonts w:hint="eastAsia" w:ascii="仿宋" w:hAnsi="仿宋" w:eastAsia="仿宋" w:cs="Times New Roman"/>
          <w:b w:val="0"/>
          <w:bCs/>
          <w:color w:val="auto"/>
          <w:sz w:val="32"/>
          <w:szCs w:val="32"/>
          <w:highlight w:val="none"/>
          <w:lang w:val="en-US" w:eastAsia="zh-CN"/>
        </w:rPr>
        <w:t>15.91</w:t>
      </w:r>
      <w:r>
        <w:rPr>
          <w:rStyle w:val="17"/>
          <w:rFonts w:hint="eastAsia" w:ascii="仿宋" w:hAnsi="仿宋" w:eastAsia="仿宋" w:cs="Times New Roman"/>
          <w:b w:val="0"/>
          <w:bCs/>
          <w:color w:val="auto"/>
          <w:sz w:val="32"/>
          <w:szCs w:val="32"/>
          <w:highlight w:val="none"/>
        </w:rPr>
        <w:t>万元，完成预算100%。</w:t>
      </w:r>
    </w:p>
    <w:p>
      <w:pPr>
        <w:tabs>
          <w:tab w:val="right" w:pos="8306"/>
        </w:tabs>
        <w:spacing w:line="600" w:lineRule="exact"/>
        <w:ind w:firstLine="640"/>
        <w:outlineLvl w:val="1"/>
        <w:rPr>
          <w:rStyle w:val="29"/>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230.27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215.89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元，主要包括：基本工资、津贴补贴、奖金、绩效工资、机关事业单位基本养老保险缴费、职业年金缴费、其他社会保障缴费、其他工资福利支出、退休费、生活补助、奖励金、住房公积金等。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14.38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元，主要包括：办公费、邮电费、差旅费、维修（护）费、委托业务费、工会经费、福利费、其他交通费等。</w:t>
      </w:r>
    </w:p>
    <w:p>
      <w:pPr>
        <w:spacing w:line="600" w:lineRule="exact"/>
        <w:ind w:firstLine="640"/>
        <w:outlineLvl w:val="1"/>
        <w:rPr>
          <w:rStyle w:val="29"/>
          <w:rFonts w:ascii="Times New Roman" w:hAnsi="Times New Roman" w:eastAsia="黑体"/>
          <w:b w:val="0"/>
          <w:color w:val="auto"/>
          <w:highlight w:val="none"/>
        </w:rPr>
      </w:pPr>
      <w:bookmarkStart w:id="33" w:name="_Toc15396609"/>
      <w:bookmarkStart w:id="34"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3"/>
      <w:bookmarkEnd w:id="34"/>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5"/>
    </w:p>
    <w:p>
      <w:pPr>
        <w:spacing w:line="600" w:lineRule="exact"/>
        <w:ind w:firstLine="640"/>
        <w:rPr>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与上年持平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决算数与预算数持平。</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ascii="仿宋" w:hAnsi="仿宋" w:eastAsia="仿宋"/>
          <w:sz w:val="32"/>
          <w:szCs w:val="32"/>
        </w:rPr>
        <w:t>与上年持平</w:t>
      </w:r>
      <w:r>
        <w:rPr>
          <w:rFonts w:hint="eastAsia" w:ascii="仿宋" w:hAnsi="仿宋" w:eastAsia="仿宋"/>
          <w:color w:val="auto"/>
          <w:sz w:val="32"/>
          <w:szCs w:val="32"/>
          <w:highlight w:val="none"/>
          <w:lang w:val="en-US" w:eastAsia="zh-CN"/>
        </w:rPr>
        <w:t>。</w:t>
      </w:r>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ascii="仿宋" w:hAnsi="仿宋" w:eastAsia="仿宋"/>
          <w:sz w:val="32"/>
          <w:szCs w:val="32"/>
        </w:rPr>
        <w:t>与上年持平</w:t>
      </w:r>
      <w:r>
        <w:rPr>
          <w:rFonts w:hint="eastAsia" w:ascii="仿宋" w:hAnsi="仿宋" w:eastAsia="仿宋"/>
          <w:color w:val="auto"/>
          <w:sz w:val="32"/>
          <w:szCs w:val="32"/>
          <w:highlight w:val="none"/>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万元。主要用于……（具体工作）所需的公务用车燃料费、维修费、过路过桥费、保险费等支出。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与上年持平。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29"/>
          <w:rFonts w:ascii="Times New Roman" w:hAnsi="Times New Roman" w:eastAsia="黑体"/>
          <w:color w:val="auto"/>
          <w:highlight w:val="none"/>
        </w:rPr>
      </w:pPr>
      <w:bookmarkStart w:id="37" w:name="_Toc15377218"/>
      <w:bookmarkStart w:id="38"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7"/>
      <w:bookmarkEnd w:id="38"/>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9" w:name="_Toc15377219"/>
      <w:bookmarkStart w:id="40"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9"/>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1" w:name="_Toc15396612"/>
      <w:bookmarkStart w:id="42"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1"/>
      <w:bookmarkEnd w:id="4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2"/>
      <w:r>
        <w:rPr>
          <w:rFonts w:hint="eastAsia" w:ascii="Times New Roman" w:hAnsi="Times New Roman" w:eastAsia="楷体_GB2312" w:cs="楷体_GB2312"/>
          <w:b/>
          <w:color w:val="auto"/>
          <w:sz w:val="32"/>
          <w:szCs w:val="32"/>
          <w:highlight w:val="none"/>
        </w:rPr>
        <w:t>（一）机关运行经费支出情况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攀枝花市西区就业创业促进中心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14.38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%。主要原因是</w:t>
      </w:r>
      <w:r>
        <w:rPr>
          <w:rFonts w:eastAsia="仿宋_GB2312"/>
          <w:sz w:val="32"/>
          <w:szCs w:val="32"/>
        </w:rPr>
        <w:t>厉行节约，减少支出。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3"/>
      <w:r>
        <w:rPr>
          <w:rFonts w:hint="eastAsia" w:ascii="Times New Roman" w:hAnsi="Times New Roman" w:eastAsia="楷体_GB2312" w:cs="楷体_GB2312"/>
          <w:b/>
          <w:color w:val="auto"/>
          <w:sz w:val="32"/>
          <w:szCs w:val="32"/>
          <w:highlight w:val="none"/>
        </w:rPr>
        <w:t>（二）政府采购支出情况</w:t>
      </w:r>
      <w:bookmarkEnd w:id="44"/>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攀枝花市西区就业创业促进中心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万元。主要用于……（具体工作）。授予中小企业合同金额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4"/>
      <w:r>
        <w:rPr>
          <w:rFonts w:hint="eastAsia" w:ascii="Times New Roman" w:hAnsi="Times New Roman" w:eastAsia="楷体_GB2312" w:cs="楷体_GB2312"/>
          <w:b/>
          <w:color w:val="auto"/>
          <w:sz w:val="32"/>
          <w:szCs w:val="32"/>
          <w:highlight w:val="none"/>
        </w:rPr>
        <w:t>（三）国有资产占有使用情况</w:t>
      </w:r>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攀枝花市西区就业创业促进中心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辆，其他用车主要是用于……。单价100万元（含）以上设备（不含车辆）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，组织对</w:t>
      </w:r>
      <w:r>
        <w:rPr>
          <w:rFonts w:hint="eastAsia" w:ascii="仿宋_GB2312" w:eastAsia="仿宋_GB2312"/>
          <w:sz w:val="32"/>
          <w:szCs w:val="32"/>
          <w:lang w:val="en-US" w:eastAsia="zh-CN"/>
        </w:rPr>
        <w:t>2</w:t>
      </w:r>
      <w:r>
        <w:rPr>
          <w:rFonts w:hint="eastAsia" w:ascii="仿宋_GB2312" w:eastAsia="仿宋_GB2312"/>
          <w:sz w:val="32"/>
          <w:szCs w:val="32"/>
        </w:rPr>
        <w:t>个项目开展绩效自评，绩效自评表详见第四部分附件。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77225"/>
      <w:bookmarkStart w:id="4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pPr>
        <w:spacing w:line="600" w:lineRule="exact"/>
        <w:jc w:val="left"/>
        <w:rPr>
          <w:rFonts w:ascii="Times New Roman" w:hAnsi="Times New Roman"/>
          <w:b/>
          <w:color w:val="auto"/>
          <w:sz w:val="44"/>
          <w:szCs w:val="44"/>
          <w:highlight w:val="none"/>
        </w:rPr>
      </w:pPr>
    </w:p>
    <w:p>
      <w:pPr>
        <w:pStyle w:val="26"/>
        <w:spacing w:line="560" w:lineRule="exact"/>
        <w:ind w:firstLine="640" w:firstLineChars="200"/>
        <w:rPr>
          <w:rFonts w:ascii="仿宋_GB2312" w:eastAsia="仿宋_GB2312"/>
          <w:color w:val="auto"/>
          <w:sz w:val="32"/>
          <w:szCs w:val="32"/>
        </w:rPr>
      </w:pPr>
      <w:bookmarkStart w:id="48"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项目支出：指在基本支出之外为完成特定行政任务和事业发展目标所发生的支出。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11.社会保障和就业支出（类）人力资源和社会保障管理事务（款）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行政运行（项）: 指行政单位（包括实行公务员管理的事业单位）的基本支出。</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12、社会保障和就业支出（类）行政事业单位养老支出（款）  </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①行政单位离退休（项）: 指行政单位（包括实行公务员管理的事业单位）开支的离退休支出。</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bookmarkStart w:id="49" w:name="OLE_LINK1"/>
      <w:r>
        <w:rPr>
          <w:rFonts w:hint="eastAsia" w:ascii="仿宋_GB2312" w:hAnsi="仿宋_GB2312" w:eastAsia="仿宋_GB2312" w:cs="仿宋_GB2312"/>
          <w:sz w:val="32"/>
          <w:szCs w:val="32"/>
        </w:rPr>
        <w:t>②</w:t>
      </w:r>
      <w:bookmarkEnd w:id="49"/>
      <w:r>
        <w:rPr>
          <w:rFonts w:hint="eastAsia" w:ascii="仿宋_GB2312" w:hAnsi="仿宋_GB2312" w:eastAsia="仿宋_GB2312" w:cs="仿宋_GB2312"/>
          <w:sz w:val="32"/>
          <w:szCs w:val="32"/>
        </w:rPr>
        <w:t>机关事业单位基本养老保险缴费支出（项）：指机关事业单位实施养老保险制度</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单位缴纳的基本养老保险费支出。</w:t>
      </w:r>
    </w:p>
    <w:p>
      <w:pPr>
        <w:pStyle w:val="2"/>
        <w:ind w:left="0" w:leftChars="0" w:firstLine="681" w:firstLineChars="21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③职业年金缴费</w:t>
      </w:r>
      <w:r>
        <w:rPr>
          <w:rFonts w:hint="eastAsia" w:ascii="仿宋_GB2312" w:hAnsi="仿宋_GB2312" w:eastAsia="仿宋_GB2312" w:cs="仿宋_GB2312"/>
          <w:sz w:val="32"/>
          <w:szCs w:val="32"/>
          <w:lang w:val="en-US" w:eastAsia="zh-CN"/>
        </w:rPr>
        <w:t>支出（项）：指</w:t>
      </w:r>
      <w:r>
        <w:rPr>
          <w:rFonts w:hint="eastAsia" w:ascii="仿宋_GB2312" w:hAnsi="仿宋_GB2312" w:eastAsia="仿宋_GB2312" w:cs="仿宋_GB2312"/>
          <w:sz w:val="32"/>
          <w:szCs w:val="32"/>
        </w:rPr>
        <w:t>机关事业单位</w:t>
      </w:r>
      <w:r>
        <w:rPr>
          <w:rFonts w:hint="eastAsia" w:ascii="仿宋_GB2312" w:hAnsi="仿宋_GB2312" w:eastAsia="仿宋_GB2312" w:cs="仿宋_GB2312"/>
          <w:sz w:val="32"/>
          <w:szCs w:val="32"/>
          <w:lang w:val="en-US" w:eastAsia="zh-CN"/>
        </w:rPr>
        <w:t>为职工实际缴纳的职业年金支出。</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13.卫生健康支出（类） 行政事业单位医疗支出（款） </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②公务员医疗补助（项）：反映财政部门安排的公务员医疗补助经费。</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14.住房保障支出（类）住房改革支出（款）住房公积金（项）：指行政事业单位按人力资源和社会保障部、财政部规定的基本工资和津贴补贴以及规定比例为职工缴纳的住房公积金。</w:t>
      </w:r>
    </w:p>
    <w:p>
      <w:pPr>
        <w:autoSpaceDE w:val="0"/>
        <w:autoSpaceDN w:val="0"/>
        <w:adjustRightInd w:val="0"/>
        <w:spacing w:line="353"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15.社会保障和就业支出（类）就业补助（款）：其他就业补助支出（项）：反映除上述项目以外按规定确定的其他用于促进就业的补助支出。</w:t>
      </w:r>
      <w:bookmarkStart w:id="50" w:name="_Toc15396614"/>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utoSpaceDE w:val="0"/>
        <w:autoSpaceDN w:val="0"/>
        <w:adjustRightInd w:val="0"/>
        <w:spacing w:line="353" w:lineRule="auto"/>
        <w:ind w:firstLine="880" w:firstLineChars="200"/>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0"/>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部门预算项目支出绩效自评表（202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年度）见附件</w:t>
      </w:r>
      <w:r>
        <w:rPr>
          <w:rFonts w:hint="eastAsia" w:ascii="Times New Roman" w:hAnsi="Times New Roman" w:eastAsia="仿宋_GB2312" w:cs="仿宋_GB2312"/>
          <w:color w:val="auto"/>
          <w:kern w:val="2"/>
          <w:sz w:val="32"/>
          <w:szCs w:val="32"/>
          <w:highlight w:val="none"/>
          <w:lang w:val="en-US" w:eastAsia="zh-CN" w:bidi="ar-SA"/>
        </w:rPr>
        <w:t>。</w:t>
      </w:r>
    </w:p>
    <w:p>
      <w:pPr>
        <w:widowControl/>
        <w:jc w:val="center"/>
        <w:rPr>
          <w:rFonts w:hint="eastAsia" w:ascii="Times New Roman" w:hAnsi="Times New Roman" w:eastAsia="黑体"/>
          <w:color w:val="auto"/>
          <w:sz w:val="44"/>
          <w:szCs w:val="44"/>
          <w:highlight w:val="none"/>
        </w:rPr>
      </w:pPr>
      <w:bookmarkStart w:id="51"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8"/>
      <w:bookmarkEnd w:id="51"/>
      <w:bookmarkStart w:id="52"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0"/>
      <w:r>
        <w:rPr>
          <w:rFonts w:hint="eastAsia" w:ascii="Times New Roman" w:hAnsi="Times New Roman" w:eastAsia="仿宋_GB2312" w:cs="仿宋_GB2312"/>
          <w:color w:val="auto"/>
          <w:sz w:val="32"/>
          <w:szCs w:val="32"/>
          <w:highlight w:val="none"/>
        </w:rPr>
        <w:t>二、收入决算表</w:t>
      </w:r>
      <w:bookmarkEnd w:id="53"/>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1"/>
      <w:r>
        <w:rPr>
          <w:rFonts w:hint="eastAsia" w:ascii="Times New Roman" w:hAnsi="Times New Roman" w:eastAsia="仿宋_GB2312" w:cs="仿宋_GB2312"/>
          <w:color w:val="auto"/>
          <w:sz w:val="32"/>
          <w:szCs w:val="32"/>
          <w:highlight w:val="none"/>
        </w:rPr>
        <w:t>三、支出决算表</w:t>
      </w:r>
      <w:bookmarkEnd w:id="5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2"/>
      <w:r>
        <w:rPr>
          <w:rFonts w:hint="eastAsia" w:ascii="Times New Roman" w:hAnsi="Times New Roman" w:eastAsia="仿宋_GB2312" w:cs="仿宋_GB2312"/>
          <w:color w:val="auto"/>
          <w:sz w:val="32"/>
          <w:szCs w:val="32"/>
          <w:highlight w:val="none"/>
        </w:rPr>
        <w:t>四、财政拨款收入支出决算总表</w:t>
      </w:r>
      <w:bookmarkEnd w:id="55"/>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3"/>
      <w:r>
        <w:rPr>
          <w:rFonts w:hint="eastAsia" w:ascii="Times New Roman" w:hAnsi="Times New Roman" w:eastAsia="仿宋_GB2312" w:cs="仿宋_GB2312"/>
          <w:color w:val="auto"/>
          <w:sz w:val="32"/>
          <w:szCs w:val="32"/>
          <w:highlight w:val="none"/>
        </w:rPr>
        <w:t>五、财政拨款支出决算明细表</w:t>
      </w:r>
      <w:bookmarkEnd w:id="56"/>
      <w:bookmarkStart w:id="57"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7"/>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5"/>
      <w:r>
        <w:rPr>
          <w:rFonts w:hint="eastAsia" w:ascii="Times New Roman" w:hAnsi="Times New Roman" w:eastAsia="仿宋_GB2312" w:cs="仿宋_GB2312"/>
          <w:color w:val="auto"/>
          <w:sz w:val="32"/>
          <w:szCs w:val="32"/>
          <w:highlight w:val="none"/>
        </w:rPr>
        <w:t>七、一般公共预算财政拨款支出决算明细表</w:t>
      </w:r>
      <w:bookmarkEnd w:id="5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6"/>
      <w:r>
        <w:rPr>
          <w:rFonts w:hint="eastAsia" w:ascii="Times New Roman" w:hAnsi="Times New Roman" w:eastAsia="仿宋_GB2312" w:cs="仿宋_GB2312"/>
          <w:color w:val="auto"/>
          <w:sz w:val="32"/>
          <w:szCs w:val="32"/>
          <w:highlight w:val="none"/>
        </w:rPr>
        <w:t>八、一般公共预算财政拨款基本支出决算表</w:t>
      </w:r>
      <w:bookmarkEnd w:id="5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7"/>
      <w:r>
        <w:rPr>
          <w:rFonts w:hint="eastAsia" w:ascii="Times New Roman" w:hAnsi="Times New Roman" w:eastAsia="仿宋_GB2312" w:cs="仿宋_GB2312"/>
          <w:color w:val="auto"/>
          <w:sz w:val="32"/>
          <w:szCs w:val="32"/>
          <w:highlight w:val="none"/>
        </w:rPr>
        <w:t>九、一般公共预算财政拨款项目支出决算表</w:t>
      </w:r>
      <w:bookmarkEnd w:id="6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8"/>
      <w:r>
        <w:rPr>
          <w:rFonts w:hint="eastAsia" w:ascii="Times New Roman" w:hAnsi="Times New Roman" w:eastAsia="仿宋_GB2312" w:cs="仿宋_GB2312"/>
          <w:color w:val="auto"/>
          <w:sz w:val="32"/>
          <w:szCs w:val="32"/>
          <w:highlight w:val="none"/>
        </w:rPr>
        <w:t>十、</w:t>
      </w:r>
      <w:bookmarkEnd w:id="61"/>
      <w:r>
        <w:rPr>
          <w:rFonts w:hint="eastAsia" w:ascii="Times New Roman" w:hAnsi="Times New Roman" w:eastAsia="仿宋_GB2312" w:cs="仿宋_GB2312"/>
          <w:color w:val="auto"/>
          <w:sz w:val="32"/>
          <w:szCs w:val="32"/>
          <w:highlight w:val="none"/>
        </w:rPr>
        <w:t>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9"/>
      <w:r>
        <w:rPr>
          <w:rFonts w:hint="eastAsia" w:ascii="Times New Roman" w:hAnsi="Times New Roman" w:eastAsia="仿宋_GB2312" w:cs="仿宋_GB2312"/>
          <w:color w:val="auto"/>
          <w:sz w:val="32"/>
          <w:szCs w:val="32"/>
          <w:highlight w:val="none"/>
        </w:rPr>
        <w:t>十一、</w:t>
      </w:r>
      <w:bookmarkEnd w:id="6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30"/>
      <w:r>
        <w:rPr>
          <w:rFonts w:hint="eastAsia" w:ascii="Times New Roman" w:hAnsi="Times New Roman" w:eastAsia="仿宋_GB2312" w:cs="仿宋_GB2312"/>
          <w:color w:val="auto"/>
          <w:sz w:val="32"/>
          <w:szCs w:val="32"/>
          <w:highlight w:val="none"/>
        </w:rPr>
        <w:t>十二、</w:t>
      </w:r>
      <w:bookmarkEnd w:id="63"/>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4" w:name="_Toc15396631"/>
      <w:r>
        <w:rPr>
          <w:rFonts w:hint="eastAsia" w:ascii="Times New Roman" w:hAnsi="Times New Roman" w:eastAsia="仿宋_GB2312" w:cs="仿宋_GB2312"/>
          <w:color w:val="auto"/>
          <w:sz w:val="32"/>
          <w:szCs w:val="32"/>
          <w:highlight w:val="none"/>
        </w:rPr>
        <w:t>十三、</w:t>
      </w:r>
      <w:bookmarkEnd w:id="64"/>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3D061E"/>
    <w:rsid w:val="02FEBE30"/>
    <w:rsid w:val="04916F1E"/>
    <w:rsid w:val="061E35DE"/>
    <w:rsid w:val="066E0107"/>
    <w:rsid w:val="075B6A1A"/>
    <w:rsid w:val="07996F6E"/>
    <w:rsid w:val="07DFD8BA"/>
    <w:rsid w:val="09867E8F"/>
    <w:rsid w:val="0A0331E2"/>
    <w:rsid w:val="0A2032A3"/>
    <w:rsid w:val="0CA8290A"/>
    <w:rsid w:val="0D35B1ED"/>
    <w:rsid w:val="0E254B6B"/>
    <w:rsid w:val="0F744C3A"/>
    <w:rsid w:val="0F98263C"/>
    <w:rsid w:val="101860EC"/>
    <w:rsid w:val="101F47CC"/>
    <w:rsid w:val="10C055FF"/>
    <w:rsid w:val="11694EBD"/>
    <w:rsid w:val="11772AA4"/>
    <w:rsid w:val="118107EC"/>
    <w:rsid w:val="12E24EE2"/>
    <w:rsid w:val="13205E7B"/>
    <w:rsid w:val="13D50BC4"/>
    <w:rsid w:val="14B17F78"/>
    <w:rsid w:val="165E0673"/>
    <w:rsid w:val="16B831D5"/>
    <w:rsid w:val="16BB723D"/>
    <w:rsid w:val="174C6413"/>
    <w:rsid w:val="17E50567"/>
    <w:rsid w:val="186504BB"/>
    <w:rsid w:val="19A445FC"/>
    <w:rsid w:val="1BE8440E"/>
    <w:rsid w:val="1D155CEE"/>
    <w:rsid w:val="1D1638FE"/>
    <w:rsid w:val="1E312DEB"/>
    <w:rsid w:val="1E740ACF"/>
    <w:rsid w:val="1FF35744"/>
    <w:rsid w:val="1FF6BC77"/>
    <w:rsid w:val="2186353C"/>
    <w:rsid w:val="22F963A0"/>
    <w:rsid w:val="23860B96"/>
    <w:rsid w:val="240371BF"/>
    <w:rsid w:val="244F3473"/>
    <w:rsid w:val="24C97D99"/>
    <w:rsid w:val="25A718F0"/>
    <w:rsid w:val="25BB59F6"/>
    <w:rsid w:val="260F557C"/>
    <w:rsid w:val="26970054"/>
    <w:rsid w:val="281408E2"/>
    <w:rsid w:val="29FD04D3"/>
    <w:rsid w:val="2A1B43E1"/>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A3390F"/>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FE4FBB"/>
    <w:rsid w:val="44E268DA"/>
    <w:rsid w:val="450D13D7"/>
    <w:rsid w:val="45506656"/>
    <w:rsid w:val="471C2EE4"/>
    <w:rsid w:val="47213A23"/>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C36FC5"/>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985C4F"/>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93504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3601;&#19994;\&#23601;&#19994;&#20844;&#24320;\&#38468;&#34920;&#21046;&#203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3601;&#19994;\&#23601;&#19994;&#20844;&#24320;\&#38468;&#34920;&#21046;&#203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3601;&#19994;\&#23601;&#19994;&#20844;&#24320;\&#38468;&#34920;&#21046;&#203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23601;&#19994;\&#23601;&#19994;&#20844;&#24320;\&#38468;&#34920;&#21046;&#203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23601;&#19994;\&#23601;&#19994;&#20844;&#24320;\&#38468;&#34920;&#21046;&#203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收、支决算总计变动情况图</a:t>
            </a:r>
            <a:endParaRPr lang="zh-CN" altLang="en-US"/>
          </a:p>
        </c:rich>
      </c:tx>
      <c:layout/>
      <c:overlay val="0"/>
    </c:title>
    <c:autoTitleDeleted val="0"/>
    <c:plotArea>
      <c:layout/>
      <c:barChart>
        <c:barDir val="col"/>
        <c:grouping val="clustered"/>
        <c:varyColors val="0"/>
        <c:ser>
          <c:idx val="0"/>
          <c:order val="0"/>
          <c:tx>
            <c:strRef>
              <c:f>[附表制作.xlsx]Sheet1!$A$4</c:f>
              <c:strCache>
                <c:ptCount val="1"/>
                <c:pt idx="0">
                  <c:v>2023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[附表制作.xlsx]Sheet1!$B$4:$E$4</c:f>
              <c:numCache>
                <c:formatCode>General</c:formatCode>
                <c:ptCount val="4"/>
                <c:pt idx="0">
                  <c:v>1737.53</c:v>
                </c:pt>
                <c:pt idx="2">
                  <c:v>1737.53</c:v>
                </c:pt>
              </c:numCache>
            </c:numRef>
          </c:val>
        </c:ser>
        <c:ser>
          <c:idx val="1"/>
          <c:order val="1"/>
          <c:tx>
            <c:strRef>
              <c:f>[附表制作.xlsx]Sheet1!$A$5</c:f>
              <c:strCache>
                <c:ptCount val="1"/>
                <c:pt idx="0">
                  <c:v>2024</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[附表制作.xlsx]Sheet1!$B$3:$E$3</c:f>
              <c:strCache>
                <c:ptCount val="4"/>
                <c:pt idx="0">
                  <c:v>收入</c:v>
                </c:pt>
                <c:pt idx="2">
                  <c:v>支出</c:v>
                </c:pt>
              </c:strCache>
            </c:strRef>
          </c:cat>
          <c:val>
            <c:numRef>
              <c:f>[附表制作.xlsx]Sheet1!$B$5:$E$5</c:f>
              <c:numCache>
                <c:formatCode>General</c:formatCode>
                <c:ptCount val="4"/>
                <c:pt idx="0">
                  <c:v>1434.08</c:v>
                </c:pt>
                <c:pt idx="2">
                  <c:v>1434.08</c:v>
                </c:pt>
              </c:numCache>
            </c:numRef>
          </c:val>
        </c:ser>
        <c:dLbls>
          <c:showLegendKey val="0"/>
          <c:showVal val="1"/>
          <c:showCatName val="0"/>
          <c:showSerName val="0"/>
          <c:showPercent val="0"/>
          <c:showBubbleSize val="0"/>
        </c:dLbls>
        <c:gapWidth val="150"/>
        <c:axId val="126648320"/>
        <c:axId val="126650240"/>
      </c:barChart>
      <c:catAx>
        <c:axId val="1266483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50240"/>
        <c:crosses val="autoZero"/>
        <c:auto val="1"/>
        <c:lblAlgn val="ctr"/>
        <c:lblOffset val="100"/>
        <c:noMultiLvlLbl val="0"/>
      </c:catAx>
      <c:valAx>
        <c:axId val="1266502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64832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1434.08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33.93</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[附表制作.xlsx]Sheet2!$B$4:$B$5</c:f>
              <c:strCache>
                <c:ptCount val="2"/>
                <c:pt idx="0">
                  <c:v>2024年度一般公共预算财政拨款收入</c:v>
                </c:pt>
              </c:strCache>
            </c:strRef>
          </c:cat>
          <c:val>
            <c:numRef>
              <c:f>[附表制作.xlsx]Sheet2!$C$4:$C$5</c:f>
              <c:numCache>
                <c:formatCode>General</c:formatCode>
                <c:ptCount val="2"/>
                <c:pt idx="0">
                  <c:v>1434.08</c:v>
                </c:pt>
              </c:numCache>
            </c:numRef>
          </c:val>
        </c:ser>
        <c:dLbls>
          <c:showLegendKey val="0"/>
          <c:showVal val="0"/>
          <c:showCatName val="0"/>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Lbls>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230.27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1203.81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[附表制作.xlsx]Sheet7!$C$3:$C$5</c:f>
              <c:strCache>
                <c:ptCount val="3"/>
                <c:pt idx="0">
                  <c:v>2024年支出合计</c:v>
                </c:pt>
                <c:pt idx="1">
                  <c:v>基本支出</c:v>
                </c:pt>
                <c:pt idx="2">
                  <c:v>项目支出</c:v>
                </c:pt>
              </c:strCache>
            </c:strRef>
          </c:cat>
          <c:val>
            <c:numRef>
              <c:f>[附表制作.xlsx]Sheet7!$D$3:$D$5</c:f>
              <c:numCache>
                <c:formatCode>General</c:formatCode>
                <c:ptCount val="3"/>
                <c:pt idx="1">
                  <c:v>230.27</c:v>
                </c:pt>
                <c:pt idx="2">
                  <c:v>1203.81</c:v>
                </c:pt>
              </c:numCache>
            </c:numRef>
          </c:val>
        </c:ser>
        <c:dLbls>
          <c:showLegendKey val="0"/>
          <c:showVal val="0"/>
          <c:showCatName val="0"/>
          <c:showSerName val="0"/>
          <c:showPercent val="1"/>
          <c:showBubbleSize val="0"/>
          <c:showLeaderLines val="1"/>
        </c:dLbls>
        <c:firstSliceAng val="0"/>
      </c:pie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财政拨款收、支总计变动表</a:t>
            </a:r>
            <a:endParaRPr lang="zh-CN" altLang="en-US"/>
          </a:p>
        </c:rich>
      </c:tx>
      <c:layout/>
      <c:overlay val="0"/>
    </c:title>
    <c:autoTitleDeleted val="0"/>
    <c:plotArea>
      <c:layout/>
      <c:barChart>
        <c:barDir val="col"/>
        <c:grouping val="clustered"/>
        <c:varyColors val="0"/>
        <c:ser>
          <c:idx val="0"/>
          <c:order val="0"/>
          <c:tx>
            <c:strRef>
              <c:f>[附表制作.xlsx]Sheet6!$B$4</c:f>
              <c:strCache>
                <c:ptCount val="1"/>
                <c:pt idx="0">
                  <c:v>2023</c:v>
                </c:pt>
              </c:strCache>
            </c:strRef>
          </c:tx>
          <c:invertIfNegative val="0"/>
          <c:dLbls>
            <c:delete val="1"/>
          </c:dLbls>
          <c:cat>
            <c:strRef>
              <c:f>[附表制作.xlsx]Sheet6!$C$3:$E$3</c:f>
              <c:strCache>
                <c:ptCount val="3"/>
                <c:pt idx="0">
                  <c:v>收入</c:v>
                </c:pt>
                <c:pt idx="2">
                  <c:v>支出</c:v>
                </c:pt>
              </c:strCache>
            </c:strRef>
          </c:cat>
          <c:val>
            <c:numRef>
              <c:f>[附表制作.xlsx]Sheet6!$C$4:$E$4</c:f>
              <c:numCache>
                <c:formatCode>General</c:formatCode>
                <c:ptCount val="3"/>
                <c:pt idx="0">
                  <c:v>1737.53</c:v>
                </c:pt>
                <c:pt idx="1">
                  <c:v>1737.53</c:v>
                </c:pt>
                <c:pt idx="2">
                  <c:v>1737.53</c:v>
                </c:pt>
              </c:numCache>
            </c:numRef>
          </c:val>
        </c:ser>
        <c:ser>
          <c:idx val="1"/>
          <c:order val="1"/>
          <c:tx>
            <c:strRef>
              <c:f>[附表制作.xlsx]Sheet6!$B$5</c:f>
              <c:strCache>
                <c:ptCount val="1"/>
                <c:pt idx="0">
                  <c:v>2024</c:v>
                </c:pt>
              </c:strCache>
            </c:strRef>
          </c:tx>
          <c:invertIfNegative val="0"/>
          <c:dLbls>
            <c:delete val="1"/>
          </c:dLbls>
          <c:cat>
            <c:strRef>
              <c:f>[附表制作.xlsx]Sheet6!$C$3:$E$3</c:f>
              <c:strCache>
                <c:ptCount val="3"/>
                <c:pt idx="0">
                  <c:v>收入</c:v>
                </c:pt>
                <c:pt idx="2">
                  <c:v>支出</c:v>
                </c:pt>
              </c:strCache>
            </c:strRef>
          </c:cat>
          <c:val>
            <c:numRef>
              <c:f>[附表制作.xlsx]Sheet6!$C$5:$E$5</c:f>
              <c:numCache>
                <c:formatCode>General</c:formatCode>
                <c:ptCount val="3"/>
                <c:pt idx="0">
                  <c:v>1434.08</c:v>
                </c:pt>
                <c:pt idx="1">
                  <c:v>1434.08</c:v>
                </c:pt>
                <c:pt idx="2">
                  <c:v>1434.08</c:v>
                </c:pt>
              </c:numCache>
            </c:numRef>
          </c:val>
        </c:ser>
        <c:dLbls>
          <c:showLegendKey val="0"/>
          <c:showVal val="0"/>
          <c:showCatName val="0"/>
          <c:showSerName val="0"/>
          <c:showPercent val="0"/>
          <c:showBubbleSize val="0"/>
        </c:dLbls>
        <c:gapWidth val="150"/>
        <c:axId val="104592896"/>
        <c:axId val="104594432"/>
      </c:barChart>
      <c:catAx>
        <c:axId val="1045928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4432"/>
        <c:crosses val="autoZero"/>
        <c:auto val="1"/>
        <c:lblAlgn val="ctr"/>
        <c:lblOffset val="100"/>
        <c:noMultiLvlLbl val="0"/>
      </c:catAx>
      <c:valAx>
        <c:axId val="10459443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4592896"/>
        <c:crosses val="autoZero"/>
        <c:crossBetween val="between"/>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dTable>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pie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[附表制作.xlsx]Sheet4!$B$3:$B$9</c:f>
              <c:strCache>
                <c:ptCount val="7"/>
                <c:pt idx="2">
                  <c:v>2024年社会保障和就业支出</c:v>
                </c:pt>
                <c:pt idx="4">
                  <c:v>2024年卫生健康支出</c:v>
                </c:pt>
                <c:pt idx="6">
                  <c:v>2024年住房保障支出</c:v>
                </c:pt>
              </c:strCache>
            </c:strRef>
          </c:cat>
          <c:val>
            <c:numRef>
              <c:f>[附表制作.xlsx]Sheet4!$C$3:$C$9</c:f>
              <c:numCache>
                <c:formatCode>General</c:formatCode>
                <c:ptCount val="7"/>
                <c:pt idx="2">
                  <c:v>1398.82</c:v>
                </c:pt>
                <c:pt idx="4">
                  <c:v>19.35</c:v>
                </c:pt>
                <c:pt idx="6">
                  <c:v>15.91</c:v>
                </c:pt>
              </c:numCache>
            </c:numRef>
          </c:val>
        </c:ser>
        <c:dLbls>
          <c:showLegendKey val="0"/>
          <c:showVal val="1"/>
          <c:showCatName val="0"/>
          <c:showSerName val="0"/>
          <c:showPercent val="0"/>
          <c:showBubbleSize val="0"/>
          <c:showLeaderLines val="1"/>
        </c:dLbls>
        <c:firstSliceAng val="60"/>
      </c:pieChart>
      <c:spPr>
        <a:noFill/>
        <a:ln>
          <a:noFill/>
        </a:ln>
        <a:effectLst/>
      </c:spPr>
    </c:plotArea>
    <c:legend>
      <c:legendPos val="r"/>
      <c:legendEntry>
        <c:idx val="0"/>
        <c:delete val="1"/>
      </c:legendEntry>
      <c:legendEntry>
        <c:idx val="1"/>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3</TotalTime>
  <ScaleCrop>false</ScaleCrop>
  <LinksUpToDate>false</LinksUpToDate>
  <CharactersWithSpaces>8692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2025-11-03T07:47:10Z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EF83A4359DE148E59EC83854DB329DFC_13</vt:lpwstr>
  </property>
</Properties>
</file>