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48"/>
          <w:szCs w:val="48"/>
          <w:lang w:val="en-US" w:eastAsia="zh-CN"/>
        </w:rPr>
      </w:pPr>
      <w:bookmarkStart w:id="0" w:name="_Toc15306267"/>
      <w:bookmarkStart w:id="1" w:name="_Toc15377426"/>
      <w:bookmarkStart w:id="2" w:name="_Toc15377194"/>
      <w:bookmarkStart w:id="3" w:name="_Toc15396598"/>
      <w:bookmarkStart w:id="4" w:name="_Toc15396476"/>
      <w:bookmarkStart w:id="5" w:name="_Toc15378442"/>
    </w:p>
    <w:p>
      <w:pPr>
        <w:jc w:val="center"/>
        <w:rPr>
          <w:rFonts w:hint="eastAsia" w:ascii="方正小标宋_GBK" w:hAnsi="方正小标宋_GBK" w:eastAsia="方正小标宋_GBK" w:cs="方正小标宋_GBK"/>
          <w:b/>
          <w:bCs/>
          <w:sz w:val="48"/>
          <w:szCs w:val="48"/>
          <w:lang w:val="en-US" w:eastAsia="zh-CN"/>
        </w:rPr>
      </w:pPr>
    </w:p>
    <w:p>
      <w:pPr>
        <w:jc w:val="center"/>
        <w:rPr>
          <w:rFonts w:hint="eastAsia" w:ascii="方正小标宋_GBK" w:hAnsi="方正小标宋_GBK" w:eastAsia="方正小标宋_GBK" w:cs="方正小标宋_GBK"/>
          <w:b/>
          <w:bCs/>
          <w:sz w:val="48"/>
          <w:szCs w:val="48"/>
          <w:lang w:val="en-US" w:eastAsia="zh-CN"/>
        </w:rPr>
      </w:pPr>
    </w:p>
    <w:p>
      <w:pPr>
        <w:jc w:val="center"/>
        <w:rPr>
          <w:rFonts w:hint="eastAsia" w:ascii="方正小标宋_GBK" w:hAnsi="方正小标宋_GBK" w:eastAsia="方正小标宋_GBK" w:cs="方正小标宋_GBK"/>
          <w:b/>
          <w:bCs/>
          <w:sz w:val="48"/>
          <w:szCs w:val="48"/>
          <w:lang w:val="en-US" w:eastAsia="zh-CN"/>
        </w:rPr>
      </w:pPr>
    </w:p>
    <w:p>
      <w:pPr>
        <w:jc w:val="center"/>
        <w:rPr>
          <w:rFonts w:hint="eastAsia" w:ascii="方正小标宋_GBK" w:hAnsi="方正小标宋_GBK" w:eastAsia="方正小标宋_GBK" w:cs="方正小标宋_GBK"/>
          <w:b/>
          <w:bCs/>
          <w:sz w:val="48"/>
          <w:szCs w:val="48"/>
          <w:lang w:val="en-US" w:eastAsia="zh-CN"/>
        </w:rPr>
      </w:pPr>
      <w:r>
        <w:rPr>
          <w:rFonts w:hint="eastAsia" w:ascii="方正小标宋_GBK" w:hAnsi="方正小标宋_GBK" w:eastAsia="方正小标宋_GBK" w:cs="方正小标宋_GBK"/>
          <w:b/>
          <w:bCs/>
          <w:spacing w:val="-11"/>
          <w:sz w:val="48"/>
          <w:szCs w:val="48"/>
          <w:lang w:val="en-US" w:eastAsia="zh-CN"/>
        </w:rPr>
        <w:t>2024年度</w:t>
      </w:r>
      <w:bookmarkEnd w:id="0"/>
      <w:bookmarkStart w:id="6" w:name="_Toc15306268"/>
      <w:r>
        <w:rPr>
          <w:rFonts w:hint="eastAsia" w:ascii="方正小标宋_GBK" w:hAnsi="方正小标宋_GBK" w:eastAsia="方正小标宋_GBK" w:cs="方正小标宋_GBK"/>
          <w:b/>
          <w:bCs/>
          <w:spacing w:val="-11"/>
          <w:sz w:val="48"/>
          <w:szCs w:val="48"/>
        </w:rPr>
        <w:t>中共攀枝花市西区纪律检查委员会</w:t>
      </w:r>
      <w:r>
        <w:rPr>
          <w:rFonts w:hint="eastAsia" w:ascii="方正小标宋_GBK" w:hAnsi="方正小标宋_GBK" w:eastAsia="方正小标宋_GBK" w:cs="方正小标宋_GBK"/>
          <w:b/>
          <w:bCs/>
          <w:sz w:val="48"/>
          <w:szCs w:val="48"/>
          <w:lang w:val="en-US" w:eastAsia="zh-CN"/>
        </w:rPr>
        <w:t>部门决算</w:t>
      </w:r>
      <w:bookmarkEnd w:id="1"/>
      <w:bookmarkEnd w:id="2"/>
      <w:bookmarkEnd w:id="3"/>
      <w:bookmarkEnd w:id="4"/>
      <w:bookmarkEnd w:id="5"/>
      <w:bookmarkEnd w:id="6"/>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6"/>
          <w:szCs w:val="36"/>
        </w:rPr>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6"/>
          <w:szCs w:val="36"/>
        </w:rPr>
        <w:t>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公开时间：20</w:t>
      </w:r>
      <w:r>
        <w:rPr>
          <w:rFonts w:hint="eastAsia" w:ascii="方正楷体_GBK" w:hAnsi="方正楷体_GBK" w:eastAsia="方正楷体_GBK" w:cs="方正楷体_GBK"/>
          <w:sz w:val="32"/>
          <w:szCs w:val="32"/>
          <w:lang w:val="en-US" w:eastAsia="zh-CN"/>
        </w:rPr>
        <w:t>24</w:t>
      </w:r>
      <w:r>
        <w:rPr>
          <w:rFonts w:hint="eastAsia" w:ascii="方正楷体_GBK" w:hAnsi="方正楷体_GBK" w:eastAsia="方正楷体_GBK" w:cs="方正楷体_GBK"/>
          <w:sz w:val="32"/>
          <w:szCs w:val="32"/>
        </w:rPr>
        <w:t>年</w:t>
      </w:r>
      <w:r>
        <w:rPr>
          <w:rFonts w:hint="eastAsia" w:ascii="方正楷体_GBK" w:hAnsi="方正楷体_GBK" w:eastAsia="方正楷体_GBK" w:cs="方正楷体_GBK"/>
          <w:sz w:val="32"/>
          <w:szCs w:val="32"/>
          <w:lang w:val="en-US" w:eastAsia="zh-CN"/>
        </w:rPr>
        <w:t>10</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31</w:t>
      </w:r>
      <w:r>
        <w:rPr>
          <w:rFonts w:hint="eastAsia" w:ascii="方正楷体_GBK" w:hAnsi="方正楷体_GBK" w:eastAsia="方正楷体_GBK" w:cs="方正楷体_GBK"/>
          <w:sz w:val="32"/>
          <w:szCs w:val="32"/>
        </w:rPr>
        <w:t>日</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第一部分 部门概况</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部门职责</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3</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第二部分</w:t>
      </w:r>
      <w:r>
        <w:rPr>
          <w:rFonts w:hint="eastAsia" w:ascii="方正楷体_GBK" w:hAnsi="方正楷体_GBK" w:eastAsia="方正楷体_GBK" w:cs="方正楷体_GBK"/>
          <w:sz w:val="32"/>
          <w:szCs w:val="32"/>
          <w:lang w:val="en-US" w:eastAsia="zh-CN"/>
        </w:rPr>
        <w:t xml:space="preserve"> 2024年度</w:t>
      </w:r>
      <w:r>
        <w:rPr>
          <w:rFonts w:hint="eastAsia" w:ascii="方正楷体_GBK" w:hAnsi="方正楷体_GBK" w:eastAsia="方正楷体_GBK" w:cs="方正楷体_GBK"/>
          <w:sz w:val="32"/>
          <w:szCs w:val="32"/>
        </w:rPr>
        <w:t>部门决算情况说明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二、收入决算情况说明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三、支出决算情况说明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5</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四、财政拨款收入支出决算总体情况说明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5</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五、一般公共预算财政拨款支出决算情况说明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6</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六、一般公共预算财政拨款基本支出决算情况说明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8</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七、财政拨款</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三公”经费支出决算情况说明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9</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八、政府性基金预算支出决算情况说明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10</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九、</w:t>
      </w:r>
      <w:r>
        <w:rPr>
          <w:rFonts w:hint="eastAsia" w:ascii="方正楷体_GBK" w:hAnsi="方正楷体_GBK" w:eastAsia="方正楷体_GBK" w:cs="方正楷体_GBK"/>
          <w:sz w:val="32"/>
          <w:szCs w:val="32"/>
          <w:lang w:eastAsia="zh-CN"/>
        </w:rPr>
        <w:t>国</w:t>
      </w:r>
      <w:r>
        <w:rPr>
          <w:rFonts w:hint="eastAsia" w:ascii="方正楷体_GBK" w:hAnsi="方正楷体_GBK" w:eastAsia="方正楷体_GBK" w:cs="方正楷体_GBK"/>
          <w:sz w:val="32"/>
          <w:szCs w:val="32"/>
        </w:rPr>
        <w:t>有资本经营预算支出决算情况说明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10</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十</w:t>
      </w:r>
      <w:r>
        <w:rPr>
          <w:rFonts w:hint="eastAsia" w:ascii="方正楷体_GBK" w:hAnsi="方正楷体_GBK" w:eastAsia="方正楷体_GBK" w:cs="方正楷体_GBK"/>
          <w:sz w:val="32"/>
          <w:szCs w:val="32"/>
        </w:rPr>
        <w:t>、其他重要事项的情况说明</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10</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第三部分 名词解释</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13</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第四部分 附件</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17</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第五部分 附表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一、收入支出决算总表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二、收入决算表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rPr>
        <w:sectPr>
          <w:footerReference r:id="rId6" w:type="first"/>
          <w:footerReference r:id="rId5" w:type="default"/>
          <w:pgSz w:w="11906" w:h="16838"/>
          <w:pgMar w:top="2098" w:right="1474" w:bottom="1984" w:left="1587" w:header="851" w:footer="992" w:gutter="0"/>
          <w:pgNumType w:fmt="numberInDash" w:start="1"/>
          <w:cols w:space="425" w:num="1"/>
          <w:titlePg/>
          <w:docGrid w:type="lines" w:linePitch="312" w:charSpace="0"/>
        </w:sectPr>
      </w:pP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三、支出决算表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四、财政拨款收入支出决算总表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五、财政拨款支出决算明细表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六、一般公共预算财政拨款支出决算表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七、一般公共预算财政拨款支出决算明细表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八、一般公共预算财政拨款基本支出决算</w:t>
      </w:r>
      <w:r>
        <w:rPr>
          <w:rFonts w:hint="eastAsia" w:ascii="方正楷体_GBK" w:hAnsi="方正楷体_GBK" w:eastAsia="方正楷体_GBK" w:cs="方正楷体_GBK"/>
          <w:sz w:val="32"/>
          <w:szCs w:val="32"/>
          <w:lang w:eastAsia="zh-CN"/>
        </w:rPr>
        <w:t>明细</w:t>
      </w:r>
      <w:r>
        <w:rPr>
          <w:rFonts w:hint="eastAsia" w:ascii="方正楷体_GBK" w:hAnsi="方正楷体_GBK" w:eastAsia="方正楷体_GBK" w:cs="方正楷体_GBK"/>
          <w:sz w:val="32"/>
          <w:szCs w:val="32"/>
        </w:rPr>
        <w:t>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九、一般公共预算财政拨款项目支出决算表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十、政府性基金预算财政拨款收入支出决算表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十一、国有资本经营预算财政拨款收入支出决算表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rPr>
      </w:pPr>
      <w:r>
        <w:rPr>
          <w:rFonts w:hint="eastAsia" w:ascii="方正楷体_GBK" w:hAnsi="方正楷体_GBK" w:eastAsia="方正楷体_GBK" w:cs="方正楷体_GBK"/>
          <w:sz w:val="32"/>
          <w:szCs w:val="32"/>
        </w:rPr>
        <w:t>十二、</w:t>
      </w:r>
      <w:r>
        <w:rPr>
          <w:rFonts w:hint="eastAsia" w:ascii="方正楷体_GBK" w:hAnsi="方正楷体_GBK" w:eastAsia="方正楷体_GBK" w:cs="方正楷体_GBK"/>
          <w:sz w:val="32"/>
          <w:szCs w:val="32"/>
          <w:lang w:val="en-US" w:eastAsia="zh-CN"/>
        </w:rPr>
        <w:t>国有资本经营预算财政拨款支出决算表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十三、财政拨款“三公”经费支出决算表</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部门预算项目支出绩效自评表（2024年度）</w:t>
      </w:r>
      <w:r>
        <w:rPr>
          <w:rFonts w:hint="eastAsia" w:ascii="方正楷体_GBK" w:hAnsi="方正楷体_GBK" w:eastAsia="方正楷体_GBK" w:cs="方正楷体_GBK"/>
          <w:sz w:val="32"/>
          <w:szCs w:val="32"/>
          <w:lang w:val="en-US" w:eastAsia="zh-CN"/>
        </w:rPr>
        <w:tab/>
      </w:r>
      <w:r>
        <w:rPr>
          <w:rFonts w:hint="eastAsia" w:ascii="方正楷体_GBK" w:hAnsi="方正楷体_GBK" w:eastAsia="方正楷体_GBK" w:cs="方正楷体_GBK"/>
          <w:sz w:val="32"/>
          <w:szCs w:val="32"/>
          <w:lang w:val="en-US" w:eastAsia="zh-CN"/>
        </w:rPr>
        <w:t>42</w:t>
      </w:r>
    </w:p>
    <w:p>
      <w:pPr>
        <w:keepNext w:val="0"/>
        <w:keepLines w:val="0"/>
        <w:pageBreakBefore w:val="0"/>
        <w:widowControl w:val="0"/>
        <w:tabs>
          <w:tab w:val="right" w:leader="dot" w:pos="7980"/>
        </w:tabs>
        <w:kinsoku/>
        <w:wordWrap/>
        <w:overflowPunct/>
        <w:topLinePunct w:val="0"/>
        <w:autoSpaceDE/>
        <w:autoSpaceDN/>
        <w:bidi w:val="0"/>
        <w:adjustRightInd/>
        <w:snapToGrid/>
        <w:textAlignment w:val="auto"/>
        <w:rPr>
          <w:rFonts w:hint="eastAsia"/>
        </w:rPr>
      </w:pPr>
      <w:bookmarkStart w:id="7" w:name="_Toc15396599"/>
      <w:bookmarkStart w:id="8" w:name="_Toc15377196"/>
    </w:p>
    <w:p>
      <w:pPr>
        <w:rPr>
          <w:rFonts w:hint="eastAsia"/>
        </w:rPr>
        <w:sectPr>
          <w:footerReference r:id="rId8" w:type="first"/>
          <w:footerReference r:id="rId7" w:type="default"/>
          <w:pgSz w:w="11906" w:h="16838"/>
          <w:pgMar w:top="2098" w:right="1474" w:bottom="1984" w:left="1587" w:header="851" w:footer="992" w:gutter="0"/>
          <w:pgNumType w:fmt="numberInDash"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部门概况</w:t>
      </w:r>
      <w:bookmarkEnd w:id="7"/>
      <w:bookmarkEnd w:id="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lang w:eastAsia="zh-CN"/>
        </w:rPr>
        <w:t>部门职责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负责党的纪律检查工作。贯彻落实党中央、中央纪委，省委、省纪委，市委、市纪委和区委关于纪律检查工作的决定，维护党的章程和其他党内法规，检查党的路线方针政策和决议的执行情况，协助区委推进全面从严治党、加强党风廉政建设和组织协调反腐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依照党的章程和其他党内法规履行监督、执纪、问责职责。负责经常对党员进行遵守纪律的教育，作出关于维护党纪的决定；对区委工作机关及工作机关管理的机关、区委批准设立的党委（党组），镇（街道）党（工）委、纪（工）委等党的组织和区委管理的党员领导干部及党的关系在地方的中央、省级单位党的组织、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全区监察工作。贯彻落实党中央、中央纪委国家监委，省委、省纪委监委，市委、市纪委监委和区委关于监察工作的决定，维护宪法法律，依法对区委管理或者授权管辖的行使公权力的公职人员进行监察，调查职务违法和职务犯罪，开展廉政建设和反腐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依照法律规定履行监督、调查、处置职责。推动开展廉政教育，对区委管理或者授权管辖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5.负责组织协调全区全面从严治党、党风廉政建设和反腐败宣传教育工作。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6.负责综合分析全区全面从严治党、党风廉政建设和反腐败工作情况，对纪检监察工作重要理论和实践问题进行调查研究；参与起草制订相关规范性文件。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7.负责全区反腐败国际追逃追赃和防逃工作的组织协调，督促有关单位做好相关工作。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8.负责与区委巡察工作领导小组办公室的统筹协调和有关问题线索的处置工作。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根据干部管理权限，负责全区纪检监察系统领导班子建设、干部队伍建设和组织建设的综合规划、政策研究、制度建设和业务指导；会同有关方面做好区纪委监委派出机构、区委巡察机构和下一级纪检监察机构，以及区属企事业单位纪检监察机构领导班子建设有关工作；组织和指导全区纪检监察系统干部教育培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10.完成市纪委监委和区委交办的其他任务。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bookmarkStart w:id="9" w:name="_Toc15396601"/>
      <w:bookmarkStart w:id="10" w:name="_Toc15377200"/>
      <w:r>
        <w:rPr>
          <w:rFonts w:hint="eastAsia" w:ascii="方正黑体_GBK" w:hAnsi="方正黑体_GBK" w:eastAsia="方正黑体_GBK" w:cs="方正黑体_GBK"/>
          <w:sz w:val="32"/>
          <w:szCs w:val="32"/>
          <w:lang w:eastAsia="zh-CN"/>
        </w:rPr>
        <w:t>二、机构设置</w:t>
      </w:r>
      <w:bookmarkEnd w:id="9"/>
      <w:bookmarkEnd w:id="1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攀枝花市西区纪律检查委员会无下属二级预算单位。内设室（部）12个：办公室、组织部、宣传部、党风政风监督室、第一至第四纪检监察室、干部监督室、案件审理室、信访室和案件管理室。攀枝花市西区纪检监察教育培训与信息中心系其下属二级公益一类事业单位，非独立预算单位。中共攀枝花市西区纪律检查委员会与攀枝花市西区监察委员会合署办公，实行一套工作机构，两个机关名称的管理体制，合称攀枝花市西区纪委监委机关；中共攀枝花市西区区委巡察工作领导小组办公室财务未独立预算核算，与攀枝花市西区纪委监委机关一起预算核算，攀枝花市西区巡察服务中心系其下属公益一类事业单位，非独立预算单位。</w:t>
      </w:r>
    </w:p>
    <w:p>
      <w:pPr>
        <w:jc w:val="center"/>
        <w:rPr>
          <w:rFonts w:hint="eastAsia" w:ascii="方正黑体_GBK" w:hAnsi="方正黑体_GBK" w:eastAsia="方正黑体_GBK" w:cs="方正黑体_GBK"/>
          <w:sz w:val="32"/>
          <w:szCs w:val="32"/>
        </w:rPr>
      </w:pPr>
      <w:bookmarkStart w:id="11" w:name="_Toc15377204"/>
      <w:bookmarkStart w:id="12" w:name="_Toc15396602"/>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2024年度</w:t>
      </w:r>
      <w:r>
        <w:rPr>
          <w:rFonts w:hint="eastAsia" w:ascii="方正黑体_GBK" w:hAnsi="方正黑体_GBK" w:eastAsia="方正黑体_GBK" w:cs="方正黑体_GBK"/>
          <w:sz w:val="32"/>
          <w:szCs w:val="32"/>
        </w:rPr>
        <w:t>部门决算情况说明</w:t>
      </w:r>
      <w:bookmarkEnd w:id="11"/>
      <w:bookmarkEnd w:id="12"/>
    </w:p>
    <w:p>
      <w:pPr>
        <w:rPr>
          <w:rFonts w:hint="eastAsia"/>
        </w:rPr>
      </w:pPr>
    </w:p>
    <w:p>
      <w:pPr>
        <w:rPr>
          <w:rFonts w:hint="eastAsia" w:ascii="方正黑体_GBK" w:hAnsi="方正黑体_GBK" w:eastAsia="方正黑体_GBK" w:cs="方正黑体_GBK"/>
          <w:sz w:val="32"/>
          <w:szCs w:val="32"/>
          <w:lang w:eastAsia="zh-CN"/>
        </w:rPr>
      </w:pPr>
      <w:bookmarkStart w:id="13" w:name="_Toc15377205"/>
      <w:bookmarkStart w:id="14" w:name="_Toc15396603"/>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lang w:val="en-US" w:eastAsia="zh-CN"/>
        </w:rPr>
        <w:t>、收入支出决算总体情况说明</w:t>
      </w:r>
      <w:bookmarkEnd w:id="13"/>
      <w:bookmarkEnd w:id="14"/>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2024年度收入</w:t>
      </w:r>
      <w:r>
        <w:rPr>
          <w:rFonts w:hint="default" w:ascii="Times New Roman" w:hAnsi="Times New Roman" w:eastAsia="方正仿宋_GBK" w:cs="Times New Roman"/>
          <w:sz w:val="32"/>
          <w:szCs w:val="32"/>
          <w:lang w:val="en-US" w:eastAsia="zh-CN"/>
        </w:rPr>
        <w:t>总计1167万元，</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总计1311.73万元。与</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度</w:t>
      </w:r>
      <w:r>
        <w:rPr>
          <w:rFonts w:hint="default" w:ascii="Times New Roman" w:hAnsi="Times New Roman" w:eastAsia="方正仿宋_GBK" w:cs="Times New Roman"/>
          <w:sz w:val="32"/>
          <w:szCs w:val="32"/>
        </w:rPr>
        <w:t>相比，</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rPr>
        <w:t>总计增加</w:t>
      </w:r>
      <w:r>
        <w:rPr>
          <w:rFonts w:hint="default" w:ascii="Times New Roman" w:hAnsi="Times New Roman" w:eastAsia="方正仿宋_GBK" w:cs="Times New Roman"/>
          <w:sz w:val="32"/>
          <w:szCs w:val="32"/>
          <w:lang w:val="en-US" w:eastAsia="zh-CN"/>
        </w:rPr>
        <w:t>245.05万元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增长</w:t>
      </w:r>
      <w:r>
        <w:rPr>
          <w:rFonts w:hint="default" w:ascii="Times New Roman" w:hAnsi="Times New Roman" w:eastAsia="方正仿宋_GBK" w:cs="Times New Roman"/>
          <w:sz w:val="32"/>
          <w:szCs w:val="32"/>
          <w:lang w:val="en-US" w:eastAsia="zh-CN"/>
        </w:rPr>
        <w:t>26.58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总计</w:t>
      </w:r>
      <w:r>
        <w:rPr>
          <w:rFonts w:hint="default" w:ascii="Times New Roman" w:hAnsi="Times New Roman" w:eastAsia="方正仿宋_GBK" w:cs="Times New Roman"/>
          <w:sz w:val="32"/>
          <w:szCs w:val="32"/>
          <w:lang w:val="en-US" w:eastAsia="zh-CN"/>
        </w:rPr>
        <w:t>增加180.4</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15.95</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2024年招考录用行政人员3人、派驻各单位纪检组17人工资收回由委机关发放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经费增加，项目经费增涨</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决算总计变动情况图）（柱状图）</w:t>
      </w:r>
    </w:p>
    <w:p>
      <w:pPr>
        <w:rPr>
          <w:rFonts w:hint="eastAsia"/>
        </w:rPr>
      </w:pPr>
      <w:r>
        <w:rPr>
          <w:rFonts w:hint="eastAsia"/>
        </w:rPr>
        <w:drawing>
          <wp:inline distT="0" distB="0" distL="114300" distR="114300">
            <wp:extent cx="4572000" cy="2590800"/>
            <wp:effectExtent l="4445" t="4445" r="5080" b="508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eastAsia" w:ascii="方正黑体_GBK" w:hAnsi="方正黑体_GBK" w:eastAsia="方正黑体_GBK" w:cs="方正黑体_GBK"/>
          <w:sz w:val="32"/>
          <w:szCs w:val="32"/>
          <w:lang w:eastAsia="zh-CN"/>
        </w:rPr>
      </w:pPr>
      <w:bookmarkStart w:id="15" w:name="_Toc15377206"/>
      <w:bookmarkStart w:id="16" w:name="_Toc15396604"/>
    </w:p>
    <w:p>
      <w:pP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二、收入决算情况说明</w:t>
      </w:r>
      <w:bookmarkEnd w:id="15"/>
      <w:bookmarkEnd w:id="1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2024年度本年收入合计</w:t>
      </w:r>
      <w:r>
        <w:rPr>
          <w:rFonts w:hint="default" w:ascii="Times New Roman" w:hAnsi="Times New Roman" w:eastAsia="方正仿宋_GBK" w:cs="Times New Roman"/>
          <w:sz w:val="32"/>
          <w:szCs w:val="32"/>
        </w:rPr>
        <w:t>1167万元，其中：一般公共预算财政拨款收入999.62</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85.6</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%；政府性基金预算财政拨款收入</w:t>
      </w:r>
      <w:r>
        <w:rPr>
          <w:rFonts w:hint="default" w:ascii="Times New Roman" w:hAnsi="Times New Roman" w:eastAsia="方正仿宋_GBK" w:cs="Times New Roman"/>
          <w:sz w:val="32"/>
          <w:szCs w:val="32"/>
        </w:rPr>
        <w:t>167.38</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14.34%</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（图2：收入决算结构图）（饼状图）</w:t>
      </w:r>
    </w:p>
    <w:p>
      <w:pPr>
        <w:jc w:val="center"/>
        <w:rPr>
          <w:rFonts w:hint="eastAsia" w:ascii="方正黑体_GBK" w:hAnsi="方正黑体_GBK" w:eastAsia="方正黑体_GBK" w:cs="方正黑体_GBK"/>
          <w:sz w:val="32"/>
          <w:szCs w:val="32"/>
          <w:lang w:eastAsia="zh-CN"/>
        </w:rPr>
      </w:pPr>
      <w:r>
        <w:rPr>
          <w:rFonts w:hint="eastAsia"/>
        </w:rPr>
        <w:drawing>
          <wp:inline distT="0" distB="0" distL="114300" distR="114300">
            <wp:extent cx="4572000" cy="2590800"/>
            <wp:effectExtent l="4445" t="4445" r="10795" b="107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17" w:name="_Toc15396605"/>
      <w:bookmarkStart w:id="18" w:name="_Toc1537720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三、支出决算情况说明</w:t>
      </w:r>
      <w:bookmarkEnd w:id="17"/>
      <w:bookmarkEnd w:id="1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2024年度本年支出合计</w:t>
      </w:r>
      <w:r>
        <w:rPr>
          <w:rFonts w:hint="default" w:ascii="Times New Roman" w:hAnsi="Times New Roman" w:eastAsia="方正仿宋_GBK" w:cs="Times New Roman"/>
          <w:sz w:val="32"/>
          <w:szCs w:val="32"/>
        </w:rPr>
        <w:t>1311.73</w:t>
      </w:r>
      <w:r>
        <w:rPr>
          <w:rFonts w:hint="default" w:ascii="Times New Roman" w:hAnsi="Times New Roman" w:eastAsia="方正仿宋_GBK" w:cs="Times New Roman"/>
          <w:sz w:val="32"/>
          <w:szCs w:val="32"/>
          <w:lang w:eastAsia="zh-CN"/>
        </w:rPr>
        <w:t>万元，其中：基本支出</w:t>
      </w:r>
      <w:r>
        <w:rPr>
          <w:rFonts w:hint="default" w:ascii="Times New Roman" w:hAnsi="Times New Roman" w:eastAsia="方正仿宋_GBK" w:cs="Times New Roman"/>
          <w:sz w:val="32"/>
          <w:szCs w:val="32"/>
        </w:rPr>
        <w:t>992.12</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75.63</w:t>
      </w:r>
      <w:r>
        <w:rPr>
          <w:rFonts w:hint="default" w:ascii="Times New Roman" w:hAnsi="Times New Roman" w:eastAsia="方正仿宋_GBK" w:cs="Times New Roman"/>
          <w:sz w:val="32"/>
          <w:szCs w:val="32"/>
          <w:lang w:eastAsia="zh-CN"/>
        </w:rPr>
        <w:t>%；项目支出</w:t>
      </w:r>
      <w:r>
        <w:rPr>
          <w:rFonts w:hint="default" w:ascii="Times New Roman" w:hAnsi="Times New Roman" w:eastAsia="方正仿宋_GBK" w:cs="Times New Roman"/>
          <w:sz w:val="32"/>
          <w:szCs w:val="32"/>
        </w:rPr>
        <w:t>319.61</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24.3</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（图3：支出决算结构图）（饼状图）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default" w:ascii="Times New Roman" w:hAnsi="Times New Roman" w:eastAsia="方正仿宋_GBK" w:cs="Times New Roman"/>
          <w:sz w:val="32"/>
          <w:szCs w:val="32"/>
        </w:rPr>
        <w:drawing>
          <wp:inline distT="0" distB="0" distL="114300" distR="114300">
            <wp:extent cx="4572000" cy="2743200"/>
            <wp:effectExtent l="4445" t="4445" r="10795" b="1079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19" w:name="_Toc15396606"/>
      <w:bookmarkStart w:id="20" w:name="_Toc1537720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四、财政拨款收入支出决算总体情况说明</w:t>
      </w:r>
      <w:bookmarkEnd w:id="19"/>
      <w:bookmarkEnd w:id="2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2024年度财政拨款收入总计为</w:t>
      </w:r>
      <w:r>
        <w:rPr>
          <w:rFonts w:hint="default" w:ascii="Times New Roman" w:hAnsi="Times New Roman" w:eastAsia="方正仿宋_GBK" w:cs="Times New Roman"/>
          <w:sz w:val="32"/>
          <w:szCs w:val="32"/>
          <w:lang w:eastAsia="zh-CN"/>
        </w:rPr>
        <w:t>1167万元，</w:t>
      </w:r>
      <w:r>
        <w:rPr>
          <w:rFonts w:hint="default" w:ascii="Times New Roman" w:hAnsi="Times New Roman" w:eastAsia="方正仿宋_GBK" w:cs="Times New Roman"/>
          <w:sz w:val="32"/>
          <w:szCs w:val="32"/>
          <w:lang w:val="en-US" w:eastAsia="zh-CN"/>
        </w:rPr>
        <w:t>支出总计为</w:t>
      </w:r>
      <w:r>
        <w:rPr>
          <w:rFonts w:hint="default" w:ascii="Times New Roman" w:hAnsi="Times New Roman" w:eastAsia="方正仿宋_GBK" w:cs="Times New Roman"/>
          <w:sz w:val="32"/>
          <w:szCs w:val="32"/>
          <w:lang w:eastAsia="zh-CN"/>
        </w:rPr>
        <w:t>1311.73</w:t>
      </w:r>
      <w:r>
        <w:rPr>
          <w:rFonts w:hint="default" w:ascii="Times New Roman" w:hAnsi="Times New Roman" w:eastAsia="方正仿宋_GBK" w:cs="Times New Roman"/>
          <w:sz w:val="32"/>
          <w:szCs w:val="32"/>
          <w:lang w:val="en-US" w:eastAsia="zh-CN"/>
        </w:rPr>
        <w:t>万元。与2023年度相比，财政拨款收入</w:t>
      </w:r>
      <w:r>
        <w:rPr>
          <w:rFonts w:hint="default" w:ascii="Times New Roman" w:hAnsi="Times New Roman" w:eastAsia="方正仿宋_GBK" w:cs="Times New Roman"/>
          <w:sz w:val="32"/>
          <w:szCs w:val="32"/>
          <w:lang w:eastAsia="zh-CN"/>
        </w:rPr>
        <w:t>总计增加</w:t>
      </w:r>
      <w:r>
        <w:rPr>
          <w:rFonts w:hint="default" w:ascii="Times New Roman" w:hAnsi="Times New Roman" w:eastAsia="方正仿宋_GBK" w:cs="Times New Roman"/>
          <w:sz w:val="32"/>
          <w:szCs w:val="32"/>
          <w:lang w:val="en-US" w:eastAsia="zh-CN"/>
        </w:rPr>
        <w:t>245.05万元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26.58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财政拨款</w:t>
      </w:r>
      <w:r>
        <w:rPr>
          <w:rFonts w:hint="default" w:ascii="Times New Roman" w:hAnsi="Times New Roman" w:eastAsia="方正仿宋_GBK" w:cs="Times New Roman"/>
          <w:sz w:val="32"/>
          <w:szCs w:val="32"/>
          <w:lang w:eastAsia="zh-CN"/>
        </w:rPr>
        <w:t>支出总计</w:t>
      </w:r>
      <w:r>
        <w:rPr>
          <w:rFonts w:hint="default" w:ascii="Times New Roman" w:hAnsi="Times New Roman" w:eastAsia="方正仿宋_GBK" w:cs="Times New Roman"/>
          <w:sz w:val="32"/>
          <w:szCs w:val="32"/>
          <w:lang w:val="en-US" w:eastAsia="zh-CN"/>
        </w:rPr>
        <w:t>增加180.4</w:t>
      </w:r>
      <w:r>
        <w:rPr>
          <w:rFonts w:hint="default" w:ascii="Times New Roman" w:hAnsi="Times New Roman" w:eastAsia="方正仿宋_GBK" w:cs="Times New Roman"/>
          <w:sz w:val="32"/>
          <w:szCs w:val="32"/>
          <w:lang w:eastAsia="zh-CN"/>
        </w:rPr>
        <w:t>万元，增长</w:t>
      </w:r>
      <w:r>
        <w:rPr>
          <w:rFonts w:hint="default" w:ascii="Times New Roman" w:hAnsi="Times New Roman" w:eastAsia="方正仿宋_GBK" w:cs="Times New Roman"/>
          <w:sz w:val="32"/>
          <w:szCs w:val="32"/>
          <w:lang w:val="en-US" w:eastAsia="zh-CN"/>
        </w:rPr>
        <w:t>15.95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。主要变动原因是</w:t>
      </w:r>
      <w:r>
        <w:rPr>
          <w:rFonts w:hint="default" w:ascii="Times New Roman" w:hAnsi="Times New Roman" w:eastAsia="方正仿宋_GBK" w:cs="Times New Roman"/>
          <w:sz w:val="32"/>
          <w:szCs w:val="32"/>
          <w:lang w:eastAsia="zh-CN"/>
        </w:rPr>
        <w:t>西</w:t>
      </w:r>
      <w:r>
        <w:rPr>
          <w:rFonts w:hint="default" w:ascii="Times New Roman" w:hAnsi="Times New Roman" w:eastAsia="方正仿宋_GBK" w:cs="Times New Roman"/>
          <w:sz w:val="32"/>
          <w:szCs w:val="32"/>
        </w:rPr>
        <w:t>区纪委监委机关</w:t>
      </w:r>
      <w:r>
        <w:rPr>
          <w:rFonts w:hint="default" w:ascii="Times New Roman" w:hAnsi="Times New Roman" w:eastAsia="方正仿宋_GBK" w:cs="Times New Roman"/>
          <w:sz w:val="32"/>
          <w:szCs w:val="32"/>
          <w:lang w:eastAsia="zh-CN"/>
        </w:rPr>
        <w:t>人员增加，</w:t>
      </w:r>
      <w:r>
        <w:rPr>
          <w:rFonts w:hint="default" w:ascii="Times New Roman" w:hAnsi="Times New Roman" w:eastAsia="方正仿宋_GBK" w:cs="Times New Roman"/>
          <w:sz w:val="32"/>
          <w:szCs w:val="32"/>
        </w:rPr>
        <w:t>经费增</w:t>
      </w:r>
      <w:r>
        <w:rPr>
          <w:rFonts w:hint="default" w:ascii="Times New Roman" w:hAnsi="Times New Roman" w:eastAsia="方正仿宋_GBK" w:cs="Times New Roman"/>
          <w:sz w:val="32"/>
          <w:szCs w:val="32"/>
          <w:lang w:eastAsia="zh-CN"/>
        </w:rPr>
        <w:t>涨</w:t>
      </w:r>
      <w:r>
        <w:rPr>
          <w:rFonts w:hint="default" w:ascii="Times New Roman" w:hAnsi="Times New Roman" w:eastAsia="方正仿宋_GBK" w:cs="Times New Roman"/>
          <w:sz w:val="32"/>
          <w:szCs w:val="32"/>
        </w:rPr>
        <w:t>，项目经费增</w:t>
      </w:r>
      <w:r>
        <w:rPr>
          <w:rFonts w:hint="default" w:ascii="Times New Roman" w:hAnsi="Times New Roman" w:eastAsia="方正仿宋_GBK" w:cs="Times New Roman"/>
          <w:sz w:val="32"/>
          <w:szCs w:val="32"/>
          <w:lang w:eastAsia="zh-CN"/>
        </w:rPr>
        <w:t>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（图4：财政拨款收、支决算总计变动情况）（柱状图）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bookmarkStart w:id="21" w:name="_Toc15377209"/>
      <w:bookmarkStart w:id="22" w:name="_Toc15396607"/>
      <w:r>
        <w:rPr>
          <w:rFonts w:hint="eastAsia" w:ascii="方正黑体_GBK" w:hAnsi="方正黑体_GBK" w:eastAsia="方正黑体_GBK" w:cs="方正黑体_GBK"/>
          <w:sz w:val="32"/>
          <w:szCs w:val="32"/>
          <w:lang w:eastAsia="zh-CN"/>
        </w:rPr>
        <w:drawing>
          <wp:anchor distT="0" distB="0" distL="114300" distR="114300" simplePos="0" relativeHeight="251659264" behindDoc="0" locked="0" layoutInCell="1" allowOverlap="1">
            <wp:simplePos x="0" y="0"/>
            <wp:positionH relativeFrom="column">
              <wp:posOffset>351790</wp:posOffset>
            </wp:positionH>
            <wp:positionV relativeFrom="paragraph">
              <wp:posOffset>71755</wp:posOffset>
            </wp:positionV>
            <wp:extent cx="4572000" cy="2743200"/>
            <wp:effectExtent l="4445" t="4445" r="5080" b="5080"/>
            <wp:wrapTopAndBottom/>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方正黑体_GBK" w:hAnsi="方正黑体_GBK" w:eastAsia="方正黑体_GBK" w:cs="方正黑体_GBK"/>
          <w:sz w:val="32"/>
          <w:szCs w:val="32"/>
          <w:lang w:eastAsia="zh-CN"/>
        </w:rPr>
        <w:t>五、一般公共预算财政拨款支出决算情况说明</w:t>
      </w:r>
      <w:bookmarkEnd w:id="21"/>
      <w:bookmarkEnd w:id="22"/>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rPr>
      </w:pPr>
      <w:bookmarkStart w:id="23" w:name="_Toc15377210"/>
      <w:r>
        <w:rPr>
          <w:rFonts w:hint="eastAsia" w:ascii="方正楷体_GBK" w:hAnsi="方正楷体_GBK" w:eastAsia="方正楷体_GBK" w:cs="方正楷体_GBK"/>
          <w:b/>
          <w:bCs/>
          <w:sz w:val="32"/>
          <w:szCs w:val="32"/>
        </w:rPr>
        <w:t>（一）一般公共预算财政拨款支出决算总体情况</w:t>
      </w:r>
      <w:bookmarkEnd w:id="2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2024年度一般公共预算财政拨款支出</w:t>
      </w:r>
      <w:r>
        <w:rPr>
          <w:rFonts w:hint="default" w:ascii="Times New Roman" w:hAnsi="Times New Roman" w:eastAsia="方正仿宋_GBK" w:cs="Times New Roman"/>
          <w:sz w:val="32"/>
          <w:szCs w:val="32"/>
        </w:rPr>
        <w:t>1144.35</w:t>
      </w:r>
      <w:r>
        <w:rPr>
          <w:rFonts w:hint="default" w:ascii="Times New Roman" w:hAnsi="Times New Roman" w:eastAsia="方正仿宋_GBK" w:cs="Times New Roman"/>
          <w:sz w:val="32"/>
          <w:szCs w:val="32"/>
          <w:lang w:val="en-US" w:eastAsia="zh-CN"/>
        </w:rPr>
        <w:t>万元，占本年支出合计的</w:t>
      </w:r>
      <w:r>
        <w:rPr>
          <w:rFonts w:hint="default" w:ascii="Times New Roman" w:hAnsi="Times New Roman" w:eastAsia="方正仿宋_GBK" w:cs="Times New Roman"/>
          <w:sz w:val="32"/>
          <w:szCs w:val="32"/>
        </w:rPr>
        <w:t>87.2</w:t>
      </w:r>
      <w:r>
        <w:rPr>
          <w:rFonts w:hint="default" w:ascii="Times New Roman" w:hAnsi="Times New Roman" w:eastAsia="方正仿宋_GBK" w:cs="Times New Roman"/>
          <w:sz w:val="32"/>
          <w:szCs w:val="32"/>
          <w:lang w:val="en-US" w:eastAsia="zh-CN"/>
        </w:rPr>
        <w:t>4%。与2023年度相比，一般公共预算财政拨款支出增加152.45万元，增长15.37%。主要变动原因是2024年招考录用行政人员3人、派驻各单位纪检组17人工资收回由委机关发放。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drawing>
          <wp:anchor distT="0" distB="0" distL="114300" distR="114300" simplePos="0" relativeHeight="251660288" behindDoc="1" locked="0" layoutInCell="1" allowOverlap="1">
            <wp:simplePos x="0" y="0"/>
            <wp:positionH relativeFrom="column">
              <wp:posOffset>325755</wp:posOffset>
            </wp:positionH>
            <wp:positionV relativeFrom="paragraph">
              <wp:posOffset>61595</wp:posOffset>
            </wp:positionV>
            <wp:extent cx="4572000" cy="2743200"/>
            <wp:effectExtent l="4445" t="4445" r="5080" b="5080"/>
            <wp:wrapTight wrapText="bothSides">
              <wp:wrapPolygon>
                <wp:start x="-21" y="-35"/>
                <wp:lineTo x="-21" y="21565"/>
                <wp:lineTo x="21579" y="21565"/>
                <wp:lineTo x="21579" y="-35"/>
                <wp:lineTo x="-21" y="-35"/>
              </wp:wrapPolygon>
            </wp:wrapTight>
            <wp:docPr id="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rPr>
      </w:pPr>
      <w:bookmarkStart w:id="24" w:name="_Toc15377211"/>
      <w:r>
        <w:rPr>
          <w:rFonts w:hint="default" w:ascii="方正楷体_GBK" w:hAnsi="方正楷体_GBK" w:eastAsia="方正楷体_GBK" w:cs="方正楷体_GBK"/>
          <w:b/>
          <w:bCs/>
          <w:sz w:val="32"/>
          <w:szCs w:val="32"/>
        </w:rPr>
        <w:t>（二）一般公共预算财政拨款支出决算结构情况</w:t>
      </w:r>
      <w:bookmarkEnd w:id="2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2024年度一般公共预算财政拨款支出</w:t>
      </w:r>
      <w:r>
        <w:rPr>
          <w:rFonts w:hint="default" w:ascii="Times New Roman" w:hAnsi="Times New Roman" w:eastAsia="方正仿宋_GBK" w:cs="Times New Roman"/>
          <w:sz w:val="32"/>
          <w:szCs w:val="32"/>
        </w:rPr>
        <w:t>1144.35</w:t>
      </w:r>
      <w:r>
        <w:rPr>
          <w:rFonts w:hint="default" w:ascii="Times New Roman" w:hAnsi="Times New Roman" w:eastAsia="方正仿宋_GBK" w:cs="Times New Roman"/>
          <w:sz w:val="32"/>
          <w:szCs w:val="32"/>
          <w:lang w:val="en-US" w:eastAsia="zh-CN"/>
        </w:rPr>
        <w:t>万元，主要用于以下方面：一般公共服务支出878.7万元，占76.79%；社会保障和就业支出117.22万元，占10.24%；卫生健康支出78.8万元，占6.89%；住房保障支出69.63万元，占6.08%。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（图6：一般公共预算财政拨款支出决算结构）（饼状图）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drawing>
          <wp:anchor distT="0" distB="0" distL="114935" distR="114935" simplePos="0" relativeHeight="251661312" behindDoc="0" locked="0" layoutInCell="1" allowOverlap="1">
            <wp:simplePos x="0" y="0"/>
            <wp:positionH relativeFrom="column">
              <wp:posOffset>622935</wp:posOffset>
            </wp:positionH>
            <wp:positionV relativeFrom="paragraph">
              <wp:posOffset>118745</wp:posOffset>
            </wp:positionV>
            <wp:extent cx="4572000" cy="2743200"/>
            <wp:effectExtent l="4445" t="4445" r="5080" b="5080"/>
            <wp:wrapTopAndBottom/>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rPr>
      </w:pPr>
      <w:bookmarkStart w:id="25" w:name="_Toc15377212"/>
      <w:r>
        <w:rPr>
          <w:rFonts w:hint="default" w:ascii="方正楷体_GBK" w:hAnsi="方正楷体_GBK" w:eastAsia="方正楷体_GBK" w:cs="方正楷体_GBK"/>
          <w:b/>
          <w:bCs/>
          <w:sz w:val="32"/>
          <w:szCs w:val="32"/>
        </w:rPr>
        <w:t>（三）一般公共预算财政拨款支出决算具体情况</w:t>
      </w:r>
      <w:bookmarkEnd w:id="2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bookmarkStart w:id="26" w:name="_Toc15377213"/>
      <w:bookmarkStart w:id="27" w:name="_Toc15378460"/>
      <w:bookmarkStart w:id="28" w:name="_Toc15377444"/>
      <w:r>
        <w:rPr>
          <w:rFonts w:hint="default" w:ascii="Times New Roman" w:hAnsi="Times New Roman" w:eastAsia="方正仿宋_GBK" w:cs="Times New Roman"/>
          <w:sz w:val="32"/>
          <w:szCs w:val="32"/>
          <w:lang w:val="en-US" w:eastAsia="zh-CN"/>
        </w:rPr>
        <w:t>2024年度一般公共预算财政拨款支出决算数为</w:t>
      </w:r>
      <w:r>
        <w:rPr>
          <w:rFonts w:hint="default" w:ascii="Times New Roman" w:hAnsi="Times New Roman" w:eastAsia="方正仿宋_GBK" w:cs="Times New Roman"/>
          <w:sz w:val="32"/>
          <w:szCs w:val="32"/>
        </w:rPr>
        <w:t>1144.35</w:t>
      </w:r>
      <w:r>
        <w:rPr>
          <w:rFonts w:hint="default" w:ascii="Times New Roman" w:hAnsi="Times New Roman" w:eastAsia="方正仿宋_GBK" w:cs="Times New Roman"/>
          <w:sz w:val="32"/>
          <w:szCs w:val="32"/>
          <w:lang w:val="en-US" w:eastAsia="zh-CN"/>
        </w:rPr>
        <w:t>，完成预算100%。其中：</w:t>
      </w:r>
      <w:bookmarkEnd w:id="26"/>
      <w:bookmarkEnd w:id="27"/>
      <w:bookmarkEnd w:id="2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1.一般公共服务201（类）11（款）</w:t>
      </w:r>
      <w:r>
        <w:rPr>
          <w:rFonts w:hint="default" w:ascii="Times New Roman" w:hAnsi="Times New Roman" w:eastAsia="方正仿宋_GBK" w:cs="Times New Roman"/>
          <w:sz w:val="32"/>
          <w:szCs w:val="32"/>
        </w:rPr>
        <w:t>01、02、50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99（项）：支出决算为878.7万元，</w:t>
      </w:r>
      <w:r>
        <w:rPr>
          <w:rFonts w:hint="default" w:ascii="Times New Roman" w:hAnsi="Times New Roman" w:eastAsia="方正仿宋_GBK" w:cs="Times New Roman"/>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2.社会保障和就业208（类）05（款）01、02、05、06（项）：支出决算为117.22万元，</w:t>
      </w:r>
      <w:r>
        <w:rPr>
          <w:rFonts w:hint="default" w:ascii="Times New Roman" w:hAnsi="Times New Roman" w:eastAsia="方正仿宋_GBK" w:cs="Times New Roman"/>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3.卫生健康210（类）11（款）01、02、03、99（项）：支出决算为78.8万元，</w:t>
      </w:r>
      <w:r>
        <w:rPr>
          <w:rFonts w:hint="default" w:ascii="Times New Roman" w:hAnsi="Times New Roman" w:eastAsia="方正仿宋_GBK" w:cs="Times New Roman"/>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4.住房保障221（类）02（款）01（项）：支出决算为69.63万元，</w:t>
      </w:r>
      <w:r>
        <w:rPr>
          <w:rFonts w:hint="default" w:ascii="Times New Roman" w:hAnsi="Times New Roman" w:eastAsia="方正仿宋_GBK" w:cs="Times New Roman"/>
          <w:sz w:val="32"/>
          <w:szCs w:val="32"/>
        </w:rPr>
        <w:t>完成预算100%，决算数等于预算数。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bookmarkStart w:id="29" w:name="_Toc15396608"/>
      <w:bookmarkStart w:id="30" w:name="_Toc15377214"/>
      <w:r>
        <w:rPr>
          <w:rFonts w:hint="eastAsia" w:ascii="方正黑体_GBK" w:hAnsi="方正黑体_GBK" w:eastAsia="方正黑体_GBK" w:cs="方正黑体_GBK"/>
          <w:sz w:val="32"/>
          <w:szCs w:val="32"/>
          <w:lang w:val="en-US" w:eastAsia="zh-CN"/>
        </w:rPr>
        <w:t>六、一般公共预算财政拨款基本支出决算情况说明</w:t>
      </w:r>
      <w:bookmarkEnd w:id="29"/>
      <w:bookmarkEnd w:id="30"/>
      <w:r>
        <w:rPr>
          <w:rFonts w:hint="eastAsia" w:ascii="方正黑体_GBK" w:hAnsi="方正黑体_GBK" w:eastAsia="方正黑体_GBK" w:cs="方正黑体_GBK"/>
          <w:sz w:val="32"/>
          <w:szCs w:val="32"/>
        </w:rPr>
        <w:tab/>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2024年度一般公共预算财政拨款基本支出</w:t>
      </w:r>
      <w:r>
        <w:rPr>
          <w:rFonts w:hint="default" w:ascii="Times New Roman" w:hAnsi="Times New Roman" w:eastAsia="方正仿宋_GBK" w:cs="Times New Roman"/>
          <w:sz w:val="32"/>
          <w:szCs w:val="32"/>
        </w:rPr>
        <w:t>992.12</w:t>
      </w:r>
      <w:r>
        <w:rPr>
          <w:rFonts w:hint="default" w:ascii="Times New Roman" w:hAnsi="Times New Roman" w:eastAsia="方正仿宋_GBK" w:cs="Times New Roman"/>
          <w:sz w:val="32"/>
          <w:szCs w:val="32"/>
          <w:lang w:val="en-US" w:eastAsia="zh-CN"/>
        </w:rPr>
        <w:t>万元，其中：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人员经费</w:t>
      </w:r>
      <w:r>
        <w:rPr>
          <w:rFonts w:hint="default" w:ascii="Times New Roman" w:hAnsi="Times New Roman" w:eastAsia="方正仿宋_GBK" w:cs="Times New Roman"/>
          <w:sz w:val="32"/>
          <w:szCs w:val="32"/>
        </w:rPr>
        <w:t>904.47</w:t>
      </w:r>
      <w:r>
        <w:rPr>
          <w:rFonts w:hint="default" w:ascii="Times New Roman" w:hAnsi="Times New Roman" w:eastAsia="方正仿宋_GBK" w:cs="Times New Roman"/>
          <w:sz w:val="32"/>
          <w:szCs w:val="32"/>
          <w:lang w:val="en-US" w:eastAsia="zh-CN"/>
        </w:rPr>
        <w:t>万元，主要包括：基本工资、津贴补贴、奖金、绩效工资、机关事业单位基本养老保险缴费、职业年金缴费、职工基本医疗保险缴费、公务员基本医疗保险缴费、其他社会保障缴费、住房公积金、其他工资福利支出、生活补助、奖励金等。</w:t>
      </w: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 xml:space="preserve">    公用经费87.65万元，主要包括：办公费、印刷费、邮电费、差旅费、劳务费、工会经费、福利费、公务用车运行维护费、其他交通费、其他商品和服务支出、办公设备购置等。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bookmarkStart w:id="31" w:name="_Toc15377215"/>
      <w:bookmarkStart w:id="32" w:name="_Toc15396609"/>
      <w:r>
        <w:rPr>
          <w:rFonts w:hint="default" w:ascii="方正黑体_GBK" w:hAnsi="方正黑体_GBK" w:eastAsia="方正黑体_GBK" w:cs="方正黑体_GBK"/>
          <w:sz w:val="32"/>
          <w:szCs w:val="32"/>
          <w:lang w:val="en-US" w:eastAsia="zh-CN"/>
        </w:rPr>
        <w:t>七、财政拨款“三公”经费支出决算情况说明</w:t>
      </w:r>
      <w:bookmarkEnd w:id="31"/>
      <w:bookmarkEnd w:id="32"/>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rPr>
      </w:pPr>
      <w:bookmarkStart w:id="33" w:name="_Toc15377216"/>
      <w:r>
        <w:rPr>
          <w:rFonts w:hint="eastAsia" w:ascii="方正楷体_GBK" w:hAnsi="方正楷体_GBK" w:eastAsia="方正楷体_GBK" w:cs="方正楷体_GBK"/>
          <w:b/>
          <w:bCs/>
          <w:sz w:val="32"/>
          <w:szCs w:val="32"/>
        </w:rPr>
        <w:t>（一）“三公”经费财政拨款支出决算总体情况说明</w:t>
      </w:r>
      <w:bookmarkEnd w:id="3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2024年度“三公”经费财政拨款支出决算为</w:t>
      </w:r>
      <w:r>
        <w:rPr>
          <w:rFonts w:hint="default" w:ascii="Times New Roman" w:hAnsi="Times New Roman" w:eastAsia="方正仿宋_GBK" w:cs="Times New Roman"/>
          <w:sz w:val="32"/>
          <w:szCs w:val="32"/>
        </w:rPr>
        <w:t>8.82</w:t>
      </w:r>
      <w:r>
        <w:rPr>
          <w:rFonts w:hint="default" w:ascii="Times New Roman" w:hAnsi="Times New Roman" w:eastAsia="方正仿宋_GBK" w:cs="Times New Roman"/>
          <w:sz w:val="32"/>
          <w:szCs w:val="32"/>
          <w:lang w:val="en-US" w:eastAsia="zh-CN"/>
        </w:rPr>
        <w:t>万元，完成</w:t>
      </w:r>
      <w:r>
        <w:rPr>
          <w:rFonts w:hint="default" w:ascii="Times New Roman" w:hAnsi="Times New Roman" w:eastAsia="方正仿宋_GBK" w:cs="Times New Roman"/>
          <w:sz w:val="32"/>
          <w:szCs w:val="32"/>
        </w:rPr>
        <w:t>88.20%</w:t>
      </w:r>
      <w:r>
        <w:rPr>
          <w:rFonts w:hint="default" w:ascii="Times New Roman" w:hAnsi="Times New Roman" w:eastAsia="方正仿宋_GBK" w:cs="Times New Roman"/>
          <w:sz w:val="32"/>
          <w:szCs w:val="32"/>
          <w:lang w:val="en-US" w:eastAsia="zh-CN"/>
        </w:rPr>
        <w:t>，较上年度增加5.52万元，增长167.27%。决算数预算数持平。</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rPr>
      </w:pPr>
      <w:bookmarkStart w:id="34" w:name="_Toc15377217"/>
      <w:r>
        <w:rPr>
          <w:rFonts w:hint="default" w:ascii="方正楷体_GBK" w:hAnsi="方正楷体_GBK" w:eastAsia="方正楷体_GBK" w:cs="方正楷体_GBK"/>
          <w:b/>
          <w:bCs/>
          <w:sz w:val="32"/>
          <w:szCs w:val="32"/>
        </w:rPr>
        <w:t>（二）“三公”经费财政拨款支出决算具体情况说明</w:t>
      </w:r>
      <w:bookmarkEnd w:id="3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万元，占0%；公务用车购置及运行维护费支出决算</w:t>
      </w:r>
      <w:r>
        <w:rPr>
          <w:rFonts w:hint="default" w:ascii="Times New Roman" w:hAnsi="Times New Roman" w:eastAsia="方正仿宋_GBK" w:cs="Times New Roman"/>
          <w:sz w:val="32"/>
          <w:szCs w:val="32"/>
        </w:rPr>
        <w:t>8.82</w:t>
      </w:r>
      <w:r>
        <w:rPr>
          <w:rFonts w:hint="default" w:ascii="Times New Roman" w:hAnsi="Times New Roman" w:eastAsia="方正仿宋_GBK" w:cs="Times New Roman"/>
          <w:sz w:val="32"/>
          <w:szCs w:val="32"/>
          <w:lang w:val="en-US" w:eastAsia="zh-CN"/>
        </w:rPr>
        <w:t>万元，占100%；公务接待费支出决算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万元，占0%。具体情况如下：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（图7：“三公”经费财政拨款支出结构）（饼状图）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drawing>
          <wp:inline distT="0" distB="0" distL="114300" distR="114300">
            <wp:extent cx="4572000" cy="2743200"/>
            <wp:effectExtent l="4445" t="4445" r="1079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1.因公出国（境）经费支出0万元，完成预算0%。全年安排因公出国（境）团组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人。未产生因公出国（境）支出。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2.公务用车购置及运行维护费支出8.82万元，完成预算</w:t>
      </w:r>
      <w:r>
        <w:rPr>
          <w:rFonts w:hint="default" w:ascii="Times New Roman" w:hAnsi="Times New Roman" w:eastAsia="方正仿宋_GBK" w:cs="Times New Roman"/>
          <w:sz w:val="32"/>
          <w:szCs w:val="32"/>
        </w:rPr>
        <w:t>88.20%</w:t>
      </w:r>
      <w:r>
        <w:rPr>
          <w:rFonts w:hint="default" w:ascii="Times New Roman" w:hAnsi="Times New Roman" w:eastAsia="方正仿宋_GBK" w:cs="Times New Roman"/>
          <w:sz w:val="32"/>
          <w:szCs w:val="32"/>
          <w:lang w:val="en-US" w:eastAsia="zh-CN"/>
        </w:rPr>
        <w:t>。公务用车购置及运行维护费支出决算比2023年度增加5.52万元，增长167.27%。主要原因是2022年底按照报废处理程序报废了2辆维修保养成本高的执勤执法公务用车，政府采购了2辆新的执勤执法公务用车，2023年减少了维修保养支出成本，2024年，另外两辆车已超报废年限，维修保养成本增涨，同时新购车辆在2024年进入正常使用阶段，车辆的维修保养、燃油消耗等费用逐渐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其中：公务用车购置支出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万元。全年按规定更新购置公务用车0辆，其中：轿车0辆、金额0万元，越野车0辆、金额0万元，载客汽车0辆、金额0万元。截至2024年12月31日，单位共有公务用车4辆，其中：轿车2辆、越野车2辆、载客汽车0辆。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公务用车运行维护费支出</w:t>
      </w:r>
      <w:r>
        <w:rPr>
          <w:rFonts w:hint="default" w:ascii="Times New Roman" w:hAnsi="Times New Roman" w:eastAsia="方正仿宋_GBK" w:cs="Times New Roman"/>
          <w:sz w:val="32"/>
          <w:szCs w:val="32"/>
        </w:rPr>
        <w:t>8.82</w:t>
      </w:r>
      <w:r>
        <w:rPr>
          <w:rFonts w:hint="default" w:ascii="Times New Roman" w:hAnsi="Times New Roman" w:eastAsia="方正仿宋_GBK" w:cs="Times New Roman"/>
          <w:sz w:val="32"/>
          <w:szCs w:val="32"/>
          <w:lang w:val="en-US" w:eastAsia="zh-CN"/>
        </w:rPr>
        <w:t>万元。主要用于</w:t>
      </w:r>
      <w:r>
        <w:rPr>
          <w:rFonts w:hint="default" w:ascii="Times New Roman" w:hAnsi="Times New Roman" w:eastAsia="方正仿宋_GBK" w:cs="Times New Roman"/>
          <w:sz w:val="32"/>
          <w:szCs w:val="32"/>
        </w:rPr>
        <w:t>监督检查，案件检查</w:t>
      </w:r>
      <w:r>
        <w:rPr>
          <w:rFonts w:hint="default" w:ascii="Times New Roman" w:hAnsi="Times New Roman" w:eastAsia="方正仿宋_GBK" w:cs="Times New Roman"/>
          <w:sz w:val="32"/>
          <w:szCs w:val="32"/>
          <w:lang w:val="en-US" w:eastAsia="zh-CN"/>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3.公务接待费支出0万元，完成预算0%。未产生公务接待费支出。</w:t>
      </w:r>
      <w:bookmarkStart w:id="35" w:name="_Toc15377218"/>
      <w:bookmarkStart w:id="36" w:name="_Toc1539661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八、政府性基金预算支出决算情况说明</w:t>
      </w:r>
      <w:bookmarkEnd w:id="35"/>
      <w:bookmarkEnd w:id="3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2024年度政府性基金预算财政拨款支出</w:t>
      </w:r>
      <w:r>
        <w:rPr>
          <w:rFonts w:hint="default" w:ascii="Times New Roman" w:hAnsi="Times New Roman" w:eastAsia="方正仿宋_GBK" w:cs="Times New Roman"/>
          <w:sz w:val="32"/>
          <w:szCs w:val="32"/>
        </w:rPr>
        <w:t>167.38</w:t>
      </w:r>
      <w:r>
        <w:rPr>
          <w:rFonts w:hint="default" w:ascii="Times New Roman" w:hAnsi="Times New Roman" w:eastAsia="方正仿宋_GBK" w:cs="Times New Roman"/>
          <w:sz w:val="32"/>
          <w:szCs w:val="32"/>
          <w:lang w:val="en-US" w:eastAsia="zh-CN"/>
        </w:rPr>
        <w:t>万元，占本年支出合计的</w:t>
      </w:r>
      <w:r>
        <w:rPr>
          <w:rFonts w:hint="default" w:ascii="Times New Roman" w:hAnsi="Times New Roman" w:eastAsia="方正仿宋_GBK" w:cs="Times New Roman"/>
          <w:sz w:val="32"/>
          <w:szCs w:val="32"/>
        </w:rPr>
        <w:t>12.76</w:t>
      </w:r>
      <w:r>
        <w:rPr>
          <w:rFonts w:hint="default" w:ascii="Times New Roman" w:hAnsi="Times New Roman" w:eastAsia="方正仿宋_GBK" w:cs="Times New Roman"/>
          <w:sz w:val="32"/>
          <w:szCs w:val="32"/>
          <w:lang w:val="en-US" w:eastAsia="zh-CN"/>
        </w:rPr>
        <w:t>%。与2023年度相比，政府性基金预算财政拨款支出增加27.95万元，增长20.05%。主要变动原因是本年度围绕办案工作重点任务推进，案件查办所需经费相应增加。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eastAsia="zh-CN"/>
        </w:rPr>
      </w:pPr>
      <w:bookmarkStart w:id="37" w:name="_Toc15377219"/>
      <w:bookmarkStart w:id="38" w:name="_Toc15396611"/>
      <w:r>
        <w:rPr>
          <w:rFonts w:hint="default" w:ascii="方正黑体_GBK" w:hAnsi="方正黑体_GBK" w:eastAsia="方正黑体_GBK" w:cs="方正黑体_GBK"/>
          <w:sz w:val="32"/>
          <w:szCs w:val="32"/>
          <w:lang w:eastAsia="zh-CN"/>
        </w:rPr>
        <w:t>九、国有资本经营预算支出决算情况说明</w:t>
      </w:r>
      <w:bookmarkEnd w:id="37"/>
      <w:bookmarkEnd w:id="3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2024年度国有资本经营预算财政拨款支出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万元，占本年支出合计的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%，与2023年度持平。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eastAsia="zh-CN"/>
        </w:rPr>
      </w:pPr>
      <w:bookmarkStart w:id="39" w:name="_Toc15377221"/>
      <w:bookmarkStart w:id="40" w:name="_Toc15396612"/>
      <w:r>
        <w:rPr>
          <w:rFonts w:hint="default" w:ascii="方正黑体_GBK" w:hAnsi="方正黑体_GBK" w:eastAsia="方正黑体_GBK" w:cs="方正黑体_GBK"/>
          <w:sz w:val="32"/>
          <w:szCs w:val="32"/>
          <w:lang w:eastAsia="zh-CN"/>
        </w:rPr>
        <w:t>十、其他重要事项的情况说明</w:t>
      </w:r>
      <w:bookmarkEnd w:id="39"/>
      <w:bookmarkEnd w:id="40"/>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rPr>
      </w:pPr>
      <w:bookmarkStart w:id="41" w:name="_Toc15377222"/>
      <w:r>
        <w:rPr>
          <w:rFonts w:hint="eastAsia" w:ascii="方正楷体_GBK" w:hAnsi="方正楷体_GBK" w:eastAsia="方正楷体_GBK" w:cs="方正楷体_GBK"/>
          <w:b/>
          <w:bCs/>
          <w:sz w:val="32"/>
          <w:szCs w:val="32"/>
        </w:rPr>
        <w:t>（一）机关运行经费支出情况</w:t>
      </w:r>
      <w:bookmarkEnd w:id="4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rPr>
        <w:t>中国共产党攀枝花市西区纪律检查委员会</w:t>
      </w:r>
      <w:r>
        <w:rPr>
          <w:rFonts w:hint="default" w:ascii="Times New Roman" w:hAnsi="Times New Roman" w:eastAsia="方正仿宋_GBK" w:cs="Times New Roman"/>
          <w:sz w:val="32"/>
          <w:szCs w:val="32"/>
          <w:lang w:val="en-US" w:eastAsia="zh-CN"/>
        </w:rPr>
        <w:t>机关运行经费支出</w:t>
      </w:r>
      <w:r>
        <w:rPr>
          <w:rFonts w:hint="default" w:ascii="Times New Roman" w:hAnsi="Times New Roman" w:eastAsia="方正仿宋_GBK" w:cs="Times New Roman"/>
          <w:sz w:val="32"/>
          <w:szCs w:val="32"/>
        </w:rPr>
        <w:t>87.65</w:t>
      </w:r>
      <w:r>
        <w:rPr>
          <w:rFonts w:hint="default" w:ascii="Times New Roman" w:hAnsi="Times New Roman" w:eastAsia="方正仿宋_GBK" w:cs="Times New Roman"/>
          <w:sz w:val="32"/>
          <w:szCs w:val="32"/>
          <w:lang w:val="en-US" w:eastAsia="zh-CN"/>
        </w:rPr>
        <w:t>万元，比2023年度增加11.89万元，增长15.69%。主要原因是人员增加，办公费等相应增加。</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rPr>
      </w:pPr>
      <w:bookmarkStart w:id="42" w:name="_Toc15377223"/>
      <w:r>
        <w:rPr>
          <w:rFonts w:hint="default" w:ascii="方正楷体_GBK" w:hAnsi="方正楷体_GBK" w:eastAsia="方正楷体_GBK" w:cs="方正楷体_GBK"/>
          <w:b/>
          <w:bCs/>
          <w:sz w:val="32"/>
          <w:szCs w:val="32"/>
        </w:rPr>
        <w:t>（二）政府采购支出情况</w:t>
      </w:r>
      <w:bookmarkEnd w:id="4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rPr>
        <w:t>中国共产党攀枝花市西区纪律检查委员会</w:t>
      </w:r>
      <w:r>
        <w:rPr>
          <w:rFonts w:hint="default" w:ascii="Times New Roman" w:hAnsi="Times New Roman" w:eastAsia="方正仿宋_GBK" w:cs="Times New Roman"/>
          <w:sz w:val="32"/>
          <w:szCs w:val="32"/>
          <w:lang w:val="en-US" w:eastAsia="zh-CN"/>
        </w:rPr>
        <w:t>政府采购支出总额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万元，其中：政府采购货物支出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万元、政府采购服务支出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万元。授予中小企业合同金额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%，其中：授予小微企业合同金额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rPr>
      </w:pPr>
      <w:bookmarkStart w:id="43" w:name="_Toc15377224"/>
      <w:r>
        <w:rPr>
          <w:rFonts w:hint="default" w:ascii="方正楷体_GBK" w:hAnsi="方正楷体_GBK" w:eastAsia="方正楷体_GBK" w:cs="方正楷体_GBK"/>
          <w:b/>
          <w:bCs/>
          <w:sz w:val="32"/>
          <w:szCs w:val="32"/>
        </w:rPr>
        <w:t>（三）国有资产占有使用情况</w:t>
      </w:r>
      <w:bookmarkEnd w:id="4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截至2024年12月31日，</w:t>
      </w:r>
      <w:r>
        <w:rPr>
          <w:rFonts w:hint="default" w:ascii="Times New Roman" w:hAnsi="Times New Roman" w:eastAsia="方正仿宋_GBK" w:cs="Times New Roman"/>
          <w:sz w:val="32"/>
          <w:szCs w:val="32"/>
        </w:rPr>
        <w:t>中国共产党攀枝花市西区纪律检查委员会</w:t>
      </w:r>
      <w:r>
        <w:rPr>
          <w:rFonts w:hint="default" w:ascii="Times New Roman" w:hAnsi="Times New Roman" w:eastAsia="方正仿宋_GBK" w:cs="Times New Roman"/>
          <w:sz w:val="32"/>
          <w:szCs w:val="32"/>
          <w:lang w:val="en-US" w:eastAsia="zh-CN"/>
        </w:rPr>
        <w:t>共有车辆</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辆，其中：主要负责人用车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辆、其他用车4辆，其他用车主要是用于</w:t>
      </w:r>
      <w:r>
        <w:rPr>
          <w:rFonts w:hint="default" w:ascii="Times New Roman" w:hAnsi="Times New Roman" w:eastAsia="方正仿宋_GBK" w:cs="Times New Roman"/>
          <w:sz w:val="32"/>
          <w:szCs w:val="32"/>
        </w:rPr>
        <w:t>监督检查、案件审查调查等</w:t>
      </w:r>
      <w:r>
        <w:rPr>
          <w:rFonts w:hint="default" w:ascii="Times New Roman" w:hAnsi="Times New Roman" w:eastAsia="方正仿宋_GBK" w:cs="Times New Roman"/>
          <w:sz w:val="32"/>
          <w:szCs w:val="32"/>
          <w:lang w:val="en-US" w:eastAsia="zh-CN"/>
        </w:rPr>
        <w:t>。单价100万元（含）以上设备（不含车辆）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台（套）。</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（四）预算绩效管理情况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预算绩效管理要求，西区纪委监委在2024年度预算编制阶段，组织对办案工作经费项目、党风廉政宣传工作经费、机关后勤保障服务工作经费项目、巡察工作经费项目4个项目开展了预算事前绩效评估，对4个项目编制了绩效目标，预算执行过程中，选取4个项目开展绩效监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组织对2024年度一般公共预算、政府性基金预算等全面开展绩效自评，形成</w:t>
      </w:r>
      <w:r>
        <w:rPr>
          <w:rFonts w:hint="default" w:ascii="Times New Roman" w:hAnsi="Times New Roman" w:eastAsia="方正仿宋_GBK" w:cs="Times New Roman"/>
          <w:sz w:val="32"/>
          <w:szCs w:val="32"/>
        </w:rPr>
        <w:t>中共攀枝花市西区纪律检查委员会</w:t>
      </w:r>
      <w:r>
        <w:rPr>
          <w:rFonts w:hint="default" w:ascii="Times New Roman" w:hAnsi="Times New Roman" w:eastAsia="方正仿宋_GBK" w:cs="Times New Roman"/>
          <w:sz w:val="32"/>
          <w:szCs w:val="32"/>
          <w:lang w:val="en-US" w:eastAsia="zh-CN"/>
        </w:rPr>
        <w:t>部门整体（含部门预算项目）绩效自评报告、办案工作经费项目等专项预算项目绩效自评报告，其中，中共攀枝花市西区纪律检查委员会整体绩效自评得分为98.97分；办案工作经费专项预算项目绩效自评得分为100分；中央纪检监察转移支付专项预算项目绩效自评得分为97.51分。绩效自评报告详见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rPr>
      </w:pPr>
      <w:bookmarkStart w:id="44" w:name="_Toc15396613"/>
      <w:bookmarkStart w:id="45" w:name="_Toc15377225"/>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部分</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名词解释</w:t>
      </w:r>
      <w:bookmarkEnd w:id="44"/>
      <w:bookmarkEnd w:id="45"/>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1.财政拨款收入：</w:t>
      </w:r>
      <w:r>
        <w:rPr>
          <w:rFonts w:hint="default" w:ascii="Times New Roman" w:hAnsi="Times New Roman" w:eastAsia="方正仿宋_GBK" w:cs="Times New Roman"/>
          <w:sz w:val="32"/>
          <w:szCs w:val="32"/>
          <w:lang w:val="en-US" w:eastAsia="zh-CN"/>
        </w:rPr>
        <w:t>指单位从同级财政部门取得的财政预算资金。</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2.其他收入：</w:t>
      </w:r>
      <w:r>
        <w:rPr>
          <w:rFonts w:hint="default" w:ascii="Times New Roman" w:hAnsi="Times New Roman" w:eastAsia="方正仿宋_GBK" w:cs="Times New Roman"/>
          <w:sz w:val="32"/>
          <w:szCs w:val="32"/>
          <w:lang w:val="en-US" w:eastAsia="zh-CN"/>
        </w:rPr>
        <w:t xml:space="preserve">指单位取得的除上述收入以外的各项收入。主要是委机关银行存款利息收入等。 </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3.年初结转和结余：</w:t>
      </w:r>
      <w:r>
        <w:rPr>
          <w:rFonts w:hint="default" w:ascii="Times New Roman" w:hAnsi="Times New Roman" w:eastAsia="方正仿宋_GBK" w:cs="Times New Roman"/>
          <w:sz w:val="32"/>
          <w:szCs w:val="32"/>
          <w:lang w:val="en-US" w:eastAsia="zh-CN"/>
        </w:rPr>
        <w:t xml:space="preserve">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4.年末结转和结余：</w:t>
      </w:r>
      <w:r>
        <w:rPr>
          <w:rFonts w:hint="default" w:ascii="Times New Roman" w:hAnsi="Times New Roman" w:eastAsia="方正仿宋_GBK" w:cs="Times New Roman"/>
          <w:sz w:val="32"/>
          <w:szCs w:val="32"/>
          <w:lang w:val="en-US" w:eastAsia="zh-CN"/>
        </w:rPr>
        <w:t>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5.一般公共服务201（类）11（款）01、02、04、50、99（项）：</w:t>
      </w:r>
      <w:r>
        <w:rPr>
          <w:rFonts w:hint="default" w:ascii="Times New Roman" w:hAnsi="Times New Roman" w:eastAsia="方正仿宋_GBK" w:cs="Times New Roman"/>
          <w:sz w:val="32"/>
          <w:szCs w:val="32"/>
          <w:lang w:val="en-US" w:eastAsia="zh-CN"/>
        </w:rPr>
        <w:t>指</w:t>
      </w:r>
      <w:r>
        <w:rPr>
          <w:rFonts w:hint="default" w:ascii="Times New Roman" w:hAnsi="Times New Roman" w:eastAsia="方正仿宋_GBK" w:cs="Times New Roman"/>
          <w:sz w:val="32"/>
          <w:szCs w:val="32"/>
        </w:rPr>
        <w:t>反映纪检、监察方面的支出</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2011101—行政运行：指反映行政单位（包括实行公务员管理的事业单位）的基本支出。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2011102—一般行政管理事务：指反映行政单位（包括实行公务员管理的事业单位）未单独设置项级科目的其他项目支出。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2011104—大案要案查处：指反映查处大要（专）案支出。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2011150—事业运行：指反映事业单位的基本支出，不包括行政单位（包括实行公务员管理的事业单位）后勤服务中心、医务室等附属事业单位。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2011199—其他纪检监察事务支出：指反映除上述项目以外其他纪检监察事务方面的支出。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b/>
          <w:bCs/>
          <w:sz w:val="32"/>
          <w:szCs w:val="32"/>
          <w:lang w:val="en-US" w:eastAsia="zh-CN"/>
        </w:rPr>
        <w:t>.社会保障和就业208（类）05（款）01、02、05、06（项）：</w:t>
      </w:r>
      <w:r>
        <w:rPr>
          <w:rFonts w:hint="default" w:ascii="Times New Roman" w:hAnsi="Times New Roman" w:eastAsia="方正仿宋_GBK" w:cs="Times New Roman"/>
          <w:sz w:val="32"/>
          <w:szCs w:val="32"/>
          <w:lang w:val="en-US" w:eastAsia="zh-CN"/>
        </w:rPr>
        <w:t>指行政事业单位离退休（未归口</w:t>
      </w:r>
      <w:bookmarkStart w:id="63" w:name="_GoBack"/>
      <w:bookmarkEnd w:id="63"/>
      <w:r>
        <w:rPr>
          <w:rFonts w:hint="default" w:ascii="Times New Roman" w:hAnsi="Times New Roman" w:eastAsia="方正仿宋_GBK" w:cs="Times New Roman"/>
          <w:sz w:val="32"/>
          <w:szCs w:val="32"/>
          <w:lang w:val="en-US" w:eastAsia="zh-CN"/>
        </w:rPr>
        <w:t>管理的行政单位离退休、机关事业单位基本养老保险缴费支出等）。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2080501—行政单位离退休：指反映行政单位（包括实行公务员管理的事业单位）开支的离退休支出。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2080502—事业单位离退休：指反映事业单位开支的离退休经费。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2080505—机关事业单位基本养老保险缴费支出：指反映机关事业单位实施养老保险制度由单位实际缴纳的基本保险费支出。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2080506—机关事业单位职业年金缴费支出：指反映机关事业单位工作人员职业年金的缴费支出。</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7.卫生健康支出支出210（类）11（款）01、02、03、99（项）：</w:t>
      </w:r>
      <w:r>
        <w:rPr>
          <w:rFonts w:hint="default" w:ascii="Times New Roman" w:hAnsi="Times New Roman" w:eastAsia="方正仿宋_GBK" w:cs="Times New Roman"/>
          <w:sz w:val="32"/>
          <w:szCs w:val="32"/>
        </w:rPr>
        <w:t>指行政事业单位医疗支出。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2101101—行政单位医疗：指反映财政部门安排的行政单位基本医疗保险缴费经费。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2101102—事业单位医疗：指反映财政部门安排的事业单位基本医疗保险缴费经费。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2101103—公务员医疗补助：指反映财政部门</w:t>
      </w:r>
      <w:r>
        <w:rPr>
          <w:rFonts w:hint="eastAsia" w:eastAsia="方正仿宋_GBK" w:cs="Times New Roman"/>
          <w:sz w:val="32"/>
          <w:szCs w:val="32"/>
          <w:lang w:eastAsia="zh-CN"/>
        </w:rPr>
        <w:t>安</w:t>
      </w:r>
      <w:r>
        <w:rPr>
          <w:rFonts w:hint="default" w:ascii="Times New Roman" w:hAnsi="Times New Roman" w:eastAsia="方正仿宋_GBK" w:cs="Times New Roman"/>
          <w:sz w:val="32"/>
          <w:szCs w:val="32"/>
        </w:rPr>
        <w:t>排的公务员医疗补助经费。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2101199—其他行政事业单位医疗支出：指反映除上项目以外的其他用于行政事业单位医疗方面的支出了。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8.城乡社区支出212（类）08（款）02（项）：</w:t>
      </w:r>
      <w:r>
        <w:rPr>
          <w:rFonts w:hint="default" w:ascii="Times New Roman" w:hAnsi="Times New Roman" w:eastAsia="方正仿宋_GBK" w:cs="Times New Roman"/>
          <w:sz w:val="32"/>
          <w:szCs w:val="32"/>
        </w:rPr>
        <w:t>指反映不含计提和划转部分的国有土地使用权出让收入及对应专项债务收入安排的支出。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2120802—土地开发支出（基金）。</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9.住房保障221（类）02（款）01（项）：</w:t>
      </w:r>
      <w:r>
        <w:rPr>
          <w:rFonts w:hint="default" w:ascii="Times New Roman" w:hAnsi="Times New Roman" w:eastAsia="方正仿宋_GBK" w:cs="Times New Roman"/>
          <w:sz w:val="32"/>
          <w:szCs w:val="32"/>
          <w:lang w:val="en-US" w:eastAsia="zh-CN"/>
        </w:rPr>
        <w:t>指住房改革支出—住房公积金支出。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2210201—住房公积金：指反映行政事业单位按人力资源部和社会保障部、财政部规定的基本工资和津贴补贴以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10.基本支出：</w:t>
      </w:r>
      <w:r>
        <w:rPr>
          <w:rFonts w:hint="default" w:ascii="Times New Roman" w:hAnsi="Times New Roman" w:eastAsia="方正仿宋_GBK" w:cs="Times New Roman"/>
          <w:sz w:val="32"/>
          <w:szCs w:val="32"/>
          <w:lang w:val="en-US" w:eastAsia="zh-CN"/>
        </w:rPr>
        <w:t>规定比例为职工缴纳的住房公积金。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11.项目支出：</w:t>
      </w:r>
      <w:r>
        <w:rPr>
          <w:rFonts w:hint="default" w:ascii="Times New Roman" w:hAnsi="Times New Roman" w:eastAsia="方正仿宋_GBK" w:cs="Times New Roman"/>
          <w:sz w:val="32"/>
          <w:szCs w:val="32"/>
          <w:lang w:val="en-US" w:eastAsia="zh-CN"/>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12.“三公”经费：</w:t>
      </w:r>
      <w:r>
        <w:rPr>
          <w:rFonts w:hint="default" w:ascii="Times New Roman" w:hAnsi="Times New Roman" w:eastAsia="方正仿宋_GBK" w:cs="Times New Roman"/>
          <w:sz w:val="32"/>
          <w:szCs w:val="32"/>
          <w:lang w:val="en-US" w:eastAsia="zh-CN"/>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sz w:val="32"/>
          <w:szCs w:val="32"/>
          <w:lang w:eastAsia="zh-CN"/>
        </w:rPr>
      </w:pPr>
      <w:bookmarkStart w:id="46" w:name="_Toc15377226"/>
      <w:r>
        <w:rPr>
          <w:rFonts w:hint="default" w:ascii="Times New Roman" w:hAnsi="Times New Roman" w:eastAsia="方正仿宋_GBK" w:cs="Times New Roman"/>
          <w:sz w:val="32"/>
          <w:szCs w:val="32"/>
          <w:lang w:val="en-US" w:eastAsia="zh-CN"/>
        </w:rPr>
        <w:br w:type="page"/>
      </w:r>
      <w:bookmarkStart w:id="47" w:name="_Toc15396614"/>
      <w:r>
        <w:rPr>
          <w:rFonts w:hint="eastAsia" w:ascii="方正黑体_GBK" w:hAnsi="方正黑体_GBK" w:eastAsia="方正黑体_GBK" w:cs="方正黑体_GBK"/>
          <w:sz w:val="32"/>
          <w:szCs w:val="32"/>
          <w:lang w:val="en-US" w:eastAsia="zh-CN"/>
        </w:rPr>
        <w:t>第四部分  附件</w:t>
      </w:r>
      <w:bookmarkEnd w:id="47"/>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中共攀枝花市西区纪律检查委员会</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预算</w:t>
      </w:r>
      <w:r>
        <w:rPr>
          <w:rFonts w:hint="eastAsia" w:ascii="方正黑体_GBK" w:hAnsi="方正黑体_GBK" w:eastAsia="方正黑体_GBK" w:cs="方正黑体_GBK"/>
          <w:sz w:val="32"/>
          <w:szCs w:val="32"/>
        </w:rPr>
        <w:t>绩效</w:t>
      </w:r>
      <w:r>
        <w:rPr>
          <w:rFonts w:hint="eastAsia" w:ascii="方正黑体_GBK" w:hAnsi="方正黑体_GBK" w:eastAsia="方正黑体_GBK" w:cs="方正黑体_GBK"/>
          <w:sz w:val="32"/>
          <w:szCs w:val="32"/>
          <w:lang w:eastAsia="zh-CN"/>
        </w:rPr>
        <w:t>评价</w:t>
      </w:r>
      <w:r>
        <w:rPr>
          <w:rFonts w:hint="eastAsia" w:ascii="方正黑体_GBK" w:hAnsi="方正黑体_GBK" w:eastAsia="方正黑体_GBK" w:cs="方正黑体_GBK"/>
          <w:sz w:val="32"/>
          <w:szCs w:val="32"/>
        </w:rPr>
        <w:t>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一、部门（单位）基本情况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zh-CN" w:eastAsia="zh-CN"/>
        </w:rPr>
        <w:t>（一）机构组成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中共攀枝花市西区纪律检查委员会无下属二级预算单位。内设室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攀枝花市西区纪检监察教育培训与信息中心系其下属二级公益一类事业单位，非独立预算单位。中共攀枝花市西区纪律检查委员会与攀枝花市西区监察委员会合署办公，实行一套工作机构，两个机关名称的管理体制，合称攀枝花市西区纪委监委机关；中共攀枝花市西区区委巡察工作领导小组办公室财务未独立预算核算，与攀枝花市西区纪委监委机关一起预算核算，攀枝花市西区巡察服务中心系其下属公益一类事业单位，非独立预算单位。</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en-US" w:eastAsia="zh-CN"/>
        </w:rPr>
        <w:t>（二）</w:t>
      </w:r>
      <w:r>
        <w:rPr>
          <w:rFonts w:hint="default" w:ascii="方正楷体_GBK" w:hAnsi="方正楷体_GBK" w:eastAsia="方正楷体_GBK" w:cs="方正楷体_GBK"/>
          <w:b/>
          <w:bCs/>
          <w:sz w:val="32"/>
          <w:szCs w:val="32"/>
          <w:lang w:val="zh-CN" w:eastAsia="zh-CN"/>
        </w:rPr>
        <w:t>机构职能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负责党的纪律检查工作。贯彻落实党中央、中央纪委，省委、省纪委，市委、市纪委和区委关于纪律检查工作的决定，维护党的章程和其他党内法规，检查党的路线方针政策和决议的执行情况，协助区委推进全面从严治党、加强党风廉政建设和组织协调反腐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 xml:space="preserve">（2）依照党的章程和其他党内法规履行监督、执纪、问责职责。负责经常对党员进行遵守纪律的教育，作出关于维护党纪的决定；对区委工作机关及工作机关管理的机关、区委批准设立的党委（党组），镇（街道）党（工）委、纪（工）委等党的组织和区委管理的党员领导干部及党的关系在地方的中央、省级单位党的组织、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负责全区监察工作。贯彻落实党中央、中央纪委国家监委，省委、省纪委监委，市委、市纪委监委和区委关于监察工作的决定，维护宪法法律，依法对区委管理或者授权管辖的行使公权力的公职人员进行监察，调查职务违法和职务犯罪，开展廉政建设和反腐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依照法律规定履行监督、调查、处置职责。推动开展廉政教育，对区委管理或者授权管辖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（5）负责组织协调全区全面从严治党、党风廉政建设和反腐败宣传教育工作。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（6）负责综合分析全区全面从严治党、党风廉政建设和反腐败工作情况，对纪检监察工作重要理论和实践问题进行调查研究；参与起草制订相关规范性文件。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（7）负责全区反腐败国际追逃追赃和防逃工作的组织协调，督促有关单位做好相关工作。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（8）负责与区委巡察工作领导小组办公室的统筹协调和有关问题线索的处置工作。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9）根据干部管理权限，负责全区纪检监察系统领导班子建设、干部队伍建设和组织建设的综合规划、政策研究、制度建设和业务指导；会同有关方面做好区纪委监委派出机构、区委巡察机构和下一级纪检监察机构，以及区属企事业单位纪检监察机构领导班子建设有关工作；组织和指导全区纪检监察系统干部教育培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（10）完成市纪委监委和区委交办的其他任务。</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（三）人员概况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西区纪委监委现有行政编制25个，事业编制8个，编内临聘编制4个；截止2024年12月，委机关实有行政人员25人，事业人员6人，机关工勤人员1人，编内聘用人员4人。派驻纪检监察组现有行政编制11人，参公编制7人；截止2024年12月派驻纪检监察组（2024年10月全部人员调入区纪委监委机关统一管理）实有行政人员10人，参公人员7人。区委巡察机构现有行政编制9个，事编制4个，截止2024年12月，实有行政人员6人，事业人员4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eastAsia="zh-CN"/>
        </w:rPr>
      </w:pPr>
      <w:r>
        <w:rPr>
          <w:rFonts w:hint="default" w:ascii="方正黑体_GBK" w:hAnsi="方正黑体_GBK" w:eastAsia="方正黑体_GBK" w:cs="方正黑体_GBK"/>
          <w:sz w:val="32"/>
          <w:szCs w:val="32"/>
          <w:lang w:val="zh-CN" w:eastAsia="zh-CN"/>
        </w:rPr>
        <w:t>二、部门资金收支情况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（一）收入情况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西</w:t>
      </w:r>
      <w:r>
        <w:rPr>
          <w:rFonts w:hint="default" w:ascii="Times New Roman" w:hAnsi="Times New Roman" w:eastAsia="方正仿宋_GBK" w:cs="Times New Roman"/>
          <w:sz w:val="32"/>
          <w:szCs w:val="32"/>
        </w:rPr>
        <w:t>区纪委监委202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年年初预算收入</w:t>
      </w:r>
      <w:r>
        <w:rPr>
          <w:rFonts w:hint="default" w:ascii="Times New Roman" w:hAnsi="Times New Roman" w:eastAsia="方正仿宋_GBK" w:cs="Times New Roman"/>
          <w:sz w:val="32"/>
          <w:szCs w:val="32"/>
          <w:lang w:val="en-US" w:eastAsia="zh-CN"/>
        </w:rPr>
        <w:t>1008.55</w:t>
      </w:r>
      <w:r>
        <w:rPr>
          <w:rFonts w:hint="default" w:ascii="Times New Roman" w:hAnsi="Times New Roman" w:eastAsia="方正仿宋_GBK" w:cs="Times New Roman"/>
          <w:sz w:val="32"/>
          <w:szCs w:val="32"/>
        </w:rPr>
        <w:t>万元，其中，一般公共预算拨款收入</w:t>
      </w:r>
      <w:r>
        <w:rPr>
          <w:rFonts w:hint="default" w:ascii="Times New Roman" w:hAnsi="Times New Roman" w:eastAsia="方正仿宋_GBK" w:cs="Times New Roman"/>
          <w:sz w:val="32"/>
          <w:szCs w:val="32"/>
          <w:lang w:val="en-US" w:eastAsia="zh-CN"/>
        </w:rPr>
        <w:t>837.55</w:t>
      </w:r>
      <w:r>
        <w:rPr>
          <w:rFonts w:hint="default" w:ascii="Times New Roman" w:hAnsi="Times New Roman" w:eastAsia="方正仿宋_GBK" w:cs="Times New Roman"/>
          <w:sz w:val="32"/>
          <w:szCs w:val="32"/>
        </w:rPr>
        <w:t>万元；政府性基金预算拨款收入</w:t>
      </w:r>
      <w:r>
        <w:rPr>
          <w:rFonts w:hint="default" w:ascii="Times New Roman" w:hAnsi="Times New Roman" w:eastAsia="方正仿宋_GBK" w:cs="Times New Roman"/>
          <w:sz w:val="32"/>
          <w:szCs w:val="32"/>
          <w:lang w:val="en-US" w:eastAsia="zh-CN"/>
        </w:rPr>
        <w:t>171</w:t>
      </w:r>
      <w:r>
        <w:rPr>
          <w:rFonts w:hint="default" w:ascii="Times New Roman" w:hAnsi="Times New Roman" w:eastAsia="方正仿宋_GBK" w:cs="Times New Roman"/>
          <w:sz w:val="32"/>
          <w:szCs w:val="32"/>
        </w:rPr>
        <w:t>万元。决算收入</w:t>
      </w:r>
      <w:r>
        <w:rPr>
          <w:rFonts w:hint="default" w:ascii="Times New Roman" w:hAnsi="Times New Roman" w:eastAsia="方正仿宋_GBK" w:cs="Times New Roman"/>
          <w:sz w:val="32"/>
          <w:szCs w:val="32"/>
          <w:lang w:val="en-US" w:eastAsia="zh-CN"/>
        </w:rPr>
        <w:t>1311.73</w:t>
      </w:r>
      <w:r>
        <w:rPr>
          <w:rFonts w:hint="default" w:ascii="Times New Roman" w:hAnsi="Times New Roman" w:eastAsia="方正仿宋_GBK" w:cs="Times New Roman"/>
          <w:sz w:val="32"/>
          <w:szCs w:val="32"/>
        </w:rPr>
        <w:t>万元。其中，一般公共预算拨款收入</w:t>
      </w:r>
      <w:r>
        <w:rPr>
          <w:rFonts w:hint="default" w:ascii="Times New Roman" w:hAnsi="Times New Roman" w:eastAsia="方正仿宋_GBK" w:cs="Times New Roman"/>
          <w:sz w:val="32"/>
          <w:szCs w:val="32"/>
          <w:lang w:val="en-US" w:eastAsia="zh-CN"/>
        </w:rPr>
        <w:t>999.62</w:t>
      </w:r>
      <w:r>
        <w:rPr>
          <w:rFonts w:hint="default" w:ascii="Times New Roman" w:hAnsi="Times New Roman" w:eastAsia="方正仿宋_GBK" w:cs="Times New Roman"/>
          <w:sz w:val="32"/>
          <w:szCs w:val="32"/>
        </w:rPr>
        <w:t>万元；政府性基金预算拨款收入</w:t>
      </w:r>
      <w:r>
        <w:rPr>
          <w:rFonts w:hint="default" w:ascii="Times New Roman" w:hAnsi="Times New Roman" w:eastAsia="方正仿宋_GBK" w:cs="Times New Roman"/>
          <w:sz w:val="32"/>
          <w:szCs w:val="32"/>
          <w:lang w:val="en-US" w:eastAsia="zh-CN"/>
        </w:rPr>
        <w:t>167.38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,年初结转和结余144.73万元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en-US" w:eastAsia="zh-CN"/>
        </w:rPr>
        <w:t>(二)</w:t>
      </w:r>
      <w:r>
        <w:rPr>
          <w:rFonts w:hint="default" w:ascii="方正楷体_GBK" w:hAnsi="方正楷体_GBK" w:eastAsia="方正楷体_GBK" w:cs="方正楷体_GBK"/>
          <w:b/>
          <w:bCs/>
          <w:sz w:val="32"/>
          <w:szCs w:val="32"/>
          <w:lang w:val="zh-CN" w:eastAsia="zh-CN"/>
        </w:rPr>
        <w:t>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西</w:t>
      </w:r>
      <w:r>
        <w:rPr>
          <w:rFonts w:hint="default" w:ascii="Times New Roman" w:hAnsi="Times New Roman" w:eastAsia="方正仿宋_GBK" w:cs="Times New Roman"/>
          <w:sz w:val="32"/>
          <w:szCs w:val="32"/>
        </w:rPr>
        <w:t>区纪委监委202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年年初预算支出</w:t>
      </w:r>
      <w:r>
        <w:rPr>
          <w:rFonts w:hint="default" w:ascii="Times New Roman" w:hAnsi="Times New Roman" w:eastAsia="方正仿宋_GBK" w:cs="Times New Roman"/>
          <w:sz w:val="32"/>
          <w:szCs w:val="32"/>
          <w:lang w:val="en-US" w:eastAsia="zh-CN"/>
        </w:rPr>
        <w:t>1008.55</w:t>
      </w:r>
      <w:r>
        <w:rPr>
          <w:rFonts w:hint="default" w:ascii="Times New Roman" w:hAnsi="Times New Roman" w:eastAsia="方正仿宋_GBK" w:cs="Times New Roman"/>
          <w:sz w:val="32"/>
          <w:szCs w:val="32"/>
        </w:rPr>
        <w:t>万元，其中，一般公共预算拨款支出</w:t>
      </w:r>
      <w:r>
        <w:rPr>
          <w:rFonts w:hint="default" w:ascii="Times New Roman" w:hAnsi="Times New Roman" w:eastAsia="方正仿宋_GBK" w:cs="Times New Roman"/>
          <w:sz w:val="32"/>
          <w:szCs w:val="32"/>
          <w:lang w:val="en-US" w:eastAsia="zh-CN"/>
        </w:rPr>
        <w:t>837.55</w:t>
      </w:r>
      <w:r>
        <w:rPr>
          <w:rFonts w:hint="default" w:ascii="Times New Roman" w:hAnsi="Times New Roman" w:eastAsia="方正仿宋_GBK" w:cs="Times New Roman"/>
          <w:sz w:val="32"/>
          <w:szCs w:val="32"/>
        </w:rPr>
        <w:t>万元；政府性基金预算拨款支出</w:t>
      </w:r>
      <w:r>
        <w:rPr>
          <w:rFonts w:hint="default" w:ascii="Times New Roman" w:hAnsi="Times New Roman" w:eastAsia="方正仿宋_GBK" w:cs="Times New Roman"/>
          <w:sz w:val="32"/>
          <w:szCs w:val="32"/>
          <w:lang w:val="en-US" w:eastAsia="zh-CN"/>
        </w:rPr>
        <w:t>171</w:t>
      </w:r>
      <w:r>
        <w:rPr>
          <w:rFonts w:hint="default" w:ascii="Times New Roman" w:hAnsi="Times New Roman" w:eastAsia="方正仿宋_GBK" w:cs="Times New Roman"/>
          <w:sz w:val="32"/>
          <w:szCs w:val="32"/>
        </w:rPr>
        <w:t>万元。决算支出</w:t>
      </w:r>
      <w:r>
        <w:rPr>
          <w:rFonts w:hint="default" w:ascii="Times New Roman" w:hAnsi="Times New Roman" w:eastAsia="方正仿宋_GBK" w:cs="Times New Roman"/>
          <w:sz w:val="32"/>
          <w:szCs w:val="32"/>
          <w:lang w:val="en-US" w:eastAsia="zh-CN"/>
        </w:rPr>
        <w:t>1311.73</w:t>
      </w:r>
      <w:r>
        <w:rPr>
          <w:rFonts w:hint="default" w:ascii="Times New Roman" w:hAnsi="Times New Roman" w:eastAsia="方正仿宋_GBK" w:cs="Times New Roman"/>
          <w:sz w:val="32"/>
          <w:szCs w:val="32"/>
        </w:rPr>
        <w:t>万元。其中，一般公共预算拨款支出</w:t>
      </w:r>
      <w:r>
        <w:rPr>
          <w:rFonts w:hint="default" w:ascii="Times New Roman" w:hAnsi="Times New Roman" w:eastAsia="方正仿宋_GBK" w:cs="Times New Roman"/>
          <w:sz w:val="32"/>
          <w:szCs w:val="32"/>
          <w:lang w:val="en-US" w:eastAsia="zh-CN"/>
        </w:rPr>
        <w:t>1144.35</w:t>
      </w:r>
      <w:r>
        <w:rPr>
          <w:rFonts w:hint="default" w:ascii="Times New Roman" w:hAnsi="Times New Roman" w:eastAsia="方正仿宋_GBK" w:cs="Times New Roman"/>
          <w:sz w:val="32"/>
          <w:szCs w:val="32"/>
        </w:rPr>
        <w:t>万元；政府性基金预算拨款支出</w:t>
      </w:r>
      <w:r>
        <w:rPr>
          <w:rFonts w:hint="default" w:ascii="Times New Roman" w:hAnsi="Times New Roman" w:eastAsia="方正仿宋_GBK" w:cs="Times New Roman"/>
          <w:sz w:val="32"/>
          <w:szCs w:val="32"/>
          <w:lang w:val="en-US" w:eastAsia="zh-CN"/>
        </w:rPr>
        <w:t>167.38</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zh-CN"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val="zh-CN" w:eastAsia="zh-CN"/>
        </w:rPr>
        <w:t>）</w:t>
      </w:r>
      <w:r>
        <w:rPr>
          <w:rFonts w:hint="default" w:ascii="方正楷体_GBK" w:hAnsi="方正楷体_GBK" w:eastAsia="方正楷体_GBK" w:cs="方正楷体_GBK"/>
          <w:b/>
          <w:bCs/>
          <w:sz w:val="32"/>
          <w:szCs w:val="32"/>
          <w:lang w:val="zh-CN" w:eastAsia="zh-CN"/>
        </w:rPr>
        <w:t>结余分配和结转结余情况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西区纪委监委2024年无结转结余。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eastAsia="zh-CN"/>
        </w:rPr>
      </w:pPr>
      <w:r>
        <w:rPr>
          <w:rFonts w:hint="default" w:ascii="方正黑体_GBK" w:hAnsi="方正黑体_GBK" w:eastAsia="方正黑体_GBK" w:cs="方正黑体_GBK"/>
          <w:sz w:val="32"/>
          <w:szCs w:val="32"/>
          <w:lang w:val="zh-CN" w:eastAsia="zh-CN"/>
        </w:rPr>
        <w:t>三、部门预算绩效分析</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zh-CN"/>
        </w:rPr>
        <w:t>（一）部门预算总体绩效分析</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zh-CN" w:eastAsia="zh-CN"/>
        </w:rPr>
        <w:t>履职效能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监督履职效果方面，</w:t>
      </w: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扛牢监督首责，围绕落实意识形态、严守政治纪律和政治规矩，将推动贯彻党的二十大精神、习近平总书记重要指示批示精神作为首要政治任务，持续深化政治监督。聚焦高质量发展建设共同富裕试验区、现代化产业体系构建、“一区一城”建设等重大决策部署落地落实，对老旧小区燃气管网更新改造、望伦新能源石墨材料生产线等重大项目开展专项监督25次。紧盯主体责任、“一岗双责”，加强“一把手”和领导班子监督，对21个部门（单位）主要负责人开展一对一廉政谈话，实地督导20余次。注重巡察反馈问题整改，审核整改方案、整改报告，出具审核意见73条，集中开展监督检查并督促完成问题整改119个，监督职能履职效果自评得分：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执纪问责履职效果方面，</w:t>
      </w: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强力集中整治，推动正风反腐见行见效。加大案件查办力度，全区纪检监察机构共处置问题线索216件，立案128件；组织处理55人，党纪政务处分109人，收缴违纪违法款1200余万元；坚持行贿受贿一起查，留置10人，涉嫌犯罪移送检察机关2人；紧盯关键少数，立案区管干部20人，严肃查处胡先进、胡常波严重违纪违法案件。超常规推动群众身边不正之风和腐败问题集中整治，围绕“6+7”重点领域和专项整治，查处中小学校园食品安全和膳食经费管理突出问题24件24人、农村集体“三资”管理突出问题6件6人。围绕15件群众身边具体实事，查处骗取套取社保基金、农村供水保障等问题46件46人。做好案件查办“后半篇”文章，抓实王波、胡先进等严重违纪违法案“以案促改”工作，组织召开处分决定宣布暨警示教育大会109场次，制发纪检监察建议书12份，促进区委提级管理学校、卫生医疗机构领导班子成员，切实防范廉政风险，执纪问责履职效果方面自评得分：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教育预防履职效果方面，</w:t>
      </w: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强化经常性纪律教育，坚持为全区党员干部开年讲“廉”、对新任职科级领导干部集体廉政谈话，敲警钟、筑防线。扎实开展党纪学习教育，授课解读《中国共产党纪律处分条例》2次，拍摄《“贷”价》《塘漏风云》等廉洁微电影3部，组织开展警示教育活动116场，旁听犯罪案件庭审120余人次，发送节前廉洁短信30000余条，引导党员干部学纪、知纪、明纪、守纪。强化作风建设，紧盯违反中央八项规定精神的新表现、新动向，查处并通报违规吃请、收受礼品礼金等问题11人，形成有力震慑，教育预防履职效果方面自评得分：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履职效能部分自评得分：15分。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lang w:val="zh-CN" w:eastAsia="zh-CN"/>
        </w:rPr>
        <w:t>预算管理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预算编制质量方面，</w:t>
      </w: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严格按要求编制年初部门预算，2024年财政拨款收入年初预算数1008.55万元，财政拨款收入预算执行数1167万元，2024年度预算偏离度15.71%，自评得分：7.37分；单位收入统筹自评得分：4分；2024年1至6月预算执行数667.23万元，1至10月预算执行数1024.95万元，部门预算数1314.23万元，支出执行进度自评得分：5.9分；委机关整体年终预算结余率为0，预算年终结余自评得分：2分；委机关严控“三公”经费、会议、培训、差旅、办节办展、办公设备购置、信息网络及软件购置更新等一般性支出，管理规范，在保障委机关各项工作开展、提高工作效率等方面发挥了积极作用，自评得分：5分。预算管理部分自评得分：24.27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lang w:val="zh-CN" w:eastAsia="zh-CN"/>
        </w:rPr>
        <w:t>财务管理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西区纪委监委</w:t>
      </w:r>
      <w:r>
        <w:rPr>
          <w:rFonts w:hint="default" w:ascii="Times New Roman" w:hAnsi="Times New Roman" w:eastAsia="方正仿宋_GBK" w:cs="Times New Roman"/>
          <w:sz w:val="32"/>
          <w:szCs w:val="32"/>
        </w:rPr>
        <w:t>严格落实财务管理、经费开支等制度，制度符合法律法规和上级要求，各项制度明确规范，具有可操作性。部门财务管理制度建立情况自评得分：4分；合理设置财务工作岗位，明确职责权限，并严格实行不相容岗位分离，</w:t>
      </w:r>
      <w:r>
        <w:rPr>
          <w:rFonts w:hint="default" w:ascii="Times New Roman" w:hAnsi="Times New Roman" w:eastAsia="方正仿宋_GBK" w:cs="Times New Roman"/>
          <w:sz w:val="32"/>
          <w:szCs w:val="32"/>
          <w:lang w:val="zh-CN" w:eastAsia="zh-CN"/>
        </w:rPr>
        <w:t>财务负责人、会计、出纳岗位相互分离，相互制约，</w:t>
      </w:r>
      <w:r>
        <w:rPr>
          <w:rFonts w:hint="default" w:ascii="Times New Roman" w:hAnsi="Times New Roman" w:eastAsia="方正仿宋_GBK" w:cs="Times New Roman"/>
          <w:sz w:val="32"/>
          <w:szCs w:val="32"/>
        </w:rPr>
        <w:t>财务岗位设置自评得分：2分；资金使用符合相关财务管理制度规定，</w:t>
      </w:r>
      <w:r>
        <w:rPr>
          <w:rFonts w:hint="default" w:ascii="Times New Roman" w:hAnsi="Times New Roman" w:eastAsia="方正仿宋_GBK" w:cs="Times New Roman"/>
          <w:sz w:val="32"/>
          <w:szCs w:val="32"/>
          <w:lang w:val="zh-CN" w:eastAsia="zh-CN"/>
        </w:rPr>
        <w:t>会计严格审核报销票据，报财务负责人签字后出纳支付报销。坚持厉行节约原则，强化资金管理，规范、合理、高效使用财政资金，</w:t>
      </w:r>
      <w:r>
        <w:rPr>
          <w:rFonts w:hint="default" w:ascii="Times New Roman" w:hAnsi="Times New Roman" w:eastAsia="方正仿宋_GBK" w:cs="Times New Roman"/>
          <w:sz w:val="32"/>
          <w:szCs w:val="32"/>
        </w:rPr>
        <w:t>资金使用规范自评得分：4分。财务管理部分自评得分：10分。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lang w:val="zh-CN" w:eastAsia="zh-CN"/>
        </w:rPr>
        <w:t>资产管理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从人均资产变化率来看，2023年委机关年末实有人员45人，2024年年末实有人员62人，人均资产规模合理增长，使用效率有所提升，有效支撑了委机关各项工作的开展，自评得分3分。从资产利用率方面来看，</w:t>
      </w:r>
      <w:r>
        <w:rPr>
          <w:rFonts w:hint="default" w:ascii="Times New Roman" w:hAnsi="Times New Roman" w:eastAsia="方正仿宋_GBK" w:cs="Times New Roman"/>
          <w:sz w:val="32"/>
          <w:szCs w:val="32"/>
          <w:lang w:val="en-US" w:eastAsia="zh-CN"/>
        </w:rPr>
        <w:t>委机关部分办公家具、办公设备超最低使用年限仍在使用，其性能尚能满足基础工作需求，继续使用在一定程度上节约了资产购置成本，提高资产利用率，</w:t>
      </w:r>
      <w:r>
        <w:rPr>
          <w:rFonts w:hint="default" w:ascii="Times New Roman" w:hAnsi="Times New Roman" w:eastAsia="方正仿宋_GBK" w:cs="Times New Roman"/>
          <w:sz w:val="32"/>
          <w:szCs w:val="32"/>
        </w:rPr>
        <w:t>自评得分3分。从资产盘活率方面来看，近两年均无闲置资产，资产盘活率自评得分3分。资产管理部分自评得分：9分。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sz w:val="32"/>
          <w:szCs w:val="32"/>
          <w:lang w:val="zh-CN" w:eastAsia="zh-CN"/>
        </w:rPr>
        <w:t>采购管理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委机关在支持中小企业发展方面，严格执行政府采购促进中小企业发展相关管理办法，自评得分：3分。采购执行率方面，委机关当年政府采购严格按批复预算执行，自评得分：3分。采购管理部分自评得分：6分。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zh-CN"/>
        </w:rPr>
        <w:t>（二）部门预算项目绩效分析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常年项目绩效分析。</w:t>
      </w:r>
      <w:r>
        <w:rPr>
          <w:rFonts w:hint="default" w:ascii="Times New Roman" w:hAnsi="Times New Roman" w:eastAsia="方正仿宋_GBK" w:cs="Times New Roman"/>
          <w:sz w:val="32"/>
          <w:szCs w:val="32"/>
          <w:lang w:val="zh-CN" w:eastAsia="zh-CN"/>
        </w:rPr>
        <w:t>该类项目总数</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个，涉及预算总金额</w:t>
      </w:r>
      <w:r>
        <w:rPr>
          <w:rFonts w:hint="default" w:ascii="Times New Roman" w:hAnsi="Times New Roman" w:eastAsia="方正仿宋_GBK" w:cs="Times New Roman"/>
          <w:sz w:val="32"/>
          <w:szCs w:val="32"/>
        </w:rPr>
        <w:t>200.38</w:t>
      </w:r>
      <w:r>
        <w:rPr>
          <w:rFonts w:hint="default" w:ascii="Times New Roman" w:hAnsi="Times New Roman" w:eastAsia="方正仿宋_GBK" w:cs="Times New Roman"/>
          <w:sz w:val="32"/>
          <w:szCs w:val="32"/>
          <w:lang w:val="zh-CN" w:eastAsia="zh-CN"/>
        </w:rPr>
        <w:t>万元，1—1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月预算执行总体进度为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zh-CN" w:eastAsia="zh-CN"/>
        </w:rPr>
        <w:t>%，其中：预算结余率大于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zh-CN" w:eastAsia="zh-CN"/>
        </w:rPr>
        <w:t>的项目共计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eastAsia="zh-CN"/>
        </w:rPr>
        <w:t>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阶段（一次性）项目绩效分析。</w:t>
      </w:r>
      <w:r>
        <w:rPr>
          <w:rFonts w:hint="default" w:ascii="Times New Roman" w:hAnsi="Times New Roman" w:eastAsia="方正仿宋_GBK" w:cs="Times New Roman"/>
          <w:sz w:val="32"/>
          <w:szCs w:val="32"/>
          <w:lang w:val="zh-CN" w:eastAsia="zh-CN"/>
        </w:rPr>
        <w:t>该类项目总数</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eastAsia="zh-CN"/>
        </w:rPr>
        <w:t>个，涉及预算总金额</w:t>
      </w:r>
      <w:r>
        <w:rPr>
          <w:rFonts w:hint="default" w:ascii="Times New Roman" w:hAnsi="Times New Roman" w:eastAsia="方正仿宋_GBK" w:cs="Times New Roman"/>
          <w:sz w:val="32"/>
          <w:szCs w:val="32"/>
        </w:rPr>
        <w:t>121.74</w:t>
      </w:r>
      <w:r>
        <w:rPr>
          <w:rFonts w:hint="default" w:ascii="Times New Roman" w:hAnsi="Times New Roman" w:eastAsia="方正仿宋_GBK" w:cs="Times New Roman"/>
          <w:sz w:val="32"/>
          <w:szCs w:val="32"/>
          <w:lang w:val="zh-CN" w:eastAsia="zh-CN"/>
        </w:rPr>
        <w:t>万元，1—1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月预算执行总体进度为</w:t>
      </w:r>
      <w:r>
        <w:rPr>
          <w:rFonts w:hint="default" w:ascii="Times New Roman" w:hAnsi="Times New Roman" w:eastAsia="方正仿宋_GBK" w:cs="Times New Roman"/>
          <w:sz w:val="32"/>
          <w:szCs w:val="32"/>
        </w:rPr>
        <w:t>97.95</w:t>
      </w:r>
      <w:r>
        <w:rPr>
          <w:rFonts w:hint="default" w:ascii="Times New Roman" w:hAnsi="Times New Roman" w:eastAsia="方正仿宋_GBK" w:cs="Times New Roman"/>
          <w:sz w:val="32"/>
          <w:szCs w:val="32"/>
          <w:lang w:val="zh-CN" w:eastAsia="zh-CN"/>
        </w:rPr>
        <w:t>%，其中：预算结余率大于</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zh-CN" w:eastAsia="zh-CN"/>
        </w:rPr>
        <w:t>的项目共计</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eastAsia="zh-CN"/>
        </w:rPr>
        <w:t>个。</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lang w:val="zh-CN" w:eastAsia="zh-CN"/>
        </w:rPr>
        <w:t>项目决策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决策程序方面，部门预算项目遵循严格的内部审批流程，按规定履行评估论证、申报程序，年初由各业务科室根据工作实际需求提出项目申请，并按规定履行项目事前绩效评估，纳入部门年度预算项目库，决策程序合规性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目标设置方面，绩效目标与计划期内的任务量、预算安排的资金量相匹配，绩效目标设置规范完整、量化细化、明确且符合部门职责与发展战略，紧密围绕项目任务，具有较强的针对性，目标设置合理得4分。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项目入库方面，部门预算项目均在规定时间完成项目入库，对项目信息进行了详细记录，包括项目名称、项目类别、预算金额、绩效目标等，项目入库管理规范性得4分。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项目决策部分自评得分：12分。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2.</w:t>
      </w:r>
      <w:r>
        <w:rPr>
          <w:rFonts w:hint="default" w:ascii="方正仿宋_GBK" w:hAnsi="方正仿宋_GBK" w:eastAsia="方正仿宋_GBK" w:cs="方正仿宋_GBK"/>
          <w:b/>
          <w:bCs/>
          <w:sz w:val="32"/>
          <w:szCs w:val="32"/>
          <w:lang w:val="en-US" w:eastAsia="zh-CN"/>
        </w:rPr>
        <w:t>项目执行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资金执行同向方面，部门预算项目实际列支内容与绩效目标设置方向相符，严格按照预算安排执行，未出现资金闲置或挪用现象，确保资金使用与项目实施进度相匹配，有效保障了项目的顺利推进，资金执行与项目实施的同向性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在项目调整方面，本年度项目中未出现应采取未采取收回预算、调整目标等处置措施的部门预算阶段项目，项目调整合规得4分。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执行结果来看，常年项目基本达到了预期目标，1—12月预算执行总体进度为100%，其中：预算结余率大于10%的项目共计0个；阶段（含一次性）项目1—12月预算执行总体进度为97.95%，其中：预算结余率大于10%的项目共计1个，系中央纪检监察转移支付资金，执行结果有效性得3.7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项目执行部分自评得分：11.7分。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3.</w:t>
      </w:r>
      <w:r>
        <w:rPr>
          <w:rFonts w:hint="default" w:ascii="方正仿宋_GBK" w:hAnsi="方正仿宋_GBK" w:eastAsia="方正仿宋_GBK" w:cs="方正仿宋_GBK"/>
          <w:b/>
          <w:bCs/>
          <w:sz w:val="32"/>
          <w:szCs w:val="32"/>
          <w:lang w:val="zh-CN" w:eastAsia="zh-CN"/>
        </w:rPr>
        <w:t>目标实现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rPr>
        <w:t>办案工作经费项目、党风廉政宣传工作经费、机关后勤保障服务工作经费项目、巡察工作经费项目等部门预算项目均按时按质完成了全年目标任务工作，确保纪检监察各项工作顺利开展，促进社会风气持续向好，营造风清气正的良好社会环境，为西区经济社会发展提供坚强的纪律保障，自评得分：12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zh-CN" w:eastAsia="zh-CN"/>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lang w:val="zh-CN" w:eastAsia="zh-CN"/>
        </w:rPr>
        <w:t>绩效结果应用情况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绩效自评结果运用到下一年度预算编制和预算执行的事前、事中、事后工作中，强化年初预算产出指标、效益指标、满意度指标的准确性；强化预算执行率，结合实际最大限度减小预决算数据偏差。委机关2024年绩效自评情况拟按照区财政局要求，及时在攀枝花市西区公众信息网财政绩效评价公开板块进行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eastAsia="zh-CN"/>
        </w:rPr>
        <w:t>四、</w:t>
      </w:r>
      <w:r>
        <w:rPr>
          <w:rFonts w:hint="default" w:ascii="方正黑体_GBK" w:hAnsi="方正黑体_GBK" w:eastAsia="方正黑体_GBK" w:cs="方正黑体_GBK"/>
          <w:sz w:val="32"/>
          <w:szCs w:val="32"/>
          <w:lang w:val="zh-CN"/>
        </w:rPr>
        <w:t>评价结论及建议</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zh-CN"/>
        </w:rPr>
        <w:t>（一）评价结论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通过对委机关2024年度整体支出绩效工作的全面梳理与深入分析，总体绩效评价、项目绩效评价等方面整体表现良好。2024年委机关部门预算基本支出、项目支出严格按预算执行，保障委机关正常运转，完成人员经费支出、项目绩效目标任务，自评得分98.97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val="zh-CN"/>
        </w:rPr>
        <w:t>（二）存在问题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预算执行中存在前松后紧的现象。个别项目虽然已完成目标绩效各项指标值，但报销不及时，造成支付资金积压，影响预算执行均衡率。</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zh-CN"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val="zh-CN" w:eastAsia="zh-CN"/>
        </w:rPr>
        <w:t>）</w:t>
      </w:r>
      <w:r>
        <w:rPr>
          <w:rFonts w:hint="default" w:ascii="方正楷体_GBK" w:hAnsi="方正楷体_GBK" w:eastAsia="方正楷体_GBK" w:cs="方正楷体_GBK"/>
          <w:b/>
          <w:bCs/>
          <w:sz w:val="32"/>
          <w:szCs w:val="32"/>
          <w:lang w:val="zh-CN" w:eastAsia="zh-CN"/>
        </w:rPr>
        <w:t>改进建议</w:t>
      </w:r>
      <w:bookmarkStart w:id="48" w:name="_Hlk11054663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zh-CN"/>
        </w:rPr>
        <w:t>严格按照项目进度执行预算支出，细化并有节奏调控每一阶段的绩效目标在可控范围内规范执行，从而确保整体绩效目标完成率。</w:t>
      </w:r>
    </w:p>
    <w:bookmarkEnd w:id="48"/>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附表：</w:t>
      </w:r>
      <w:r>
        <w:rPr>
          <w:rFonts w:hint="default" w:ascii="Times New Roman" w:hAnsi="Times New Roman" w:eastAsia="方正仿宋_GBK" w:cs="Times New Roman"/>
          <w:sz w:val="32"/>
          <w:szCs w:val="32"/>
          <w:lang w:val="en-US" w:eastAsia="zh-CN"/>
        </w:rPr>
        <w:t>部门预算项目支出绩效自评表（2024年度）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br w:type="page"/>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中共攀枝花市西区纪律检查委员会</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办案工作经费项目支出绩效自评报告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一、项目概况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val="zh-CN" w:eastAsia="zh-CN"/>
        </w:rPr>
      </w:pPr>
      <w:r>
        <w:rPr>
          <w:rFonts w:hint="eastAsia" w:ascii="方正楷体_GBK" w:hAnsi="方正楷体_GBK" w:eastAsia="方正楷体_GBK" w:cs="方正楷体_GBK"/>
          <w:b/>
          <w:bCs/>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eastAsia="zh-CN"/>
        </w:rPr>
        <w:t>中共攀枝花市西区纪律检查委员会</w:t>
      </w:r>
      <w:r>
        <w:rPr>
          <w:rFonts w:hint="default" w:ascii="Times New Roman" w:hAnsi="Times New Roman" w:eastAsia="方正仿宋_GBK" w:cs="Times New Roman"/>
          <w:sz w:val="32"/>
          <w:szCs w:val="32"/>
          <w:lang w:val="zh-CN"/>
        </w:rPr>
        <w:t>依照法律规定履行监督、调查、处置职责，推动开展廉政教育，对区委管理或者授权管辖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zh-CN" w:eastAsia="zh-CN"/>
        </w:rPr>
        <w:t>项目立项、资金申报的依据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依据市纪委监察下达的案件考核目标任务及委机关实际以及202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年案件办理项目绩效情况，2024年预计留置案件6-10人（件），普通党纪政务案件立案50-55人（件）。</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zh-CN" w:eastAsia="zh-CN"/>
        </w:rPr>
        <w:t>资金管理概况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依据国家法律法规、上级纪检监察机关和财政部门的相关规定，明确项目资金使用范围、审批流程等内容，资金使用范围限定于与项目相关的直接费用支出：办理留置案产生的相关费用，陪护人员、医护人员、办案人员公杂费、办案人员餐费等。项目设立严格按规定履行事前评估及申报程序，编制办案工作经费预算项目报区财政审批，对依纪依法开展的各类监督执纪问责和监督调查处置案件，符合相关法律法规和办案程序要求，且办案所需支出确有必要的人员费用、设备与物资费用等进行资金支持。</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zh-CN" w:eastAsia="zh-CN"/>
        </w:rPr>
        <w:t>资金分配的原则及考虑因素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资金分配充分考虑工作重点与战略方向、案件性质、复杂程度、人员与设备需求、以往资金使用绩效等因素，严格遵循国家法律法规、财务规章制度等管理规定，确保经费的使用、分配符合规定要求，接受财政等部门的监督检查 。资金重点投向办案工作，根据办案工作的实际进展、案件数量变化等情况，灵活调整资金分配，优先保障案件查办过程中的各项必要支出，保障办案优先原则，以确保案件能够顺利推进。</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zh-CN" w:eastAsia="zh-CN"/>
        </w:rPr>
        <w:t>1.项目主要内容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本项目的主要内容是2024年西区纪委监委办案经费，2024年预计留置案件6-10人（件），普通党纪政务案件立案50-55人（件），至202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年12月完成该项目计划目标任务数。</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zh-CN" w:eastAsia="zh-CN"/>
        </w:rPr>
        <w:t>项目应实现的具体绩效目标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项目应在</w:t>
      </w:r>
      <w:r>
        <w:rPr>
          <w:rFonts w:hint="default" w:ascii="Times New Roman" w:hAnsi="Times New Roman" w:eastAsia="方正仿宋_GBK" w:cs="Times New Roman"/>
          <w:sz w:val="32"/>
          <w:szCs w:val="32"/>
          <w:lang w:val="en-US" w:eastAsia="zh-CN"/>
        </w:rPr>
        <w:t>2024年1-12月完成全年市纪委下达任务目标及交办任务，</w:t>
      </w:r>
      <w:r>
        <w:rPr>
          <w:rFonts w:hint="default" w:ascii="Times New Roman" w:hAnsi="Times New Roman" w:eastAsia="方正仿宋_GBK" w:cs="Times New Roman"/>
          <w:sz w:val="32"/>
          <w:szCs w:val="32"/>
          <w:lang w:val="zh-CN" w:eastAsia="zh-CN"/>
        </w:rPr>
        <w:t>留置案件6-10人（件），普通党纪政务案件立案50-55人（件），坚持有腐必反、有贪必肃，保持正风肃纪反腐高压态势，强化监督、执纪审查、调查处置，坚持标本兼治、综合治理、惩防并举、注重预防原则，加强反腐工作力度，促进党风政风持续好转。</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zh-CN" w:eastAsia="zh-CN"/>
        </w:rPr>
        <w:t>分析评价项目申报内容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项目申报内容经过严格评估论证，严格按规定履行事前评估，结合</w:t>
      </w:r>
      <w:r>
        <w:rPr>
          <w:rFonts w:hint="default" w:ascii="Times New Roman" w:hAnsi="Times New Roman" w:eastAsia="方正仿宋_GBK" w:cs="Times New Roman"/>
          <w:sz w:val="32"/>
          <w:szCs w:val="32"/>
          <w:lang w:val="en-US" w:eastAsia="zh-CN"/>
        </w:rPr>
        <w:t>全年市纪委下达任务目标、交办任务及机关</w:t>
      </w:r>
      <w:r>
        <w:rPr>
          <w:rFonts w:hint="default" w:ascii="Times New Roman" w:hAnsi="Times New Roman" w:eastAsia="方正仿宋_GBK" w:cs="Times New Roman"/>
          <w:sz w:val="32"/>
          <w:szCs w:val="32"/>
          <w:lang w:val="zh-CN" w:eastAsia="zh-CN"/>
        </w:rPr>
        <w:t>现实需求进行申报，符合区委、区政府重大决策部署和宏观政策规划，申报目标合理可行。</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委机关内部各纪检监察室及财务、办案业务骨干等人员组成自评工作小组，明确各成员职责分工，确保自评工作有序推进；根据绩效自评工作要求确定本次自评工作的目标、范围、依据、方法、时间安排和工作要求等；其次收集与办案工作经费项目相关的各类资料，包括预算文件、财务凭证、资金拨付记录等，为绩效评价提供基础支撑；然后对收集的数据进行核实，确保真实性、准确性和完整性，运用专项预算项目绩效评价指标体系，从项目决策、过程管理、产出、效益等维度对项目进行分析评价后撰写自评报告；自评报告完成后，由自评工作小组内部审核，根据反馈意见完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年初，结合市纪委监察下达的202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年办理案件考核目标任务、委机关实际以及202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年案件办理项目绩效情况，编制委机关202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年办案工作经费预算项目报区财政审批，区财政于202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月下达该项目批复。</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zh-CN" w:eastAsia="zh-CN"/>
        </w:rPr>
        <w:t>1.资金计划、到位情况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年初预算申报资金153万元，202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月区财政批复资金153万元，资金到位及时。</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zh-CN" w:eastAsia="zh-CN"/>
        </w:rPr>
        <w:t>资金使用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年办案工作经费全年支出</w:t>
      </w:r>
      <w:r>
        <w:rPr>
          <w:rFonts w:hint="default" w:ascii="Times New Roman" w:hAnsi="Times New Roman" w:eastAsia="方正仿宋_GBK" w:cs="Times New Roman"/>
          <w:sz w:val="32"/>
          <w:szCs w:val="32"/>
          <w:lang w:val="en-US" w:eastAsia="zh-CN"/>
        </w:rPr>
        <w:t>152.82</w:t>
      </w:r>
      <w:r>
        <w:rPr>
          <w:rFonts w:hint="default" w:ascii="Times New Roman" w:hAnsi="Times New Roman" w:eastAsia="方正仿宋_GBK" w:cs="Times New Roman"/>
          <w:sz w:val="32"/>
          <w:szCs w:val="32"/>
          <w:lang w:val="zh-CN" w:eastAsia="zh-CN"/>
        </w:rPr>
        <w:t>万元，坚持厉行节约的原则，确保资金使用安全、规范、有效。用于支付办理留置案产生相关费用，陪护人员、医护人员、办案人员公杂费、办案人员餐费等。严格按照市纪委办理案件规定审核报销票据，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西区纪委监委财务管理制度健全，在财务报销中严格执行财务管理制度，账务处理及时，会计核算规范。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三、项目实施及管理情况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（一）项目组织架构及实施流程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eastAsia="zh-CN"/>
        </w:rPr>
        <w:t>办案工作经费项目由委机关纪检监察室组织申报、实施和管理，资金支付由财务室完成，相关事宜共同协商处理。在项目启动阶段，由委机关纪检监察室根据市纪委监察下达的202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年办理案件考核目标任务、委机关实际以及202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年案件办理项目绩效情况进行项目事前绩效评估及项目支出申报。资金使用阶段财务室根据项目预算，按照资金支付范围和标准，严格审核各项费用开支，对于办理留置案产生相关费用，陪护人员、医护人员、办案人员公杂费、办案人员餐费等，需由纪检监察室提交详细的支出申请和费用明细，经相关领导审核后予以支付。</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（二）项目管理情况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eastAsia="zh-CN"/>
        </w:rPr>
        <w:t>在项目实施过程中，严格遵守相关法律法规及项目管理制度，保障资金使用的合法性和规范性。</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（三）项目监管情况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委机关高度重视制度建设，依据相关法律法规和机关工作实际，制定并完善了一系列涵盖经费管理、项目实施流程等方面的监管制度。明确经费开支范围、审批流程及各环节责任主体，规范资金使用，详细规定了留置案产生相关费用等各项费用的支出标准和审批权限，要求每一笔经费支出都需经过严格的审批程序，杜绝随意开支现象。同时，加强各部室间的协同监管，各纪检监察室与财务室等建立共同协调机制，共同研究解决项目实施过程中出现的问题，形成监管合力，有效地保障办案工作经费项目的顺利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方正黑体_GBK" w:hAnsi="方正黑体_GBK" w:eastAsia="方正黑体_GBK" w:cs="方正黑体_GBK"/>
          <w:sz w:val="32"/>
          <w:szCs w:val="32"/>
          <w:lang w:val="zh-CN"/>
        </w:rPr>
        <w:t>四、项目绩效情况</w:t>
      </w:r>
      <w:r>
        <w:rPr>
          <w:rFonts w:hint="default" w:ascii="Times New Roman" w:hAnsi="Times New Roman" w:eastAsia="方正仿宋_GBK"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eastAsia="zh-CN"/>
        </w:rPr>
        <w:t>年</w:t>
      </w:r>
      <w:r>
        <w:rPr>
          <w:rFonts w:hint="default" w:ascii="Times New Roman" w:hAnsi="Times New Roman" w:eastAsia="方正仿宋_GBK" w:cs="Times New Roman"/>
          <w:sz w:val="32"/>
          <w:szCs w:val="32"/>
          <w:lang w:val="en-US" w:eastAsia="zh-CN"/>
        </w:rPr>
        <w:t>共</w:t>
      </w:r>
      <w:r>
        <w:rPr>
          <w:rFonts w:hint="default" w:ascii="Times New Roman" w:hAnsi="Times New Roman" w:eastAsia="方正仿宋_GBK" w:cs="Times New Roman"/>
          <w:sz w:val="32"/>
          <w:szCs w:val="32"/>
          <w:lang w:val="zh-CN" w:eastAsia="zh-CN"/>
        </w:rPr>
        <w:t>处置问题线索</w:t>
      </w:r>
      <w:r>
        <w:rPr>
          <w:rFonts w:hint="default" w:ascii="Times New Roman" w:hAnsi="Times New Roman" w:eastAsia="方正仿宋_GBK" w:cs="Times New Roman"/>
          <w:sz w:val="32"/>
          <w:szCs w:val="32"/>
          <w:lang w:val="en-US" w:eastAsia="zh-CN"/>
        </w:rPr>
        <w:t>216件，</w:t>
      </w:r>
      <w:r>
        <w:rPr>
          <w:rFonts w:hint="default" w:ascii="Times New Roman" w:hAnsi="Times New Roman" w:eastAsia="方正仿宋_GBK" w:cs="Times New Roman"/>
          <w:sz w:val="32"/>
          <w:szCs w:val="32"/>
          <w:lang w:val="zh-CN" w:eastAsia="zh-CN"/>
        </w:rPr>
        <w:t>立案</w:t>
      </w:r>
      <w:r>
        <w:rPr>
          <w:rFonts w:hint="default" w:ascii="Times New Roman" w:hAnsi="Times New Roman" w:eastAsia="方正仿宋_GBK" w:cs="Times New Roman"/>
          <w:sz w:val="32"/>
          <w:szCs w:val="32"/>
          <w:lang w:val="en-US" w:eastAsia="zh-CN"/>
        </w:rPr>
        <w:t>128</w:t>
      </w:r>
      <w:r>
        <w:rPr>
          <w:rFonts w:hint="default" w:ascii="Times New Roman" w:hAnsi="Times New Roman" w:eastAsia="方正仿宋_GBK" w:cs="Times New Roman"/>
          <w:sz w:val="32"/>
          <w:szCs w:val="32"/>
          <w:lang w:val="zh-CN" w:eastAsia="zh-CN"/>
        </w:rPr>
        <w:t>件，党纪政务处分</w:t>
      </w:r>
      <w:r>
        <w:rPr>
          <w:rFonts w:hint="default" w:ascii="Times New Roman" w:hAnsi="Times New Roman" w:eastAsia="方正仿宋_GBK" w:cs="Times New Roman"/>
          <w:sz w:val="32"/>
          <w:szCs w:val="32"/>
          <w:lang w:val="en-US" w:eastAsia="zh-CN"/>
        </w:rPr>
        <w:t>109</w:t>
      </w:r>
      <w:r>
        <w:rPr>
          <w:rFonts w:hint="default" w:ascii="Times New Roman" w:hAnsi="Times New Roman" w:eastAsia="方正仿宋_GBK" w:cs="Times New Roman"/>
          <w:sz w:val="32"/>
          <w:szCs w:val="32"/>
          <w:lang w:val="zh-CN" w:eastAsia="zh-CN"/>
        </w:rPr>
        <w:t>人，挽回经济损失约1</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lang w:val="zh-CN" w:eastAsia="zh-CN"/>
        </w:rPr>
        <w:t>万元，保质超额完成了全年目标任务。项目实施过程中，不断强化专项资金管理，强化办案工作质效，节约办理案件成本，全年支出费用</w:t>
      </w:r>
      <w:r>
        <w:rPr>
          <w:rFonts w:hint="default" w:ascii="Times New Roman" w:hAnsi="Times New Roman" w:eastAsia="方正仿宋_GBK" w:cs="Times New Roman"/>
          <w:sz w:val="32"/>
          <w:szCs w:val="32"/>
          <w:lang w:val="en-US" w:eastAsia="zh-CN"/>
        </w:rPr>
        <w:t>152.82</w:t>
      </w:r>
      <w:r>
        <w:rPr>
          <w:rFonts w:hint="default" w:ascii="Times New Roman" w:hAnsi="Times New Roman" w:eastAsia="方正仿宋_GBK" w:cs="Times New Roman"/>
          <w:sz w:val="32"/>
          <w:szCs w:val="32"/>
          <w:lang w:val="zh-CN" w:eastAsia="zh-CN"/>
        </w:rPr>
        <w:t>万元，节约办案资金。全年支付过程中无违规记录，完成了成本控制目标。</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该项目在</w:t>
      </w:r>
      <w:r>
        <w:rPr>
          <w:rFonts w:hint="default" w:ascii="Times New Roman" w:hAnsi="Times New Roman" w:eastAsia="方正仿宋_GBK" w:cs="Times New Roman"/>
          <w:sz w:val="32"/>
          <w:szCs w:val="32"/>
          <w:lang w:val="en-US" w:eastAsia="zh-CN"/>
        </w:rPr>
        <w:t>2024年</w:t>
      </w:r>
      <w:r>
        <w:rPr>
          <w:rFonts w:hint="default" w:ascii="Times New Roman" w:hAnsi="Times New Roman" w:eastAsia="方正仿宋_GBK" w:cs="Times New Roman"/>
          <w:sz w:val="32"/>
          <w:szCs w:val="32"/>
          <w:lang w:val="zh-CN" w:eastAsia="zh-CN"/>
        </w:rPr>
        <w:t>保质超额完成了各项绩效指标任务</w:t>
      </w:r>
      <w:r>
        <w:rPr>
          <w:rFonts w:hint="default" w:ascii="Times New Roman" w:hAnsi="Times New Roman" w:eastAsia="方正仿宋_GBK" w:cs="Times New Roman"/>
          <w:sz w:val="32"/>
          <w:szCs w:val="32"/>
          <w:lang w:val="en-US" w:eastAsia="zh-CN"/>
        </w:rPr>
        <w:t>，立案128件，组织处理55人，党纪政务处分109人，</w:t>
      </w:r>
      <w:r>
        <w:rPr>
          <w:rFonts w:hint="default" w:ascii="Times New Roman" w:hAnsi="Times New Roman" w:eastAsia="方正仿宋_GBK" w:cs="Times New Roman"/>
          <w:sz w:val="32"/>
          <w:szCs w:val="32"/>
          <w:lang w:val="zh-CN" w:eastAsia="zh-CN"/>
        </w:rPr>
        <w:t>发挥了案件的震慑作用，以案警示，以案促改，用身边事教育警醒身边人，辖区群众满意。强化反腐工作力度，促进党风政风持续好转，构建风清气正的良好政治生态。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五、评价结论及建议</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（一）评价结论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项目立案依据充分且合理，项目目标设定明确、具体，与委机关职责相符。从决策过程来看，经过了严谨的评估与审批流程，确保项目实施方向的正确性。资金到位及时，资金管理较为规范，严格遵循相关财务制度及管理办法，资金分配合理，资金支出审批流程规范。保质超额完成了各项绩效目标，在产出、效益、成本等方面取得了一定的成果。项目聚焦群众身边腐败问题和不正之风，通过办结案件形成震慑，构建风清气正的良好政治生态。总体而言，本项目在项目决策、项目实施、完成结果等方面均取得了较好的成效，达到了预期目标。</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eastAsia="zh-CN"/>
        </w:rPr>
      </w:pPr>
      <w:r>
        <w:rPr>
          <w:rFonts w:hint="default" w:ascii="方正楷体_GBK" w:hAnsi="方正楷体_GBK" w:eastAsia="方正楷体_GBK" w:cs="方正楷体_GBK"/>
          <w:b/>
          <w:bCs/>
          <w:sz w:val="32"/>
          <w:szCs w:val="32"/>
          <w:lang w:val="zh-CN" w:eastAsia="zh-CN"/>
        </w:rPr>
        <w:t>（三）相关建议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中共攀枝花市西区纪律检查委员会</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中央纪检监察转移支付项目支出绩效自评报告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一、项目概况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_GBK" w:hAnsi="方正楷体_GBK" w:eastAsia="方正楷体_GBK" w:cs="方正楷体_GBK"/>
          <w:b/>
          <w:bCs/>
          <w:sz w:val="32"/>
          <w:szCs w:val="32"/>
          <w:lang w:val="zh-CN"/>
        </w:rPr>
      </w:pPr>
      <w:r>
        <w:rPr>
          <w:rFonts w:hint="eastAsia" w:ascii="方正楷体_GBK" w:hAnsi="方正楷体_GBK" w:eastAsia="方正楷体_GBK" w:cs="方正楷体_GBK"/>
          <w:b/>
          <w:bCs/>
          <w:sz w:val="32"/>
          <w:szCs w:val="32"/>
          <w:lang w:val="zh-CN"/>
        </w:rPr>
        <w:t>（一）项目基本情况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中共攀枝花市西区纪律检查委员会依照法律规定履行监督、调查、处置职责，推动开展廉政教育，对区委管理或者授权管辖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zh-CN"/>
        </w:rPr>
        <w:t>项目立项、资金申报的依据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按照中共四川省纪委办公厅关于做好2024年中央纪检监察转移支付资金使用工作的通知，主要用于补充保障群众身边不正之风和腐败问题集中整治经费保障，收集解决群众所急所忧所盼、访求意见及反映问题，查处群众身边不正之风和腐败问题，严格按照批复方向使用资金,不得调剂挪作他用。2024年</w:t>
      </w:r>
      <w:r>
        <w:rPr>
          <w:rFonts w:hint="default" w:ascii="Times New Roman" w:hAnsi="Times New Roman" w:eastAsia="方正仿宋_GBK" w:cs="Times New Roman"/>
          <w:sz w:val="32"/>
          <w:szCs w:val="32"/>
        </w:rPr>
        <w:t>中央纪检监察转移支付</w:t>
      </w:r>
      <w:r>
        <w:rPr>
          <w:rFonts w:hint="default" w:ascii="Times New Roman" w:hAnsi="Times New Roman" w:eastAsia="方正仿宋_GBK" w:cs="Times New Roman"/>
          <w:sz w:val="32"/>
          <w:szCs w:val="32"/>
          <w:lang w:val="zh-CN"/>
        </w:rPr>
        <w:t>资金预算10万元。</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zh-CN"/>
        </w:rPr>
        <w:t>资金管理概况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2024年8月21日，西区财政局下达中央转移支付资金（攀西财预﹝2024﹞87号）10万元。项目资金由西区纪委监委党风政风监督室、宣传部根据集中整治工作计划及工作开展情况统筹合理使用，及时履行报销手续，财务室根据财务相关规定严格审核报销票据，规范支付相关费用。</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b/>
          <w:bCs/>
          <w:sz w:val="32"/>
          <w:szCs w:val="32"/>
          <w:lang w:val="zh-CN"/>
        </w:rPr>
        <w:t>资金分配的原则及考虑因素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中央纪检监察转移支付资金全部用于补充保障群众身边不正之风和腐败问题集中整治工作经费，主要用于整治工作宣传、办公等，严格遵循国家法律法规、财务规章制度等管理规定，确保经费的使用、分配符合规定要求。</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（二）项目绩效目标</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1.项目主要内容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本项目的主要内容是收集解决群众所急所忧所盼、访求意见及反映问题，查处群众身边不正之风和腐败问题；适时适度通报曝光典型案例，发挥以案示警作用。</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zh-CN"/>
        </w:rPr>
        <w:t>项目应实现的具体绩效目标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西区纪委监委根据四川省纪委监委关于做好2024年中央纪检监察转移支付资金使用工作的通知要求，全力做好群众身边不正之风和腐败问题集中整治工作经费保障，做到专款专用，确保资金使用方向准确。应做到每月召开专题会、研判会等各类会议1次，推行派驻机构到纪西区纪委监委集中办公完成县个数6个，集中整治经费保障到位率100%，集中整治线索处置完成率100%，县级纪委监委现有编制空编率≤10%，资金使用方向准确性100%，预算执行率≥98%，通过集中整治避免（挽回）资金损失，适时宣传集中整治的经验做法和实际成效，增强干部群众对铲除基层腐败滋生的土壤和条件的信心，聚焦推进乡村全面振兴、民生痛点难点、形式主义官僚主义、扫黑除恶领域，着力推动解决群众反映强烈的问题，充分发挥集中整治查处典型案件的警示教育作用，适时适度通报曝光典型案例，发挥以案示警作用，群众满意度≥95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3.</w:t>
      </w:r>
      <w:r>
        <w:rPr>
          <w:rFonts w:hint="default" w:ascii="Times New Roman" w:hAnsi="Times New Roman" w:eastAsia="方正仿宋_GBK" w:cs="Times New Roman"/>
          <w:b/>
          <w:bCs/>
          <w:sz w:val="32"/>
          <w:szCs w:val="32"/>
          <w:lang w:val="zh-CN"/>
        </w:rPr>
        <w:t>分析评价项目申报内容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项目申报内容经过严格评估论证，严格按规定履行事前评估，结合中共四川省纪委办公厅关于做好2024年中央纪检监察转移支付资金使用工作的通知</w:t>
      </w:r>
      <w:r>
        <w:rPr>
          <w:rFonts w:hint="default" w:ascii="Times New Roman" w:hAnsi="Times New Roman" w:eastAsia="方正仿宋_GBK" w:cs="Times New Roman"/>
          <w:sz w:val="32"/>
          <w:szCs w:val="32"/>
        </w:rPr>
        <w:t>及西区纪委监委</w:t>
      </w:r>
      <w:r>
        <w:rPr>
          <w:rFonts w:hint="default" w:ascii="Times New Roman" w:hAnsi="Times New Roman" w:eastAsia="方正仿宋_GBK" w:cs="Times New Roman"/>
          <w:sz w:val="32"/>
          <w:szCs w:val="32"/>
          <w:lang w:val="zh-CN"/>
        </w:rPr>
        <w:t>实际进行申报，符合区委、区政府重大决策部署和宏观政策规划，申报目标合理可行。</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（三）项目自评步骤及方法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西区纪委监委内部成立自评工作小组，明确各成员职责分工，确保自评工作有序推进；根据绩效自评工作要求确定本次自评工作的目标、范围、依据、方法、时间安排和工作要求等；其次收集与</w:t>
      </w:r>
      <w:r>
        <w:rPr>
          <w:rFonts w:hint="default" w:ascii="Times New Roman" w:hAnsi="Times New Roman" w:eastAsia="方正仿宋_GBK" w:cs="Times New Roman"/>
          <w:sz w:val="32"/>
          <w:szCs w:val="32"/>
        </w:rPr>
        <w:t>中央纪检监察转移支付资金项目</w:t>
      </w:r>
      <w:r>
        <w:rPr>
          <w:rFonts w:hint="default" w:ascii="Times New Roman" w:hAnsi="Times New Roman" w:eastAsia="方正仿宋_GBK" w:cs="Times New Roman"/>
          <w:sz w:val="32"/>
          <w:szCs w:val="32"/>
          <w:lang w:val="zh-CN"/>
        </w:rPr>
        <w:t>相关的各类资料，包括预算文件、财务凭证、资金拨付记录等，为绩效评价提供基础支撑；然后对收集的数据进行核实，确保真实性、准确性和完整性，运用专项预算项目绩效评价指标体系，从项目决策、过程管理、产出、效益等维度对项目进行分析评价后撰写自评报告；自评报告完成后，由自评工作小组内部审核，根据反馈意见完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二、项目资金申报及使用情况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2024年8月</w:t>
      </w:r>
      <w:r>
        <w:rPr>
          <w:rFonts w:hint="default" w:ascii="Times New Roman" w:hAnsi="Times New Roman" w:eastAsia="方正仿宋_GBK" w:cs="Times New Roman"/>
          <w:sz w:val="32"/>
          <w:szCs w:val="32"/>
          <w:lang w:val="zh-CN"/>
        </w:rPr>
        <w:t>，结合中共四川省纪委办公厅关于做好2024年中央纪检监察转移支付资金使用工作的通知</w:t>
      </w:r>
      <w:r>
        <w:rPr>
          <w:rFonts w:hint="default" w:ascii="Times New Roman" w:hAnsi="Times New Roman" w:eastAsia="方正仿宋_GBK" w:cs="Times New Roman"/>
          <w:sz w:val="32"/>
          <w:szCs w:val="32"/>
        </w:rPr>
        <w:t>及西区纪委监委</w:t>
      </w:r>
      <w:r>
        <w:rPr>
          <w:rFonts w:hint="default" w:ascii="Times New Roman" w:hAnsi="Times New Roman" w:eastAsia="方正仿宋_GBK" w:cs="Times New Roman"/>
          <w:sz w:val="32"/>
          <w:szCs w:val="32"/>
          <w:lang w:val="zh-CN"/>
        </w:rPr>
        <w:t>实际，编制西区纪委监委202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年中央纪检监察转移支付资金项目报区财政审批。2024年8月21日，西区财政局下达中央转移支付资金（攀西财预﹝2024﹞87号）10万元。</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lang w:val="zh-CN"/>
        </w:rPr>
        <w:t>1.资金计划、到位情况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预算申报资金</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val="zh-CN"/>
        </w:rPr>
        <w:t>万元，202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lang w:val="zh-CN"/>
        </w:rPr>
        <w:t>月区财政批复资金</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val="zh-CN"/>
        </w:rPr>
        <w:t>万元，资金到位及时。</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方正仿宋_GBK" w:cs="Times New Roman"/>
          <w:b/>
          <w:bCs/>
          <w:sz w:val="32"/>
          <w:szCs w:val="32"/>
          <w:lang w:val="zh-CN"/>
        </w:rPr>
      </w:pPr>
      <w:r>
        <w:rPr>
          <w:rFonts w:hint="default" w:ascii="Times New Roman" w:hAnsi="Times New Roman" w:eastAsia="方正仿宋_GBK" w:cs="Times New Roman"/>
          <w:b/>
          <w:bCs/>
          <w:sz w:val="32"/>
          <w:szCs w:val="32"/>
        </w:rPr>
        <w:t>2.</w:t>
      </w:r>
      <w:r>
        <w:rPr>
          <w:rFonts w:hint="default" w:ascii="Times New Roman" w:hAnsi="Times New Roman" w:eastAsia="方正仿宋_GBK" w:cs="Times New Roman"/>
          <w:b/>
          <w:bCs/>
          <w:sz w:val="32"/>
          <w:szCs w:val="32"/>
          <w:lang w:val="zh-CN"/>
        </w:rPr>
        <w:t>资金使用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截至2024年12月，西区纪委监委支付中央纪检监察转移支付资金7.51万元，剩余2.49万元正在积极进行支付。资金使用严格按照财务管理制度，严格审核报销票据，资金支付范围、支付标准等。</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西区纪委监</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val="zh-CN"/>
        </w:rPr>
        <w:t>财务管理制度健全，在财务报销中严格执行财务管理制度，账务处理及时，会计核算规范。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三、项目实施及管理情况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中央纪检监察转移支付项目由西区纪委监委组织申报、实施和管理，资金支付由财务室完成，相关事宜共同协商处理。在项目启动阶段，西区纪委监委根据中共四川省纪委办公厅关于做好2024年中央纪检监察转移支付资金使用工作的通知</w:t>
      </w:r>
      <w:r>
        <w:rPr>
          <w:rFonts w:hint="default" w:ascii="Times New Roman" w:hAnsi="Times New Roman" w:eastAsia="方正仿宋_GBK" w:cs="Times New Roman"/>
          <w:sz w:val="32"/>
          <w:szCs w:val="32"/>
        </w:rPr>
        <w:t>及委机关</w:t>
      </w:r>
      <w:r>
        <w:rPr>
          <w:rFonts w:hint="default" w:ascii="Times New Roman" w:hAnsi="Times New Roman" w:eastAsia="方正仿宋_GBK" w:cs="Times New Roman"/>
          <w:sz w:val="32"/>
          <w:szCs w:val="32"/>
          <w:lang w:val="zh-CN"/>
        </w:rPr>
        <w:t>实际进行项目事前绩效评估及项目支出申报。资金使用阶段财务室根据项目预算，按照资金支付范围和标准，严格审核各项费用开支。</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（二）项目管理情况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在项目实施过程中，严格遵守相关法律法规及项目管理制度，保障资金使用的合法性和规范性。</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（三）项目监管情况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西区纪委监委高度重视制度建设，依据相关法律法规和委机关工作实际，制定并完善了一系列涵盖经费管理、项目实施流程等方面的监管制度。明确经费开支范围、审批流程及各环节责任主体，规范资金使用，各项费用的支出有标准及审批权限，要求每一笔经费支出都需经过严格的审批程序，杜绝随意开支现象，保障项目按时按质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四、项目绩效情况</w:t>
      </w:r>
      <w:r>
        <w:rPr>
          <w:rFonts w:hint="default" w:ascii="方正黑体_GBK" w:hAnsi="方正黑体_GBK" w:eastAsia="方正黑体_GBK" w:cs="方正黑体_GBK"/>
          <w:sz w:val="32"/>
          <w:szCs w:val="32"/>
          <w:lang w:val="zh-CN"/>
        </w:rPr>
        <w:tab/>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截至2024年12月，2024年集中中央纪检监察转移支付资金项目绩效目标任务已全部完成。西区纪委监委支付中央纪检监察转移支付资金7.51万元，余下2.49万元正在积极进行支付。</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集中整治期间，西区纪委监委召开攀枝花市西区集中整治群众身边不正之风和腐败问题安排部署会、工作推进会、集体谈话会、调度会等各类会议30余次。2024年10月完成了6个派驻纪检监察组到西区纪委监委集中办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按照保密要求，分层分类开展警示教育。全年组织开展警示教育116场，876人次。在中央、省、市、区等各级媒体和报刊发表集中整治信息40篇。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坚持严的基调不动摇，坚决铲除腐败滋生的土壤和条件，扎实推进群众身边不正之风和腐败问题集中整治工作，紧盯“关键少数”，立案查处20名区管干部违纪违法问题，全面开展“有事找纪检”工作，增设26个村（社区）阳光廉情工作站点，将监督阵地向村、社区延伸，收集推动解决群众急难愁盼问题1034个。聚焦乡村振兴、粮食购销、民生保障等重点领域处置问题线索214件，办理案件116件，挽回资金损失105万元，增强了干部群众对铲除基层腐败滋生的土壤和条件的信心，发挥了案件的震慑作用，以案警示，以案促改，用身边事教育警醒身边人，辖区群众满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zh-CN"/>
        </w:rPr>
      </w:pPr>
      <w:r>
        <w:rPr>
          <w:rFonts w:hint="default" w:ascii="方正黑体_GBK" w:hAnsi="方正黑体_GBK" w:eastAsia="方正黑体_GBK" w:cs="方正黑体_GBK"/>
          <w:sz w:val="32"/>
          <w:szCs w:val="32"/>
          <w:lang w:val="zh-CN"/>
        </w:rPr>
        <w:t>五、评价结论及建议</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（一）评价结论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中央纪检监察转移支付资金项目立案依据充分且合理，项目目标设定明确、具体，与机关职责相符。从决策过程来看，经过了严谨的评估与审批流程，确保项目实施方向的正确性。资金到位及时，资金管理较为规范，严格遵循相关财务制度及管理办法，资金分配合理，资金支出审批流程规范。在产出、效益、满意度等方面取得了一定的成果。总体而言，项目在项目决策、项目实施、完成结果等方面均取得了较好的成效，达到了预期目标。</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因集中整治宣传工作需要，未能在2024年12月完成部分资金支付工作，一定程度上影响了预算执行率。</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（三）相关建议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细化支付环节，有节奏地调控每一阶段的绩效目标在可控范围内规范执行，从而确保整体绩效目标完成率。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bookmarkStart w:id="49" w:name="_Toc15396618"/>
      <w:r>
        <w:rPr>
          <w:rFonts w:hint="default" w:ascii="Times New Roman" w:hAnsi="Times New Roman" w:eastAsia="方正仿宋_GBK"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第五部分 附表</w:t>
      </w:r>
      <w:bookmarkEnd w:id="46"/>
      <w:bookmarkEnd w:id="49"/>
      <w:bookmarkStart w:id="50" w:name="_Toc1539661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一、收入支出决算总表</w:t>
      </w:r>
      <w:bookmarkEnd w:id="5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1" w:name="_Toc15396620"/>
      <w:r>
        <w:rPr>
          <w:rFonts w:hint="eastAsia" w:ascii="方正楷体_GBK" w:hAnsi="方正楷体_GBK" w:eastAsia="方正楷体_GBK" w:cs="方正楷体_GBK"/>
          <w:sz w:val="32"/>
          <w:szCs w:val="32"/>
        </w:rPr>
        <w:t>二、收入决算表</w:t>
      </w:r>
      <w:bookmarkEnd w:id="5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2" w:name="_Toc15396621"/>
      <w:r>
        <w:rPr>
          <w:rFonts w:hint="eastAsia" w:ascii="方正楷体_GBK" w:hAnsi="方正楷体_GBK" w:eastAsia="方正楷体_GBK" w:cs="方正楷体_GBK"/>
          <w:sz w:val="32"/>
          <w:szCs w:val="32"/>
        </w:rPr>
        <w:t>三、支出决算表</w:t>
      </w:r>
      <w:bookmarkEnd w:id="5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3" w:name="_Toc15396622"/>
      <w:r>
        <w:rPr>
          <w:rFonts w:hint="eastAsia" w:ascii="方正楷体_GBK" w:hAnsi="方正楷体_GBK" w:eastAsia="方正楷体_GBK" w:cs="方正楷体_GBK"/>
          <w:sz w:val="32"/>
          <w:szCs w:val="32"/>
        </w:rPr>
        <w:t>四、财政拨款收入支出决算总表</w:t>
      </w:r>
      <w:bookmarkEnd w:id="5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4" w:name="_Toc15396623"/>
      <w:r>
        <w:rPr>
          <w:rFonts w:hint="eastAsia" w:ascii="方正楷体_GBK" w:hAnsi="方正楷体_GBK" w:eastAsia="方正楷体_GBK" w:cs="方正楷体_GBK"/>
          <w:sz w:val="32"/>
          <w:szCs w:val="32"/>
        </w:rPr>
        <w:t>五、财政拨款支出决算明细表</w:t>
      </w:r>
      <w:bookmarkEnd w:id="54"/>
      <w:bookmarkStart w:id="55" w:name="_Toc1539662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六、一般公共预算财政拨款支出决算表</w:t>
      </w:r>
      <w:bookmarkEnd w:id="5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6" w:name="_Toc15396625"/>
      <w:r>
        <w:rPr>
          <w:rFonts w:hint="eastAsia" w:ascii="方正楷体_GBK" w:hAnsi="方正楷体_GBK" w:eastAsia="方正楷体_GBK" w:cs="方正楷体_GBK"/>
          <w:sz w:val="32"/>
          <w:szCs w:val="32"/>
        </w:rPr>
        <w:t>七、一般公共预算财政拨款支出决算明细表</w:t>
      </w:r>
      <w:bookmarkEnd w:id="5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7" w:name="_Toc15396626"/>
      <w:r>
        <w:rPr>
          <w:rFonts w:hint="eastAsia" w:ascii="方正楷体_GBK" w:hAnsi="方正楷体_GBK" w:eastAsia="方正楷体_GBK" w:cs="方正楷体_GBK"/>
          <w:sz w:val="32"/>
          <w:szCs w:val="32"/>
        </w:rPr>
        <w:t>八、一般公共预算财政拨款基本支出决算表</w:t>
      </w:r>
      <w:bookmarkEnd w:id="5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8" w:name="_Toc15396627"/>
      <w:r>
        <w:rPr>
          <w:rFonts w:hint="eastAsia" w:ascii="方正楷体_GBK" w:hAnsi="方正楷体_GBK" w:eastAsia="方正楷体_GBK" w:cs="方正楷体_GBK"/>
          <w:sz w:val="32"/>
          <w:szCs w:val="32"/>
        </w:rPr>
        <w:t>九、一般公共预算财政拨款项目支出决算表</w:t>
      </w:r>
      <w:bookmarkEnd w:id="5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59" w:name="_Toc15396628"/>
      <w:r>
        <w:rPr>
          <w:rFonts w:hint="eastAsia" w:ascii="方正楷体_GBK" w:hAnsi="方正楷体_GBK" w:eastAsia="方正楷体_GBK" w:cs="方正楷体_GBK"/>
          <w:sz w:val="32"/>
          <w:szCs w:val="32"/>
        </w:rPr>
        <w:t>十、</w:t>
      </w:r>
      <w:bookmarkEnd w:id="59"/>
      <w:r>
        <w:rPr>
          <w:rFonts w:hint="eastAsia" w:ascii="方正楷体_GBK" w:hAnsi="方正楷体_GBK" w:eastAsia="方正楷体_GBK" w:cs="方正楷体_GBK"/>
          <w:sz w:val="32"/>
          <w:szCs w:val="32"/>
        </w:rPr>
        <w:t>政府性基金预算财政拨款收入支出决算表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60" w:name="_Toc15396629"/>
      <w:r>
        <w:rPr>
          <w:rFonts w:hint="eastAsia" w:ascii="方正楷体_GBK" w:hAnsi="方正楷体_GBK" w:eastAsia="方正楷体_GBK" w:cs="方正楷体_GBK"/>
          <w:sz w:val="32"/>
          <w:szCs w:val="32"/>
        </w:rPr>
        <w:t>十一、</w:t>
      </w:r>
      <w:bookmarkEnd w:id="60"/>
      <w:r>
        <w:rPr>
          <w:rFonts w:hint="eastAsia" w:ascii="方正楷体_GBK" w:hAnsi="方正楷体_GBK" w:eastAsia="方正楷体_GBK" w:cs="方正楷体_GBK"/>
          <w:sz w:val="32"/>
          <w:szCs w:val="32"/>
        </w:rPr>
        <w:t>国有资本经营预算</w:t>
      </w:r>
      <w:r>
        <w:rPr>
          <w:rFonts w:hint="eastAsia" w:ascii="方正楷体_GBK" w:hAnsi="方正楷体_GBK" w:eastAsia="方正楷体_GBK" w:cs="方正楷体_GBK"/>
          <w:sz w:val="32"/>
          <w:szCs w:val="32"/>
          <w:lang w:eastAsia="zh-CN"/>
        </w:rPr>
        <w:t>财政拨款收入</w:t>
      </w:r>
      <w:r>
        <w:rPr>
          <w:rFonts w:hint="eastAsia" w:ascii="方正楷体_GBK" w:hAnsi="方正楷体_GBK" w:eastAsia="方正楷体_GBK" w:cs="方正楷体_GBK"/>
          <w:sz w:val="32"/>
          <w:szCs w:val="32"/>
        </w:rPr>
        <w:t>支出决算表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bookmarkStart w:id="61" w:name="_Toc15396630"/>
      <w:r>
        <w:rPr>
          <w:rFonts w:hint="eastAsia" w:ascii="方正楷体_GBK" w:hAnsi="方正楷体_GBK" w:eastAsia="方正楷体_GBK" w:cs="方正楷体_GBK"/>
          <w:sz w:val="32"/>
          <w:szCs w:val="32"/>
        </w:rPr>
        <w:t>十二、</w:t>
      </w:r>
      <w:bookmarkEnd w:id="61"/>
      <w:r>
        <w:rPr>
          <w:rFonts w:hint="eastAsia" w:ascii="方正楷体_GBK" w:hAnsi="方正楷体_GBK" w:eastAsia="方正楷体_GBK" w:cs="方正楷体_GBK"/>
          <w:sz w:val="32"/>
          <w:szCs w:val="32"/>
          <w:lang w:eastAsia="zh-CN"/>
        </w:rPr>
        <w:t>国有资本经营预算财政拨款支出决算表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lang w:eastAsia="zh-CN"/>
        </w:rPr>
      </w:pPr>
      <w:bookmarkStart w:id="62" w:name="_Toc15396631"/>
      <w:r>
        <w:rPr>
          <w:rFonts w:hint="eastAsia" w:ascii="方正楷体_GBK" w:hAnsi="方正楷体_GBK" w:eastAsia="方正楷体_GBK" w:cs="方正楷体_GBK"/>
          <w:sz w:val="32"/>
          <w:szCs w:val="32"/>
        </w:rPr>
        <w:t>十三、</w:t>
      </w:r>
      <w:bookmarkEnd w:id="62"/>
      <w:r>
        <w:rPr>
          <w:rFonts w:hint="eastAsia" w:ascii="方正楷体_GBK" w:hAnsi="方正楷体_GBK" w:eastAsia="方正楷体_GBK" w:cs="方正楷体_GBK"/>
          <w:sz w:val="32"/>
          <w:szCs w:val="32"/>
          <w:lang w:eastAsia="zh-CN"/>
        </w:rPr>
        <w:t>财政拨款“三公”经费支出决算表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十</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部门预算项目支出绩效自评表（2024年度）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p>
    <w:sectPr>
      <w:footerReference r:id="rId10" w:type="first"/>
      <w:footerReference r:id="rId9"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IwUTnTICAABj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AoAAAAAAIdO4kAAAAAAAAAAAAAAAAAEAAAAAAAAAAAA&#10;EAAAABYAAABkcnMvUEsBAhQAFAAAAAgAh07iQGGthHIzAgAAYwQAAA4AAAAAAAAAAQAgAAAANQEA&#10;AGRycy9lMm9Eb2MueG1sUEsBAhQAFAAAAAgAh07iQLNJWO7QAAAABQEAAA8AAAAAAAAAAQAgAAAA&#10;OAAAAGRycy9kb3ducmV2LnhtbFBLBQYAAAAABgAGAFkBAADa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BE5872"/>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2F7C7D"/>
    <w:rsid w:val="135017E3"/>
    <w:rsid w:val="13D50BC4"/>
    <w:rsid w:val="14B17F78"/>
    <w:rsid w:val="165E0673"/>
    <w:rsid w:val="16B831D5"/>
    <w:rsid w:val="16BB723D"/>
    <w:rsid w:val="17E50567"/>
    <w:rsid w:val="186504BB"/>
    <w:rsid w:val="19A445FC"/>
    <w:rsid w:val="1B667795"/>
    <w:rsid w:val="1BE8440E"/>
    <w:rsid w:val="1D155CEE"/>
    <w:rsid w:val="1D1638FE"/>
    <w:rsid w:val="1E312DEB"/>
    <w:rsid w:val="1E740ACF"/>
    <w:rsid w:val="1FF35744"/>
    <w:rsid w:val="1FF6BC77"/>
    <w:rsid w:val="2096683C"/>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56462E"/>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BC360E"/>
    <w:rsid w:val="3DEE7CF3"/>
    <w:rsid w:val="3E740A63"/>
    <w:rsid w:val="3E78745D"/>
    <w:rsid w:val="3EE17838"/>
    <w:rsid w:val="3F55381A"/>
    <w:rsid w:val="3F7F7599"/>
    <w:rsid w:val="3FCEE62F"/>
    <w:rsid w:val="3FF4CAE0"/>
    <w:rsid w:val="3FF7B227"/>
    <w:rsid w:val="43630120"/>
    <w:rsid w:val="44E268DA"/>
    <w:rsid w:val="450D13D7"/>
    <w:rsid w:val="45506656"/>
    <w:rsid w:val="486A6C7A"/>
    <w:rsid w:val="4A627F82"/>
    <w:rsid w:val="4B0E749A"/>
    <w:rsid w:val="4B1C236C"/>
    <w:rsid w:val="4B2477C4"/>
    <w:rsid w:val="4B2518DA"/>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91C062A"/>
    <w:rsid w:val="5A8F2FA0"/>
    <w:rsid w:val="5AF92295"/>
    <w:rsid w:val="5B250254"/>
    <w:rsid w:val="5BDD79E6"/>
    <w:rsid w:val="5BF561CA"/>
    <w:rsid w:val="5BFF5DFC"/>
    <w:rsid w:val="5CD71FC4"/>
    <w:rsid w:val="5D1F11B5"/>
    <w:rsid w:val="5D695134"/>
    <w:rsid w:val="5D77788B"/>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AE95294"/>
    <w:rsid w:val="6B053271"/>
    <w:rsid w:val="6BDD78B3"/>
    <w:rsid w:val="6C4A05C8"/>
    <w:rsid w:val="6C8742B8"/>
    <w:rsid w:val="6CB86D67"/>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9F7D13"/>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1A79F2"/>
    <w:rsid w:val="7E8ADEBF"/>
    <w:rsid w:val="7EEF11D3"/>
    <w:rsid w:val="7EF5A759"/>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63F9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BodyText"/>
    <w:basedOn w:val="1"/>
    <w:next w:val="11"/>
    <w:qFormat/>
    <w:uiPriority w:val="99"/>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chartUserShapes" Target="../drawings/drawing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chartUserShapes" Target="../drawings/drawing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r>
              <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收入、支出决算总计变动情况图</a:t>
            </a:r>
            <a:endPar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endParaRPr>
          </a:p>
        </c:rich>
      </c:tx>
      <c:layout>
        <c:manualLayout>
          <c:xMode val="edge"/>
          <c:yMode val="edge"/>
          <c:x val="0.219010561423013"/>
          <c:y val="0.0261574074074074"/>
        </c:manualLayout>
      </c:layout>
      <c:overlay val="0"/>
      <c:spPr>
        <a:noFill/>
        <a:ln>
          <a:noFill/>
        </a:ln>
        <a:effectLst/>
      </c:spPr>
    </c:title>
    <c:autoTitleDeleted val="0"/>
    <c:plotArea>
      <c:layout/>
      <c:barChart>
        <c:barDir val="col"/>
        <c:grouping val="clustered"/>
        <c:varyColors val="0"/>
        <c:ser>
          <c:idx val="0"/>
          <c:order val="0"/>
          <c:tx>
            <c:strRef>
              <c:f>[工作簿1]Sheet1!$A$3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[工作簿1]Sheet1!$B$1:$C$2</c:f>
              <c:multiLvlStrCache>
                <c:ptCount val="2"/>
                <c:lvl>
                  <c:pt idx="0">
                    <c:v>收入</c:v>
                  </c:pt>
                  <c:pt idx="1">
                    <c:v>支出</c:v>
                  </c:pt>
                </c:lvl>
                <c:lvl/>
              </c:multiLvlStrCache>
            </c:multiLvlStrRef>
          </c:cat>
          <c:val>
            <c:numRef>
              <c:f>[工作簿1]Sheet1!$B$3:$C$3</c:f>
              <c:numCache>
                <c:formatCode>General</c:formatCode>
                <c:ptCount val="2"/>
                <c:pt idx="0">
                  <c:v>921.95</c:v>
                </c:pt>
                <c:pt idx="1">
                  <c:v>1131.33</c:v>
                </c:pt>
              </c:numCache>
            </c:numRef>
          </c:val>
        </c:ser>
        <c:ser>
          <c:idx val="1"/>
          <c:order val="1"/>
          <c:tx>
            <c:strRef>
              <c:f>[工作簿1]Sheet1!$A$4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[工作簿1]Sheet1!$B$1:$C$2</c:f>
              <c:multiLvlStrCache>
                <c:ptCount val="2"/>
                <c:lvl>
                  <c:pt idx="0">
                    <c:v>收入</c:v>
                  </c:pt>
                  <c:pt idx="1">
                    <c:v>支出</c:v>
                  </c:pt>
                </c:lvl>
                <c:lvl/>
              </c:multiLvlStrCache>
            </c:multiLvlStrRef>
          </c:cat>
          <c:val>
            <c:numRef>
              <c:f>[工作簿1]Sheet1!$B$4:$C$4</c:f>
              <c:numCache>
                <c:formatCode>General</c:formatCode>
                <c:ptCount val="2"/>
                <c:pt idx="0">
                  <c:v>1167</c:v>
                </c:pt>
                <c:pt idx="1">
                  <c:v>1311.73</c:v>
                </c:pt>
              </c:numCache>
            </c:numRef>
          </c:val>
        </c:ser>
        <c:dLbls>
          <c:showLegendKey val="0"/>
          <c:showVal val="1"/>
          <c:showCatName val="0"/>
          <c:showSerName val="0"/>
          <c:showPercent val="0"/>
          <c:showBubbleSize val="0"/>
        </c:dLbls>
        <c:gapWidth val="219"/>
        <c:overlap val="-27"/>
        <c:axId val="342083214"/>
        <c:axId val="799587714"/>
      </c:barChart>
      <c:catAx>
        <c:axId val="3420832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799587714"/>
        <c:crosses val="autoZero"/>
        <c:auto val="1"/>
        <c:lblAlgn val="ctr"/>
        <c:lblOffset val="100"/>
        <c:noMultiLvlLbl val="0"/>
      </c:catAx>
      <c:valAx>
        <c:axId val="7995877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34208321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387677132536816"/>
          <c:y val="0.892824074074074"/>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r>
              <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收入决算结构图</a:t>
            </a:r>
            <a:endPar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endParaRPr>
          </a:p>
        </c:rich>
      </c:tx>
      <c:layout>
        <c:manualLayout>
          <c:xMode val="edge"/>
          <c:yMode val="edge"/>
          <c:x val="0.351069741594887"/>
          <c:y val="0.0243055555555556"/>
        </c:manualLayout>
      </c:layout>
      <c:overlay val="0"/>
      <c:spPr>
        <a:noFill/>
        <a:ln>
          <a:noFill/>
        </a:ln>
        <a:effectLst/>
      </c:spPr>
    </c:title>
    <c:autoTitleDeleted val="0"/>
    <c:plotArea>
      <c:layout/>
      <c:ofPieChart>
        <c:ofPieType val="bar"/>
        <c:varyColors val="1"/>
        <c:ser>
          <c:idx val="0"/>
          <c:order val="0"/>
          <c:tx>
            <c:strRef>
              <c:f>[工作簿1]Sheet1!$G$2</c:f>
              <c:strCache>
                <c:ptCount val="1"/>
                <c:pt idx="0">
                  <c:v>金额</c:v>
                </c:pt>
              </c:strCache>
            </c:strRef>
          </c:tx>
          <c:spPr/>
          <c:explosion val="0"/>
          <c:dPt>
            <c:idx val="0"/>
            <c:bubble3D val="0"/>
            <c:spPr>
              <a:solidFill>
                <a:schemeClr val="accent3">
                  <a:shade val="76667"/>
                </a:schemeClr>
              </a:solidFill>
              <a:ln w="19050">
                <a:solidFill>
                  <a:schemeClr val="lt1"/>
                </a:solidFill>
              </a:ln>
              <a:effectLst/>
            </c:spPr>
          </c:dPt>
          <c:dPt>
            <c:idx val="1"/>
            <c:bubble3D val="0"/>
            <c:spPr>
              <a:solidFill>
                <a:schemeClr val="accent3">
                  <a:tint val="76667"/>
                </a:schemeClr>
              </a:solidFill>
              <a:ln w="19050">
                <a:solidFill>
                  <a:schemeClr val="lt1"/>
                </a:solidFill>
              </a:ln>
              <a:effectLst/>
            </c:spPr>
          </c:dPt>
          <c:dPt>
            <c:idx val="2"/>
            <c:bubble3D val="0"/>
            <c:spPr>
              <a:solidFill>
                <a:schemeClr val="accent3">
                  <a:tint val="30000"/>
                </a:schemeClr>
              </a:solidFill>
              <a:ln w="19050">
                <a:solidFill>
                  <a:schemeClr val="lt1"/>
                </a:solidFill>
              </a:ln>
              <a:effectLst/>
            </c:spPr>
          </c:dPt>
          <c:dLbls>
            <c:delete val="1"/>
          </c:dLbls>
          <c:cat>
            <c:strRef>
              <c:f>[工作簿1]Sheet1!$F$3:$F$4</c:f>
              <c:strCache>
                <c:ptCount val="2"/>
                <c:pt idx="0">
                  <c:v>2024年一般公共预算财政拨款收入</c:v>
                </c:pt>
                <c:pt idx="1">
                  <c:v>2024年政府性基金预算财政拨款收入</c:v>
                </c:pt>
              </c:strCache>
            </c:strRef>
          </c:cat>
          <c:val>
            <c:numRef>
              <c:f>[工作簿1]Sheet1!$G$3:$G$4</c:f>
              <c:numCache>
                <c:formatCode>General</c:formatCode>
                <c:ptCount val="2"/>
                <c:pt idx="0">
                  <c:v>999.62</c:v>
                </c:pt>
                <c:pt idx="1">
                  <c:v>167.38</c:v>
                </c:pt>
              </c:numCache>
            </c:numRef>
          </c:val>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r>
              <a:rPr lang="en-US" altLang="zh-CN"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2024</a:t>
            </a:r>
            <a:r>
              <a:rPr altLang="en-US"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年</a:t>
            </a:r>
            <a:r>
              <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支出决算结构图</a:t>
            </a:r>
            <a:endPar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[工作簿1]Sheet1!$G$2</c:f>
              <c:strCache>
                <c:ptCount val="1"/>
                <c:pt idx="0">
                  <c:v>金额</c:v>
                </c:pt>
              </c:strCache>
            </c:strRef>
          </c:tx>
          <c:spPr>
            <a:scene3d>
              <a:camera prst="orthographicFront"/>
              <a:lightRig rig="threePt" dir="t"/>
            </a:scene3d>
            <a:sp3d contourW="25400"/>
          </c:spPr>
          <c:explosion val="0"/>
          <c:dPt>
            <c:idx val="0"/>
            <c:bubble3D val="0"/>
            <c:spPr>
              <a:solidFill>
                <a:schemeClr val="accent3">
                  <a:shade val="76667"/>
                </a:schemeClr>
              </a:solidFill>
              <a:ln w="25400">
                <a:solidFill>
                  <a:schemeClr val="lt1"/>
                </a:solidFill>
              </a:ln>
              <a:effectLst/>
              <a:scene3d>
                <a:camera prst="orthographicFront"/>
                <a:lightRig rig="threePt" dir="t"/>
              </a:scene3d>
              <a:sp3d contourW="25400"/>
            </c:spPr>
          </c:dPt>
          <c:dPt>
            <c:idx val="1"/>
            <c:bubble3D val="0"/>
            <c:spPr>
              <a:solidFill>
                <a:schemeClr val="accent3">
                  <a:tint val="76667"/>
                </a:schemeClr>
              </a:solidFill>
              <a:ln w="25400">
                <a:solidFill>
                  <a:schemeClr val="lt1"/>
                </a:solidFill>
              </a:ln>
              <a:effectLst/>
              <a:scene3d>
                <a:camera prst="orthographicFront"/>
                <a:lightRig rig="threePt" dir="t"/>
              </a:scene3d>
              <a:sp3d contourW="25400"/>
            </c:spPr>
          </c:dPt>
          <c:dLbls>
            <c:delete val="1"/>
          </c:dLbls>
          <c:cat>
            <c:strRef>
              <c:f>[工作簿1]Sheet1!$F$3:$F$4</c:f>
              <c:strCache>
                <c:ptCount val="2"/>
                <c:pt idx="0">
                  <c:v>基本支出</c:v>
                </c:pt>
                <c:pt idx="1">
                  <c:v>项目支出</c:v>
                </c:pt>
              </c:strCache>
            </c:strRef>
          </c:cat>
          <c:val>
            <c:numRef>
              <c:f>[工作簿1]Sheet1!$G$3:$G$4</c:f>
              <c:numCache>
                <c:formatCode>General</c:formatCode>
                <c:ptCount val="2"/>
                <c:pt idx="0">
                  <c:v>992.12</c:v>
                </c:pt>
                <c:pt idx="1">
                  <c:v>319.61</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r>
              <a:rPr sz="1600">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财政拨款收、支决算总计变动情况</a:t>
            </a:r>
            <a:endParaRPr sz="1600">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endParaRPr>
          </a:p>
        </c:rich>
      </c:tx>
      <c:layout/>
      <c:overlay val="0"/>
      <c:spPr>
        <a:noFill/>
        <a:ln>
          <a:noFill/>
        </a:ln>
        <a:effectLst/>
      </c:spPr>
    </c:title>
    <c:autoTitleDeleted val="0"/>
    <c:plotArea>
      <c:layout/>
      <c:barChart>
        <c:barDir val="col"/>
        <c:grouping val="clustered"/>
        <c:varyColors val="0"/>
        <c:ser>
          <c:idx val="0"/>
          <c:order val="0"/>
          <c:tx>
            <c:strRef>
              <c:f>[工作簿1]Sheet1!$A$3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收入</c:v>
                </c:pt>
                <c:pt idx="1">
                  <c:v>支出</c:v>
                </c:pt>
              </c:strCache>
            </c:strRef>
          </c:cat>
          <c:val>
            <c:numRef>
              <c:f>[工作簿1]Sheet1!$B$3:$C$3</c:f>
              <c:numCache>
                <c:formatCode>General</c:formatCode>
                <c:ptCount val="2"/>
                <c:pt idx="0">
                  <c:v>921.95</c:v>
                </c:pt>
                <c:pt idx="1">
                  <c:v>1131.33</c:v>
                </c:pt>
              </c:numCache>
            </c:numRef>
          </c:val>
        </c:ser>
        <c:ser>
          <c:idx val="1"/>
          <c:order val="1"/>
          <c:tx>
            <c:strRef>
              <c:f>[工作簿1]Sheet1!$A$4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[工作簿1]Sheet1!$B$2:$C$2</c:f>
              <c:strCache>
                <c:ptCount val="2"/>
                <c:pt idx="0">
                  <c:v>收入</c:v>
                </c:pt>
                <c:pt idx="1">
                  <c:v>支出</c:v>
                </c:pt>
              </c:strCache>
            </c:strRef>
          </c:cat>
          <c:val>
            <c:numRef>
              <c:f>[工作簿1]Sheet1!$B$4:$C$4</c:f>
              <c:numCache>
                <c:formatCode>General</c:formatCode>
                <c:ptCount val="2"/>
                <c:pt idx="0">
                  <c:v>1167</c:v>
                </c:pt>
                <c:pt idx="1">
                  <c:v>1311.73</c:v>
                </c:pt>
              </c:numCache>
            </c:numRef>
          </c:val>
        </c:ser>
        <c:dLbls>
          <c:showLegendKey val="0"/>
          <c:showVal val="1"/>
          <c:showCatName val="0"/>
          <c:showSerName val="0"/>
          <c:showPercent val="0"/>
          <c:showBubbleSize val="0"/>
        </c:dLbls>
        <c:gapWidth val="150"/>
        <c:overlap val="0"/>
        <c:axId val="836921104"/>
        <c:axId val="955026854"/>
      </c:barChart>
      <c:catAx>
        <c:axId val="8369211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955026854"/>
        <c:crosses val="autoZero"/>
        <c:auto val="1"/>
        <c:lblAlgn val="ctr"/>
        <c:lblOffset val="100"/>
        <c:noMultiLvlLbl val="0"/>
      </c:catAx>
      <c:valAx>
        <c:axId val="9550268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8369211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spc="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r>
              <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一般公共预算财政拨款支出决算</a:t>
            </a:r>
            <a:endPar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endParaRPr>
          </a:p>
          <a:p>
            <a:pPr defTabSz="914400">
              <a:defRPr lang="zh-CN" sz="1600" b="1" i="0" u="none" strike="noStrike" kern="1200" spc="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r>
              <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变动情况</a:t>
            </a:r>
            <a:endParaRPr sz="1600"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endParaRPr>
          </a:p>
        </c:rich>
      </c:tx>
      <c:layout>
        <c:manualLayout>
          <c:xMode val="edge"/>
          <c:yMode val="edge"/>
          <c:x val="0.179166666666667"/>
          <c:y val="0.025"/>
        </c:manualLayout>
      </c:layout>
      <c:overlay val="0"/>
      <c:spPr>
        <a:noFill/>
        <a:ln>
          <a:noFill/>
        </a:ln>
        <a:effectLst/>
      </c:spPr>
    </c:title>
    <c:autoTitleDeleted val="0"/>
    <c:plotArea>
      <c:layout>
        <c:manualLayout>
          <c:layoutTarget val="inner"/>
          <c:xMode val="edge"/>
          <c:yMode val="edge"/>
          <c:x val="0.121944444444444"/>
          <c:y val="0.321990740740741"/>
          <c:w val="0.873888888888889"/>
          <c:h val="0.600231481481482"/>
        </c:manualLayout>
      </c:layout>
      <c:barChart>
        <c:barDir val="col"/>
        <c:grouping val="clustered"/>
        <c:varyColors val="0"/>
        <c:ser>
          <c:idx val="0"/>
          <c:order val="0"/>
          <c:tx>
            <c:strRef>
              <c:f>[工作簿1]Sheet1!$G$2</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[工作簿1]Sheet1!$F$3:$F$4</c:f>
              <c:strCache>
                <c:ptCount val="2"/>
                <c:pt idx="0">
                  <c:v>2023年一般公共预算财政拨款支出</c:v>
                </c:pt>
                <c:pt idx="1">
                  <c:v>2024年一般公共预算财政拨款支出</c:v>
                </c:pt>
              </c:strCache>
            </c:strRef>
          </c:cat>
          <c:val>
            <c:numRef>
              <c:f>[工作簿1]Sheet1!$G$3:$G$4</c:f>
              <c:numCache>
                <c:formatCode>General</c:formatCode>
                <c:ptCount val="2"/>
                <c:pt idx="0">
                  <c:v>991.9</c:v>
                </c:pt>
                <c:pt idx="1">
                  <c:v>1144.35</c:v>
                </c:pt>
              </c:numCache>
            </c:numRef>
          </c:val>
        </c:ser>
        <c:dLbls>
          <c:showLegendKey val="0"/>
          <c:showVal val="1"/>
          <c:showCatName val="0"/>
          <c:showSerName val="0"/>
          <c:showPercent val="0"/>
          <c:showBubbleSize val="0"/>
        </c:dLbls>
        <c:gapWidth val="75"/>
        <c:overlap val="-25"/>
        <c:axId val="898809705"/>
        <c:axId val="872208136"/>
      </c:barChart>
      <c:catAx>
        <c:axId val="8988097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872208136"/>
        <c:crosses val="autoZero"/>
        <c:auto val="1"/>
        <c:lblAlgn val="ctr"/>
        <c:lblOffset val="100"/>
        <c:noMultiLvlLbl val="0"/>
      </c:catAx>
      <c:valAx>
        <c:axId val="872208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8988097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r>
              <a:rPr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一般公共预算财政拨款支出决算结构</a:t>
            </a:r>
            <a:endParaRPr b="1">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15"/>
          <c:y val="0.153009259259259"/>
          <c:w val="0.954444444444444"/>
          <c:h val="0.796064814814815"/>
        </c:manualLayout>
      </c:layout>
      <c:pie3DChart>
        <c:varyColors val="1"/>
        <c:ser>
          <c:idx val="0"/>
          <c:order val="0"/>
          <c:spPr>
            <a:scene3d>
              <a:camera prst="orthographicFront"/>
              <a:lightRig rig="threePt" dir="t"/>
            </a:scene3d>
            <a:sp3d contourW="25400"/>
          </c:spPr>
          <c:explosion val="0"/>
          <c:dPt>
            <c:idx val="0"/>
            <c:bubble3D val="0"/>
            <c:explosion val="0"/>
            <c:spPr>
              <a:solidFill>
                <a:schemeClr val="accent3">
                  <a:shade val="58000"/>
                </a:schemeClr>
              </a:solidFill>
              <a:ln w="25400">
                <a:solidFill>
                  <a:schemeClr val="lt1"/>
                </a:solidFill>
              </a:ln>
              <a:effectLst/>
            </c:spPr>
          </c:dPt>
          <c:dPt>
            <c:idx val="1"/>
            <c:bubble3D val="0"/>
            <c:explosion val="21"/>
            <c:spPr>
              <a:solidFill>
                <a:schemeClr val="accent3">
                  <a:shade val="86000"/>
                </a:schemeClr>
              </a:solidFill>
              <a:ln w="25400">
                <a:solidFill>
                  <a:schemeClr val="lt1"/>
                </a:solidFill>
              </a:ln>
              <a:effectLst/>
            </c:spPr>
          </c:dPt>
          <c:dPt>
            <c:idx val="2"/>
            <c:bubble3D val="0"/>
            <c:explosion val="29"/>
            <c:spPr>
              <a:solidFill>
                <a:schemeClr val="accent3">
                  <a:tint val="86000"/>
                </a:schemeClr>
              </a:solidFill>
              <a:ln w="25400">
                <a:solidFill>
                  <a:schemeClr val="lt1"/>
                </a:solidFill>
              </a:ln>
              <a:effectLst/>
            </c:spPr>
          </c:dPt>
          <c:dPt>
            <c:idx val="3"/>
            <c:bubble3D val="0"/>
            <c:explosion val="24"/>
            <c:spPr>
              <a:solidFill>
                <a:schemeClr val="accent3">
                  <a:tint val="58000"/>
                </a:schemeClr>
              </a:solidFill>
              <a:ln w="25400">
                <a:solidFill>
                  <a:schemeClr val="lt1"/>
                </a:solidFill>
              </a:ln>
              <a:effectLst/>
            </c:spPr>
          </c:dPt>
          <c:dLbls>
            <c:dLbl>
              <c:idx val="0"/>
              <c:layout>
                <c:manualLayout>
                  <c:x val="-0.0985186349270545"/>
                  <c:y val="-0.18365608293711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[工作簿1]Sheet1!$A$26:$A$29</c:f>
              <c:strCache>
                <c:ptCount val="4"/>
                <c:pt idx="0">
                  <c:v>2024年一般公共服务支出</c:v>
                </c:pt>
                <c:pt idx="1">
                  <c:v>2024年社会保障和就业支出</c:v>
                </c:pt>
                <c:pt idx="2">
                  <c:v>2024年卫生健康支出</c:v>
                </c:pt>
                <c:pt idx="3">
                  <c:v>2024年住房保障支出</c:v>
                </c:pt>
              </c:strCache>
            </c:strRef>
          </c:cat>
          <c:val>
            <c:numRef>
              <c:f>[工作簿1]Sheet1!$B$26:$B$29</c:f>
              <c:numCache>
                <c:formatCode>General</c:formatCode>
                <c:ptCount val="4"/>
                <c:pt idx="0">
                  <c:v>878.7</c:v>
                </c:pt>
                <c:pt idx="1">
                  <c:v>117.22</c:v>
                </c:pt>
                <c:pt idx="2">
                  <c:v>78.8</c:v>
                </c:pt>
                <c:pt idx="3">
                  <c:v>69.63</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defTabSz="914400">
              <a:defRPr lang="zh-CN" sz="1600" b="0" i="0" u="none" strike="noStrike" kern="1200" spc="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r>
              <a:rPr sz="1600">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rPr>
              <a:t>“三公”经费财政拨款支出结构</a:t>
            </a:r>
            <a:endParaRPr sz="1600">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3">
                  <a:shade val="65000"/>
                </a:schemeClr>
              </a:solidFill>
              <a:ln w="25400">
                <a:solidFill>
                  <a:schemeClr val="lt1"/>
                </a:solidFill>
              </a:ln>
              <a:effectLst/>
              <a:scene3d>
                <a:camera prst="orthographicFront"/>
                <a:lightRig rig="threePt" dir="t"/>
              </a:scene3d>
              <a:sp3d contourW="25400"/>
            </c:spPr>
          </c:dPt>
          <c:dPt>
            <c:idx val="1"/>
            <c:bubble3D val="0"/>
            <c:spPr>
              <a:solidFill>
                <a:schemeClr val="accent3"/>
              </a:solidFill>
              <a:ln w="25400">
                <a:solidFill>
                  <a:schemeClr val="lt1"/>
                </a:solidFill>
              </a:ln>
              <a:effectLst/>
              <a:scene3d>
                <a:camera prst="orthographicFront"/>
                <a:lightRig rig="threePt" dir="t"/>
              </a:scene3d>
              <a:sp3d contourW="25400"/>
            </c:spPr>
          </c:dPt>
          <c:dPt>
            <c:idx val="2"/>
            <c:bubble3D val="0"/>
            <c:spPr>
              <a:solidFill>
                <a:schemeClr val="accent3">
                  <a:tint val="65000"/>
                </a:schemeClr>
              </a:solidFill>
              <a:ln w="25400">
                <a:solidFill>
                  <a:schemeClr val="lt1"/>
                </a:solidFill>
              </a:ln>
              <a:effectLst/>
              <a:scene3d>
                <a:camera prst="orthographicFront"/>
                <a:lightRig rig="threePt" dir="t"/>
              </a:scene3d>
              <a:sp3d contourW="25400"/>
            </c:spPr>
          </c:dPt>
          <c:dLbls>
            <c:delete val="1"/>
          </c:dLbls>
          <c:cat>
            <c:strRef>
              <c:f>[工作簿1]Sheet1!$A$2:$C$2</c:f>
              <c:strCache>
                <c:ptCount val="3"/>
                <c:pt idx="0">
                  <c:v>因公出国（境）费支出</c:v>
                </c:pt>
                <c:pt idx="1">
                  <c:v>公务用车购置及运行维护费支出</c:v>
                </c:pt>
                <c:pt idx="2">
                  <c:v>公务接待费支出</c:v>
                </c:pt>
              </c:strCache>
            </c:strRef>
          </c:cat>
          <c:val>
            <c:numRef>
              <c:f>[工作簿1]Sheet1!$A$3:$C$3</c:f>
              <c:numCache>
                <c:formatCode>General</c:formatCode>
                <c:ptCount val="3"/>
                <c:pt idx="0">
                  <c:v>0</c:v>
                </c:pt>
                <c:pt idx="1">
                  <c:v>8.82</c:v>
                </c:pt>
                <c:pt idx="2">
                  <c:v>0</c:v>
                </c:pt>
              </c:numCache>
            </c:numRef>
          </c:val>
        </c:ser>
        <c:dLbls>
          <c:showLegendKey val="0"/>
          <c:showVal val="0"/>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p>
        </c:txPr>
      </c:legendEntry>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方正仿宋_GBK" panose="02000000000000000000" pitchFamily="4" charset="-122"/>
              <a:ea typeface="方正仿宋_GBK" panose="02000000000000000000" pitchFamily="4" charset="-122"/>
              <a:cs typeface="方正仿宋_GBK" panose="02000000000000000000" pitchFamily="4" charset="-122"/>
              <a:sym typeface="方正仿宋_GBK" panose="02000000000000000000" pitchFamily="4"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0.462489580439011</cdr:x>
      <cdr:y>0.474768518518519</cdr:y>
    </cdr:from>
    <cdr:to>
      <cdr:x>0.612531258682968</cdr:x>
      <cdr:y>0.551157407407407</cdr:y>
    </cdr:to>
    <cdr:sp>
      <cdr:nvSpPr>
        <cdr:cNvPr id="2" name="矩形 1"/>
        <cdr:cNvSpPr/>
      </cdr:nvSpPr>
      <cdr:spPr xmlns:a="http://schemas.openxmlformats.org/drawingml/2006/main">
        <a:xfrm xmlns:a="http://schemas.openxmlformats.org/drawingml/2006/main">
          <a:off x="2113915" y="1302385"/>
          <a:ext cx="6858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1000"/>
            <a:t>75.63%</a:t>
          </a:r>
          <a:endParaRPr lang="en-US" altLang="zh-CN" sz="1000"/>
        </a:p>
      </cdr:txBody>
    </cdr:sp>
  </cdr:relSizeAnchor>
  <cdr:relSizeAnchor xmlns:cdr="http://schemas.openxmlformats.org/drawingml/2006/chartDrawing">
    <cdr:from>
      <cdr:x>0.38135593220339</cdr:x>
      <cdr:y>0.346064814814815</cdr:y>
    </cdr:from>
    <cdr:to>
      <cdr:x>0.531258682967491</cdr:x>
      <cdr:y>0.422453703703704</cdr:y>
    </cdr:to>
    <cdr:sp>
      <cdr:nvSpPr>
        <cdr:cNvPr id="3" name="矩形 2"/>
        <cdr:cNvSpPr/>
      </cdr:nvSpPr>
      <cdr:spPr xmlns:a="http://schemas.openxmlformats.org/drawingml/2006/main">
        <a:xfrm xmlns:a="http://schemas.openxmlformats.org/drawingml/2006/main">
          <a:off x="1743075" y="949325"/>
          <a:ext cx="685165"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1000"/>
            <a:t>24.37%</a:t>
          </a:r>
          <a:endParaRPr lang="en-US" altLang="zh-CN" sz="1000"/>
        </a:p>
      </cdr:txBody>
    </cdr:sp>
  </cdr:relSizeAnchor>
</c:userShapes>
</file>

<file path=word/drawings/drawing2.xml><?xml version="1.0" encoding="utf-8"?>
<c:userShapes xmlns:c="http://schemas.openxmlformats.org/drawingml/2006/chart">
  <cdr:relSizeAnchor xmlns:cdr="http://schemas.openxmlformats.org/drawingml/2006/chartDrawing">
    <cdr:from>
      <cdr:x>0.277160322311753</cdr:x>
      <cdr:y>0.424428104575164</cdr:y>
    </cdr:from>
    <cdr:to>
      <cdr:x>0.419838844123368</cdr:x>
      <cdr:y>0.533687363834423</cdr:y>
    </cdr:to>
    <cdr:sp>
      <cdr:nvSpPr>
        <cdr:cNvPr id="2" name="矩形 1"/>
        <cdr:cNvSpPr/>
      </cdr:nvSpPr>
      <cdr:spPr xmlns:a="http://schemas.openxmlformats.org/drawingml/2006/main">
        <a:xfrm xmlns:a="http://schemas.openxmlformats.org/drawingml/2006/main">
          <a:off x="1266825" y="1099608"/>
          <a:ext cx="652145" cy="28306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1000"/>
            <a:t>85.66%</a:t>
          </a:r>
          <a:endParaRPr lang="en-US" altLang="zh-CN" sz="1000"/>
        </a:p>
      </cdr:txBody>
    </cdr:sp>
  </cdr:relSizeAnchor>
  <cdr:relSizeAnchor xmlns:cdr="http://schemas.openxmlformats.org/drawingml/2006/chartDrawing">
    <cdr:from>
      <cdr:x>0.646985273687135</cdr:x>
      <cdr:y>0.44452614379085</cdr:y>
    </cdr:from>
    <cdr:to>
      <cdr:x>0.76674076132259</cdr:x>
      <cdr:y>0.559109477124183</cdr:y>
    </cdr:to>
    <cdr:sp>
      <cdr:nvSpPr>
        <cdr:cNvPr id="3" name="矩形 2"/>
        <cdr:cNvSpPr/>
      </cdr:nvSpPr>
      <cdr:spPr xmlns:a="http://schemas.openxmlformats.org/drawingml/2006/main">
        <a:xfrm xmlns:a="http://schemas.openxmlformats.org/drawingml/2006/main">
          <a:off x="2957195" y="1151678"/>
          <a:ext cx="547370" cy="296862"/>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sz="1000"/>
            <a:t>14.34</a:t>
          </a:r>
          <a:endParaRPr lang="en-US" altLang="zh-CN"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3</TotalTime>
  <ScaleCrop>false</ScaleCrop>
  <LinksUpToDate>false</LinksUpToDate>
  <CharactersWithSpaces>8692</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2025-10-31T11:34:00Z</cp:lastPrinted>
  <dcterms:modified xsi:type="dcterms:W3CDTF">2025-11-03T15:28:06Z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1B88B753FCA3F03D86590869BE58E961</vt:lpwstr>
  </property>
</Properties>
</file>