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78441"/>
      <w:bookmarkStart w:id="2" w:name="_Toc15377193"/>
      <w:bookmarkStart w:id="3" w:name="_Toc15396475"/>
      <w:bookmarkStart w:id="4" w:name="_Toc15396597"/>
      <w:bookmarkStart w:id="5" w:name="_Toc15306267"/>
    </w:p>
    <w:p>
      <w:pPr>
        <w:pStyle w:val="8"/>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194"/>
      <w:bookmarkStart w:id="8" w:name="_Toc15396598"/>
      <w:bookmarkStart w:id="9" w:name="_Toc15396476"/>
      <w:bookmarkStart w:id="10" w:name="_Toc1537742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val="en-US" w:eastAsia="zh-CN"/>
        </w:rPr>
        <w:t>攀枝花市西区发展和改革局</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pPr>
      <w:r>
        <w:rPr>
          <w:rFonts w:hint="eastAsia"/>
        </w:rPr>
        <w:t>公开时间：202</w:t>
      </w:r>
      <w:r>
        <w:rPr>
          <w:rFonts w:hint="eastAsia"/>
          <w:lang w:val="en-US" w:eastAsia="zh-CN"/>
        </w:rPr>
        <w:t>5</w:t>
      </w:r>
      <w:r>
        <w:rPr>
          <w:rFonts w:hint="eastAsia"/>
        </w:rPr>
        <w:t>年</w:t>
      </w:r>
      <w:r>
        <w:rPr>
          <w:rFonts w:hint="eastAsia"/>
          <w:lang w:val="en-US" w:eastAsia="zh-CN"/>
        </w:rPr>
        <w:t>11</w:t>
      </w:r>
      <w:r>
        <w:rPr>
          <w:rFonts w:hint="eastAsia"/>
        </w:rPr>
        <w:t xml:space="preserve">月 </w:t>
      </w:r>
      <w:r>
        <w:rPr>
          <w:rFonts w:hint="eastAsia"/>
          <w:lang w:val="en-US" w:eastAsia="zh-CN"/>
        </w:rPr>
        <w:t>2</w:t>
      </w:r>
      <w:r>
        <w:rPr>
          <w:rFonts w:hint="eastAsia"/>
        </w:rPr>
        <w:t xml:space="preserve"> 日</w:t>
      </w:r>
    </w:p>
    <w:p/>
    <w:p>
      <w:pPr>
        <w:pStyle w:val="14"/>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r>
        <w:rPr>
          <w:rFonts w:cstheme="minorBidi"/>
          <w:sz w:val="24"/>
          <w:szCs w:val="24"/>
        </w:rPr>
        <w:tab/>
      </w:r>
      <w:r>
        <w:rPr>
          <w:rFonts w:hint="eastAsia" w:cstheme="minorBidi"/>
          <w:sz w:val="24"/>
          <w:szCs w:val="24"/>
          <w:lang w:val="en-US" w:eastAsia="zh-CN"/>
        </w:rPr>
        <w:t>4</w:t>
      </w:r>
    </w:p>
    <w:p>
      <w:pPr>
        <w:pStyle w:val="15"/>
        <w:adjustRightInd w:val="0"/>
        <w:snapToGrid w:val="0"/>
        <w:spacing w:line="440" w:lineRule="exact"/>
        <w:jc w:val="left"/>
        <w:rPr>
          <w:rFonts w:ascii="仿宋" w:hAnsi="仿宋" w:eastAsia="仿宋"/>
          <w:sz w:val="24"/>
        </w:rPr>
      </w:pPr>
      <w:r>
        <w:rPr>
          <w:rFonts w:hint="eastAsia"/>
          <w:sz w:val="24"/>
        </w:rPr>
        <w:t>一、部门职责</w:t>
      </w:r>
      <w:r>
        <w:rPr>
          <w:rFonts w:cstheme="minorBidi"/>
          <w:sz w:val="24"/>
          <w:szCs w:val="24"/>
        </w:rPr>
        <w:tab/>
      </w:r>
      <w:r>
        <w:rPr>
          <w:rFonts w:hint="eastAsia" w:cstheme="minorBidi"/>
          <w:sz w:val="24"/>
          <w:szCs w:val="24"/>
          <w:lang w:val="en-US" w:eastAsia="zh-CN"/>
        </w:rPr>
        <w:t>4</w:t>
      </w:r>
    </w:p>
    <w:p>
      <w:pPr>
        <w:pStyle w:val="15"/>
        <w:adjustRightInd w:val="0"/>
        <w:snapToGrid w:val="0"/>
        <w:spacing w:line="440" w:lineRule="exact"/>
        <w:jc w:val="left"/>
        <w:rPr>
          <w:rFonts w:ascii="仿宋" w:hAnsi="仿宋" w:eastAsia="仿宋" w:cstheme="minorBidi"/>
          <w:sz w:val="24"/>
        </w:rPr>
      </w:pPr>
      <w:r>
        <w:rPr>
          <w:rFonts w:hint="eastAsia"/>
          <w:sz w:val="24"/>
        </w:rPr>
        <w:t>二、机构设置</w:t>
      </w:r>
      <w:r>
        <w:rPr>
          <w:rFonts w:cstheme="minorBidi"/>
          <w:sz w:val="24"/>
        </w:rPr>
        <w:tab/>
      </w:r>
      <w:r>
        <w:rPr>
          <w:rFonts w:hint="eastAsia" w:cstheme="minorBidi"/>
          <w:sz w:val="24"/>
          <w:lang w:val="en-US" w:eastAsia="zh-CN"/>
        </w:rPr>
        <w:t>7</w:t>
      </w:r>
    </w:p>
    <w:p>
      <w:pPr>
        <w:pStyle w:val="14"/>
        <w:adjustRightInd w:val="0"/>
        <w:snapToGrid w:val="0"/>
        <w:spacing w:before="0" w:line="440" w:lineRule="exact"/>
        <w:jc w:val="left"/>
        <w:rPr>
          <w:sz w:val="24"/>
          <w:szCs w:val="24"/>
        </w:rPr>
      </w:pPr>
      <w:r>
        <w:rPr>
          <w:rFonts w:hint="eastAsia"/>
          <w:sz w:val="24"/>
        </w:rPr>
        <w:t>第二部分 2023年度部门决算情况说明</w:t>
      </w:r>
      <w:r>
        <w:rPr>
          <w:rFonts w:cstheme="minorBidi"/>
          <w:sz w:val="24"/>
        </w:rPr>
        <w:tab/>
      </w:r>
      <w:r>
        <w:rPr>
          <w:rFonts w:hint="eastAsia" w:cstheme="minorBidi"/>
          <w:sz w:val="24"/>
          <w:lang w:val="en-US" w:eastAsia="zh-CN"/>
        </w:rPr>
        <w:t>7</w:t>
      </w:r>
    </w:p>
    <w:p>
      <w:pPr>
        <w:pStyle w:val="15"/>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cstheme="minorBidi"/>
          <w:sz w:val="24"/>
        </w:rPr>
        <w:tab/>
      </w:r>
      <w:r>
        <w:rPr>
          <w:rFonts w:hint="eastAsia" w:cstheme="minorBidi"/>
          <w:sz w:val="24"/>
          <w:lang w:val="en-US" w:eastAsia="zh-CN"/>
        </w:rPr>
        <w:t>7</w:t>
      </w:r>
    </w:p>
    <w:p>
      <w:pPr>
        <w:pStyle w:val="15"/>
        <w:adjustRightInd w:val="0"/>
        <w:snapToGrid w:val="0"/>
        <w:spacing w:line="440" w:lineRule="exact"/>
        <w:jc w:val="left"/>
        <w:rPr>
          <w:rFonts w:ascii="仿宋" w:hAnsi="仿宋" w:eastAsia="仿宋" w:cstheme="minorBidi"/>
          <w:sz w:val="24"/>
        </w:rPr>
      </w:pPr>
      <w:r>
        <w:rPr>
          <w:rFonts w:hint="eastAsia"/>
          <w:sz w:val="24"/>
        </w:rPr>
        <w:t>二、收入决算情况说明</w:t>
      </w:r>
      <w:r>
        <w:rPr>
          <w:rFonts w:cstheme="minorBidi"/>
          <w:sz w:val="24"/>
        </w:rPr>
        <w:tab/>
      </w:r>
      <w:r>
        <w:rPr>
          <w:rFonts w:hint="eastAsia" w:cstheme="minorBidi"/>
          <w:sz w:val="24"/>
          <w:lang w:val="en-US" w:eastAsia="zh-CN"/>
        </w:rPr>
        <w:t>8</w:t>
      </w:r>
    </w:p>
    <w:p>
      <w:pPr>
        <w:pStyle w:val="15"/>
        <w:adjustRightInd w:val="0"/>
        <w:snapToGrid w:val="0"/>
        <w:spacing w:line="440" w:lineRule="exact"/>
        <w:jc w:val="left"/>
        <w:rPr>
          <w:rFonts w:ascii="仿宋" w:hAnsi="仿宋" w:eastAsia="仿宋" w:cstheme="minorBidi"/>
          <w:sz w:val="24"/>
        </w:rPr>
      </w:pPr>
      <w:r>
        <w:rPr>
          <w:rFonts w:hint="eastAsia"/>
          <w:sz w:val="24"/>
        </w:rPr>
        <w:t>三、支出决算情况说明</w:t>
      </w:r>
      <w:r>
        <w:rPr>
          <w:rFonts w:cstheme="minorBidi"/>
          <w:sz w:val="24"/>
        </w:rPr>
        <w:tab/>
      </w:r>
      <w:r>
        <w:rPr>
          <w:rFonts w:hint="eastAsia" w:cstheme="minorBidi"/>
          <w:sz w:val="24"/>
          <w:lang w:val="en-US" w:eastAsia="zh-CN"/>
        </w:rPr>
        <w:t>8</w:t>
      </w:r>
    </w:p>
    <w:p>
      <w:pPr>
        <w:pStyle w:val="15"/>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cstheme="minorBidi"/>
          <w:sz w:val="24"/>
        </w:rPr>
        <w:tab/>
      </w:r>
      <w:r>
        <w:rPr>
          <w:rFonts w:hint="eastAsia" w:cstheme="minorBidi"/>
          <w:sz w:val="24"/>
          <w:lang w:val="en-US" w:eastAsia="zh-CN"/>
        </w:rPr>
        <w:t>9</w:t>
      </w:r>
    </w:p>
    <w:p>
      <w:pPr>
        <w:pStyle w:val="15"/>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cstheme="minorBidi"/>
          <w:sz w:val="24"/>
        </w:rPr>
        <w:tab/>
      </w:r>
      <w:r>
        <w:rPr>
          <w:rFonts w:hint="eastAsia" w:cstheme="minorBidi"/>
          <w:sz w:val="24"/>
          <w:lang w:val="en-US" w:eastAsia="zh-CN"/>
        </w:rPr>
        <w:t>9</w:t>
      </w:r>
    </w:p>
    <w:p>
      <w:pPr>
        <w:pStyle w:val="15"/>
        <w:adjustRightInd w:val="0"/>
        <w:snapToGrid w:val="0"/>
        <w:spacing w:line="440" w:lineRule="exact"/>
        <w:jc w:val="left"/>
        <w:rPr>
          <w:rFonts w:hint="default" w:ascii="仿宋" w:hAnsi="仿宋" w:eastAsia="仿宋" w:cstheme="minorBidi"/>
          <w:sz w:val="24"/>
          <w:lang w:val="en-US"/>
        </w:rPr>
      </w:pPr>
      <w:r>
        <w:rPr>
          <w:rFonts w:hint="eastAsia"/>
          <w:sz w:val="24"/>
        </w:rPr>
        <w:t>六、一般公共预算财政拨款基本支出决算情况说明</w:t>
      </w:r>
      <w:r>
        <w:rPr>
          <w:rFonts w:cstheme="minorBidi"/>
          <w:sz w:val="24"/>
        </w:rPr>
        <w:tab/>
      </w:r>
      <w:r>
        <w:rPr>
          <w:rFonts w:hint="eastAsia" w:cstheme="minorBidi"/>
          <w:sz w:val="24"/>
          <w:lang w:val="en-US" w:eastAsia="zh-CN"/>
        </w:rPr>
        <w:t>12</w:t>
      </w:r>
    </w:p>
    <w:p>
      <w:pPr>
        <w:pStyle w:val="15"/>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rFonts w:cstheme="minorBidi"/>
          <w:sz w:val="24"/>
        </w:rPr>
        <w:tab/>
      </w:r>
      <w:r>
        <w:rPr>
          <w:rFonts w:hint="eastAsia" w:cstheme="minorBidi"/>
          <w:sz w:val="24"/>
          <w:lang w:val="en-US" w:eastAsia="zh-CN"/>
        </w:rPr>
        <w:t>12</w:t>
      </w:r>
    </w:p>
    <w:p>
      <w:pPr>
        <w:pStyle w:val="15"/>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cstheme="minorBidi"/>
          <w:sz w:val="24"/>
        </w:rPr>
        <w:tab/>
      </w:r>
      <w:r>
        <w:rPr>
          <w:rFonts w:hint="eastAsia" w:cstheme="minorBidi"/>
          <w:sz w:val="24"/>
          <w:lang w:val="en-US" w:eastAsia="zh-CN"/>
        </w:rPr>
        <w:t>14</w:t>
      </w:r>
    </w:p>
    <w:p>
      <w:pPr>
        <w:pStyle w:val="15"/>
        <w:adjustRightInd w:val="0"/>
        <w:snapToGrid w:val="0"/>
        <w:spacing w:line="440" w:lineRule="exact"/>
        <w:ind w:leftChars="0"/>
        <w:jc w:val="left"/>
        <w:rPr>
          <w:rFonts w:hint="default"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cstheme="minorBidi"/>
          <w:sz w:val="24"/>
        </w:rPr>
        <w:tab/>
      </w:r>
      <w:r>
        <w:rPr>
          <w:rFonts w:hint="eastAsia" w:cstheme="minorBidi"/>
          <w:sz w:val="24"/>
          <w:lang w:val="en-US" w:eastAsia="zh-CN"/>
        </w:rPr>
        <w:t>14</w:t>
      </w:r>
    </w:p>
    <w:p>
      <w:pPr>
        <w:pStyle w:val="15"/>
        <w:adjustRightInd w:val="0"/>
        <w:snapToGrid w:val="0"/>
        <w:spacing w:line="440" w:lineRule="exact"/>
        <w:jc w:val="left"/>
        <w:rPr>
          <w:rFonts w:hint="default" w:ascii="仿宋" w:hAnsi="仿宋" w:eastAsia="宋体" w:cstheme="minorBidi"/>
          <w:sz w:val="24"/>
          <w:lang w:val="en-US" w:eastAsia="zh-CN"/>
        </w:rPr>
      </w:pPr>
      <w:r>
        <w:rPr>
          <w:rStyle w:val="20"/>
          <w:rFonts w:hint="eastAsia" w:asciiTheme="minorEastAsia" w:hAnsiTheme="minorEastAsia" w:eastAsiaTheme="minorEastAsia" w:cstheme="minorEastAsia"/>
          <w:color w:val="auto"/>
          <w:sz w:val="24"/>
          <w:u w:val="none"/>
        </w:rPr>
        <w:t>十、</w:t>
      </w:r>
      <w:r>
        <w:rPr>
          <w:rFonts w:hint="eastAsia" w:ascii="Times New Roman" w:hAnsi="Times New Roman" w:eastAsia="宋体" w:cs="Times New Roman"/>
          <w:kern w:val="2"/>
          <w:sz w:val="24"/>
          <w:szCs w:val="24"/>
          <w:lang w:val="en-US" w:eastAsia="zh-CN" w:bidi="ar-SA"/>
        </w:rPr>
        <w:t>其他重要事项的情况说明</w:t>
      </w:r>
      <w:r>
        <w:rPr>
          <w:rFonts w:cstheme="minorBidi"/>
          <w:sz w:val="24"/>
        </w:rPr>
        <w:tab/>
      </w:r>
      <w:r>
        <w:rPr>
          <w:rFonts w:hint="eastAsia" w:cstheme="minorBidi"/>
          <w:sz w:val="24"/>
          <w:lang w:val="en-US" w:eastAsia="zh-CN"/>
        </w:rPr>
        <w:t>14</w:t>
      </w:r>
    </w:p>
    <w:p>
      <w:pPr>
        <w:pStyle w:val="14"/>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rFonts w:cstheme="minorBidi"/>
          <w:sz w:val="24"/>
        </w:rPr>
        <w:tab/>
      </w:r>
    </w:p>
    <w:p>
      <w:pPr>
        <w:pStyle w:val="14"/>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Pr>
          <w:rFonts w:cstheme="minorBidi"/>
          <w:sz w:val="24"/>
        </w:rPr>
        <w:tab/>
      </w:r>
    </w:p>
    <w:p>
      <w:pPr>
        <w:pStyle w:val="14"/>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Pr>
          <w:rFonts w:cstheme="minorBidi"/>
          <w:sz w:val="24"/>
        </w:rPr>
        <w:tab/>
      </w:r>
    </w:p>
    <w:p>
      <w:pPr>
        <w:pStyle w:val="15"/>
        <w:adjustRightInd w:val="0"/>
        <w:snapToGrid w:val="0"/>
        <w:spacing w:line="440" w:lineRule="exact"/>
        <w:jc w:val="left"/>
        <w:rPr>
          <w:sz w:val="24"/>
        </w:rPr>
      </w:pPr>
      <w:r>
        <w:rPr>
          <w:rFonts w:hint="eastAsia"/>
          <w:sz w:val="24"/>
        </w:rPr>
        <w:t>一、收入支出决算总表</w:t>
      </w:r>
      <w:r>
        <w:rPr>
          <w:rFonts w:cstheme="minorBidi"/>
          <w:sz w:val="24"/>
        </w:rPr>
        <w:tab/>
      </w:r>
    </w:p>
    <w:p>
      <w:pPr>
        <w:pStyle w:val="15"/>
        <w:adjustRightInd w:val="0"/>
        <w:snapToGrid w:val="0"/>
        <w:spacing w:line="440" w:lineRule="exact"/>
        <w:jc w:val="left"/>
        <w:rPr>
          <w:rFonts w:hint="eastAsia" w:eastAsia="宋体"/>
          <w:sz w:val="24"/>
          <w:lang w:eastAsia="zh-CN"/>
        </w:rPr>
      </w:pPr>
      <w:r>
        <w:rPr>
          <w:rFonts w:hint="eastAsia"/>
          <w:sz w:val="24"/>
        </w:rPr>
        <w:t>二、收入决算表</w:t>
      </w:r>
      <w:r>
        <w:rPr>
          <w:rFonts w:cstheme="minorBidi"/>
          <w:sz w:val="24"/>
        </w:rPr>
        <w:tab/>
      </w:r>
    </w:p>
    <w:p>
      <w:pPr>
        <w:pStyle w:val="15"/>
        <w:adjustRightInd w:val="0"/>
        <w:snapToGrid w:val="0"/>
        <w:spacing w:line="440" w:lineRule="exact"/>
        <w:jc w:val="left"/>
        <w:rPr>
          <w:sz w:val="24"/>
        </w:rPr>
      </w:pPr>
      <w:r>
        <w:rPr>
          <w:rFonts w:hint="eastAsia"/>
          <w:sz w:val="24"/>
        </w:rPr>
        <w:t>三、支出决算表</w:t>
      </w:r>
      <w:r>
        <w:rPr>
          <w:rFonts w:cstheme="minorBidi"/>
          <w:sz w:val="24"/>
        </w:rPr>
        <w:tab/>
      </w:r>
    </w:p>
    <w:p>
      <w:pPr>
        <w:pStyle w:val="15"/>
        <w:adjustRightInd w:val="0"/>
        <w:snapToGrid w:val="0"/>
        <w:spacing w:line="440" w:lineRule="exact"/>
        <w:jc w:val="left"/>
        <w:rPr>
          <w:sz w:val="24"/>
        </w:rPr>
      </w:pPr>
      <w:r>
        <w:rPr>
          <w:rFonts w:hint="eastAsia"/>
          <w:sz w:val="24"/>
        </w:rPr>
        <w:t>四、财政拨款收入支出决算总表</w:t>
      </w:r>
      <w:r>
        <w:rPr>
          <w:rFonts w:cstheme="minorBidi"/>
          <w:sz w:val="24"/>
        </w:rPr>
        <w:tab/>
      </w:r>
    </w:p>
    <w:p>
      <w:pPr>
        <w:pStyle w:val="15"/>
        <w:adjustRightInd w:val="0"/>
        <w:snapToGrid w:val="0"/>
        <w:spacing w:line="440" w:lineRule="exact"/>
        <w:jc w:val="left"/>
        <w:rPr>
          <w:sz w:val="24"/>
        </w:rPr>
      </w:pPr>
      <w:r>
        <w:rPr>
          <w:rFonts w:hint="eastAsia"/>
          <w:sz w:val="24"/>
        </w:rPr>
        <w:t>五、财政拨款支出决算明细表</w:t>
      </w:r>
      <w:r>
        <w:rPr>
          <w:rFonts w:cstheme="minorBidi"/>
          <w:sz w:val="24"/>
        </w:rPr>
        <w:tab/>
      </w:r>
    </w:p>
    <w:p>
      <w:pPr>
        <w:pStyle w:val="15"/>
        <w:adjustRightInd w:val="0"/>
        <w:snapToGrid w:val="0"/>
        <w:spacing w:line="440" w:lineRule="exact"/>
        <w:jc w:val="left"/>
        <w:rPr>
          <w:sz w:val="24"/>
        </w:rPr>
      </w:pPr>
      <w:r>
        <w:rPr>
          <w:rFonts w:hint="eastAsia"/>
          <w:sz w:val="24"/>
        </w:rPr>
        <w:t>六、一般公共预算财政拨款支出决算表</w:t>
      </w:r>
      <w:r>
        <w:rPr>
          <w:rFonts w:cstheme="minorBidi"/>
          <w:sz w:val="24"/>
        </w:rPr>
        <w:tab/>
      </w:r>
    </w:p>
    <w:p>
      <w:pPr>
        <w:pStyle w:val="15"/>
        <w:adjustRightInd w:val="0"/>
        <w:snapToGrid w:val="0"/>
        <w:spacing w:line="440" w:lineRule="exact"/>
        <w:jc w:val="left"/>
        <w:rPr>
          <w:sz w:val="24"/>
        </w:rPr>
      </w:pPr>
      <w:r>
        <w:rPr>
          <w:rFonts w:hint="eastAsia"/>
          <w:sz w:val="24"/>
        </w:rPr>
        <w:t>七、一般公共预算财政拨款支出决算明细表</w:t>
      </w:r>
      <w:r>
        <w:rPr>
          <w:rFonts w:cstheme="minorBidi"/>
          <w:sz w:val="24"/>
        </w:rPr>
        <w:tab/>
      </w:r>
    </w:p>
    <w:p>
      <w:pPr>
        <w:pStyle w:val="15"/>
        <w:adjustRightInd w:val="0"/>
        <w:snapToGrid w:val="0"/>
        <w:spacing w:line="440" w:lineRule="exact"/>
        <w:jc w:val="left"/>
        <w:rPr>
          <w:sz w:val="24"/>
        </w:rPr>
      </w:pPr>
      <w:r>
        <w:rPr>
          <w:rFonts w:hint="eastAsia"/>
          <w:sz w:val="24"/>
        </w:rPr>
        <w:t>八、一般公共预算财政拨款基本支出决算明细表</w:t>
      </w:r>
      <w:r>
        <w:rPr>
          <w:rFonts w:cstheme="minorBidi"/>
          <w:sz w:val="24"/>
        </w:rPr>
        <w:tab/>
      </w:r>
    </w:p>
    <w:p>
      <w:pPr>
        <w:pStyle w:val="15"/>
        <w:adjustRightInd w:val="0"/>
        <w:snapToGrid w:val="0"/>
        <w:spacing w:line="440" w:lineRule="exact"/>
        <w:jc w:val="left"/>
        <w:rPr>
          <w:sz w:val="24"/>
        </w:rPr>
      </w:pPr>
      <w:r>
        <w:rPr>
          <w:rFonts w:hint="eastAsia"/>
          <w:sz w:val="24"/>
        </w:rPr>
        <w:t>九、一般公共预算财政拨款项目支出决算表</w:t>
      </w:r>
      <w:r>
        <w:rPr>
          <w:rFonts w:cstheme="minorBidi"/>
          <w:sz w:val="24"/>
        </w:rPr>
        <w:tab/>
      </w:r>
    </w:p>
    <w:p>
      <w:pPr>
        <w:pStyle w:val="15"/>
        <w:adjustRightInd w:val="0"/>
        <w:snapToGrid w:val="0"/>
        <w:spacing w:line="440" w:lineRule="exact"/>
        <w:jc w:val="left"/>
        <w:rPr>
          <w:sz w:val="24"/>
        </w:rPr>
      </w:pPr>
      <w:r>
        <w:rPr>
          <w:rFonts w:hint="eastAsia"/>
          <w:sz w:val="24"/>
        </w:rPr>
        <w:t>十、政府性基金预算财政拨款收入支出决算表</w:t>
      </w:r>
      <w:r>
        <w:rPr>
          <w:rFonts w:cstheme="minorBidi"/>
          <w:sz w:val="24"/>
        </w:rPr>
        <w:tab/>
      </w:r>
    </w:p>
    <w:p>
      <w:pPr>
        <w:pStyle w:val="15"/>
        <w:adjustRightInd w:val="0"/>
        <w:snapToGrid w:val="0"/>
        <w:spacing w:line="440" w:lineRule="exact"/>
        <w:jc w:val="left"/>
        <w:rPr>
          <w:sz w:val="24"/>
        </w:rPr>
      </w:pPr>
      <w:r>
        <w:rPr>
          <w:rFonts w:hint="eastAsia"/>
          <w:sz w:val="24"/>
        </w:rPr>
        <w:t>十一、国有资本经营预算财政拨款收入支出决算表</w:t>
      </w:r>
      <w:r>
        <w:rPr>
          <w:rFonts w:cstheme="minorBidi"/>
          <w:sz w:val="24"/>
        </w:rPr>
        <w:tab/>
      </w:r>
    </w:p>
    <w:p>
      <w:pPr>
        <w:pStyle w:val="15"/>
        <w:adjustRightInd w:val="0"/>
        <w:snapToGrid w:val="0"/>
        <w:spacing w:line="440" w:lineRule="exact"/>
        <w:jc w:val="left"/>
        <w:rPr>
          <w:sz w:val="24"/>
        </w:rPr>
      </w:pPr>
      <w:r>
        <w:rPr>
          <w:rFonts w:hint="eastAsia"/>
          <w:sz w:val="24"/>
        </w:rPr>
        <w:t>十二、国有资本经营预算财政拨款支出决算表</w:t>
      </w:r>
      <w:r>
        <w:rPr>
          <w:rFonts w:cstheme="minorBidi"/>
          <w:sz w:val="24"/>
        </w:rPr>
        <w:tab/>
      </w:r>
    </w:p>
    <w:p>
      <w:pPr>
        <w:pStyle w:val="15"/>
        <w:adjustRightInd w:val="0"/>
        <w:snapToGrid w:val="0"/>
        <w:spacing w:line="440" w:lineRule="exact"/>
        <w:jc w:val="left"/>
        <w:rPr>
          <w:rFonts w:hint="eastAsia" w:eastAsia="宋体" w:asciiTheme="minorEastAsia" w:hAnsiTheme="minorEastAsia" w:cstheme="minorEastAsia"/>
          <w:sz w:val="24"/>
          <w:lang w:val="en-US" w:eastAsia="zh-CN"/>
        </w:rPr>
      </w:pPr>
      <w:r>
        <w:rPr>
          <w:rFonts w:hint="eastAsia"/>
          <w:sz w:val="24"/>
        </w:rPr>
        <w:t>十三、财政拨款“三公”经费支出决算表</w:t>
      </w:r>
      <w:r>
        <w:rPr>
          <w:rFonts w:cstheme="minorBidi"/>
          <w:sz w:val="24"/>
        </w:rPr>
        <w:tab/>
      </w:r>
    </w:p>
    <w:p>
      <w:pPr>
        <w:widowControl/>
        <w:adjustRightInd w:val="0"/>
        <w:snapToGrid w:val="0"/>
        <w:spacing w:line="440" w:lineRule="exact"/>
        <w:ind w:firstLine="1320" w:firstLineChars="550"/>
        <w:jc w:val="left"/>
        <w:rPr>
          <w:rFonts w:ascii="仿宋" w:hAnsi="仿宋" w:eastAsia="仿宋"/>
          <w:sz w:val="24"/>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5"/>
        <w:numPr>
          <w:ilvl w:val="0"/>
          <w:numId w:val="1"/>
        </w:numPr>
        <w:jc w:val="center"/>
        <w:rPr>
          <w:rStyle w:val="30"/>
          <w:rFonts w:hint="eastAsia" w:ascii="黑体" w:hAnsi="黑体" w:eastAsia="黑体"/>
          <w:b w:val="0"/>
          <w:bCs w:val="0"/>
        </w:rPr>
      </w:pPr>
      <w:r>
        <w:rPr>
          <w:rStyle w:val="30"/>
          <w:rFonts w:hint="eastAsia" w:ascii="黑体" w:hAnsi="黑体" w:eastAsia="黑体"/>
          <w:b w:val="0"/>
          <w:bCs w:val="0"/>
        </w:rPr>
        <w:t>部门概况</w:t>
      </w:r>
      <w:bookmarkEnd w:id="12"/>
      <w:bookmarkEnd w:id="13"/>
    </w:p>
    <w:p>
      <w:pPr>
        <w:numPr>
          <w:ilvl w:val="0"/>
          <w:numId w:val="0"/>
        </w:numPr>
      </w:pPr>
    </w:p>
    <w:p>
      <w:pPr>
        <w:pStyle w:val="6"/>
        <w:numPr>
          <w:ilvl w:val="0"/>
          <w:numId w:val="0"/>
        </w:numPr>
        <w:ind w:firstLine="640" w:firstLineChars="200"/>
        <w:rPr>
          <w:rFonts w:hint="eastAsia" w:ascii="黑体" w:hAnsi="黑体" w:eastAsia="黑体"/>
          <w:b w:val="0"/>
        </w:rPr>
      </w:pPr>
      <w:r>
        <w:rPr>
          <w:rFonts w:hint="eastAsia" w:ascii="黑体" w:hAnsi="黑体" w:eastAsia="黑体"/>
          <w:b w:val="0"/>
          <w:lang w:eastAsia="zh-CN"/>
        </w:rPr>
        <w:t>一、</w:t>
      </w:r>
      <w:r>
        <w:rPr>
          <w:rFonts w:hint="eastAsia" w:ascii="黑体" w:hAnsi="黑体" w:eastAsia="黑体"/>
          <w:b w:val="0"/>
        </w:rPr>
        <w:t>部门职责</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贯彻执行国家有关国民经济和社会发展战略、经济体制方针政策和法律法规，拟订并组织实施全区国民经济和社会发展中长期规划和年度计划；受区政府委托向区人大作全区经济社会发展计划报告。</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统筹协调全区经济社会发展。研究分析全区经济和社会发展形势，进行宏观经济预测预警和信息引导。对发展中的重大问题和热点、难点问题，提出宏观调控对策建议，综合协调财政、金融、价格和产业政策等经济杠杆，保证全区国民经济发展规划和计划的实施。</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承担指导推进和综合协调全区经济体制改革责任。组织拟订综合性经济体制改革方案，协调有关专项经济体制改革方案，会同有关部门搞好专项经济体制改革间的衔接，组织、指导和协调综合配套改革试点和重大专项经济体制改革试点工作。</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贯彻执行国家和省、市有关价格法律、法规和方针、政策，编制和执行价格改革、价格调整中长期规划和年度计划，组织实施年度价格总水平调控目标及价格调控措施，负责权限范围内价格的制定调整，承担行政事业性收费管理工作，负责全区价格成本调查监审、价格监测、价格认证等工作。</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负责全区投资宏观管理和协调推进重大项目建设。拟订全社会固定资产投资总规模、投资结构的调控目标和政策措施，编制年度投资计划，安排财政性建设资金，指导和监督政策性贷款的使用方向，按规定权限审批、核准、备案或转报固定资产投资项目（企业技术改革项目除外）和资源开发利用、外资、境外投资项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推进经济结构战略性调整。组织拟订全区综合性产业政策，负责协调第一、二、三产业发展重大问题，衔接平衡相关发展规划和重大政策。拟订重大产业发展规划，引导全区重大生产力合理布局，协调推进全区重大技术装备推广应用和重大产业基地建设，会同有关部门拟订服务业、现代物流业发展战略、规划和重大政策。组织拟订高技术产业发展、产业技术进步的战略规划和重大政策，推进重大科技成果产业化。</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促进城乡区域协调发展。研究分析区域经济和城镇化发展情况，组织拟订区域经济协调发展战略规划和重大政策，研究提出城镇化发展战略和统筹城乡发展的政策措施。</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8.</w:t>
      </w:r>
      <w:r>
        <w:rPr>
          <w:rFonts w:hint="eastAsia" w:ascii="仿宋_GB2312" w:hAnsi="仿宋" w:eastAsia="仿宋_GB2312"/>
          <w:sz w:val="32"/>
          <w:szCs w:val="32"/>
        </w:rPr>
        <w:t>负责重要商品的总量平衡和宏观调控。研究分析区内外市场和对外贸易运行情况，编制重要农产品、工业品和原材料进出口总量计划并监督执行。提出重要商品市场、生产要素市场的发展规划、总体布局和重大调控措施。</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负责全区社会发展与国民经济发展的政策衔接。组织拟订社会发展战略、总体规划和年度计划，参与拟订人口和计划生育、科学技术、教育、文化、卫生、民政等发展政策，推进社会事业建设。研究提出促进就业、调整收入分配、完善社会保障与经济协调发展的政策建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10.</w:t>
      </w:r>
      <w:r>
        <w:rPr>
          <w:rFonts w:hint="eastAsia" w:ascii="仿宋_GB2312" w:hAnsi="仿宋" w:eastAsia="仿宋_GB2312"/>
          <w:sz w:val="32"/>
          <w:szCs w:val="32"/>
        </w:rPr>
        <w:t>推进可持续发展战略。负责全区节能综合协调工作，组织拟订并协调实施全区发展循环经济、能源资源节约和综合利用规划及政策措施，参与编制生态建设、环境保护规划，协调生态建设、能源资源节约和综合利用的重大问题，综合协调环保产业和清洁产业促进有关工作。</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11.</w:t>
      </w:r>
      <w:r>
        <w:rPr>
          <w:rFonts w:hint="eastAsia" w:ascii="仿宋_GB2312" w:hAnsi="仿宋" w:eastAsia="仿宋_GB2312"/>
          <w:sz w:val="32"/>
          <w:szCs w:val="32"/>
        </w:rPr>
        <w:t>负责指导和协调全区招标投标工作。贯彻执行招标投标配套规定，核准必须进行招标投标项目的具体范围、规模标准。按照职责权限对重大建设项目建设过程中的招标投标活动实施监督检查。</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12.</w:t>
      </w:r>
      <w:r>
        <w:rPr>
          <w:rFonts w:hint="eastAsia" w:ascii="仿宋_GB2312" w:hAnsi="仿宋" w:eastAsia="仿宋_GB2312"/>
          <w:sz w:val="32"/>
          <w:szCs w:val="32"/>
        </w:rPr>
        <w:t>负责粮食流通行业管理。负责全区粮食（含食用植物油，下同）宏观调控、粮食流通管理工作；负责全区粮食流通统计和社会粮油供需平衡调查工作；负责落实地方储备粮食任务和储备粮油日常监管；负责全区粮食工业统计分析工作；负责全区粮食仓储设施和粮食流通基础设施的安全管理和粮食储藏安全工作；负责贯彻落实粮食行业食品安全法规及国家粮食质量标准，履行储备粮质量、粮食行业食品安全监管职责；负责监督指导辖区内粮油仓储单位备案管理工作；指导粮食部门安全生产工作；指导粮食综合行政执法；负责粮油库存检查；监督管理全区粮食专项扶持资金的使用；会同有关部门拟订区级储备粮财务管理制度，监督管理粮食风险基金、政策性粮食财务挂账、政策性粮食补贴资金；负责救灾物资储备、管理、调拨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13.</w:t>
      </w:r>
      <w:r>
        <w:rPr>
          <w:rFonts w:ascii="仿宋_GB2312" w:hAnsi="仿宋" w:eastAsia="仿宋_GB2312"/>
          <w:sz w:val="32"/>
          <w:szCs w:val="32"/>
        </w:rPr>
        <w:t>负责职责范围内的安全生产和职业健康、生态环境保护、审批服务便民化等工作。</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14.</w:t>
      </w:r>
      <w:r>
        <w:rPr>
          <w:rFonts w:ascii="仿宋_GB2312" w:hAnsi="仿宋" w:eastAsia="仿宋_GB2312"/>
          <w:sz w:val="32"/>
          <w:szCs w:val="32"/>
        </w:rPr>
        <w:t>完成区委、区政府交办的其他任务。</w:t>
      </w:r>
    </w:p>
    <w:p>
      <w:pPr>
        <w:pStyle w:val="6"/>
        <w:ind w:firstLine="640" w:firstLineChars="200"/>
        <w:rPr>
          <w:rStyle w:val="31"/>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4"/>
      <w:bookmarkEnd w:id="15"/>
    </w:p>
    <w:p>
      <w:pPr>
        <w:ind w:firstLine="640" w:firstLineChars="200"/>
        <w:rPr>
          <w:rFonts w:ascii="仿宋" w:hAnsi="仿宋" w:eastAsia="仿宋"/>
          <w:sz w:val="32"/>
          <w:szCs w:val="32"/>
        </w:rPr>
      </w:pPr>
      <w:r>
        <w:rPr>
          <w:rFonts w:ascii="仿宋_GB2312" w:hAnsi="仿宋" w:eastAsia="仿宋_GB2312" w:cs="Times New Roman"/>
          <w:sz w:val="32"/>
          <w:szCs w:val="32"/>
        </w:rPr>
        <w:t>攀枝花市西区发展和改革局</w:t>
      </w:r>
      <w:r>
        <w:rPr>
          <w:rFonts w:hint="eastAsia" w:ascii="仿宋_GB2312" w:hAnsi="仿宋" w:eastAsia="仿宋_GB2312" w:cs="Times New Roman"/>
          <w:sz w:val="32"/>
          <w:szCs w:val="32"/>
        </w:rPr>
        <w:t>机关内设：</w:t>
      </w:r>
      <w:r>
        <w:rPr>
          <w:rFonts w:hint="eastAsia" w:ascii="仿宋_GB2312" w:hAnsi="仿宋" w:eastAsia="仿宋_GB2312"/>
          <w:sz w:val="32"/>
          <w:szCs w:val="32"/>
        </w:rPr>
        <w:t>办公室（行政审批股）、综合股（重大项目管理股）、体改股、物价股、粮食和物资储备股五个内设机构。</w:t>
      </w:r>
      <w:r>
        <w:rPr>
          <w:rFonts w:hint="eastAsia" w:ascii="仿宋" w:hAnsi="仿宋" w:eastAsia="仿宋"/>
          <w:sz w:val="32"/>
          <w:szCs w:val="32"/>
        </w:rPr>
        <w:t>下属二级预算单位</w:t>
      </w:r>
      <w:r>
        <w:rPr>
          <w:rFonts w:hint="eastAsia" w:eastAsia="仿宋"/>
          <w:sz w:val="32"/>
          <w:szCs w:val="32"/>
          <w:lang w:val="en-US" w:eastAsia="zh-CN"/>
        </w:rPr>
        <w:t>3</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4</w:t>
      </w:r>
      <w:r>
        <w:rPr>
          <w:rFonts w:hint="eastAsia" w:ascii="仿宋" w:hAnsi="仿宋" w:eastAsia="仿宋"/>
          <w:sz w:val="32"/>
          <w:szCs w:val="32"/>
        </w:rPr>
        <w:t>个</w:t>
      </w:r>
      <w:r>
        <w:rPr>
          <w:rFonts w:hint="eastAsia" w:ascii="仿宋" w:hAnsi="仿宋" w:eastAsia="仿宋"/>
          <w:sz w:val="32"/>
          <w:szCs w:val="32"/>
          <w:lang w:eastAsia="zh-CN"/>
        </w:rPr>
        <w:t>：</w:t>
      </w:r>
      <w:r>
        <w:rPr>
          <w:rFonts w:hint="eastAsia" w:ascii="仿宋_GB2312" w:hAnsi="仿宋" w:eastAsia="仿宋_GB2312"/>
          <w:sz w:val="32"/>
          <w:szCs w:val="32"/>
        </w:rPr>
        <w:t>攀枝花市西区项目</w:t>
      </w:r>
      <w:r>
        <w:rPr>
          <w:rFonts w:hint="eastAsia" w:ascii="仿宋_GB2312" w:hAnsi="仿宋" w:eastAsia="仿宋_GB2312"/>
          <w:sz w:val="32"/>
          <w:szCs w:val="32"/>
          <w:lang w:eastAsia="zh-CN"/>
        </w:rPr>
        <w:t>协调服务中心（攀枝花市西区康养产业发展服务中心）、</w:t>
      </w:r>
      <w:r>
        <w:rPr>
          <w:rFonts w:hint="eastAsia" w:ascii="仿宋_GB2312" w:hAnsi="仿宋" w:eastAsia="仿宋_GB2312"/>
          <w:sz w:val="32"/>
          <w:szCs w:val="32"/>
        </w:rPr>
        <w:t>攀枝花市西区物价局价格认证中心</w:t>
      </w:r>
      <w:r>
        <w:rPr>
          <w:rFonts w:hint="eastAsia" w:ascii="仿宋_GB2312" w:hAnsi="仿宋" w:eastAsia="仿宋_GB2312"/>
          <w:sz w:val="32"/>
          <w:szCs w:val="32"/>
          <w:lang w:eastAsia="zh-CN"/>
        </w:rPr>
        <w:t>、</w:t>
      </w:r>
      <w:r>
        <w:rPr>
          <w:rFonts w:hint="eastAsia" w:ascii="仿宋_GB2312" w:hAnsi="仿宋" w:eastAsia="仿宋_GB2312"/>
          <w:sz w:val="32"/>
          <w:szCs w:val="32"/>
        </w:rPr>
        <w:t>攀枝花市西区</w:t>
      </w:r>
      <w:r>
        <w:rPr>
          <w:rFonts w:hint="eastAsia" w:ascii="仿宋_GB2312" w:hAnsi="仿宋" w:eastAsia="仿宋_GB2312"/>
          <w:sz w:val="32"/>
          <w:szCs w:val="32"/>
          <w:lang w:eastAsia="zh-CN"/>
        </w:rPr>
        <w:t>物流枢纽建设服务中心、攀枝花市西区大数据中心</w:t>
      </w:r>
      <w:r>
        <w:rPr>
          <w:rFonts w:hint="eastAsia" w:ascii="仿宋" w:hAnsi="仿宋" w:eastAsia="仿宋"/>
          <w:sz w:val="32"/>
          <w:szCs w:val="32"/>
        </w:rPr>
        <w:t>。</w:t>
      </w:r>
    </w:p>
    <w:p>
      <w:pPr>
        <w:pStyle w:val="8"/>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hint="eastAsia" w:ascii="仿宋" w:hAnsi="仿宋" w:eastAsia="仿宋" w:cs="Times New Roman"/>
          <w:kern w:val="2"/>
          <w:sz w:val="32"/>
          <w:szCs w:val="32"/>
          <w:lang w:val="en-US" w:eastAsia="zh-CN" w:bidi="ar-SA"/>
        </w:rPr>
        <w:t>攀枝花市西区发展和改革局2024</w:t>
      </w:r>
      <w:r>
        <w:rPr>
          <w:rFonts w:hint="eastAsia" w:ascii="仿宋" w:hAnsi="仿宋" w:eastAsia="仿宋"/>
          <w:sz w:val="32"/>
          <w:szCs w:val="32"/>
        </w:rPr>
        <w:t>年度部门决算编制范围的二级预算单位包括：</w:t>
      </w:r>
    </w:p>
    <w:p>
      <w:pPr>
        <w:pStyle w:val="8"/>
        <w:adjustRightInd w:val="0"/>
        <w:snapToGrid w:val="0"/>
        <w:spacing w:before="93"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无。</w:t>
      </w:r>
    </w:p>
    <w:p>
      <w:pPr>
        <w:pStyle w:val="9"/>
        <w:rPr>
          <w:rFonts w:hint="eastAsia" w:ascii="仿宋" w:hAnsi="仿宋" w:eastAsia="仿宋"/>
          <w:sz w:val="32"/>
          <w:szCs w:val="32"/>
          <w:lang w:eastAsia="zh-CN"/>
        </w:rPr>
      </w:pPr>
    </w:p>
    <w:p>
      <w:pPr>
        <w:pStyle w:val="9"/>
        <w:rPr>
          <w:rFonts w:hint="eastAsia" w:ascii="仿宋" w:hAnsi="仿宋" w:eastAsia="仿宋"/>
          <w:sz w:val="32"/>
          <w:szCs w:val="32"/>
          <w:lang w:eastAsia="zh-CN"/>
        </w:rPr>
      </w:pPr>
    </w:p>
    <w:p>
      <w:pPr>
        <w:pStyle w:val="9"/>
        <w:rPr>
          <w:rFonts w:hint="eastAsia" w:ascii="仿宋" w:hAnsi="仿宋" w:eastAsia="仿宋"/>
          <w:sz w:val="32"/>
          <w:szCs w:val="32"/>
          <w:lang w:eastAsia="zh-CN"/>
        </w:rPr>
      </w:pPr>
    </w:p>
    <w:p>
      <w:pPr>
        <w:pStyle w:val="9"/>
      </w:pPr>
    </w:p>
    <w:p>
      <w:pPr>
        <w:pStyle w:val="5"/>
        <w:ind w:right="440"/>
        <w:jc w:val="center"/>
        <w:rPr>
          <w:rStyle w:val="30"/>
          <w:rFonts w:ascii="黑体" w:hAnsi="黑体" w:eastAsia="黑体"/>
          <w:b w:val="0"/>
          <w:bCs/>
        </w:rPr>
      </w:pPr>
      <w:bookmarkStart w:id="16" w:name="_Toc15396602"/>
      <w:bookmarkStart w:id="17"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30"/>
          <w:rFonts w:hint="eastAsia" w:ascii="黑体" w:hAnsi="黑体" w:eastAsia="黑体"/>
          <w:b w:val="0"/>
          <w:bCs/>
        </w:rPr>
        <w:t>部门决算情况说明</w:t>
      </w:r>
      <w:bookmarkEnd w:id="16"/>
      <w:bookmarkEnd w:id="17"/>
    </w:p>
    <w:p/>
    <w:p>
      <w:pPr>
        <w:pStyle w:val="29"/>
        <w:numPr>
          <w:ilvl w:val="0"/>
          <w:numId w:val="2"/>
        </w:numPr>
        <w:spacing w:line="600" w:lineRule="exact"/>
        <w:ind w:firstLineChars="0"/>
        <w:outlineLvl w:val="1"/>
        <w:rPr>
          <w:rStyle w:val="31"/>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18"/>
      <w:bookmarkEnd w:id="19"/>
    </w:p>
    <w:p>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1378.37</w:t>
      </w:r>
      <w:r>
        <w:rPr>
          <w:rFonts w:hint="eastAsia" w:ascii="Times New Roman" w:hAnsi="Times New Roman" w:eastAsia="仿宋_GB2312" w:cs="仿宋_GB2312"/>
          <w:color w:val="auto"/>
          <w:sz w:val="32"/>
          <w:szCs w:val="32"/>
          <w:highlight w:val="none"/>
        </w:rPr>
        <w:t>万元</w:t>
      </w:r>
      <w:r>
        <w:rPr>
          <w:rFonts w:hint="eastAsia"/>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年度相比，收、支总计各增加</w:t>
      </w:r>
      <w:r>
        <w:rPr>
          <w:rFonts w:hint="eastAsia" w:ascii="仿宋" w:hAnsi="仿宋" w:eastAsia="仿宋"/>
          <w:sz w:val="32"/>
          <w:szCs w:val="32"/>
          <w:lang w:val="en-US" w:eastAsia="zh-CN"/>
        </w:rPr>
        <w:t>184.43</w:t>
      </w:r>
      <w:r>
        <w:rPr>
          <w:rFonts w:hint="eastAsia" w:ascii="仿宋" w:hAnsi="仿宋" w:eastAsia="仿宋"/>
          <w:sz w:val="32"/>
          <w:szCs w:val="32"/>
        </w:rPr>
        <w:t>万元，增长</w:t>
      </w:r>
      <w:r>
        <w:rPr>
          <w:rFonts w:hint="eastAsia" w:ascii="仿宋" w:hAnsi="仿宋" w:eastAsia="仿宋"/>
          <w:sz w:val="32"/>
          <w:szCs w:val="32"/>
          <w:lang w:val="en-US" w:eastAsia="zh-CN"/>
        </w:rPr>
        <w:t>15.45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项目工作增加，经费收、支随之增加</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8"/>
      </w:pPr>
      <w:r>
        <w:rPr>
          <w:rFonts w:hint="eastAsia"/>
          <w:lang w:val="en-US" w:eastAsia="zh-CN"/>
        </w:rPr>
        <w:t xml:space="preserve">    </w:t>
      </w:r>
      <w:r>
        <w:drawing>
          <wp:inline distT="0" distB="0" distL="114300" distR="114300">
            <wp:extent cx="4596130" cy="2200910"/>
            <wp:effectExtent l="0" t="0" r="635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96130" cy="2200910"/>
                    </a:xfrm>
                    <a:prstGeom prst="rect">
                      <a:avLst/>
                    </a:prstGeom>
                    <a:noFill/>
                    <a:ln>
                      <a:noFill/>
                    </a:ln>
                  </pic:spPr>
                </pic:pic>
              </a:graphicData>
            </a:graphic>
          </wp:inline>
        </w:drawing>
      </w:r>
    </w:p>
    <w:p>
      <w:pPr>
        <w:pStyle w:val="29"/>
        <w:numPr>
          <w:ilvl w:val="0"/>
          <w:numId w:val="2"/>
        </w:numPr>
        <w:spacing w:line="600" w:lineRule="exact"/>
        <w:ind w:firstLineChars="0"/>
        <w:outlineLvl w:val="1"/>
        <w:rPr>
          <w:rStyle w:val="31"/>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1"/>
          <w:rFonts w:hint="eastAsia" w:ascii="黑体" w:hAnsi="黑体" w:eastAsia="黑体"/>
          <w:b w:val="0"/>
        </w:rPr>
        <w:t>入决算情况说明</w:t>
      </w:r>
      <w:bookmarkEnd w:id="20"/>
      <w:bookmarkEnd w:id="21"/>
    </w:p>
    <w:p>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801.68</w:t>
      </w:r>
      <w:r>
        <w:rPr>
          <w:rFonts w:hint="eastAsia" w:ascii="仿宋" w:hAnsi="仿宋" w:eastAsia="仿宋"/>
          <w:sz w:val="32"/>
          <w:szCs w:val="32"/>
        </w:rPr>
        <w:t>万元，其中：一般公共预算财政拨款收入</w:t>
      </w:r>
      <w:r>
        <w:rPr>
          <w:sz w:val="32"/>
          <w:szCs w:val="32"/>
        </w:rPr>
        <w:t>789.74</w:t>
      </w:r>
      <w:r>
        <w:rPr>
          <w:rFonts w:hint="eastAsia" w:ascii="仿宋" w:hAnsi="仿宋" w:eastAsia="仿宋"/>
          <w:sz w:val="32"/>
          <w:szCs w:val="32"/>
        </w:rPr>
        <w:t>万元，占</w:t>
      </w:r>
      <w:r>
        <w:rPr>
          <w:sz w:val="32"/>
          <w:szCs w:val="32"/>
        </w:rPr>
        <w:t>9</w:t>
      </w:r>
      <w:r>
        <w:rPr>
          <w:rFonts w:hint="eastAsia"/>
          <w:sz w:val="32"/>
          <w:szCs w:val="32"/>
          <w:lang w:val="en-US" w:eastAsia="zh-CN"/>
        </w:rPr>
        <w:t>8.51</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11.88</w:t>
      </w:r>
      <w:r>
        <w:rPr>
          <w:rFonts w:hint="eastAsia" w:ascii="仿宋" w:hAnsi="仿宋" w:eastAsia="仿宋"/>
          <w:sz w:val="32"/>
          <w:szCs w:val="32"/>
        </w:rPr>
        <w:t>万元，占</w:t>
      </w:r>
      <w:r>
        <w:rPr>
          <w:sz w:val="32"/>
          <w:szCs w:val="32"/>
        </w:rPr>
        <w:t>1</w:t>
      </w:r>
      <w:r>
        <w:rPr>
          <w:rFonts w:hint="eastAsia"/>
          <w:sz w:val="32"/>
          <w:szCs w:val="32"/>
          <w:lang w:val="en-US" w:eastAsia="zh-CN"/>
        </w:rPr>
        <w:t>.48</w:t>
      </w:r>
      <w:r>
        <w:rPr>
          <w:rFonts w:ascii="仿宋" w:hAnsi="仿宋" w:eastAsia="仿宋"/>
          <w:sz w:val="32"/>
          <w:szCs w:val="32"/>
        </w:rPr>
        <w:t>%</w:t>
      </w:r>
      <w:r>
        <w:rPr>
          <w:rFonts w:hint="eastAsia" w:ascii="仿宋" w:hAnsi="仿宋" w:eastAsia="仿宋"/>
          <w:sz w:val="32"/>
          <w:szCs w:val="32"/>
        </w:rPr>
        <w:t>；其他收入</w:t>
      </w:r>
      <w:r>
        <w:rPr>
          <w:sz w:val="32"/>
          <w:szCs w:val="32"/>
        </w:rPr>
        <w:t>0.06</w:t>
      </w:r>
      <w:r>
        <w:rPr>
          <w:rFonts w:hint="eastAsia" w:ascii="仿宋" w:hAnsi="仿宋" w:eastAsia="仿宋"/>
          <w:sz w:val="32"/>
          <w:szCs w:val="32"/>
        </w:rPr>
        <w:t>万元，占</w:t>
      </w:r>
      <w:r>
        <w:rPr>
          <w:sz w:val="32"/>
          <w:szCs w:val="32"/>
        </w:rPr>
        <w:t>0</w:t>
      </w:r>
      <w:r>
        <w:rPr>
          <w:rFonts w:hint="eastAsia"/>
          <w:sz w:val="32"/>
          <w:szCs w:val="32"/>
          <w:lang w:val="en-US" w:eastAsia="zh-CN"/>
        </w:rPr>
        <w:t>.01</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w:t>
      </w:r>
    </w:p>
    <w:p>
      <w:pPr>
        <w:pStyle w:val="8"/>
        <w:rPr>
          <w:rFonts w:ascii="仿宋_GB2312" w:eastAsia="仿宋_GB2312"/>
          <w:sz w:val="32"/>
          <w:szCs w:val="32"/>
        </w:rPr>
      </w:pPr>
      <w:r>
        <w:rPr>
          <w:rFonts w:hint="eastAsia"/>
          <w:lang w:val="en-US" w:eastAsia="zh-CN"/>
        </w:rPr>
        <w:t xml:space="preserve">    </w:t>
      </w:r>
      <w:r>
        <w:drawing>
          <wp:inline distT="0" distB="0" distL="114300" distR="114300">
            <wp:extent cx="4596130" cy="2206625"/>
            <wp:effectExtent l="0" t="0" r="6350"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4596130" cy="2206625"/>
                    </a:xfrm>
                    <a:prstGeom prst="rect">
                      <a:avLst/>
                    </a:prstGeom>
                    <a:noFill/>
                    <a:ln>
                      <a:noFill/>
                    </a:ln>
                  </pic:spPr>
                </pic:pic>
              </a:graphicData>
            </a:graphic>
          </wp:inline>
        </w:drawing>
      </w:r>
    </w:p>
    <w:p/>
    <w:p>
      <w:pPr>
        <w:pStyle w:val="29"/>
        <w:numPr>
          <w:ilvl w:val="0"/>
          <w:numId w:val="2"/>
        </w:numPr>
        <w:spacing w:line="600" w:lineRule="exact"/>
        <w:ind w:firstLineChars="0"/>
        <w:outlineLvl w:val="1"/>
        <w:rPr>
          <w:rStyle w:val="31"/>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1"/>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sz w:val="32"/>
          <w:szCs w:val="32"/>
        </w:rPr>
        <w:t>1182.35</w:t>
      </w:r>
      <w:r>
        <w:rPr>
          <w:rFonts w:hint="eastAsia" w:ascii="仿宋" w:hAnsi="仿宋" w:eastAsia="仿宋"/>
          <w:sz w:val="32"/>
          <w:szCs w:val="32"/>
        </w:rPr>
        <w:t>万元，其中：基本支出</w:t>
      </w:r>
      <w:r>
        <w:rPr>
          <w:sz w:val="32"/>
          <w:szCs w:val="32"/>
        </w:rPr>
        <w:t>615.33</w:t>
      </w:r>
      <w:r>
        <w:rPr>
          <w:rFonts w:hint="eastAsia" w:ascii="仿宋" w:hAnsi="仿宋" w:eastAsia="仿宋"/>
          <w:sz w:val="32"/>
          <w:szCs w:val="32"/>
        </w:rPr>
        <w:t>万元，占</w:t>
      </w:r>
      <w:r>
        <w:rPr>
          <w:sz w:val="32"/>
          <w:szCs w:val="32"/>
        </w:rPr>
        <w:t>52</w:t>
      </w:r>
      <w:r>
        <w:rPr>
          <w:rFonts w:hint="eastAsia"/>
          <w:sz w:val="32"/>
          <w:szCs w:val="32"/>
          <w:lang w:val="en-US" w:eastAsia="zh-CN"/>
        </w:rPr>
        <w:t>.04</w:t>
      </w:r>
      <w:r>
        <w:rPr>
          <w:rFonts w:ascii="仿宋" w:hAnsi="仿宋" w:eastAsia="仿宋"/>
          <w:sz w:val="32"/>
          <w:szCs w:val="32"/>
        </w:rPr>
        <w:t>%</w:t>
      </w:r>
      <w:r>
        <w:rPr>
          <w:rFonts w:hint="eastAsia" w:ascii="仿宋" w:hAnsi="仿宋" w:eastAsia="仿宋"/>
          <w:sz w:val="32"/>
          <w:szCs w:val="32"/>
        </w:rPr>
        <w:t>；项目支出</w:t>
      </w:r>
      <w:r>
        <w:rPr>
          <w:sz w:val="32"/>
          <w:szCs w:val="32"/>
        </w:rPr>
        <w:t>567.02</w:t>
      </w:r>
      <w:r>
        <w:rPr>
          <w:rFonts w:hint="eastAsia" w:ascii="仿宋" w:hAnsi="仿宋" w:eastAsia="仿宋"/>
          <w:sz w:val="32"/>
          <w:szCs w:val="32"/>
        </w:rPr>
        <w:t>万元，占</w:t>
      </w:r>
      <w:r>
        <w:rPr>
          <w:sz w:val="32"/>
          <w:szCs w:val="32"/>
        </w:rPr>
        <w:t>4</w:t>
      </w:r>
      <w:r>
        <w:rPr>
          <w:rFonts w:hint="eastAsia"/>
          <w:sz w:val="32"/>
          <w:szCs w:val="32"/>
          <w:lang w:val="en-US" w:eastAsia="zh-CN"/>
        </w:rPr>
        <w:t>7.96</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w:t>
      </w:r>
    </w:p>
    <w:p>
      <w:pPr>
        <w:pStyle w:val="8"/>
      </w:pPr>
      <w:r>
        <w:rPr>
          <w:rFonts w:hint="eastAsia"/>
          <w:lang w:val="en-US" w:eastAsia="zh-CN"/>
        </w:rPr>
        <w:t xml:space="preserve">    </w:t>
      </w:r>
      <w:r>
        <w:drawing>
          <wp:inline distT="0" distB="0" distL="114300" distR="114300">
            <wp:extent cx="4596130" cy="2237105"/>
            <wp:effectExtent l="0" t="0" r="6350" b="317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8"/>
                    <a:stretch>
                      <a:fillRect/>
                    </a:stretch>
                  </pic:blipFill>
                  <pic:spPr>
                    <a:xfrm>
                      <a:off x="0" y="0"/>
                      <a:ext cx="4596130" cy="2237105"/>
                    </a:xfrm>
                    <a:prstGeom prst="rect">
                      <a:avLst/>
                    </a:prstGeom>
                    <a:noFill/>
                    <a:ln>
                      <a:noFill/>
                    </a:ln>
                  </pic:spPr>
                </pic:pic>
              </a:graphicData>
            </a:graphic>
          </wp:inline>
        </w:drawing>
      </w:r>
    </w:p>
    <w:p>
      <w:pPr>
        <w:spacing w:line="600" w:lineRule="exact"/>
        <w:ind w:firstLine="640" w:firstLineChars="200"/>
        <w:outlineLvl w:val="1"/>
        <w:rPr>
          <w:rStyle w:val="31"/>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sz w:val="32"/>
          <w:szCs w:val="32"/>
        </w:rPr>
        <w:t>1193.3</w:t>
      </w:r>
      <w:r>
        <w:rPr>
          <w:rFonts w:hint="eastAsia"/>
          <w:sz w:val="32"/>
          <w:szCs w:val="32"/>
          <w:lang w:val="en-US" w:eastAsia="zh-CN"/>
        </w:rPr>
        <w:t>0</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376.61</w:t>
      </w:r>
      <w:r>
        <w:rPr>
          <w:rFonts w:hint="eastAsia" w:ascii="仿宋" w:hAnsi="仿宋" w:eastAsia="仿宋"/>
          <w:sz w:val="32"/>
          <w:szCs w:val="32"/>
        </w:rPr>
        <w:t>万元，增长</w:t>
      </w:r>
      <w:r>
        <w:rPr>
          <w:rFonts w:hint="eastAsia" w:ascii="仿宋" w:hAnsi="仿宋" w:eastAsia="仿宋"/>
          <w:sz w:val="32"/>
          <w:szCs w:val="32"/>
          <w:lang w:val="en-US" w:eastAsia="zh-CN"/>
        </w:rPr>
        <w:t>46.11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项目工作增加，</w:t>
      </w:r>
      <w:r>
        <w:rPr>
          <w:rFonts w:hint="eastAsia" w:ascii="仿宋" w:hAnsi="仿宋" w:eastAsia="仿宋"/>
          <w:sz w:val="32"/>
          <w:szCs w:val="32"/>
        </w:rPr>
        <w:t>财政拨款</w:t>
      </w:r>
      <w:r>
        <w:rPr>
          <w:rFonts w:hint="eastAsia" w:ascii="仿宋" w:hAnsi="仿宋" w:eastAsia="仿宋"/>
          <w:sz w:val="32"/>
          <w:szCs w:val="32"/>
          <w:lang w:eastAsia="zh-CN"/>
        </w:rPr>
        <w:t>收、支随之增加</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pPr>
        <w:pStyle w:val="8"/>
      </w:pPr>
      <w:r>
        <w:rPr>
          <w:rFonts w:hint="eastAsia"/>
          <w:lang w:val="en-US" w:eastAsia="zh-CN"/>
        </w:rPr>
        <w:t xml:space="preserve">    </w:t>
      </w:r>
      <w:r>
        <w:drawing>
          <wp:inline distT="0" distB="0" distL="114300" distR="114300">
            <wp:extent cx="4596130" cy="2231390"/>
            <wp:effectExtent l="0" t="0" r="6350" b="889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4596130" cy="2231390"/>
                    </a:xfrm>
                    <a:prstGeom prst="rect">
                      <a:avLst/>
                    </a:prstGeom>
                    <a:noFill/>
                    <a:ln>
                      <a:noFill/>
                    </a:ln>
                  </pic:spPr>
                </pic:pic>
              </a:graphicData>
            </a:graphic>
          </wp:inline>
        </w:drawing>
      </w:r>
    </w:p>
    <w:p>
      <w:pPr>
        <w:spacing w:line="600" w:lineRule="exact"/>
        <w:ind w:firstLine="640" w:firstLineChars="200"/>
        <w:outlineLvl w:val="1"/>
        <w:rPr>
          <w:rStyle w:val="31"/>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839.4</w:t>
      </w:r>
      <w:r>
        <w:rPr>
          <w:rFonts w:hint="eastAsia"/>
          <w:sz w:val="32"/>
          <w:szCs w:val="32"/>
          <w:lang w:val="en-US" w:eastAsia="zh-CN"/>
        </w:rPr>
        <w:t>6</w:t>
      </w:r>
      <w:r>
        <w:rPr>
          <w:rFonts w:hint="eastAsia" w:ascii="仿宋" w:hAnsi="仿宋" w:eastAsia="仿宋"/>
          <w:sz w:val="32"/>
          <w:szCs w:val="32"/>
        </w:rPr>
        <w:t>万元，占本年支出合计的</w:t>
      </w:r>
      <w:r>
        <w:rPr>
          <w:sz w:val="32"/>
          <w:szCs w:val="32"/>
        </w:rPr>
        <w:t>7</w:t>
      </w:r>
      <w:r>
        <w:rPr>
          <w:rFonts w:hint="eastAsia"/>
          <w:sz w:val="32"/>
          <w:szCs w:val="32"/>
          <w:lang w:val="en-US" w:eastAsia="zh-CN"/>
        </w:rPr>
        <w:t>1</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266.79</w:t>
      </w:r>
      <w:r>
        <w:rPr>
          <w:rFonts w:hint="eastAsia" w:ascii="仿宋" w:hAnsi="仿宋" w:eastAsia="仿宋"/>
          <w:sz w:val="32"/>
          <w:szCs w:val="32"/>
        </w:rPr>
        <w:t>万元，增长</w:t>
      </w:r>
      <w:r>
        <w:rPr>
          <w:rFonts w:hint="eastAsia" w:ascii="仿宋" w:hAnsi="仿宋" w:eastAsia="仿宋"/>
          <w:sz w:val="32"/>
          <w:szCs w:val="32"/>
          <w:lang w:val="en-US" w:eastAsia="zh-CN"/>
        </w:rPr>
        <w:t>46.59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项目工作增加，</w:t>
      </w:r>
      <w:r>
        <w:rPr>
          <w:rFonts w:hint="eastAsia" w:ascii="仿宋" w:hAnsi="仿宋" w:eastAsia="仿宋"/>
          <w:sz w:val="32"/>
          <w:szCs w:val="32"/>
        </w:rPr>
        <w:t>一般公共预算财政拨款</w:t>
      </w:r>
      <w:r>
        <w:rPr>
          <w:rFonts w:hint="eastAsia" w:ascii="仿宋" w:hAnsi="仿宋" w:eastAsia="仿宋"/>
          <w:sz w:val="32"/>
          <w:szCs w:val="32"/>
          <w:lang w:eastAsia="zh-CN"/>
        </w:rPr>
        <w:t>支出随之增加</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pStyle w:val="8"/>
      </w:pPr>
      <w:r>
        <w:rPr>
          <w:rFonts w:hint="eastAsia"/>
          <w:lang w:val="en-US" w:eastAsia="zh-CN"/>
        </w:rPr>
        <w:t xml:space="preserve">    </w:t>
      </w:r>
      <w:r>
        <w:drawing>
          <wp:inline distT="0" distB="0" distL="114300" distR="114300">
            <wp:extent cx="4590415" cy="2218690"/>
            <wp:effectExtent l="0" t="0" r="12065" b="635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0"/>
                    <a:stretch>
                      <a:fillRect/>
                    </a:stretch>
                  </pic:blipFill>
                  <pic:spPr>
                    <a:xfrm>
                      <a:off x="0" y="0"/>
                      <a:ext cx="4590415" cy="2218690"/>
                    </a:xfrm>
                    <a:prstGeom prst="rect">
                      <a:avLst/>
                    </a:prstGeom>
                    <a:noFill/>
                    <a:ln>
                      <a:noFill/>
                    </a:ln>
                  </pic:spPr>
                </pic:pic>
              </a:graphicData>
            </a:graphic>
          </wp:inline>
        </w:drawing>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839.4</w:t>
      </w:r>
      <w:r>
        <w:rPr>
          <w:rFonts w:hint="eastAsia"/>
          <w:sz w:val="32"/>
          <w:szCs w:val="32"/>
          <w:lang w:val="en-US" w:eastAsia="zh-CN"/>
        </w:rPr>
        <w:t>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495.94</w:t>
      </w:r>
      <w:r>
        <w:rPr>
          <w:rFonts w:hint="eastAsia" w:ascii="仿宋" w:hAnsi="仿宋" w:eastAsia="仿宋"/>
          <w:sz w:val="32"/>
          <w:szCs w:val="32"/>
        </w:rPr>
        <w:t>万元，占</w:t>
      </w:r>
      <w:r>
        <w:rPr>
          <w:rFonts w:hint="eastAsia" w:ascii="仿宋" w:hAnsi="仿宋" w:eastAsia="仿宋"/>
          <w:sz w:val="32"/>
          <w:szCs w:val="32"/>
          <w:lang w:val="en-US" w:eastAsia="zh-CN"/>
        </w:rPr>
        <w:t>59.08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89.10</w:t>
      </w:r>
      <w:r>
        <w:rPr>
          <w:rFonts w:hint="eastAsia" w:ascii="仿宋" w:hAnsi="仿宋" w:eastAsia="仿宋"/>
          <w:sz w:val="32"/>
          <w:szCs w:val="32"/>
        </w:rPr>
        <w:t>万元，占</w:t>
      </w:r>
      <w:r>
        <w:rPr>
          <w:rFonts w:hint="eastAsia" w:ascii="仿宋" w:hAnsi="仿宋" w:eastAsia="仿宋"/>
          <w:sz w:val="32"/>
          <w:szCs w:val="32"/>
          <w:lang w:val="en-US" w:eastAsia="zh-CN"/>
        </w:rPr>
        <w:t>10.61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43.63</w:t>
      </w:r>
      <w:r>
        <w:rPr>
          <w:rFonts w:hint="eastAsia" w:ascii="仿宋" w:hAnsi="仿宋" w:eastAsia="仿宋"/>
          <w:sz w:val="32"/>
          <w:szCs w:val="32"/>
        </w:rPr>
        <w:t>万元，占</w:t>
      </w:r>
      <w:r>
        <w:rPr>
          <w:rFonts w:hint="eastAsia" w:ascii="仿宋" w:hAnsi="仿宋" w:eastAsia="仿宋"/>
          <w:sz w:val="32"/>
          <w:szCs w:val="32"/>
          <w:lang w:val="en-US" w:eastAsia="zh-CN"/>
        </w:rPr>
        <w:t>5.20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36.38</w:t>
      </w:r>
      <w:r>
        <w:rPr>
          <w:rFonts w:hint="eastAsia" w:ascii="仿宋" w:hAnsi="仿宋" w:eastAsia="仿宋"/>
          <w:sz w:val="32"/>
          <w:szCs w:val="32"/>
        </w:rPr>
        <w:t>万元，占</w:t>
      </w:r>
      <w:r>
        <w:rPr>
          <w:rFonts w:hint="eastAsia" w:ascii="仿宋" w:hAnsi="仿宋" w:eastAsia="仿宋"/>
          <w:sz w:val="32"/>
          <w:szCs w:val="32"/>
          <w:lang w:val="en-US" w:eastAsia="zh-CN"/>
        </w:rPr>
        <w:t>4.33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其他</w:t>
      </w:r>
      <w:r>
        <w:rPr>
          <w:rFonts w:hint="eastAsia" w:ascii="仿宋" w:hAnsi="仿宋" w:eastAsia="仿宋"/>
          <w:b/>
          <w:bCs/>
          <w:sz w:val="32"/>
          <w:szCs w:val="32"/>
        </w:rPr>
        <w:t>支出</w:t>
      </w:r>
      <w:r>
        <w:rPr>
          <w:rFonts w:hint="eastAsia" w:ascii="仿宋" w:hAnsi="仿宋" w:eastAsia="仿宋"/>
          <w:sz w:val="32"/>
          <w:szCs w:val="32"/>
          <w:lang w:val="en-US" w:eastAsia="zh-CN"/>
        </w:rPr>
        <w:t>174.41</w:t>
      </w:r>
      <w:r>
        <w:rPr>
          <w:rFonts w:hint="eastAsia" w:ascii="仿宋" w:hAnsi="仿宋" w:eastAsia="仿宋"/>
          <w:sz w:val="32"/>
          <w:szCs w:val="32"/>
        </w:rPr>
        <w:t>万元，占</w:t>
      </w:r>
      <w:r>
        <w:rPr>
          <w:rFonts w:hint="eastAsia" w:ascii="仿宋" w:hAnsi="仿宋" w:eastAsia="仿宋"/>
          <w:sz w:val="32"/>
          <w:szCs w:val="32"/>
          <w:lang w:val="en-US" w:eastAsia="zh-CN"/>
        </w:rPr>
        <w:t>20.78</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pStyle w:val="8"/>
      </w:pPr>
      <w:r>
        <w:rPr>
          <w:rFonts w:hint="eastAsia"/>
          <w:lang w:val="en-US" w:eastAsia="zh-CN"/>
        </w:rPr>
        <w:t xml:space="preserve">    </w:t>
      </w:r>
      <w:r>
        <w:drawing>
          <wp:inline distT="0" distB="0" distL="114300" distR="114300">
            <wp:extent cx="4596130" cy="2212975"/>
            <wp:effectExtent l="0" t="0" r="6350" b="1206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1"/>
                    <a:stretch>
                      <a:fillRect/>
                    </a:stretch>
                  </pic:blipFill>
                  <pic:spPr>
                    <a:xfrm>
                      <a:off x="0" y="0"/>
                      <a:ext cx="4596130" cy="2212975"/>
                    </a:xfrm>
                    <a:prstGeom prst="rect">
                      <a:avLst/>
                    </a:prstGeom>
                    <a:noFill/>
                    <a:ln>
                      <a:noFill/>
                    </a:ln>
                  </pic:spPr>
                </pic:pic>
              </a:graphicData>
            </a:graphic>
          </wp:inline>
        </w:drawing>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2023年度一般公共预算支出决算数为</w:t>
      </w:r>
      <w:r>
        <w:rPr>
          <w:sz w:val="32"/>
          <w:szCs w:val="32"/>
        </w:rPr>
        <w:t>839.4</w:t>
      </w:r>
      <w:r>
        <w:rPr>
          <w:rFonts w:hint="eastAsia"/>
          <w:sz w:val="32"/>
          <w:szCs w:val="32"/>
          <w:lang w:val="en-US" w:eastAsia="zh-CN"/>
        </w:rPr>
        <w:t>6</w:t>
      </w:r>
      <w:r>
        <w:rPr>
          <w:rFonts w:hint="eastAsia"/>
          <w:sz w:val="32"/>
          <w:szCs w:val="32"/>
          <w:lang w:eastAsia="zh-CN"/>
        </w:rPr>
        <w:t>万元</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pPr>
        <w:numPr>
          <w:ilvl w:val="0"/>
          <w:numId w:val="0"/>
        </w:num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一般公共服务（类）</w:t>
      </w:r>
      <w:r>
        <w:rPr>
          <w:rStyle w:val="19"/>
          <w:rFonts w:hint="eastAsia" w:ascii="仿宋" w:hAnsi="仿宋" w:eastAsia="仿宋"/>
          <w:bCs/>
          <w:color w:val="000000"/>
          <w:sz w:val="32"/>
          <w:szCs w:val="32"/>
        </w:rPr>
        <w:t>发展与改革事务（款）行政运行</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260.96</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lang w:eastAsia="zh-CN"/>
        </w:rPr>
        <w:t>。</w:t>
      </w:r>
    </w:p>
    <w:p>
      <w:pPr>
        <w:numPr>
          <w:ilvl w:val="0"/>
          <w:numId w:val="0"/>
        </w:numPr>
        <w:spacing w:line="600" w:lineRule="exact"/>
        <w:ind w:firstLine="643" w:firstLineChars="200"/>
        <w:rPr>
          <w:rStyle w:val="19"/>
          <w:rFonts w:hint="eastAsia" w:ascii="仿宋" w:hAnsi="仿宋" w:eastAsia="仿宋"/>
          <w:b w:val="0"/>
          <w:bCs/>
          <w:sz w:val="32"/>
          <w:szCs w:val="32"/>
          <w:lang w:eastAsia="zh-CN"/>
        </w:rPr>
      </w:pPr>
      <w:r>
        <w:rPr>
          <w:rStyle w:val="19"/>
          <w:rFonts w:hint="eastAsia" w:ascii="仿宋" w:hAnsi="仿宋" w:eastAsia="仿宋"/>
          <w:bCs/>
          <w:sz w:val="32"/>
          <w:szCs w:val="32"/>
        </w:rPr>
        <w:t>一般公共服务（类）</w:t>
      </w:r>
      <w:r>
        <w:rPr>
          <w:rStyle w:val="19"/>
          <w:rFonts w:hint="eastAsia" w:ascii="仿宋" w:hAnsi="仿宋" w:eastAsia="仿宋"/>
          <w:bCs/>
          <w:color w:val="000000"/>
          <w:sz w:val="32"/>
          <w:szCs w:val="32"/>
        </w:rPr>
        <w:t>发展与改革事务（款</w:t>
      </w:r>
      <w:r>
        <w:rPr>
          <w:rStyle w:val="19"/>
          <w:rFonts w:hint="eastAsia" w:ascii="仿宋" w:hAnsi="仿宋" w:eastAsia="仿宋"/>
          <w:bCs/>
          <w:color w:val="000000"/>
          <w:sz w:val="32"/>
          <w:szCs w:val="32"/>
          <w:lang w:eastAsia="zh-CN"/>
        </w:rPr>
        <w:t>）</w:t>
      </w:r>
      <w:r>
        <w:rPr>
          <w:rStyle w:val="19"/>
          <w:rFonts w:hint="eastAsia" w:ascii="仿宋" w:hAnsi="仿宋" w:eastAsia="仿宋" w:cstheme="minorBidi"/>
          <w:bCs/>
          <w:color w:val="000000"/>
          <w:sz w:val="32"/>
          <w:szCs w:val="32"/>
        </w:rPr>
        <w:t>事业运行</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支出决算为1</w:t>
      </w:r>
      <w:r>
        <w:rPr>
          <w:rStyle w:val="19"/>
          <w:rFonts w:hint="eastAsia" w:ascii="仿宋" w:hAnsi="仿宋" w:eastAsia="仿宋"/>
          <w:b w:val="0"/>
          <w:bCs/>
          <w:sz w:val="32"/>
          <w:szCs w:val="32"/>
          <w:lang w:val="en-US" w:eastAsia="zh-CN"/>
        </w:rPr>
        <w:t>85.26</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lang w:eastAsia="zh-CN"/>
        </w:rPr>
        <w:t>。</w:t>
      </w:r>
    </w:p>
    <w:p>
      <w:pPr>
        <w:numPr>
          <w:ilvl w:val="0"/>
          <w:numId w:val="0"/>
        </w:numPr>
        <w:spacing w:line="600" w:lineRule="exact"/>
        <w:ind w:firstLine="643" w:firstLineChars="200"/>
        <w:rPr>
          <w:rStyle w:val="19"/>
          <w:rFonts w:hint="eastAsia" w:ascii="仿宋" w:hAnsi="仿宋" w:eastAsia="仿宋"/>
          <w:b w:val="0"/>
          <w:bCs/>
          <w:color w:val="000000"/>
          <w:sz w:val="32"/>
          <w:szCs w:val="32"/>
          <w:lang w:eastAsia="zh-CN"/>
        </w:rPr>
      </w:pPr>
      <w:r>
        <w:rPr>
          <w:rStyle w:val="19"/>
          <w:rFonts w:hint="eastAsia" w:ascii="仿宋" w:hAnsi="仿宋" w:eastAsia="仿宋"/>
          <w:bCs/>
          <w:sz w:val="32"/>
          <w:szCs w:val="32"/>
        </w:rPr>
        <w:t>一般公共服务（类）</w:t>
      </w:r>
      <w:r>
        <w:rPr>
          <w:rStyle w:val="19"/>
          <w:rFonts w:hint="eastAsia" w:ascii="仿宋" w:hAnsi="仿宋" w:eastAsia="仿宋"/>
          <w:bCs/>
          <w:color w:val="000000"/>
          <w:sz w:val="32"/>
          <w:szCs w:val="32"/>
        </w:rPr>
        <w:t>发展与改革事务（款</w:t>
      </w:r>
      <w:r>
        <w:rPr>
          <w:rStyle w:val="19"/>
          <w:rFonts w:hint="eastAsia" w:ascii="仿宋" w:hAnsi="仿宋" w:eastAsia="仿宋"/>
          <w:bCs/>
          <w:color w:val="000000"/>
          <w:sz w:val="32"/>
          <w:szCs w:val="32"/>
          <w:lang w:eastAsia="zh-CN"/>
        </w:rPr>
        <w:t>）</w:t>
      </w:r>
      <w:r>
        <w:rPr>
          <w:rStyle w:val="19"/>
          <w:rFonts w:hint="eastAsia" w:ascii="仿宋" w:hAnsi="仿宋" w:eastAsia="仿宋"/>
          <w:bCs/>
          <w:color w:val="000000"/>
          <w:sz w:val="32"/>
          <w:szCs w:val="32"/>
        </w:rPr>
        <w:t>其他发展与改革事务支出（项）</w:t>
      </w:r>
      <w:r>
        <w:rPr>
          <w:rStyle w:val="19"/>
          <w:rFonts w:ascii="仿宋" w:hAnsi="仿宋" w:eastAsia="仿宋"/>
          <w:bCs/>
          <w:color w:val="000000"/>
          <w:sz w:val="32"/>
          <w:szCs w:val="32"/>
        </w:rPr>
        <w:t>:</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49.72</w:t>
      </w:r>
      <w:r>
        <w:rPr>
          <w:rStyle w:val="19"/>
          <w:rFonts w:hint="eastAsia" w:ascii="仿宋" w:hAnsi="仿宋" w:eastAsia="仿宋"/>
          <w:b w:val="0"/>
          <w:bCs/>
          <w:color w:val="000000"/>
          <w:sz w:val="32"/>
          <w:szCs w:val="32"/>
        </w:rPr>
        <w:t>万元，完成预算10</w:t>
      </w:r>
      <w:r>
        <w:rPr>
          <w:rStyle w:val="19"/>
          <w:rFonts w:hint="eastAsia" w:ascii="仿宋" w:hAnsi="仿宋" w:eastAsia="仿宋"/>
          <w:b w:val="0"/>
          <w:bCs/>
          <w:color w:val="000000"/>
          <w:sz w:val="32"/>
          <w:szCs w:val="32"/>
          <w:lang w:val="en-US" w:eastAsia="zh-CN"/>
        </w:rPr>
        <w:t>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lang w:eastAsia="zh-CN"/>
        </w:rPr>
        <w:t>。</w:t>
      </w:r>
    </w:p>
    <w:p>
      <w:pPr>
        <w:numPr>
          <w:ilvl w:val="0"/>
          <w:numId w:val="0"/>
        </w:numPr>
        <w:spacing w:line="480" w:lineRule="auto"/>
        <w:ind w:firstLine="643" w:firstLineChars="200"/>
        <w:rPr>
          <w:rStyle w:val="19"/>
          <w:rFonts w:hint="eastAsia" w:ascii="仿宋_GB2312" w:hAnsi="仿宋" w:eastAsia="仿宋_GB2312"/>
          <w:b w:val="0"/>
          <w:bCs w:val="0"/>
          <w:color w:val="000000"/>
          <w:sz w:val="32"/>
          <w:szCs w:val="32"/>
        </w:rPr>
      </w:pPr>
      <w:r>
        <w:rPr>
          <w:rStyle w:val="19"/>
          <w:rFonts w:hint="eastAsia" w:ascii="仿宋_GB2312" w:hAnsi="仿宋" w:eastAsia="仿宋_GB2312"/>
          <w:bCs/>
          <w:color w:val="000000"/>
          <w:sz w:val="32"/>
          <w:szCs w:val="32"/>
          <w:lang w:val="en-US" w:eastAsia="zh-CN"/>
        </w:rPr>
        <w:t>2.</w:t>
      </w:r>
      <w:r>
        <w:rPr>
          <w:rStyle w:val="19"/>
          <w:rFonts w:hint="eastAsia" w:ascii="仿宋_GB2312" w:hAnsi="仿宋" w:eastAsia="仿宋_GB2312"/>
          <w:bCs/>
          <w:color w:val="000000"/>
          <w:sz w:val="32"/>
          <w:szCs w:val="32"/>
        </w:rPr>
        <w:t xml:space="preserve">社会保障和就业支出（类）行政事业单位养老支出（款）行政单位离退休（项）: </w:t>
      </w:r>
      <w:r>
        <w:rPr>
          <w:rStyle w:val="19"/>
          <w:rFonts w:hint="eastAsia" w:ascii="仿宋_GB2312" w:hAnsi="仿宋" w:eastAsia="仿宋_GB2312"/>
          <w:b w:val="0"/>
          <w:bCs w:val="0"/>
          <w:color w:val="000000"/>
          <w:sz w:val="32"/>
          <w:szCs w:val="32"/>
        </w:rPr>
        <w:t>支出决算为</w:t>
      </w:r>
      <w:r>
        <w:rPr>
          <w:rStyle w:val="19"/>
          <w:rFonts w:hint="eastAsia" w:ascii="仿宋_GB2312" w:hAnsi="仿宋" w:eastAsia="仿宋_GB2312"/>
          <w:b w:val="0"/>
          <w:bCs w:val="0"/>
          <w:color w:val="000000"/>
          <w:sz w:val="32"/>
          <w:szCs w:val="32"/>
          <w:lang w:val="en-US" w:eastAsia="zh-CN"/>
        </w:rPr>
        <w:t>7.88</w:t>
      </w:r>
      <w:r>
        <w:rPr>
          <w:rStyle w:val="19"/>
          <w:rFonts w:hint="eastAsia" w:ascii="仿宋_GB2312" w:hAnsi="仿宋" w:eastAsia="仿宋_GB2312"/>
          <w:b w:val="0"/>
          <w:bCs w:val="0"/>
          <w:color w:val="000000"/>
          <w:sz w:val="32"/>
          <w:szCs w:val="32"/>
        </w:rPr>
        <w:t>万元，完成预算100%</w:t>
      </w:r>
      <w:r>
        <w:rPr>
          <w:rStyle w:val="19"/>
          <w:rFonts w:hint="eastAsia" w:ascii="仿宋_GB2312" w:hAnsi="仿宋" w:eastAsia="仿宋_GB2312"/>
          <w:b w:val="0"/>
          <w:bCs w:val="0"/>
          <w:color w:val="000000"/>
          <w:sz w:val="32"/>
          <w:szCs w:val="32"/>
          <w:lang w:eastAsia="zh-CN"/>
        </w:rPr>
        <w:t>。</w:t>
      </w:r>
    </w:p>
    <w:p>
      <w:pPr>
        <w:numPr>
          <w:ilvl w:val="0"/>
          <w:numId w:val="0"/>
        </w:numPr>
        <w:spacing w:line="480" w:lineRule="auto"/>
        <w:ind w:leftChars="200" w:firstLine="321" w:firstLineChars="100"/>
        <w:rPr>
          <w:rStyle w:val="19"/>
          <w:rFonts w:hint="eastAsia" w:ascii="仿宋_GB2312" w:hAnsi="仿宋" w:eastAsia="仿宋_GB2312"/>
          <w:bCs/>
          <w:color w:val="000000"/>
          <w:sz w:val="32"/>
          <w:szCs w:val="32"/>
        </w:rPr>
      </w:pPr>
      <w:r>
        <w:rPr>
          <w:rStyle w:val="19"/>
          <w:rFonts w:hint="eastAsia" w:ascii="仿宋_GB2312" w:hAnsi="仿宋" w:eastAsia="仿宋_GB2312"/>
          <w:bCs/>
          <w:color w:val="000000"/>
          <w:sz w:val="32"/>
          <w:szCs w:val="32"/>
        </w:rPr>
        <w:t>社会保障和就业支出（类）行政事业单位养老支出（款）</w:t>
      </w:r>
    </w:p>
    <w:p>
      <w:pPr>
        <w:numPr>
          <w:ilvl w:val="0"/>
          <w:numId w:val="0"/>
        </w:numPr>
        <w:spacing w:line="480" w:lineRule="auto"/>
        <w:rPr>
          <w:rStyle w:val="19"/>
          <w:rFonts w:hint="eastAsia" w:ascii="仿宋_GB2312" w:hAnsi="仿宋" w:eastAsia="仿宋_GB2312"/>
          <w:b w:val="0"/>
          <w:bCs w:val="0"/>
          <w:color w:val="000000"/>
          <w:sz w:val="32"/>
          <w:szCs w:val="32"/>
          <w:lang w:eastAsia="zh-CN"/>
        </w:rPr>
      </w:pPr>
      <w:r>
        <w:rPr>
          <w:rStyle w:val="19"/>
          <w:rFonts w:hint="eastAsia" w:ascii="仿宋_GB2312" w:hAnsi="仿宋" w:eastAsia="仿宋_GB2312"/>
          <w:b/>
          <w:bCs/>
          <w:color w:val="000000"/>
          <w:sz w:val="32"/>
          <w:szCs w:val="32"/>
          <w:lang w:eastAsia="zh-CN"/>
        </w:rPr>
        <w:t>事业</w:t>
      </w:r>
      <w:r>
        <w:rPr>
          <w:rStyle w:val="19"/>
          <w:rFonts w:hint="eastAsia" w:ascii="仿宋_GB2312" w:hAnsi="仿宋" w:eastAsia="仿宋_GB2312"/>
          <w:bCs/>
          <w:color w:val="000000"/>
          <w:sz w:val="32"/>
          <w:szCs w:val="32"/>
        </w:rPr>
        <w:t xml:space="preserve">单位离退休（项）: </w:t>
      </w:r>
      <w:r>
        <w:rPr>
          <w:rStyle w:val="19"/>
          <w:rFonts w:hint="eastAsia" w:ascii="仿宋_GB2312" w:hAnsi="仿宋" w:eastAsia="仿宋_GB2312"/>
          <w:b w:val="0"/>
          <w:bCs w:val="0"/>
          <w:color w:val="000000"/>
          <w:sz w:val="32"/>
          <w:szCs w:val="32"/>
        </w:rPr>
        <w:t>支出决算为1.63万元，完成预算100%</w:t>
      </w:r>
      <w:r>
        <w:rPr>
          <w:rStyle w:val="19"/>
          <w:rFonts w:hint="eastAsia" w:ascii="仿宋_GB2312" w:hAnsi="仿宋" w:eastAsia="仿宋_GB2312"/>
          <w:b w:val="0"/>
          <w:bCs w:val="0"/>
          <w:color w:val="000000"/>
          <w:sz w:val="32"/>
          <w:szCs w:val="32"/>
          <w:lang w:eastAsia="zh-CN"/>
        </w:rPr>
        <w:t>。</w:t>
      </w:r>
    </w:p>
    <w:p>
      <w:pPr>
        <w:numPr>
          <w:ilvl w:val="0"/>
          <w:numId w:val="0"/>
        </w:numPr>
        <w:spacing w:line="480" w:lineRule="auto"/>
        <w:ind w:firstLine="643" w:firstLineChars="200"/>
        <w:rPr>
          <w:rStyle w:val="19"/>
          <w:rFonts w:hint="eastAsia" w:ascii="仿宋_GB2312" w:hAnsi="仿宋" w:eastAsia="仿宋_GB2312"/>
          <w:b w:val="0"/>
          <w:bCs w:val="0"/>
          <w:color w:val="000000"/>
          <w:sz w:val="32"/>
          <w:szCs w:val="32"/>
          <w:lang w:eastAsia="zh-CN"/>
        </w:rPr>
      </w:pPr>
      <w:r>
        <w:rPr>
          <w:rStyle w:val="19"/>
          <w:rFonts w:hint="eastAsia" w:ascii="仿宋_GB2312" w:hAnsi="仿宋" w:eastAsia="仿宋_GB2312"/>
          <w:bCs/>
          <w:color w:val="000000"/>
          <w:sz w:val="32"/>
          <w:szCs w:val="32"/>
        </w:rPr>
        <w:t>社会保障和就业支出（类）行政事业单位养老支出（款）机关事业单位基本养老保险缴费支出（项）:</w:t>
      </w:r>
      <w:r>
        <w:rPr>
          <w:rStyle w:val="19"/>
          <w:rFonts w:hint="eastAsia" w:ascii="仿宋_GB2312" w:hAnsi="仿宋" w:eastAsia="仿宋_GB2312"/>
          <w:b w:val="0"/>
          <w:bCs w:val="0"/>
          <w:color w:val="000000"/>
          <w:sz w:val="32"/>
          <w:szCs w:val="32"/>
        </w:rPr>
        <w:t xml:space="preserve"> 支出决算为</w:t>
      </w:r>
      <w:r>
        <w:rPr>
          <w:rStyle w:val="19"/>
          <w:rFonts w:hint="eastAsia" w:ascii="仿宋_GB2312" w:hAnsi="仿宋" w:eastAsia="仿宋_GB2312"/>
          <w:b w:val="0"/>
          <w:bCs w:val="0"/>
          <w:color w:val="000000"/>
          <w:sz w:val="32"/>
          <w:szCs w:val="32"/>
          <w:lang w:val="en-US" w:eastAsia="zh-CN"/>
        </w:rPr>
        <w:t>50.94</w:t>
      </w:r>
      <w:r>
        <w:rPr>
          <w:rStyle w:val="19"/>
          <w:rFonts w:hint="eastAsia" w:ascii="仿宋_GB2312" w:hAnsi="仿宋" w:eastAsia="仿宋_GB2312"/>
          <w:b w:val="0"/>
          <w:bCs w:val="0"/>
          <w:color w:val="000000"/>
          <w:sz w:val="32"/>
          <w:szCs w:val="32"/>
        </w:rPr>
        <w:t>万元，完成预算100%</w:t>
      </w:r>
      <w:r>
        <w:rPr>
          <w:rStyle w:val="19"/>
          <w:rFonts w:hint="eastAsia" w:ascii="仿宋_GB2312" w:hAnsi="仿宋" w:eastAsia="仿宋_GB2312"/>
          <w:b w:val="0"/>
          <w:bCs w:val="0"/>
          <w:color w:val="000000"/>
          <w:sz w:val="32"/>
          <w:szCs w:val="32"/>
          <w:lang w:eastAsia="zh-CN"/>
        </w:rPr>
        <w:t>。</w:t>
      </w:r>
    </w:p>
    <w:p>
      <w:pPr>
        <w:numPr>
          <w:ilvl w:val="0"/>
          <w:numId w:val="0"/>
        </w:numPr>
        <w:spacing w:line="480" w:lineRule="auto"/>
        <w:ind w:firstLine="643" w:firstLineChars="200"/>
        <w:rPr>
          <w:rStyle w:val="19"/>
          <w:rFonts w:hint="eastAsia" w:ascii="仿宋_GB2312" w:hAnsi="仿宋" w:eastAsia="仿宋_GB2312"/>
          <w:b w:val="0"/>
          <w:bCs w:val="0"/>
          <w:color w:val="000000"/>
          <w:sz w:val="32"/>
          <w:szCs w:val="32"/>
          <w:lang w:eastAsia="zh-CN"/>
        </w:rPr>
      </w:pPr>
      <w:r>
        <w:rPr>
          <w:rStyle w:val="19"/>
          <w:rFonts w:hint="eastAsia" w:ascii="仿宋_GB2312" w:hAnsi="仿宋" w:eastAsia="仿宋_GB2312"/>
          <w:bCs/>
          <w:color w:val="000000"/>
          <w:sz w:val="32"/>
          <w:szCs w:val="32"/>
        </w:rPr>
        <w:t>社会保障和就业支出（类）行政事业单位养老支出（款）</w:t>
      </w:r>
      <w:r>
        <w:rPr>
          <w:rStyle w:val="19"/>
          <w:rFonts w:hint="eastAsia" w:ascii="仿宋_GB2312" w:hAnsi="仿宋" w:eastAsia="仿宋_GB2312" w:cstheme="minorBidi"/>
          <w:bCs/>
          <w:color w:val="000000"/>
          <w:sz w:val="32"/>
          <w:szCs w:val="32"/>
          <w:lang w:eastAsia="zh-CN"/>
        </w:rPr>
        <w:t>机关事业单位职业年金缴费支出</w:t>
      </w:r>
      <w:r>
        <w:rPr>
          <w:rStyle w:val="19"/>
          <w:rFonts w:hint="eastAsia" w:ascii="仿宋_GB2312" w:hAnsi="仿宋" w:eastAsia="仿宋_GB2312"/>
          <w:bCs/>
          <w:color w:val="000000"/>
          <w:sz w:val="32"/>
          <w:szCs w:val="32"/>
        </w:rPr>
        <w:t>（项）:</w:t>
      </w:r>
      <w:r>
        <w:rPr>
          <w:rStyle w:val="19"/>
          <w:rFonts w:hint="eastAsia" w:ascii="仿宋_GB2312" w:hAnsi="仿宋" w:eastAsia="仿宋_GB2312"/>
          <w:b w:val="0"/>
          <w:bCs w:val="0"/>
          <w:color w:val="000000"/>
          <w:sz w:val="32"/>
          <w:szCs w:val="32"/>
        </w:rPr>
        <w:t xml:space="preserve"> 支出决算为</w:t>
      </w:r>
      <w:r>
        <w:rPr>
          <w:rStyle w:val="19"/>
          <w:rFonts w:hint="eastAsia" w:ascii="仿宋_GB2312" w:hAnsi="仿宋" w:eastAsia="仿宋_GB2312"/>
          <w:b w:val="0"/>
          <w:bCs w:val="0"/>
          <w:color w:val="000000"/>
          <w:sz w:val="32"/>
          <w:szCs w:val="32"/>
          <w:lang w:val="en-US" w:eastAsia="zh-CN"/>
        </w:rPr>
        <w:t>7.60</w:t>
      </w:r>
      <w:r>
        <w:rPr>
          <w:rStyle w:val="19"/>
          <w:rFonts w:hint="eastAsia" w:ascii="仿宋_GB2312" w:hAnsi="仿宋" w:eastAsia="仿宋_GB2312"/>
          <w:b w:val="0"/>
          <w:bCs w:val="0"/>
          <w:color w:val="000000"/>
          <w:sz w:val="32"/>
          <w:szCs w:val="32"/>
        </w:rPr>
        <w:t>万元，完成预算100%</w:t>
      </w:r>
      <w:r>
        <w:rPr>
          <w:rStyle w:val="19"/>
          <w:rFonts w:hint="eastAsia" w:ascii="仿宋_GB2312" w:hAnsi="仿宋" w:eastAsia="仿宋_GB2312"/>
          <w:b w:val="0"/>
          <w:bCs w:val="0"/>
          <w:color w:val="000000"/>
          <w:sz w:val="32"/>
          <w:szCs w:val="32"/>
          <w:lang w:eastAsia="zh-CN"/>
        </w:rPr>
        <w:t>。</w:t>
      </w:r>
    </w:p>
    <w:p>
      <w:pPr>
        <w:numPr>
          <w:ilvl w:val="0"/>
          <w:numId w:val="0"/>
        </w:numPr>
        <w:spacing w:line="480" w:lineRule="auto"/>
        <w:ind w:firstLine="643" w:firstLineChars="200"/>
        <w:rPr>
          <w:rStyle w:val="19"/>
          <w:rFonts w:hint="eastAsia" w:ascii="仿宋_GB2312" w:hAnsi="仿宋" w:eastAsia="仿宋_GB2312"/>
          <w:b w:val="0"/>
          <w:bCs w:val="0"/>
          <w:color w:val="000000"/>
          <w:sz w:val="32"/>
          <w:szCs w:val="32"/>
          <w:lang w:val="en-US" w:eastAsia="zh-CN"/>
        </w:rPr>
      </w:pPr>
      <w:r>
        <w:rPr>
          <w:rStyle w:val="19"/>
          <w:rFonts w:hint="eastAsia" w:ascii="仿宋_GB2312" w:hAnsi="仿宋" w:eastAsia="仿宋_GB2312"/>
          <w:bCs/>
          <w:color w:val="000000"/>
          <w:sz w:val="32"/>
          <w:szCs w:val="32"/>
        </w:rPr>
        <w:t>社会保障和就业支出（类）行政事业单位养老支出（款）</w:t>
      </w:r>
      <w:r>
        <w:rPr>
          <w:rStyle w:val="19"/>
          <w:rFonts w:hint="eastAsia" w:ascii="仿宋_GB2312" w:hAnsi="仿宋" w:eastAsia="仿宋_GB2312" w:cstheme="minorBidi"/>
          <w:bCs/>
          <w:color w:val="000000"/>
          <w:sz w:val="32"/>
          <w:szCs w:val="32"/>
          <w:lang w:eastAsia="zh-CN"/>
        </w:rPr>
        <w:t>抚恤（</w:t>
      </w:r>
      <w:r>
        <w:rPr>
          <w:rStyle w:val="19"/>
          <w:rFonts w:hint="eastAsia" w:ascii="仿宋_GB2312" w:hAnsi="仿宋" w:eastAsia="仿宋_GB2312"/>
          <w:bCs/>
          <w:color w:val="000000"/>
          <w:sz w:val="32"/>
          <w:szCs w:val="32"/>
        </w:rPr>
        <w:t>款）</w:t>
      </w:r>
      <w:r>
        <w:rPr>
          <w:rStyle w:val="19"/>
          <w:rFonts w:hint="eastAsia" w:ascii="仿宋_GB2312" w:hAnsi="仿宋" w:eastAsia="仿宋_GB2312"/>
          <w:bCs/>
          <w:color w:val="000000"/>
          <w:sz w:val="32"/>
          <w:szCs w:val="32"/>
          <w:lang w:eastAsia="zh-CN"/>
        </w:rPr>
        <w:t>死亡抚恤</w:t>
      </w:r>
      <w:r>
        <w:rPr>
          <w:rStyle w:val="19"/>
          <w:rFonts w:hint="eastAsia" w:ascii="仿宋_GB2312" w:hAnsi="仿宋" w:eastAsia="仿宋_GB2312"/>
          <w:bCs/>
          <w:color w:val="000000"/>
          <w:sz w:val="32"/>
          <w:szCs w:val="32"/>
        </w:rPr>
        <w:t xml:space="preserve">（项）: </w:t>
      </w:r>
      <w:r>
        <w:rPr>
          <w:rStyle w:val="19"/>
          <w:rFonts w:hint="eastAsia" w:ascii="仿宋_GB2312" w:hAnsi="仿宋" w:eastAsia="仿宋_GB2312"/>
          <w:b w:val="0"/>
          <w:bCs w:val="0"/>
          <w:color w:val="000000"/>
          <w:sz w:val="32"/>
          <w:szCs w:val="32"/>
        </w:rPr>
        <w:t>支出决算为</w:t>
      </w:r>
      <w:r>
        <w:rPr>
          <w:rStyle w:val="19"/>
          <w:rFonts w:hint="eastAsia" w:ascii="仿宋_GB2312" w:hAnsi="仿宋" w:eastAsia="仿宋_GB2312"/>
          <w:b w:val="0"/>
          <w:bCs w:val="0"/>
          <w:color w:val="000000"/>
          <w:sz w:val="32"/>
          <w:szCs w:val="32"/>
          <w:lang w:val="en-US" w:eastAsia="zh-CN"/>
        </w:rPr>
        <w:t>21.05</w:t>
      </w:r>
      <w:r>
        <w:rPr>
          <w:rStyle w:val="19"/>
          <w:rFonts w:hint="eastAsia" w:ascii="仿宋_GB2312" w:hAnsi="仿宋" w:eastAsia="仿宋_GB2312"/>
          <w:b w:val="0"/>
          <w:bCs w:val="0"/>
          <w:color w:val="000000"/>
          <w:sz w:val="32"/>
          <w:szCs w:val="32"/>
        </w:rPr>
        <w:t>万元，完成预算100%</w:t>
      </w:r>
      <w:r>
        <w:rPr>
          <w:rStyle w:val="19"/>
          <w:rFonts w:hint="eastAsia" w:ascii="仿宋_GB2312" w:hAnsi="仿宋" w:eastAsia="仿宋_GB2312"/>
          <w:b w:val="0"/>
          <w:bCs w:val="0"/>
          <w:color w:val="000000"/>
          <w:sz w:val="32"/>
          <w:szCs w:val="32"/>
          <w:lang w:eastAsia="zh-CN"/>
        </w:rPr>
        <w:t>。</w:t>
      </w:r>
    </w:p>
    <w:p>
      <w:pPr>
        <w:numPr>
          <w:ilvl w:val="0"/>
          <w:numId w:val="0"/>
        </w:numPr>
        <w:spacing w:line="600" w:lineRule="exact"/>
        <w:ind w:firstLine="643" w:firstLineChars="200"/>
        <w:rPr>
          <w:rStyle w:val="19"/>
          <w:rFonts w:hint="eastAsia" w:ascii="仿宋_GB2312" w:hAnsi="仿宋" w:eastAsia="仿宋_GB2312"/>
          <w:b w:val="0"/>
          <w:bCs w:val="0"/>
          <w:color w:val="000000"/>
          <w:sz w:val="32"/>
          <w:szCs w:val="32"/>
          <w:lang w:eastAsia="zh-CN"/>
        </w:rPr>
      </w:pPr>
      <w:r>
        <w:rPr>
          <w:rStyle w:val="19"/>
          <w:rFonts w:hint="eastAsia" w:ascii="仿宋_GB2312" w:hAnsi="仿宋" w:eastAsia="仿宋_GB2312"/>
          <w:b/>
          <w:bCs/>
          <w:color w:val="000000"/>
          <w:sz w:val="32"/>
          <w:szCs w:val="32"/>
          <w:lang w:val="en-US" w:eastAsia="zh-CN"/>
        </w:rPr>
        <w:t>3.</w:t>
      </w:r>
      <w:r>
        <w:rPr>
          <w:rStyle w:val="19"/>
          <w:rFonts w:hint="eastAsia" w:ascii="仿宋_GB2312" w:hAnsi="仿宋" w:eastAsia="仿宋_GB2312"/>
          <w:b/>
          <w:bCs/>
          <w:color w:val="000000"/>
          <w:sz w:val="32"/>
          <w:szCs w:val="32"/>
        </w:rPr>
        <w:t>卫生健康支出（类）行政事业单位医疗（款）行政单</w:t>
      </w:r>
      <w:r>
        <w:rPr>
          <w:rStyle w:val="19"/>
          <w:rFonts w:hint="eastAsia" w:ascii="仿宋_GB2312" w:hAnsi="仿宋" w:eastAsia="仿宋_GB2312"/>
          <w:bCs/>
          <w:color w:val="000000"/>
          <w:sz w:val="32"/>
          <w:szCs w:val="32"/>
        </w:rPr>
        <w:t>位医疗（项）:</w:t>
      </w:r>
      <w:r>
        <w:rPr>
          <w:rStyle w:val="19"/>
          <w:rFonts w:hint="eastAsia" w:ascii="仿宋_GB2312" w:hAnsi="仿宋" w:eastAsia="仿宋_GB2312"/>
          <w:b w:val="0"/>
          <w:bCs w:val="0"/>
          <w:color w:val="000000"/>
          <w:sz w:val="32"/>
          <w:szCs w:val="32"/>
        </w:rPr>
        <w:t>支出决算为</w:t>
      </w:r>
      <w:r>
        <w:rPr>
          <w:rStyle w:val="19"/>
          <w:rFonts w:hint="eastAsia" w:ascii="仿宋_GB2312" w:hAnsi="仿宋" w:eastAsia="仿宋_GB2312"/>
          <w:b w:val="0"/>
          <w:bCs w:val="0"/>
          <w:color w:val="000000"/>
          <w:sz w:val="32"/>
          <w:szCs w:val="32"/>
          <w:lang w:val="en-US" w:eastAsia="zh-CN"/>
        </w:rPr>
        <w:t>14.77</w:t>
      </w:r>
      <w:r>
        <w:rPr>
          <w:rStyle w:val="19"/>
          <w:rFonts w:hint="eastAsia" w:ascii="仿宋_GB2312" w:hAnsi="仿宋" w:eastAsia="仿宋_GB2312"/>
          <w:b w:val="0"/>
          <w:bCs w:val="0"/>
          <w:color w:val="000000"/>
          <w:sz w:val="32"/>
          <w:szCs w:val="32"/>
        </w:rPr>
        <w:t>万元，完成预算100%</w:t>
      </w:r>
      <w:r>
        <w:rPr>
          <w:rStyle w:val="19"/>
          <w:rFonts w:hint="eastAsia" w:ascii="仿宋_GB2312" w:hAnsi="仿宋" w:eastAsia="仿宋_GB2312"/>
          <w:b w:val="0"/>
          <w:bCs w:val="0"/>
          <w:color w:val="000000"/>
          <w:sz w:val="32"/>
          <w:szCs w:val="32"/>
          <w:lang w:eastAsia="zh-CN"/>
        </w:rPr>
        <w:t>。</w:t>
      </w:r>
    </w:p>
    <w:p>
      <w:pPr>
        <w:numPr>
          <w:ilvl w:val="0"/>
          <w:numId w:val="0"/>
        </w:numPr>
        <w:spacing w:line="600" w:lineRule="exact"/>
        <w:ind w:leftChars="200" w:firstLine="321" w:firstLineChars="100"/>
        <w:rPr>
          <w:rStyle w:val="19"/>
          <w:rFonts w:hint="eastAsia" w:ascii="仿宋_GB2312" w:hAnsi="仿宋" w:eastAsia="仿宋_GB2312"/>
          <w:bCs/>
          <w:color w:val="000000"/>
          <w:sz w:val="32"/>
          <w:szCs w:val="32"/>
        </w:rPr>
      </w:pPr>
      <w:r>
        <w:rPr>
          <w:rStyle w:val="19"/>
          <w:rFonts w:hint="eastAsia" w:ascii="仿宋_GB2312" w:hAnsi="仿宋" w:eastAsia="仿宋_GB2312"/>
          <w:b/>
          <w:bCs/>
          <w:color w:val="000000"/>
          <w:sz w:val="32"/>
          <w:szCs w:val="32"/>
        </w:rPr>
        <w:t>卫生健康支出（类）行政事业单位医疗（款）</w:t>
      </w:r>
      <w:r>
        <w:rPr>
          <w:rStyle w:val="19"/>
          <w:rFonts w:hint="eastAsia" w:ascii="仿宋_GB2312" w:hAnsi="仿宋" w:eastAsia="仿宋_GB2312"/>
          <w:bCs/>
          <w:color w:val="000000"/>
          <w:sz w:val="32"/>
          <w:szCs w:val="32"/>
          <w:lang w:eastAsia="zh-CN"/>
        </w:rPr>
        <w:t>事业</w:t>
      </w:r>
      <w:r>
        <w:rPr>
          <w:rStyle w:val="19"/>
          <w:rFonts w:hint="eastAsia" w:ascii="仿宋_GB2312" w:hAnsi="仿宋" w:eastAsia="仿宋_GB2312"/>
          <w:bCs/>
          <w:color w:val="000000"/>
          <w:sz w:val="32"/>
          <w:szCs w:val="32"/>
        </w:rPr>
        <w:t>单位</w:t>
      </w:r>
    </w:p>
    <w:p>
      <w:pPr>
        <w:numPr>
          <w:ilvl w:val="0"/>
          <w:numId w:val="0"/>
        </w:numPr>
        <w:spacing w:line="600" w:lineRule="exact"/>
        <w:rPr>
          <w:rStyle w:val="19"/>
          <w:rFonts w:hint="eastAsia" w:ascii="仿宋_GB2312" w:hAnsi="仿宋" w:eastAsia="仿宋_GB2312"/>
          <w:b w:val="0"/>
          <w:bCs w:val="0"/>
          <w:color w:val="000000"/>
          <w:sz w:val="32"/>
          <w:szCs w:val="32"/>
          <w:lang w:eastAsia="zh-CN"/>
        </w:rPr>
      </w:pPr>
      <w:r>
        <w:rPr>
          <w:rStyle w:val="19"/>
          <w:rFonts w:hint="eastAsia" w:ascii="仿宋_GB2312" w:hAnsi="仿宋" w:eastAsia="仿宋_GB2312"/>
          <w:bCs/>
          <w:color w:val="000000"/>
          <w:sz w:val="32"/>
          <w:szCs w:val="32"/>
        </w:rPr>
        <w:t>医疗（项）:</w:t>
      </w:r>
      <w:r>
        <w:rPr>
          <w:rStyle w:val="19"/>
          <w:rFonts w:hint="eastAsia" w:ascii="仿宋_GB2312" w:hAnsi="仿宋" w:eastAsia="仿宋_GB2312"/>
          <w:b w:val="0"/>
          <w:bCs w:val="0"/>
          <w:color w:val="000000"/>
          <w:sz w:val="32"/>
          <w:szCs w:val="32"/>
        </w:rPr>
        <w:t>支出决算为1</w:t>
      </w:r>
      <w:r>
        <w:rPr>
          <w:rStyle w:val="19"/>
          <w:rFonts w:hint="eastAsia" w:ascii="仿宋_GB2312" w:hAnsi="仿宋" w:eastAsia="仿宋_GB2312"/>
          <w:b w:val="0"/>
          <w:bCs w:val="0"/>
          <w:color w:val="000000"/>
          <w:sz w:val="32"/>
          <w:szCs w:val="32"/>
          <w:lang w:val="en-US" w:eastAsia="zh-CN"/>
        </w:rPr>
        <w:t>0.28</w:t>
      </w:r>
      <w:r>
        <w:rPr>
          <w:rStyle w:val="19"/>
          <w:rFonts w:hint="eastAsia" w:ascii="仿宋_GB2312" w:hAnsi="仿宋" w:eastAsia="仿宋_GB2312"/>
          <w:b w:val="0"/>
          <w:bCs w:val="0"/>
          <w:color w:val="000000"/>
          <w:sz w:val="32"/>
          <w:szCs w:val="32"/>
        </w:rPr>
        <w:t>万元，完成预算100%</w:t>
      </w:r>
      <w:r>
        <w:rPr>
          <w:rStyle w:val="19"/>
          <w:rFonts w:hint="eastAsia" w:ascii="仿宋_GB2312" w:hAnsi="仿宋" w:eastAsia="仿宋_GB2312"/>
          <w:b w:val="0"/>
          <w:bCs w:val="0"/>
          <w:color w:val="000000"/>
          <w:sz w:val="32"/>
          <w:szCs w:val="32"/>
          <w:lang w:eastAsia="zh-CN"/>
        </w:rPr>
        <w:t>。</w:t>
      </w:r>
    </w:p>
    <w:p>
      <w:pPr>
        <w:numPr>
          <w:ilvl w:val="0"/>
          <w:numId w:val="0"/>
        </w:numPr>
        <w:spacing w:line="600" w:lineRule="exact"/>
        <w:ind w:firstLine="643" w:firstLineChars="200"/>
        <w:rPr>
          <w:rStyle w:val="19"/>
          <w:rFonts w:hint="eastAsia" w:ascii="仿宋_GB2312" w:hAnsi="仿宋" w:eastAsia="仿宋_GB2312"/>
          <w:b w:val="0"/>
          <w:bCs w:val="0"/>
          <w:color w:val="000000"/>
          <w:sz w:val="32"/>
          <w:szCs w:val="32"/>
          <w:lang w:eastAsia="zh-CN"/>
        </w:rPr>
      </w:pPr>
      <w:r>
        <w:rPr>
          <w:rStyle w:val="19"/>
          <w:rFonts w:hint="eastAsia" w:ascii="仿宋_GB2312" w:hAnsi="仿宋" w:eastAsia="仿宋_GB2312"/>
          <w:b/>
          <w:bCs/>
          <w:color w:val="000000"/>
          <w:sz w:val="32"/>
          <w:szCs w:val="32"/>
        </w:rPr>
        <w:t>卫生健康支出（类）行政事业单位医疗（款）公务员医疗补助（项）:</w:t>
      </w:r>
      <w:r>
        <w:rPr>
          <w:rStyle w:val="19"/>
          <w:rFonts w:hint="eastAsia" w:ascii="仿宋_GB2312" w:hAnsi="仿宋" w:eastAsia="仿宋_GB2312"/>
          <w:b w:val="0"/>
          <w:bCs w:val="0"/>
          <w:color w:val="000000"/>
          <w:sz w:val="32"/>
          <w:szCs w:val="32"/>
        </w:rPr>
        <w:t>支出决算为</w:t>
      </w:r>
      <w:r>
        <w:rPr>
          <w:rStyle w:val="19"/>
          <w:rFonts w:hint="eastAsia" w:ascii="仿宋_GB2312" w:hAnsi="仿宋" w:eastAsia="仿宋_GB2312"/>
          <w:b w:val="0"/>
          <w:bCs w:val="0"/>
          <w:color w:val="000000"/>
          <w:sz w:val="32"/>
          <w:szCs w:val="32"/>
          <w:lang w:val="en-US" w:eastAsia="zh-CN"/>
        </w:rPr>
        <w:t>10.31</w:t>
      </w:r>
      <w:r>
        <w:rPr>
          <w:rStyle w:val="19"/>
          <w:rFonts w:hint="eastAsia" w:ascii="仿宋_GB2312" w:hAnsi="仿宋" w:eastAsia="仿宋_GB2312"/>
          <w:b w:val="0"/>
          <w:bCs w:val="0"/>
          <w:color w:val="000000"/>
          <w:sz w:val="32"/>
          <w:szCs w:val="32"/>
        </w:rPr>
        <w:t>万元，完成预算100%</w:t>
      </w:r>
      <w:r>
        <w:rPr>
          <w:rStyle w:val="19"/>
          <w:rFonts w:hint="eastAsia" w:ascii="仿宋_GB2312" w:hAnsi="仿宋" w:eastAsia="仿宋_GB2312"/>
          <w:b w:val="0"/>
          <w:bCs w:val="0"/>
          <w:color w:val="000000"/>
          <w:sz w:val="32"/>
          <w:szCs w:val="32"/>
          <w:lang w:eastAsia="zh-CN"/>
        </w:rPr>
        <w:t>。</w:t>
      </w:r>
    </w:p>
    <w:p>
      <w:pPr>
        <w:numPr>
          <w:ilvl w:val="0"/>
          <w:numId w:val="0"/>
        </w:numPr>
        <w:spacing w:line="600" w:lineRule="exact"/>
        <w:ind w:firstLine="643" w:firstLineChars="200"/>
        <w:rPr>
          <w:rFonts w:hint="eastAsia" w:ascii="仿宋" w:hAnsi="仿宋" w:eastAsia="仿宋_GB2312"/>
          <w:b/>
          <w:sz w:val="32"/>
          <w:szCs w:val="32"/>
          <w:lang w:eastAsia="zh-CN"/>
        </w:rPr>
      </w:pPr>
      <w:r>
        <w:rPr>
          <w:rStyle w:val="19"/>
          <w:rFonts w:hint="eastAsia" w:ascii="仿宋_GB2312" w:hAnsi="仿宋" w:eastAsia="仿宋_GB2312"/>
          <w:b/>
          <w:bCs/>
          <w:color w:val="000000"/>
          <w:sz w:val="32"/>
          <w:szCs w:val="32"/>
        </w:rPr>
        <w:t>卫生健康支出（类）行政事业单位医疗（款）</w:t>
      </w:r>
      <w:r>
        <w:rPr>
          <w:rStyle w:val="19"/>
          <w:rFonts w:hint="eastAsia" w:ascii="仿宋_GB2312" w:hAnsi="仿宋" w:eastAsia="仿宋_GB2312" w:cstheme="minorBidi"/>
          <w:b/>
          <w:bCs/>
          <w:color w:val="000000"/>
          <w:sz w:val="32"/>
          <w:szCs w:val="32"/>
          <w:lang w:eastAsia="zh-CN"/>
        </w:rPr>
        <w:t>其他行政事业单位医疗支出</w:t>
      </w:r>
      <w:r>
        <w:rPr>
          <w:rStyle w:val="19"/>
          <w:rFonts w:hint="eastAsia" w:ascii="仿宋_GB2312" w:hAnsi="仿宋" w:eastAsia="仿宋_GB2312"/>
          <w:b/>
          <w:bCs/>
          <w:color w:val="000000"/>
          <w:sz w:val="32"/>
          <w:szCs w:val="32"/>
        </w:rPr>
        <w:t>（项）:</w:t>
      </w:r>
      <w:r>
        <w:rPr>
          <w:rStyle w:val="19"/>
          <w:rFonts w:hint="eastAsia" w:ascii="仿宋_GB2312" w:hAnsi="仿宋" w:eastAsia="仿宋_GB2312"/>
          <w:b w:val="0"/>
          <w:bCs w:val="0"/>
          <w:color w:val="000000"/>
          <w:sz w:val="32"/>
          <w:szCs w:val="32"/>
        </w:rPr>
        <w:t>支出决算为</w:t>
      </w:r>
      <w:r>
        <w:rPr>
          <w:rStyle w:val="19"/>
          <w:rFonts w:hint="eastAsia" w:ascii="仿宋_GB2312" w:hAnsi="仿宋" w:eastAsia="仿宋_GB2312"/>
          <w:b w:val="0"/>
          <w:bCs w:val="0"/>
          <w:color w:val="000000"/>
          <w:sz w:val="32"/>
          <w:szCs w:val="32"/>
          <w:lang w:val="en-US" w:eastAsia="zh-CN"/>
        </w:rPr>
        <w:t>8.27</w:t>
      </w:r>
      <w:r>
        <w:rPr>
          <w:rStyle w:val="19"/>
          <w:rFonts w:hint="eastAsia" w:ascii="仿宋_GB2312" w:hAnsi="仿宋" w:eastAsia="仿宋_GB2312"/>
          <w:b w:val="0"/>
          <w:bCs w:val="0"/>
          <w:color w:val="000000"/>
          <w:sz w:val="32"/>
          <w:szCs w:val="32"/>
        </w:rPr>
        <w:t>万元，完成预算100%</w:t>
      </w:r>
      <w:r>
        <w:rPr>
          <w:rStyle w:val="19"/>
          <w:rFonts w:hint="eastAsia" w:ascii="仿宋_GB2312" w:hAnsi="仿宋" w:eastAsia="仿宋_GB2312"/>
          <w:b w:val="0"/>
          <w:bCs w:val="0"/>
          <w:color w:val="000000"/>
          <w:sz w:val="32"/>
          <w:szCs w:val="32"/>
          <w:lang w:eastAsia="zh-CN"/>
        </w:rPr>
        <w:t>。</w:t>
      </w:r>
    </w:p>
    <w:p>
      <w:pPr>
        <w:spacing w:line="240" w:lineRule="auto"/>
        <w:ind w:firstLine="643" w:firstLineChars="200"/>
        <w:rPr>
          <w:rStyle w:val="19"/>
          <w:rFonts w:hint="eastAsia" w:ascii="仿宋_GB2312" w:hAnsi="仿宋" w:eastAsia="仿宋_GB2312"/>
          <w:b w:val="0"/>
          <w:bCs w:val="0"/>
          <w:color w:val="000000"/>
          <w:sz w:val="32"/>
          <w:szCs w:val="32"/>
        </w:rPr>
      </w:pPr>
      <w:r>
        <w:rPr>
          <w:rStyle w:val="19"/>
          <w:rFonts w:hint="eastAsia" w:ascii="仿宋_GB2312" w:hAnsi="仿宋" w:eastAsia="仿宋_GB2312" w:cstheme="minorBidi"/>
          <w:b/>
          <w:bCs/>
          <w:color w:val="000000"/>
          <w:sz w:val="32"/>
          <w:szCs w:val="32"/>
          <w:lang w:val="en-US" w:eastAsia="zh-CN"/>
        </w:rPr>
        <w:t>4</w:t>
      </w:r>
      <w:r>
        <w:rPr>
          <w:rStyle w:val="19"/>
          <w:rFonts w:hint="eastAsia" w:ascii="仿宋_GB2312" w:hAnsi="仿宋" w:eastAsia="仿宋_GB2312" w:cstheme="minorBidi"/>
          <w:b/>
          <w:bCs/>
          <w:color w:val="000000"/>
          <w:sz w:val="32"/>
          <w:szCs w:val="32"/>
        </w:rPr>
        <w:t>.</w:t>
      </w:r>
      <w:r>
        <w:rPr>
          <w:rStyle w:val="19"/>
          <w:rFonts w:hint="eastAsia" w:ascii="仿宋_GB2312" w:hAnsi="仿宋" w:eastAsia="仿宋_GB2312"/>
          <w:bCs/>
          <w:color w:val="000000"/>
          <w:sz w:val="32"/>
          <w:szCs w:val="32"/>
        </w:rPr>
        <w:t>住房保障支出（类）住房改革支出（款）住房公积金（项）:</w:t>
      </w:r>
      <w:r>
        <w:rPr>
          <w:rStyle w:val="19"/>
          <w:rFonts w:hint="eastAsia" w:ascii="仿宋_GB2312" w:hAnsi="仿宋" w:eastAsia="仿宋_GB2312"/>
          <w:b w:val="0"/>
          <w:bCs w:val="0"/>
          <w:color w:val="000000"/>
          <w:sz w:val="32"/>
          <w:szCs w:val="32"/>
        </w:rPr>
        <w:t>支出决算为</w:t>
      </w:r>
      <w:r>
        <w:rPr>
          <w:rStyle w:val="19"/>
          <w:rFonts w:hint="eastAsia" w:ascii="仿宋_GB2312" w:hAnsi="仿宋" w:eastAsia="仿宋_GB2312"/>
          <w:b w:val="0"/>
          <w:bCs w:val="0"/>
          <w:color w:val="000000"/>
          <w:sz w:val="32"/>
          <w:szCs w:val="32"/>
          <w:lang w:val="en-US" w:eastAsia="zh-CN"/>
        </w:rPr>
        <w:t>36.38</w:t>
      </w:r>
      <w:r>
        <w:rPr>
          <w:rStyle w:val="19"/>
          <w:rFonts w:hint="eastAsia" w:ascii="仿宋_GB2312" w:hAnsi="仿宋" w:eastAsia="仿宋_GB2312"/>
          <w:b w:val="0"/>
          <w:bCs w:val="0"/>
          <w:color w:val="000000"/>
          <w:sz w:val="32"/>
          <w:szCs w:val="32"/>
        </w:rPr>
        <w:t>万元，完成预算100%。</w:t>
      </w:r>
    </w:p>
    <w:p>
      <w:pPr>
        <w:spacing w:line="600" w:lineRule="exact"/>
        <w:ind w:firstLine="643" w:firstLineChars="200"/>
        <w:rPr>
          <w:rFonts w:hint="default"/>
          <w:lang w:val="en-US" w:eastAsia="zh-CN"/>
        </w:rPr>
      </w:pPr>
      <w:r>
        <w:rPr>
          <w:rStyle w:val="19"/>
          <w:rFonts w:hint="eastAsia" w:ascii="仿宋_GB2312" w:hAnsi="仿宋" w:eastAsia="仿宋_GB2312" w:cstheme="minorBidi"/>
          <w:bCs/>
          <w:color w:val="000000"/>
          <w:sz w:val="32"/>
          <w:szCs w:val="32"/>
          <w:lang w:val="en-US" w:eastAsia="zh-CN"/>
        </w:rPr>
        <w:t>5.其他支出</w:t>
      </w:r>
      <w:r>
        <w:rPr>
          <w:rStyle w:val="19"/>
          <w:rFonts w:hint="eastAsia" w:ascii="仿宋_GB2312" w:hAnsi="仿宋" w:eastAsia="仿宋_GB2312"/>
          <w:bCs/>
          <w:color w:val="000000"/>
          <w:sz w:val="32"/>
          <w:szCs w:val="32"/>
        </w:rPr>
        <w:t>（类）</w:t>
      </w:r>
      <w:r>
        <w:rPr>
          <w:rStyle w:val="19"/>
          <w:rFonts w:hint="eastAsia" w:ascii="仿宋_GB2312" w:hAnsi="仿宋" w:eastAsia="仿宋_GB2312"/>
          <w:bCs/>
          <w:color w:val="000000"/>
          <w:sz w:val="32"/>
          <w:szCs w:val="32"/>
          <w:lang w:eastAsia="zh-CN"/>
        </w:rPr>
        <w:t>其他</w:t>
      </w:r>
      <w:r>
        <w:rPr>
          <w:rStyle w:val="19"/>
          <w:rFonts w:hint="eastAsia" w:ascii="仿宋_GB2312" w:hAnsi="仿宋" w:eastAsia="仿宋_GB2312"/>
          <w:bCs/>
          <w:color w:val="000000"/>
          <w:sz w:val="32"/>
          <w:szCs w:val="32"/>
        </w:rPr>
        <w:t>支出（款）</w:t>
      </w:r>
      <w:r>
        <w:rPr>
          <w:rStyle w:val="19"/>
          <w:rFonts w:hint="eastAsia" w:ascii="仿宋_GB2312" w:hAnsi="仿宋" w:eastAsia="仿宋_GB2312"/>
          <w:bCs/>
          <w:color w:val="000000"/>
          <w:sz w:val="32"/>
          <w:szCs w:val="32"/>
          <w:lang w:eastAsia="zh-CN"/>
        </w:rPr>
        <w:t>其他支出</w:t>
      </w:r>
      <w:r>
        <w:rPr>
          <w:rStyle w:val="19"/>
          <w:rFonts w:hint="eastAsia" w:ascii="仿宋_GB2312" w:hAnsi="仿宋" w:eastAsia="仿宋_GB2312"/>
          <w:bCs/>
          <w:color w:val="000000"/>
          <w:sz w:val="32"/>
          <w:szCs w:val="32"/>
        </w:rPr>
        <w:t>（项）:</w:t>
      </w:r>
      <w:r>
        <w:rPr>
          <w:rStyle w:val="19"/>
          <w:rFonts w:hint="eastAsia" w:ascii="仿宋_GB2312" w:hAnsi="仿宋" w:eastAsia="仿宋_GB2312"/>
          <w:b w:val="0"/>
          <w:bCs w:val="0"/>
          <w:color w:val="000000"/>
          <w:sz w:val="32"/>
          <w:szCs w:val="32"/>
        </w:rPr>
        <w:t>支出决算为</w:t>
      </w:r>
      <w:r>
        <w:rPr>
          <w:rStyle w:val="19"/>
          <w:rFonts w:hint="eastAsia" w:ascii="仿宋_GB2312" w:hAnsi="仿宋" w:eastAsia="仿宋_GB2312"/>
          <w:b w:val="0"/>
          <w:bCs w:val="0"/>
          <w:color w:val="000000"/>
          <w:sz w:val="32"/>
          <w:szCs w:val="32"/>
          <w:lang w:val="en-US" w:eastAsia="zh-CN"/>
        </w:rPr>
        <w:t>174.41</w:t>
      </w:r>
      <w:r>
        <w:rPr>
          <w:rStyle w:val="19"/>
          <w:rFonts w:hint="eastAsia" w:ascii="仿宋_GB2312" w:hAnsi="仿宋" w:eastAsia="仿宋_GB2312"/>
          <w:b w:val="0"/>
          <w:bCs w:val="0"/>
          <w:color w:val="000000"/>
          <w:sz w:val="32"/>
          <w:szCs w:val="32"/>
        </w:rPr>
        <w:t>万元，完成预算100%。</w:t>
      </w:r>
    </w:p>
    <w:p>
      <w:pPr>
        <w:tabs>
          <w:tab w:val="right" w:pos="8306"/>
        </w:tabs>
        <w:spacing w:line="600" w:lineRule="exact"/>
        <w:ind w:firstLine="640"/>
        <w:outlineLvl w:val="1"/>
        <w:rPr>
          <w:rStyle w:val="31"/>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4"/>
      <w:bookmarkEnd w:id="35"/>
      <w:r>
        <w:rPr>
          <w:rStyle w:val="31"/>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615.33</w:t>
      </w:r>
      <w:r>
        <w:rPr>
          <w:rFonts w:hint="eastAsia" w:ascii="仿宋" w:hAnsi="仿宋" w:eastAsia="仿宋"/>
          <w:sz w:val="32"/>
          <w:szCs w:val="32"/>
        </w:rPr>
        <w:t>万元，其中：</w:t>
      </w:r>
    </w:p>
    <w:p>
      <w:pPr>
        <w:spacing w:line="600" w:lineRule="exact"/>
        <w:ind w:firstLine="645"/>
      </w:pPr>
      <w:r>
        <w:rPr>
          <w:rFonts w:hint="eastAsia" w:ascii="仿宋" w:hAnsi="仿宋" w:eastAsia="仿宋"/>
          <w:sz w:val="32"/>
          <w:szCs w:val="32"/>
        </w:rPr>
        <w:t>人员经费</w:t>
      </w:r>
      <w:r>
        <w:rPr>
          <w:sz w:val="32"/>
          <w:szCs w:val="32"/>
        </w:rPr>
        <w:t>576.45</w:t>
      </w:r>
      <w:r>
        <w:rPr>
          <w:rFonts w:hint="eastAsia" w:ascii="仿宋" w:hAnsi="仿宋" w:eastAsia="仿宋"/>
          <w:sz w:val="32"/>
          <w:szCs w:val="32"/>
        </w:rPr>
        <w:t>万元，主要包括：基本工资、津贴补贴、奖金、绩效工资、机关事业单位基本养老保险缴费、职业年金缴费、职工基本医疗保险缴费</w:t>
      </w:r>
      <w:r>
        <w:rPr>
          <w:rFonts w:hint="eastAsia" w:ascii="仿宋" w:hAnsi="仿宋" w:eastAsia="仿宋"/>
          <w:sz w:val="32"/>
          <w:szCs w:val="32"/>
          <w:lang w:eastAsia="zh-CN"/>
        </w:rPr>
        <w:t>、公务员医疗补助缴费、</w:t>
      </w:r>
      <w:r>
        <w:rPr>
          <w:rFonts w:hint="eastAsia" w:ascii="仿宋" w:hAnsi="仿宋" w:eastAsia="仿宋"/>
          <w:sz w:val="32"/>
          <w:szCs w:val="32"/>
        </w:rPr>
        <w:t>其他社会保障缴费、其他工资福利支出、抚恤金、生活补助、医疗费补助、住房公积金等。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38.88</w:t>
      </w:r>
      <w:r>
        <w:rPr>
          <w:rFonts w:hint="eastAsia" w:ascii="仿宋" w:hAnsi="仿宋" w:eastAsia="仿宋"/>
          <w:sz w:val="32"/>
          <w:szCs w:val="32"/>
        </w:rPr>
        <w:t>万元，主要包括：办公费、印刷费、水费、电费、邮电费、差旅费、培训费、公务接待费、工会经费、福利费、其他交通费</w:t>
      </w:r>
      <w:r>
        <w:rPr>
          <w:rFonts w:hint="eastAsia" w:ascii="仿宋" w:hAnsi="仿宋" w:eastAsia="仿宋"/>
          <w:sz w:val="32"/>
          <w:szCs w:val="32"/>
          <w:lang w:eastAsia="zh-CN"/>
        </w:rPr>
        <w:t>、</w:t>
      </w:r>
      <w:r>
        <w:rPr>
          <w:rFonts w:hint="eastAsia" w:ascii="仿宋" w:hAnsi="仿宋" w:eastAsia="仿宋"/>
          <w:sz w:val="32"/>
          <w:szCs w:val="32"/>
        </w:rPr>
        <w:t>其他商品和服务支出等。</w:t>
      </w:r>
    </w:p>
    <w:p>
      <w:pPr>
        <w:spacing w:line="600" w:lineRule="exact"/>
        <w:ind w:firstLine="640"/>
        <w:outlineLvl w:val="1"/>
        <w:rPr>
          <w:rStyle w:val="31"/>
          <w:rFonts w:ascii="黑体" w:hAnsi="黑体" w:eastAsia="黑体"/>
          <w:b w:val="0"/>
        </w:rPr>
      </w:pPr>
      <w:bookmarkStart w:id="36" w:name="_Toc15396609"/>
      <w:bookmarkStart w:id="37" w:name="_Toc15377215"/>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0.45</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0.15</w:t>
      </w:r>
      <w:r>
        <w:rPr>
          <w:rFonts w:hint="eastAsia" w:ascii="仿宋" w:hAnsi="仿宋" w:eastAsia="仿宋"/>
          <w:sz w:val="32"/>
          <w:szCs w:val="32"/>
        </w:rPr>
        <w:t>万元，下降</w:t>
      </w:r>
      <w:r>
        <w:rPr>
          <w:rFonts w:hint="eastAsia" w:ascii="仿宋" w:hAnsi="仿宋" w:eastAsia="仿宋"/>
          <w:sz w:val="32"/>
          <w:szCs w:val="32"/>
          <w:lang w:val="en-US" w:eastAsia="zh-CN"/>
        </w:rPr>
        <w:t>25</w:t>
      </w:r>
      <w:r>
        <w:rPr>
          <w:rFonts w:hint="eastAsia" w:ascii="仿宋" w:hAnsi="仿宋" w:eastAsia="仿宋"/>
          <w:sz w:val="32"/>
          <w:szCs w:val="32"/>
        </w:rPr>
        <w:t>%</w:t>
      </w:r>
      <w:r>
        <w:rPr>
          <w:rFonts w:hint="eastAsia" w:ascii="仿宋" w:hAnsi="仿宋" w:eastAsia="仿宋"/>
          <w:sz w:val="32"/>
          <w:szCs w:val="32"/>
          <w:lang w:eastAsia="zh-CN"/>
        </w:rPr>
        <w:t>，主要原因是严格控制接待范围、接待标准及接待人次</w:t>
      </w:r>
      <w:r>
        <w:rPr>
          <w:rFonts w:hint="eastAsia" w:ascii="仿宋" w:hAnsi="仿宋" w:eastAsia="仿宋"/>
          <w:sz w:val="32"/>
          <w:szCs w:val="32"/>
        </w:rPr>
        <w:t>。决算数与预算数持平</w:t>
      </w:r>
      <w:r>
        <w:rPr>
          <w:rFonts w:hint="eastAsia" w:ascii="仿宋" w:hAnsi="仿宋" w:eastAsia="仿宋"/>
          <w:sz w:val="32"/>
          <w:szCs w:val="32"/>
          <w:lang w:eastAsia="zh-CN"/>
        </w:rPr>
        <w:t>，主要原因也是严格控制接待范围、接待标准及接待人次</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0.45</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w:t>
      </w:r>
    </w:p>
    <w:p>
      <w:pPr>
        <w:pStyle w:val="16"/>
        <w:rPr>
          <w:rFonts w:hint="eastAsia" w:ascii="仿宋" w:hAnsi="仿宋" w:eastAsia="仿宋"/>
          <w:sz w:val="32"/>
          <w:szCs w:val="32"/>
        </w:rPr>
      </w:pPr>
      <w:r>
        <w:rPr>
          <w:rFonts w:hint="eastAsia"/>
          <w:lang w:val="en-US" w:eastAsia="zh-CN"/>
        </w:rPr>
        <w:t xml:space="preserve">  </w:t>
      </w:r>
      <w:r>
        <w:drawing>
          <wp:inline distT="0" distB="0" distL="114300" distR="114300">
            <wp:extent cx="4596130" cy="2225040"/>
            <wp:effectExtent l="0" t="0" r="635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4596130" cy="2225040"/>
                    </a:xfrm>
                    <a:prstGeom prst="rect">
                      <a:avLst/>
                    </a:prstGeom>
                    <a:noFill/>
                    <a:ln>
                      <a:noFill/>
                    </a:ln>
                  </pic:spPr>
                </pic:pic>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度持平</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度持平</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0.45</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100%</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0.15</w:t>
      </w:r>
      <w:r>
        <w:rPr>
          <w:rFonts w:hint="eastAsia" w:ascii="仿宋_GB2312" w:eastAsia="仿宋_GB2312"/>
          <w:sz w:val="32"/>
          <w:szCs w:val="32"/>
        </w:rPr>
        <w:t>万元，下降</w:t>
      </w:r>
      <w:r>
        <w:rPr>
          <w:rFonts w:hint="eastAsia" w:ascii="仿宋_GB2312" w:eastAsia="仿宋_GB2312"/>
          <w:sz w:val="32"/>
          <w:szCs w:val="32"/>
          <w:lang w:val="en-US" w:eastAsia="zh-CN"/>
        </w:rPr>
        <w:t>25</w:t>
      </w:r>
      <w:r>
        <w:rPr>
          <w:rFonts w:ascii="仿宋_GB2312" w:eastAsia="仿宋_GB2312"/>
          <w:sz w:val="32"/>
          <w:szCs w:val="32"/>
        </w:rPr>
        <w:t>%</w:t>
      </w:r>
      <w:r>
        <w:rPr>
          <w:rFonts w:hint="eastAsia" w:ascii="仿宋_GB2312" w:eastAsia="仿宋_GB2312"/>
          <w:sz w:val="32"/>
          <w:szCs w:val="32"/>
        </w:rPr>
        <w:t>。主要原因</w:t>
      </w:r>
      <w:r>
        <w:rPr>
          <w:rFonts w:hint="eastAsia" w:ascii="仿宋" w:hAnsi="仿宋" w:eastAsia="仿宋"/>
          <w:sz w:val="32"/>
          <w:szCs w:val="32"/>
          <w:lang w:eastAsia="zh-CN"/>
        </w:rPr>
        <w:t>是严格控制接待范围、接待标准及接待人次</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0.45</w:t>
      </w:r>
      <w:r>
        <w:rPr>
          <w:rFonts w:hint="eastAsia" w:ascii="仿宋_GB2312" w:eastAsia="仿宋_GB2312"/>
          <w:sz w:val="32"/>
          <w:szCs w:val="32"/>
        </w:rPr>
        <w:t>万元，主要用于开展业务活动开支的用餐费。国内公务接待</w:t>
      </w:r>
      <w:r>
        <w:rPr>
          <w:rFonts w:hint="eastAsia" w:ascii="仿宋_GB2312" w:eastAsia="仿宋_GB2312"/>
          <w:sz w:val="32"/>
          <w:szCs w:val="32"/>
          <w:lang w:val="en-US" w:eastAsia="zh-CN"/>
        </w:rPr>
        <w:t>4</w:t>
      </w:r>
      <w:r>
        <w:rPr>
          <w:rFonts w:hint="eastAsia" w:ascii="仿宋_GB2312" w:eastAsia="仿宋_GB2312"/>
          <w:sz w:val="32"/>
          <w:szCs w:val="32"/>
        </w:rPr>
        <w:t>批次，</w:t>
      </w:r>
      <w:r>
        <w:rPr>
          <w:rFonts w:hint="eastAsia" w:ascii="仿宋_GB2312" w:eastAsia="仿宋_GB2312"/>
          <w:sz w:val="32"/>
          <w:szCs w:val="32"/>
          <w:lang w:val="en-US" w:eastAsia="zh-CN"/>
        </w:rPr>
        <w:t>39</w:t>
      </w:r>
      <w:r>
        <w:rPr>
          <w:rFonts w:hint="eastAsia" w:ascii="仿宋_GB2312" w:eastAsia="仿宋_GB2312"/>
          <w:sz w:val="32"/>
          <w:szCs w:val="32"/>
        </w:rPr>
        <w:t>人次，共计支出</w:t>
      </w:r>
      <w:r>
        <w:rPr>
          <w:rFonts w:hint="eastAsia" w:ascii="仿宋_GB2312" w:eastAsia="仿宋_GB2312"/>
          <w:sz w:val="32"/>
          <w:szCs w:val="32"/>
          <w:lang w:val="en-US" w:eastAsia="zh-CN"/>
        </w:rPr>
        <w:t>0.45</w:t>
      </w:r>
      <w:r>
        <w:rPr>
          <w:rFonts w:hint="eastAsia" w:ascii="仿宋_GB2312" w:eastAsia="仿宋_GB2312"/>
          <w:sz w:val="32"/>
          <w:szCs w:val="32"/>
        </w:rPr>
        <w:t>万元，具体内容包括：</w:t>
      </w:r>
      <w:r>
        <w:rPr>
          <w:rFonts w:hint="eastAsia" w:ascii="仿宋_GB2312" w:eastAsia="仿宋_GB2312"/>
          <w:sz w:val="32"/>
          <w:szCs w:val="32"/>
          <w:lang w:eastAsia="zh-CN"/>
        </w:rPr>
        <w:t>地方政府专项优惠券项目督查工作支出</w:t>
      </w:r>
      <w:r>
        <w:rPr>
          <w:rFonts w:hint="eastAsia" w:ascii="仿宋_GB2312" w:eastAsia="仿宋_GB2312"/>
          <w:sz w:val="32"/>
          <w:szCs w:val="32"/>
          <w:lang w:val="en-US" w:eastAsia="zh-CN"/>
        </w:rPr>
        <w:t>0.13万元，</w:t>
      </w:r>
      <w:r>
        <w:rPr>
          <w:rFonts w:hint="eastAsia" w:ascii="仿宋_GB2312" w:eastAsia="仿宋_GB2312"/>
          <w:sz w:val="32"/>
          <w:szCs w:val="32"/>
          <w:lang w:eastAsia="zh-CN"/>
        </w:rPr>
        <w:t>四川天府新区战略研究局赴西区考察工作支出</w:t>
      </w:r>
      <w:r>
        <w:rPr>
          <w:rFonts w:hint="eastAsia" w:ascii="仿宋_GB2312" w:eastAsia="仿宋_GB2312"/>
          <w:sz w:val="32"/>
          <w:szCs w:val="32"/>
          <w:lang w:val="en-US" w:eastAsia="zh-CN"/>
        </w:rPr>
        <w:t>0.10万元，2021-2023年度环资领域中央、省级预算项目督查工作支出0.09万元，投资项目工作调研支出0.13万元</w:t>
      </w:r>
      <w:r>
        <w:rPr>
          <w:rFonts w:hint="eastAsia" w:ascii="仿宋_GB2312" w:eastAsia="仿宋_GB2312"/>
          <w:sz w:val="32"/>
          <w:szCs w:val="32"/>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w:t>
      </w:r>
      <w:r>
        <w:rPr>
          <w:rFonts w:hint="eastAsia" w:ascii="仿宋_GB2312" w:eastAsia="仿宋_GB2312"/>
          <w:sz w:val="32"/>
          <w:szCs w:val="32"/>
          <w:lang w:eastAsia="zh-CN"/>
        </w:rPr>
        <w:t>，</w:t>
      </w:r>
      <w:r>
        <w:rPr>
          <w:rFonts w:hint="eastAsia" w:ascii="仿宋_GB2312" w:eastAsia="仿宋_GB2312"/>
          <w:sz w:val="32"/>
          <w:szCs w:val="32"/>
        </w:rPr>
        <w:t>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0" w:name="_Toc15377218"/>
      <w:bookmarkStart w:id="41" w:name="_Toc15396610"/>
    </w:p>
    <w:p>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0"/>
      <w:bookmarkEnd w:id="41"/>
    </w:p>
    <w:p>
      <w:pPr>
        <w:spacing w:line="600" w:lineRule="exact"/>
        <w:ind w:firstLine="640"/>
        <w:rPr>
          <w:rFonts w:hint="default" w:ascii="仿宋_GB2312" w:eastAsia="仿宋_GB2312"/>
          <w:sz w:val="32"/>
          <w:szCs w:val="32"/>
          <w:lang w:val="en-US" w:eastAsia="zh-CN"/>
        </w:rPr>
      </w:pPr>
      <w:r>
        <w:rPr>
          <w:rFonts w:hint="eastAsia" w:ascii="仿宋_GB2312" w:eastAsia="仿宋_GB2312"/>
          <w:sz w:val="32"/>
          <w:szCs w:val="32"/>
        </w:rPr>
        <w:t>2023年度政府性基金预算财政拨款支出</w:t>
      </w:r>
      <w:r>
        <w:rPr>
          <w:sz w:val="32"/>
          <w:szCs w:val="32"/>
        </w:rPr>
        <w:t>342.89</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42" w:name="_Toc15377219"/>
      <w:bookmarkStart w:id="43" w:name="_Toc15396611"/>
      <w:r>
        <w:rPr>
          <w:rStyle w:val="31"/>
          <w:rFonts w:hint="eastAsia" w:ascii="黑体" w:hAnsi="黑体" w:eastAsia="黑体"/>
          <w:b w:val="0"/>
        </w:rPr>
        <w:t>国有资本经营预算支出决算情况说明</w:t>
      </w:r>
      <w:bookmarkEnd w:id="42"/>
      <w:bookmarkEnd w:id="43"/>
    </w:p>
    <w:p>
      <w:pPr>
        <w:spacing w:line="600" w:lineRule="exact"/>
        <w:ind w:firstLine="640"/>
        <w:rPr>
          <w:rFonts w:hint="eastAsia" w:ascii="方正小标宋简体" w:hAnsi="方正小标宋简体" w:eastAsia="方正小标宋简体" w:cs="方正小标宋简体"/>
          <w:sz w:val="44"/>
          <w:szCs w:val="44"/>
          <w:lang w:eastAsia="zh-CN"/>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44" w:name="_Toc15396612"/>
      <w:bookmarkStart w:id="45" w:name="_Toc15377221"/>
      <w:r>
        <w:rPr>
          <w:rStyle w:val="31"/>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ascii="仿宋_GB2312" w:hAnsi="Times New Roman" w:eastAsia="仿宋_GB2312" w:cs="Times New Roman"/>
          <w:sz w:val="32"/>
          <w:szCs w:val="32"/>
        </w:rPr>
        <w:t>攀枝花市西区发展和改革局</w:t>
      </w:r>
      <w:r>
        <w:rPr>
          <w:rFonts w:hint="eastAsia" w:ascii="仿宋_GB2312" w:eastAsia="仿宋_GB2312"/>
          <w:sz w:val="32"/>
          <w:szCs w:val="32"/>
        </w:rPr>
        <w:t>机关运行经费支出</w:t>
      </w:r>
      <w:r>
        <w:rPr>
          <w:sz w:val="32"/>
          <w:szCs w:val="32"/>
        </w:rPr>
        <w:t>38.88</w:t>
      </w:r>
      <w:r>
        <w:rPr>
          <w:rFonts w:hint="eastAsia" w:ascii="仿宋_GB2312" w:eastAsia="仿宋_GB2312"/>
          <w:sz w:val="32"/>
          <w:szCs w:val="32"/>
        </w:rPr>
        <w:t>万元，比2022年度增加</w:t>
      </w:r>
      <w:r>
        <w:rPr>
          <w:rFonts w:hint="eastAsia" w:ascii="仿宋_GB2312" w:eastAsia="仿宋_GB2312"/>
          <w:sz w:val="32"/>
          <w:szCs w:val="32"/>
          <w:lang w:val="en-US" w:eastAsia="zh-CN"/>
        </w:rPr>
        <w:t>5.58</w:t>
      </w:r>
      <w:r>
        <w:rPr>
          <w:rFonts w:hint="eastAsia" w:ascii="仿宋_GB2312" w:eastAsia="仿宋_GB2312"/>
          <w:sz w:val="32"/>
          <w:szCs w:val="32"/>
        </w:rPr>
        <w:t>万元，增长</w:t>
      </w:r>
      <w:r>
        <w:rPr>
          <w:rFonts w:hint="eastAsia" w:ascii="仿宋_GB2312" w:eastAsia="仿宋_GB2312"/>
          <w:sz w:val="32"/>
          <w:szCs w:val="32"/>
          <w:lang w:val="en-US" w:eastAsia="zh-CN"/>
        </w:rPr>
        <w:t>16.8</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Times New Roman" w:eastAsia="仿宋_GB2312" w:cs="Times New Roman"/>
          <w:sz w:val="32"/>
          <w:szCs w:val="32"/>
        </w:rPr>
        <w:t>其他交通费用等增加</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ascii="仿宋_GB2312" w:hAnsi="Times New Roman" w:eastAsia="仿宋_GB2312" w:cs="Times New Roman"/>
          <w:sz w:val="32"/>
          <w:szCs w:val="32"/>
        </w:rPr>
        <w:t>攀枝花市西区发展和改革局</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hAnsi="Times New Roman" w:eastAsia="仿宋_GB2312" w:cs="Times New Roman"/>
          <w:sz w:val="32"/>
          <w:szCs w:val="32"/>
        </w:rPr>
        <w:t>攀枝花市西区发展和改革局</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eastAsia="zh-CN"/>
        </w:rPr>
        <w:t>省、市、区级重点项目策划会审及项目攻坚突破年项目推进工作经费、区级粮食轮换及储备（含执法）工作经费、固定资产投资及康养产业工作经费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w:t>
      </w:r>
      <w:bookmarkStart w:id="49" w:name="_GoBack"/>
      <w:bookmarkEnd w:id="49"/>
      <w:r>
        <w:rPr>
          <w:rFonts w:hint="eastAsia" w:ascii="仿宋_GB2312" w:hAnsi="仿宋_GB2312" w:eastAsia="仿宋_GB2312" w:cs="仿宋_GB2312"/>
          <w:sz w:val="32"/>
          <w:szCs w:val="32"/>
        </w:rPr>
        <w:t>行过程中，选取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个项目开展绩效监控。</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rPr>
        <w:t>攀枝花市</w:t>
      </w:r>
      <w:r>
        <w:rPr>
          <w:rFonts w:hint="eastAsia" w:ascii="仿宋_GB2312" w:hAnsi="仿宋_GB2312" w:eastAsia="仿宋_GB2312" w:cs="仿宋_GB2312"/>
          <w:color w:val="auto"/>
          <w:sz w:val="32"/>
          <w:szCs w:val="32"/>
          <w:lang w:eastAsia="zh-CN"/>
        </w:rPr>
        <w:t>西区</w:t>
      </w:r>
      <w:r>
        <w:rPr>
          <w:rFonts w:hint="eastAsia" w:ascii="仿宋_GB2312" w:hAnsi="仿宋_GB2312" w:eastAsia="仿宋_GB2312" w:cs="仿宋_GB2312"/>
          <w:color w:val="auto"/>
          <w:sz w:val="32"/>
          <w:szCs w:val="32"/>
        </w:rPr>
        <w:t>发展和改革</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部门整体（含部门预算项目）绩效自评报告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省、市、区级重点项目策划会审及项目攻坚突破年项目推进工作经费、区级粮食轮换及储备（含执法）工作经费、固定资产投资及康养产业工作经费</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color w:val="auto"/>
          <w:sz w:val="32"/>
          <w:szCs w:val="32"/>
        </w:rPr>
        <w:t>攀枝花市</w:t>
      </w:r>
      <w:r>
        <w:rPr>
          <w:rFonts w:hint="eastAsia" w:ascii="仿宋_GB2312" w:hAnsi="仿宋_GB2312" w:eastAsia="仿宋_GB2312" w:cs="仿宋_GB2312"/>
          <w:color w:val="auto"/>
          <w:sz w:val="32"/>
          <w:szCs w:val="32"/>
          <w:lang w:eastAsia="zh-CN"/>
        </w:rPr>
        <w:t>西区</w:t>
      </w:r>
      <w:r>
        <w:rPr>
          <w:rFonts w:hint="eastAsia" w:ascii="仿宋_GB2312" w:hAnsi="仿宋_GB2312" w:eastAsia="仿宋_GB2312" w:cs="仿宋_GB2312"/>
          <w:color w:val="auto"/>
          <w:sz w:val="32"/>
          <w:szCs w:val="32"/>
        </w:rPr>
        <w:t>发展和改革</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部门整体（含部门预算项目）绩效自评得分为98分</w:t>
      </w:r>
      <w:r>
        <w:rPr>
          <w:rFonts w:hint="eastAsia" w:ascii="仿宋_GB2312" w:hAnsi="仿宋_GB2312" w:eastAsia="仿宋_GB2312" w:cs="仿宋_GB2312"/>
          <w:sz w:val="32"/>
          <w:szCs w:val="32"/>
        </w:rPr>
        <w:t>，绩效自评综述：</w:t>
      </w:r>
      <w:r>
        <w:rPr>
          <w:rFonts w:eastAsia="仿宋_GB2312"/>
          <w:sz w:val="32"/>
          <w:szCs w:val="32"/>
        </w:rPr>
        <w:t>2023年，我局部门整体支出绩效自查自评结果良好，全年基本支出保证了部门正常运转，项目支出保障了重点工作顺利开展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省、市、区级重点项目策划会审及项目攻坚突破年项目推进工作经费</w:t>
      </w:r>
      <w:r>
        <w:rPr>
          <w:rFonts w:hint="eastAsia" w:ascii="仿宋_GB2312" w:hAnsi="仿宋_GB2312" w:eastAsia="仿宋_GB2312" w:cs="仿宋_GB2312"/>
          <w:color w:val="auto"/>
          <w:sz w:val="32"/>
          <w:szCs w:val="32"/>
        </w:rPr>
        <w:t>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区级粮食轮换及储备（含执法）工作经费</w:t>
      </w:r>
      <w:r>
        <w:rPr>
          <w:rFonts w:hint="eastAsia" w:ascii="仿宋_GB2312" w:hAnsi="仿宋_GB2312" w:eastAsia="仿宋_GB2312" w:cs="仿宋_GB2312"/>
          <w:color w:val="auto"/>
          <w:sz w:val="32"/>
          <w:szCs w:val="32"/>
        </w:rPr>
        <w:t>自评得分为</w:t>
      </w:r>
      <w:r>
        <w:rPr>
          <w:rFonts w:hint="eastAsia" w:ascii="仿宋_GB2312" w:hAnsi="仿宋_GB2312" w:eastAsia="仿宋_GB2312" w:cs="仿宋_GB2312"/>
          <w:color w:val="auto"/>
          <w:sz w:val="32"/>
          <w:szCs w:val="32"/>
          <w:lang w:val="en-US" w:eastAsia="zh-CN"/>
        </w:rPr>
        <w:t>99</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固定资产投资及康养产业工作经费</w:t>
      </w:r>
      <w:r>
        <w:rPr>
          <w:rFonts w:hint="eastAsia" w:ascii="仿宋_GB2312" w:hAnsi="仿宋_GB2312" w:eastAsia="仿宋_GB2312" w:cs="仿宋_GB2312"/>
          <w:color w:val="auto"/>
          <w:sz w:val="32"/>
          <w:szCs w:val="32"/>
        </w:rPr>
        <w:t>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；项目前期编制工作经费</w:t>
      </w:r>
      <w:r>
        <w:rPr>
          <w:rFonts w:hint="eastAsia" w:ascii="仿宋_GB2312" w:hAnsi="仿宋_GB2312" w:eastAsia="仿宋_GB2312" w:cs="仿宋_GB2312"/>
          <w:color w:val="auto"/>
          <w:sz w:val="32"/>
          <w:szCs w:val="32"/>
        </w:rPr>
        <w:t>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绩效自评报告详见附件。</w:t>
      </w:r>
    </w:p>
    <w:p>
      <w:pPr>
        <w:pStyle w:val="16"/>
      </w:pPr>
    </w:p>
    <w:p>
      <w:pPr>
        <w:pStyle w:val="5"/>
        <w:jc w:val="center"/>
      </w:pPr>
      <w:r>
        <w:rPr>
          <w:rFonts w:hint="eastAsia"/>
        </w:rPr>
        <w:t>第三部分 名词解释</w:t>
      </w:r>
    </w:p>
    <w:p>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ind w:firstLine="640" w:firstLineChars="200"/>
        <w:rPr>
          <w:rFonts w:hint="eastAsia" w:ascii="仿宋_GB2312" w:eastAsia="仿宋_GB2312"/>
          <w:sz w:val="32"/>
          <w:szCs w:val="32"/>
        </w:rPr>
      </w:pPr>
      <w:r>
        <w:rPr>
          <w:rFonts w:hint="eastAsia" w:ascii="仿宋_GB2312" w:eastAsia="仿宋_GB2312"/>
          <w:sz w:val="32"/>
          <w:szCs w:val="32"/>
        </w:rPr>
        <w:t>4.其他收入：指单位取得的除上述收入以外的各项收入。主要是</w:t>
      </w:r>
      <w:r>
        <w:rPr>
          <w:rFonts w:hint="eastAsia" w:ascii="仿宋_GB2312" w:eastAsia="仿宋_GB2312"/>
          <w:sz w:val="32"/>
          <w:szCs w:val="32"/>
          <w:lang w:eastAsia="zh-CN"/>
        </w:rPr>
        <w:t>银行存款利息收入</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9. 一般公共服务（类）发展与改革事务（款）行政运行（项）：反映行政单位（包括实行公务员管理的事业单位）的基本支出；事业运行（项）：反映事业单位的基本支出，不包括行政单位（包括实行公务员管理的事业单位）后勤服务中心、医务室等附属事业单位；其他发展与改革事务支出（项）：反映</w:t>
      </w:r>
      <w:r>
        <w:rPr>
          <w:rFonts w:hint="eastAsia" w:ascii="仿宋_GB2312" w:hAnsi="Times New Roman" w:eastAsia="仿宋_GB2312" w:cs="Times New Roman"/>
          <w:sz w:val="32"/>
          <w:szCs w:val="32"/>
          <w:lang w:eastAsia="zh-CN"/>
        </w:rPr>
        <w:t>除上述项目以外的</w:t>
      </w:r>
      <w:r>
        <w:rPr>
          <w:rFonts w:hint="eastAsia" w:ascii="仿宋_GB2312" w:hAnsi="Times New Roman" w:eastAsia="仿宋_GB2312" w:cs="Times New Roman"/>
          <w:sz w:val="32"/>
          <w:szCs w:val="32"/>
        </w:rPr>
        <w:t>其他发展与改革事务支出。</w:t>
      </w:r>
    </w:p>
    <w:p>
      <w:pPr>
        <w:ind w:firstLine="640" w:firstLineChars="200"/>
        <w:rPr>
          <w:rFonts w:hint="default" w:ascii="仿宋_GB2312" w:hAnsi="Times New Roman" w:eastAsia="仿宋_GB2312" w:cs="Times New Roman"/>
          <w:sz w:val="32"/>
          <w:szCs w:val="32"/>
          <w:lang w:val="en-US"/>
        </w:rPr>
      </w:pPr>
      <w:r>
        <w:rPr>
          <w:rFonts w:hint="eastAsia" w:ascii="仿宋_GB2312" w:hAnsi="Times New Roman" w:eastAsia="仿宋_GB2312" w:cs="Times New Roman"/>
          <w:sz w:val="32"/>
          <w:szCs w:val="32"/>
        </w:rPr>
        <w:t>10.社会保障和就业支出（类）行政事业单位养老支出（款）行政单位离退休（项）：反映行政单位（包括实行公务员管理的事业单位）开支的离退休经费；事业单位离退休（项）：反映</w:t>
      </w:r>
      <w:r>
        <w:rPr>
          <w:rFonts w:hint="eastAsia" w:ascii="仿宋_GB2312" w:hAnsi="Times New Roman" w:eastAsia="仿宋_GB2312" w:cs="Times New Roman"/>
          <w:sz w:val="32"/>
          <w:szCs w:val="32"/>
          <w:lang w:eastAsia="zh-CN"/>
        </w:rPr>
        <w:t>事业</w:t>
      </w:r>
      <w:r>
        <w:rPr>
          <w:rFonts w:hint="eastAsia" w:ascii="仿宋_GB2312" w:hAnsi="Times New Roman" w:eastAsia="仿宋_GB2312" w:cs="Times New Roman"/>
          <w:sz w:val="32"/>
          <w:szCs w:val="32"/>
        </w:rPr>
        <w:t>单位开支的离退休经费；机关事业单位基本养老保险缴费支出（项）：反映机关事业单位实施养老保险制度由单位缴纳的基本养老保险费支出。机关事业单位职业年金缴费支出（项）：反映机关事业单位实施养老保险制度由单位实际缴纳的职业年金支出。抚恤（款）死亡抚恤（项）：反映</w:t>
      </w:r>
      <w:r>
        <w:rPr>
          <w:rFonts w:hint="eastAsia" w:ascii="仿宋_GB2312" w:hAnsi="Times New Roman" w:eastAsia="仿宋_GB2312" w:cs="Times New Roman"/>
          <w:sz w:val="32"/>
          <w:szCs w:val="32"/>
          <w:lang w:eastAsia="zh-CN"/>
        </w:rPr>
        <w:t>按规定用于烈士和牺牲、病故人员家属的一次性和定期抚恤金、丧葬补助费以及烈士褒扬金。</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11. 卫生健康支出（类）行政事业单位医疗（款）行政单位医疗（项）：反映财政部门集中安排的行政单位基本医疗保险缴费经费，未参加医疗保险的行政单位的公费医疗保险经费，按国家规定享受离休人员和红军老战士待遇人员的医疗经费；</w:t>
      </w:r>
      <w:r>
        <w:rPr>
          <w:rFonts w:hint="eastAsia" w:ascii="仿宋_GB2312" w:hAnsi="Times New Roman" w:eastAsia="仿宋_GB2312" w:cs="Times New Roman"/>
          <w:sz w:val="32"/>
          <w:szCs w:val="32"/>
          <w:lang w:eastAsia="zh-CN"/>
        </w:rPr>
        <w:t>事业</w:t>
      </w:r>
      <w:r>
        <w:rPr>
          <w:rFonts w:hint="eastAsia" w:ascii="仿宋_GB2312" w:hAnsi="Times New Roman" w:eastAsia="仿宋_GB2312" w:cs="Times New Roman"/>
          <w:sz w:val="32"/>
          <w:szCs w:val="32"/>
        </w:rPr>
        <w:t>单位医疗（项）：反映财政部门安排的</w:t>
      </w:r>
      <w:r>
        <w:rPr>
          <w:rFonts w:hint="eastAsia" w:ascii="仿宋_GB2312" w:hAnsi="Times New Roman" w:eastAsia="仿宋_GB2312" w:cs="Times New Roman"/>
          <w:sz w:val="32"/>
          <w:szCs w:val="32"/>
          <w:lang w:eastAsia="zh-CN"/>
        </w:rPr>
        <w:t>事业</w:t>
      </w:r>
      <w:r>
        <w:rPr>
          <w:rFonts w:hint="eastAsia" w:ascii="仿宋_GB2312" w:hAnsi="Times New Roman" w:eastAsia="仿宋_GB2312" w:cs="Times New Roman"/>
          <w:sz w:val="32"/>
          <w:szCs w:val="32"/>
        </w:rPr>
        <w:t>单位基本医疗保险缴费经费，未参加医疗保险的</w:t>
      </w:r>
      <w:r>
        <w:rPr>
          <w:rFonts w:hint="eastAsia" w:ascii="仿宋_GB2312" w:hAnsi="Times New Roman" w:eastAsia="仿宋_GB2312" w:cs="Times New Roman"/>
          <w:sz w:val="32"/>
          <w:szCs w:val="32"/>
          <w:lang w:eastAsia="zh-CN"/>
        </w:rPr>
        <w:t>事业</w:t>
      </w:r>
      <w:r>
        <w:rPr>
          <w:rFonts w:hint="eastAsia" w:ascii="仿宋_GB2312" w:hAnsi="Times New Roman" w:eastAsia="仿宋_GB2312" w:cs="Times New Roman"/>
          <w:sz w:val="32"/>
          <w:szCs w:val="32"/>
        </w:rPr>
        <w:t>单位的公费医疗保险经费，按国家规定享受离休人员待遇人员的医疗经费；公务员医疗补助（项）：反映财政部门集中安排的公务员医疗补助经费</w:t>
      </w:r>
      <w:r>
        <w:rPr>
          <w:rFonts w:hint="eastAsia" w:ascii="仿宋_GB2312" w:hAnsi="Times New Roman" w:eastAsia="仿宋_GB2312" w:cs="Times New Roman"/>
          <w:sz w:val="32"/>
          <w:szCs w:val="32"/>
          <w:lang w:eastAsia="zh-CN"/>
        </w:rPr>
        <w:t>；其他行政事业单位医疗支出</w:t>
      </w:r>
      <w:r>
        <w:rPr>
          <w:rFonts w:hint="eastAsia" w:ascii="仿宋_GB2312" w:hAnsi="Times New Roman" w:eastAsia="仿宋_GB2312" w:cs="Times New Roman"/>
          <w:sz w:val="32"/>
          <w:szCs w:val="32"/>
        </w:rPr>
        <w:t>（项）</w:t>
      </w:r>
      <w:r>
        <w:rPr>
          <w:rFonts w:hint="eastAsia" w:ascii="仿宋_GB2312" w:hAnsi="Times New Roman" w:eastAsia="仿宋_GB2312" w:cs="Times New Roman"/>
          <w:sz w:val="32"/>
          <w:szCs w:val="32"/>
          <w:lang w:eastAsia="zh-CN"/>
        </w:rPr>
        <w:t>：反映除上述项目以外的其他用于行政事业单位医疗方面的支出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12. 城乡社区支出（类）国有土地使用权出让收入及对应专项债务收入安排的支出（款）土地开发支出（项）：反映新疆生产建设兵团和地方政府用于前期土地开发性支出以及与前期土地开发相关的费用等支出。</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13.住房保障支出（类）住房改革支出（款）住房公积金（项）：</w:t>
      </w:r>
      <w:r>
        <w:rPr>
          <w:rFonts w:hint="eastAsia" w:ascii="仿宋_GB2312" w:hAnsi="Times New Roman" w:eastAsia="仿宋_GB2312" w:cs="Times New Roman"/>
          <w:sz w:val="32"/>
          <w:szCs w:val="32"/>
          <w:lang w:eastAsia="zh-CN"/>
        </w:rPr>
        <w:t>反映</w:t>
      </w:r>
      <w:r>
        <w:rPr>
          <w:rFonts w:hint="eastAsia" w:ascii="仿宋_GB2312" w:hAnsi="Times New Roman" w:eastAsia="仿宋_GB2312" w:cs="Times New Roman"/>
          <w:sz w:val="32"/>
          <w:szCs w:val="32"/>
        </w:rPr>
        <w:t>行政事业单位按人力资源和社会保障部、财政部规定的基本工资和津贴补贴以及规定比例为职工缴纳的住房公积金。</w:t>
      </w:r>
    </w:p>
    <w:p>
      <w:pPr>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14.其他支出（类）其他支出（款）其他支出（项）：反映除上述项目以外其他不能划分到具体功能项目中的支出项目。</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 xml:space="preserve">.项目支出：指在基本支出之外为完成特定行政任务和事业发展目标所发生的支出。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sz w:val="32"/>
          <w:szCs w:val="32"/>
        </w:rPr>
      </w:pPr>
      <w:r>
        <w:rPr>
          <w:rFonts w:ascii="仿宋" w:hAnsi="仿宋" w:eastAsia="仿宋"/>
          <w:b/>
          <w:sz w:val="32"/>
          <w:szCs w:val="32"/>
        </w:rPr>
        <w:br w:type="page"/>
      </w:r>
    </w:p>
    <w:p>
      <w:pPr>
        <w:pStyle w:val="5"/>
        <w:jc w:val="center"/>
        <w:rPr>
          <w:rFonts w:ascii="黑体" w:hAnsi="黑体" w:eastAsia="黑体"/>
          <w:b w:val="0"/>
        </w:rPr>
      </w:pPr>
      <w:r>
        <w:rPr>
          <w:rFonts w:hint="eastAsia" w:ascii="黑体" w:hAnsi="黑体" w:eastAsia="黑体"/>
          <w:b w:val="0"/>
        </w:rPr>
        <w:t>第四部分 附件</w:t>
      </w:r>
    </w:p>
    <w:p/>
    <w:p>
      <w:pPr>
        <w:rPr>
          <w:rFonts w:ascii="黑体" w:hAnsi="黑体" w:eastAsia="黑体"/>
          <w:sz w:val="32"/>
          <w:szCs w:val="32"/>
        </w:rPr>
      </w:pPr>
      <w:r>
        <w:rPr>
          <w:rFonts w:hint="eastAsia" w:ascii="黑体" w:hAnsi="黑体" w:eastAsia="黑体"/>
          <w:sz w:val="32"/>
          <w:szCs w:val="32"/>
        </w:rPr>
        <w:t>附件1</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部门预算绩效评价报告</w:t>
      </w:r>
    </w:p>
    <w:p/>
    <w:p>
      <w:pPr>
        <w:ind w:firstLine="640" w:firstLineChars="200"/>
        <w:rPr>
          <w:rFonts w:ascii="黑体" w:hAnsi="黑体" w:eastAsia="黑体"/>
          <w:sz w:val="32"/>
          <w:szCs w:val="32"/>
        </w:rPr>
      </w:pPr>
      <w:r>
        <w:rPr>
          <w:rFonts w:hint="eastAsia" w:ascii="黑体" w:hAnsi="黑体" w:eastAsia="黑体"/>
          <w:sz w:val="32"/>
          <w:szCs w:val="32"/>
        </w:rPr>
        <w:t>一、部门（单位）基本情况</w:t>
      </w:r>
    </w:p>
    <w:p>
      <w:pPr>
        <w:ind w:firstLine="643" w:firstLineChars="200"/>
        <w:rPr>
          <w:rFonts w:hint="eastAsia" w:ascii="楷体_GB2312" w:eastAsia="楷体_GB2312"/>
          <w:b/>
          <w:sz w:val="32"/>
          <w:szCs w:val="32"/>
        </w:rPr>
      </w:pPr>
      <w:r>
        <w:rPr>
          <w:rFonts w:hint="eastAsia" w:ascii="楷体_GB2312" w:eastAsia="楷体_GB2312"/>
          <w:b/>
          <w:sz w:val="32"/>
          <w:szCs w:val="32"/>
        </w:rPr>
        <w:t>（一）机构组成。</w:t>
      </w:r>
    </w:p>
    <w:p>
      <w:pPr>
        <w:ind w:firstLine="640" w:firstLineChars="200"/>
        <w:rPr>
          <w:rFonts w:hint="eastAsia" w:ascii="楷体_GB2312" w:eastAsia="楷体_GB2312"/>
          <w:b/>
          <w:sz w:val="32"/>
          <w:szCs w:val="32"/>
        </w:rPr>
      </w:pPr>
      <w:r>
        <w:rPr>
          <w:rFonts w:ascii="仿宋_GB2312" w:hAnsi="仿宋" w:eastAsia="仿宋_GB2312" w:cs="Times New Roman"/>
          <w:sz w:val="32"/>
          <w:szCs w:val="32"/>
        </w:rPr>
        <w:t>攀枝花市西区发展和改革局</w:t>
      </w:r>
      <w:r>
        <w:rPr>
          <w:rFonts w:hint="eastAsia" w:ascii="仿宋_GB2312" w:hAnsi="仿宋" w:eastAsia="仿宋_GB2312" w:cs="Times New Roman"/>
          <w:sz w:val="32"/>
          <w:szCs w:val="32"/>
        </w:rPr>
        <w:t>机关内设：</w:t>
      </w:r>
      <w:r>
        <w:rPr>
          <w:rFonts w:hint="eastAsia" w:ascii="仿宋_GB2312" w:hAnsi="仿宋" w:eastAsia="仿宋_GB2312"/>
          <w:sz w:val="32"/>
          <w:szCs w:val="32"/>
        </w:rPr>
        <w:t>办公室（行政审批股）、综合股（重大项目管理股）、体改股、物价股、粮食和物资储备股五个内设机构。</w:t>
      </w:r>
      <w:r>
        <w:rPr>
          <w:rFonts w:hint="eastAsia" w:ascii="仿宋" w:hAnsi="仿宋" w:eastAsia="仿宋"/>
          <w:sz w:val="32"/>
          <w:szCs w:val="32"/>
        </w:rPr>
        <w:t>下属二级预算单位</w:t>
      </w:r>
      <w:r>
        <w:rPr>
          <w:rFonts w:hint="eastAsia" w:eastAsia="仿宋"/>
          <w:sz w:val="32"/>
          <w:szCs w:val="32"/>
          <w:lang w:val="en-US" w:eastAsia="zh-CN"/>
        </w:rPr>
        <w:t>3</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3</w:t>
      </w:r>
      <w:r>
        <w:rPr>
          <w:rFonts w:hint="eastAsia" w:ascii="仿宋" w:hAnsi="仿宋" w:eastAsia="仿宋"/>
          <w:sz w:val="32"/>
          <w:szCs w:val="32"/>
        </w:rPr>
        <w:t>个</w:t>
      </w:r>
      <w:r>
        <w:rPr>
          <w:rFonts w:hint="eastAsia" w:ascii="仿宋" w:hAnsi="仿宋" w:eastAsia="仿宋"/>
          <w:sz w:val="32"/>
          <w:szCs w:val="32"/>
          <w:lang w:eastAsia="zh-CN"/>
        </w:rPr>
        <w:t>：</w:t>
      </w:r>
      <w:r>
        <w:rPr>
          <w:rFonts w:hint="eastAsia" w:ascii="仿宋_GB2312" w:hAnsi="仿宋" w:eastAsia="仿宋_GB2312"/>
          <w:sz w:val="32"/>
          <w:szCs w:val="32"/>
        </w:rPr>
        <w:t>攀枝花市西区项目</w:t>
      </w:r>
      <w:r>
        <w:rPr>
          <w:rFonts w:hint="eastAsia" w:ascii="仿宋_GB2312" w:hAnsi="仿宋" w:eastAsia="仿宋_GB2312"/>
          <w:sz w:val="32"/>
          <w:szCs w:val="32"/>
          <w:lang w:eastAsia="zh-CN"/>
        </w:rPr>
        <w:t>协调服务中心（攀枝花市西区康养产业发展服务中心）、</w:t>
      </w:r>
      <w:r>
        <w:rPr>
          <w:rFonts w:hint="eastAsia" w:ascii="仿宋_GB2312" w:hAnsi="仿宋" w:eastAsia="仿宋_GB2312"/>
          <w:sz w:val="32"/>
          <w:szCs w:val="32"/>
        </w:rPr>
        <w:t>攀枝花市西区物价局价格认证中心</w:t>
      </w:r>
      <w:r>
        <w:rPr>
          <w:rFonts w:hint="eastAsia" w:ascii="仿宋_GB2312" w:hAnsi="仿宋" w:eastAsia="仿宋_GB2312"/>
          <w:sz w:val="32"/>
          <w:szCs w:val="32"/>
          <w:lang w:eastAsia="zh-CN"/>
        </w:rPr>
        <w:t>、</w:t>
      </w:r>
      <w:r>
        <w:rPr>
          <w:rFonts w:hint="eastAsia" w:ascii="仿宋_GB2312" w:hAnsi="仿宋" w:eastAsia="仿宋_GB2312"/>
          <w:sz w:val="32"/>
          <w:szCs w:val="32"/>
        </w:rPr>
        <w:t>攀枝花市西区</w:t>
      </w:r>
      <w:r>
        <w:rPr>
          <w:rFonts w:hint="eastAsia" w:ascii="仿宋_GB2312" w:hAnsi="仿宋" w:eastAsia="仿宋_GB2312"/>
          <w:sz w:val="32"/>
          <w:szCs w:val="32"/>
          <w:lang w:eastAsia="zh-CN"/>
        </w:rPr>
        <w:t>物流枢纽建设服务中心</w:t>
      </w:r>
      <w:r>
        <w:rPr>
          <w:rFonts w:hint="eastAsia" w:ascii="仿宋" w:hAnsi="仿宋" w:eastAsia="仿宋"/>
          <w:sz w:val="32"/>
          <w:szCs w:val="32"/>
        </w:rPr>
        <w:t>。</w:t>
      </w:r>
    </w:p>
    <w:p>
      <w:pPr>
        <w:numPr>
          <w:ilvl w:val="0"/>
          <w:numId w:val="4"/>
        </w:num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机构职能。</w:t>
      </w:r>
    </w:p>
    <w:p>
      <w:pPr>
        <w:numPr>
          <w:ilvl w:val="0"/>
          <w:numId w:val="0"/>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贯彻执行国家有关国民经济和社会发展战略、经济体制方针政策和法律法规，拟订并组织实施全区国民经济和社会发展中长期规划和年度计划；受区政府委托向区人大作全区经济社会发展计划报告。</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统筹协调全区经济社会发展。研究分析全区经济和社会发展形势，进行宏观经济预测预警和信息引导。对发展中的重大问题和热点、难点问题，提出宏观调控对策建议，综合协调财政、金融、价格和产业政策等经济杠杆，保证全区国民经济发展规划和计划的实施。</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承担指导推进和综合协调全区经济体制改革责任。组织拟订综合性经济体制改革方案，协调有关专项经济体制改革方案，会同有关部门搞好专项经济体制改革间的衔接，组织、指导和协调综合配套改革试点和重大专项经济体制改革试点工作。</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贯彻执行国家和省、市有关价格法律、法规和方针、政策，编制和执行价格改革、价格调整中长期规划和年度计划，组织实施年度价格总水平调控目标及价格调控措施，负责权限范围内价格的制定调整，承担行政事业性收费管理工作，负责全区价格成本调查监审、价格监测、价格认证等工作。</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负责全区投资宏观管理和协调推进重大项目建设。拟订全社会固定资产投资总规模、投资结构的调控目标和政策措施，编制年度投资计划，安排财政性建设资金，指导和监督政策性贷款的使用方向，按规定权限审批、核准、备案或转报固定资产投资项目（企业技术改革项目除外）和资源开发利用、外资、境外投资项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推进经济结构战略性调整。组织拟订全区综合性产业政策，负责协调第一、二、三产业发展重大问题，衔接平衡相关发展规划和重大政策。拟订重大产业发展规划，引导全区重大生产力合理布局，协调推进全区重大技术装备推广应用和重大产业基地建设，会同有关部门拟订服务业、现代物流业发展战略、规划和重大政策。组织拟订高技术产业发展、产业技术进步的战略规划和重大政策，推进重大科技成果产业化。</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促进城乡区域协调发展。研究分析区域经济和城镇化发展情况，组织拟订区域经济协调发展战略规划和重大政策，研究提出城镇化发展战略和统筹城乡发展的政策措施。</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8.</w:t>
      </w:r>
      <w:r>
        <w:rPr>
          <w:rFonts w:hint="eastAsia" w:ascii="仿宋_GB2312" w:hAnsi="仿宋" w:eastAsia="仿宋_GB2312"/>
          <w:sz w:val="32"/>
          <w:szCs w:val="32"/>
        </w:rPr>
        <w:t>负责重要商品的总量平衡和宏观调控。研究分析区内外市场和对外贸易运行情况，编制重要农产品、工业品和原材料进出口总量计划并监督执行。提出重要商品市场、生产要素市场的发展规划、总体布局和重大调控措施。</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负责全区社会发展与国民经济发展的政策衔接。组织拟订社会发展战略、总体规划和年度计划，参与拟订人口和计划生育、科学技术、教育、文化、卫生、民政等发展政策，推进社会事业建设。研究提出促进就业、调整收入分配、完善社会保障与经济协调发展的政策建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10.</w:t>
      </w:r>
      <w:r>
        <w:rPr>
          <w:rFonts w:hint="eastAsia" w:ascii="仿宋_GB2312" w:hAnsi="仿宋" w:eastAsia="仿宋_GB2312"/>
          <w:sz w:val="32"/>
          <w:szCs w:val="32"/>
        </w:rPr>
        <w:t>推进可持续发展战略。负责全区节能综合协调工作，组织拟订并协调实施全区发展循环经济、能源资源节约和综合利用规划及政策措施，参与编制生态建设、环境保护规划，协调生态建设、能源资源节约和综合利用的重大问题，综合协调环保产业和清洁产业促进有关工作。</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11.</w:t>
      </w:r>
      <w:r>
        <w:rPr>
          <w:rFonts w:hint="eastAsia" w:ascii="仿宋_GB2312" w:hAnsi="仿宋" w:eastAsia="仿宋_GB2312"/>
          <w:sz w:val="32"/>
          <w:szCs w:val="32"/>
        </w:rPr>
        <w:t>负责指导和协调全区招标投标工作。贯彻执行招标投标配套规定，核准必须进行招标投标项目的具体范围、规模标准。按照职责权限对重大建设项目建设过程中的招标投标活动实施监督检查。</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12.</w:t>
      </w:r>
      <w:r>
        <w:rPr>
          <w:rFonts w:hint="eastAsia" w:ascii="仿宋_GB2312" w:hAnsi="仿宋" w:eastAsia="仿宋_GB2312"/>
          <w:sz w:val="32"/>
          <w:szCs w:val="32"/>
        </w:rPr>
        <w:t>负责粮食流通行业管理。负责全区粮食（含食用植物油，下同）宏观调控、粮食流通管理工作；负责全区粮食流通统计和社会粮油供需平衡调查工作；负责落实地方储备粮食任务和储备粮油日常监管；负责全区粮食工业统计分析工作；负责全区粮食仓储设施和粮食流通基础设施的安全管理和粮食储藏安全工作；负责贯彻落实粮食行业食品安全法规及国家粮食质量标准，履行储备粮质量、粮食行业食品安全监管职责；负责监督指导辖区内粮油仓储单位备案管理工作；指导粮食部门安全生产工作；指导粮食综合行政执法；负责粮油库存检查；监督管理全区粮食专项扶持资金的使用；会同有关部门拟订区级储备粮财务管理制度，监督管理粮食风险基金、政策性粮食财务挂账、政策性粮食补贴资金；负责救灾物资储备、管理、调拨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13.</w:t>
      </w:r>
      <w:r>
        <w:rPr>
          <w:rFonts w:ascii="仿宋_GB2312" w:hAnsi="仿宋" w:eastAsia="仿宋_GB2312"/>
          <w:sz w:val="32"/>
          <w:szCs w:val="32"/>
        </w:rPr>
        <w:t>负责职责范围内的安全生产和职业健康、生态环境保护、审批服务便民化等工作。</w:t>
      </w:r>
    </w:p>
    <w:p>
      <w:pPr>
        <w:ind w:firstLine="640" w:firstLineChars="200"/>
        <w:rPr>
          <w:rFonts w:ascii="楷体_GB2312" w:eastAsia="楷体_GB2312"/>
          <w:b/>
          <w:sz w:val="32"/>
          <w:szCs w:val="32"/>
        </w:rPr>
      </w:pPr>
      <w:r>
        <w:rPr>
          <w:rFonts w:hint="eastAsia" w:ascii="仿宋_GB2312" w:hAnsi="仿宋" w:eastAsia="仿宋_GB2312"/>
          <w:sz w:val="32"/>
          <w:szCs w:val="32"/>
          <w:lang w:val="en-US" w:eastAsia="zh-CN"/>
        </w:rPr>
        <w:t>14.</w:t>
      </w:r>
      <w:r>
        <w:rPr>
          <w:rFonts w:ascii="仿宋_GB2312" w:hAnsi="仿宋" w:eastAsia="仿宋_GB2312"/>
          <w:sz w:val="32"/>
          <w:szCs w:val="32"/>
        </w:rPr>
        <w:t>完成区委、区政府交办的其他任务。</w:t>
      </w:r>
    </w:p>
    <w:p>
      <w:pPr>
        <w:spacing w:line="240" w:lineRule="auto"/>
        <w:ind w:firstLine="630"/>
        <w:rPr>
          <w:rFonts w:hint="eastAsia" w:ascii="楷体_GB2312" w:eastAsia="楷体_GB2312"/>
          <w:b/>
          <w:sz w:val="32"/>
          <w:szCs w:val="32"/>
        </w:rPr>
      </w:pPr>
      <w:r>
        <w:rPr>
          <w:rFonts w:hint="eastAsia" w:ascii="楷体_GB2312" w:eastAsia="楷体_GB2312"/>
          <w:b/>
          <w:sz w:val="32"/>
          <w:szCs w:val="32"/>
        </w:rPr>
        <w:t>（三）人员概况。</w:t>
      </w:r>
    </w:p>
    <w:p>
      <w:pPr>
        <w:spacing w:line="240" w:lineRule="auto"/>
        <w:ind w:firstLine="630"/>
        <w:rPr>
          <w:rFonts w:hint="eastAsia" w:ascii="宋体" w:cs="宋体"/>
          <w:kern w:val="0"/>
          <w:sz w:val="32"/>
          <w:szCs w:val="32"/>
        </w:rPr>
      </w:pPr>
      <w:r>
        <w:rPr>
          <w:rFonts w:hint="eastAsia" w:ascii="仿宋_GB2312" w:hAnsi="仿宋" w:eastAsia="仿宋_GB2312"/>
          <w:sz w:val="32"/>
          <w:szCs w:val="32"/>
        </w:rPr>
        <w:t>三定方案核定：行政人员编制</w:t>
      </w:r>
      <w:r>
        <w:rPr>
          <w:rFonts w:ascii="仿宋_GB2312" w:hAnsi="仿宋" w:eastAsia="仿宋_GB2312"/>
          <w:sz w:val="32"/>
          <w:szCs w:val="32"/>
        </w:rPr>
        <w:t>8</w:t>
      </w:r>
      <w:r>
        <w:rPr>
          <w:rFonts w:hint="eastAsia" w:ascii="仿宋_GB2312" w:hAnsi="仿宋" w:eastAsia="仿宋_GB2312"/>
          <w:sz w:val="32"/>
          <w:szCs w:val="32"/>
        </w:rPr>
        <w:t>人，实有</w:t>
      </w:r>
      <w:r>
        <w:rPr>
          <w:rFonts w:hint="eastAsia" w:ascii="仿宋_GB2312" w:hAnsi="仿宋" w:eastAsia="仿宋_GB2312"/>
          <w:sz w:val="32"/>
          <w:szCs w:val="32"/>
          <w:lang w:val="en-US" w:eastAsia="zh-CN"/>
        </w:rPr>
        <w:t>10</w:t>
      </w:r>
      <w:r>
        <w:rPr>
          <w:rFonts w:hint="eastAsia" w:ascii="仿宋_GB2312" w:hAnsi="仿宋" w:eastAsia="仿宋_GB2312"/>
          <w:sz w:val="32"/>
          <w:szCs w:val="32"/>
        </w:rPr>
        <w:t>人；事业人员编制</w:t>
      </w:r>
      <w:r>
        <w:rPr>
          <w:rFonts w:ascii="仿宋_GB2312" w:hAnsi="仿宋" w:eastAsia="仿宋_GB2312"/>
          <w:sz w:val="32"/>
          <w:szCs w:val="32"/>
        </w:rPr>
        <w:t>1</w:t>
      </w:r>
      <w:r>
        <w:rPr>
          <w:rFonts w:hint="eastAsia" w:ascii="仿宋_GB2312" w:hAnsi="仿宋" w:eastAsia="仿宋_GB2312"/>
          <w:sz w:val="32"/>
          <w:szCs w:val="32"/>
          <w:lang w:val="en-US" w:eastAsia="zh-CN"/>
        </w:rPr>
        <w:t>5</w:t>
      </w:r>
      <w:r>
        <w:rPr>
          <w:rFonts w:hint="eastAsia" w:ascii="仿宋_GB2312" w:hAnsi="仿宋" w:eastAsia="仿宋_GB2312"/>
          <w:sz w:val="32"/>
          <w:szCs w:val="32"/>
        </w:rPr>
        <w:t>人，实有</w:t>
      </w:r>
      <w:r>
        <w:rPr>
          <w:rFonts w:ascii="仿宋_GB2312" w:hAnsi="仿宋" w:eastAsia="仿宋_GB2312"/>
          <w:sz w:val="32"/>
          <w:szCs w:val="32"/>
        </w:rPr>
        <w:t>1</w:t>
      </w:r>
      <w:r>
        <w:rPr>
          <w:rFonts w:hint="eastAsia" w:ascii="仿宋_GB2312" w:hAnsi="仿宋" w:eastAsia="仿宋_GB2312"/>
          <w:sz w:val="32"/>
          <w:szCs w:val="32"/>
          <w:lang w:val="en-US" w:eastAsia="zh-CN"/>
        </w:rPr>
        <w:t>2</w:t>
      </w:r>
      <w:r>
        <w:rPr>
          <w:rFonts w:hint="eastAsia" w:ascii="仿宋_GB2312" w:hAnsi="仿宋" w:eastAsia="仿宋_GB2312"/>
          <w:sz w:val="32"/>
          <w:szCs w:val="32"/>
        </w:rPr>
        <w:t>人；</w:t>
      </w:r>
      <w:r>
        <w:rPr>
          <w:rFonts w:hint="eastAsia" w:ascii="仿宋_GB2312" w:hAnsi="仿宋" w:eastAsia="仿宋_GB2312"/>
          <w:sz w:val="32"/>
          <w:szCs w:val="32"/>
          <w:lang w:eastAsia="zh-CN"/>
        </w:rPr>
        <w:t>使用西区储备</w:t>
      </w:r>
      <w:r>
        <w:rPr>
          <w:rFonts w:hint="eastAsia" w:ascii="仿宋_GB2312" w:hAnsi="仿宋" w:eastAsia="仿宋_GB2312"/>
          <w:sz w:val="32"/>
          <w:szCs w:val="32"/>
        </w:rPr>
        <w:t>参照公务员法管理事业人员</w:t>
      </w:r>
      <w:r>
        <w:rPr>
          <w:rFonts w:hint="eastAsia" w:ascii="仿宋_GB2312" w:hAnsi="仿宋" w:eastAsia="仿宋_GB2312"/>
          <w:sz w:val="32"/>
          <w:szCs w:val="32"/>
          <w:lang w:eastAsia="zh-CN"/>
        </w:rPr>
        <w:t>编制</w:t>
      </w:r>
      <w:r>
        <w:rPr>
          <w:rFonts w:hint="eastAsia" w:ascii="仿宋_GB2312" w:hAnsi="仿宋" w:eastAsia="仿宋_GB2312"/>
          <w:sz w:val="32"/>
          <w:szCs w:val="32"/>
          <w:lang w:val="en-US" w:eastAsia="zh-CN"/>
        </w:rPr>
        <w:t>2人，</w:t>
      </w:r>
      <w:r>
        <w:rPr>
          <w:rFonts w:hint="eastAsia" w:ascii="仿宋_GB2312" w:hAnsi="仿宋" w:eastAsia="仿宋_GB2312"/>
          <w:sz w:val="32"/>
          <w:szCs w:val="32"/>
        </w:rPr>
        <w:t>实有参照公务员法管理事业人员2人；聘用人员编制</w:t>
      </w:r>
      <w:r>
        <w:rPr>
          <w:rFonts w:ascii="仿宋_GB2312" w:hAnsi="仿宋" w:eastAsia="仿宋_GB2312"/>
          <w:sz w:val="32"/>
          <w:szCs w:val="32"/>
        </w:rPr>
        <w:t>12</w:t>
      </w:r>
      <w:r>
        <w:rPr>
          <w:rFonts w:hint="eastAsia" w:ascii="仿宋_GB2312" w:hAnsi="仿宋" w:eastAsia="仿宋_GB2312"/>
          <w:sz w:val="32"/>
          <w:szCs w:val="32"/>
        </w:rPr>
        <w:t>人，实有</w:t>
      </w:r>
      <w:r>
        <w:rPr>
          <w:rFonts w:hint="eastAsia" w:ascii="仿宋_GB2312" w:hAnsi="仿宋" w:eastAsia="仿宋_GB2312"/>
          <w:sz w:val="32"/>
          <w:szCs w:val="32"/>
          <w:lang w:val="en-US" w:eastAsia="zh-CN"/>
        </w:rPr>
        <w:t>8</w:t>
      </w:r>
      <w:r>
        <w:rPr>
          <w:rFonts w:hint="eastAsia" w:ascii="仿宋_GB2312" w:hAnsi="仿宋" w:eastAsia="仿宋_GB2312"/>
          <w:sz w:val="32"/>
          <w:szCs w:val="32"/>
        </w:rPr>
        <w:t>人。与去年同期相比行政人员</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2人</w:t>
      </w:r>
      <w:r>
        <w:rPr>
          <w:rFonts w:hint="eastAsia" w:ascii="仿宋_GB2312" w:hAnsi="仿宋" w:eastAsia="仿宋_GB2312"/>
          <w:sz w:val="32"/>
          <w:szCs w:val="32"/>
        </w:rPr>
        <w:t>，参照公务员法管理事业人员</w:t>
      </w:r>
      <w:r>
        <w:rPr>
          <w:rFonts w:hint="eastAsia" w:ascii="仿宋_GB2312" w:hAnsi="仿宋" w:eastAsia="仿宋_GB2312"/>
          <w:sz w:val="32"/>
          <w:szCs w:val="32"/>
          <w:lang w:eastAsia="zh-CN"/>
        </w:rPr>
        <w:t>无变化，</w:t>
      </w:r>
      <w:r>
        <w:rPr>
          <w:rFonts w:hint="eastAsia" w:ascii="仿宋_GB2312" w:hAnsi="仿宋" w:eastAsia="仿宋_GB2312"/>
          <w:sz w:val="32"/>
          <w:szCs w:val="32"/>
        </w:rPr>
        <w:t>事业人员</w:t>
      </w:r>
      <w:r>
        <w:rPr>
          <w:rFonts w:hint="eastAsia" w:ascii="仿宋_GB2312" w:hAnsi="仿宋" w:eastAsia="仿宋_GB2312"/>
          <w:sz w:val="32"/>
          <w:szCs w:val="32"/>
          <w:lang w:eastAsia="zh-CN"/>
        </w:rPr>
        <w:t>减少</w:t>
      </w:r>
      <w:r>
        <w:rPr>
          <w:rFonts w:hint="eastAsia" w:ascii="仿宋_GB2312" w:hAnsi="仿宋" w:eastAsia="仿宋_GB2312"/>
          <w:sz w:val="32"/>
          <w:szCs w:val="32"/>
        </w:rPr>
        <w:t>1人，聘用人员</w:t>
      </w:r>
      <w:r>
        <w:rPr>
          <w:rFonts w:hint="eastAsia" w:ascii="仿宋_GB2312" w:hAnsi="仿宋" w:eastAsia="仿宋_GB2312"/>
          <w:sz w:val="32"/>
          <w:szCs w:val="32"/>
          <w:lang w:eastAsia="zh-CN"/>
        </w:rPr>
        <w:t>无变化</w:t>
      </w:r>
      <w:r>
        <w:rPr>
          <w:rFonts w:hint="eastAsia" w:ascii="仿宋_GB2312" w:hAnsi="仿宋"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二、部门资金收支情况</w:t>
      </w:r>
    </w:p>
    <w:p>
      <w:pPr>
        <w:spacing w:line="240" w:lineRule="auto"/>
        <w:ind w:firstLine="630"/>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（一）收入情况。</w:t>
      </w:r>
    </w:p>
    <w:p>
      <w:pPr>
        <w:spacing w:line="240" w:lineRule="auto"/>
        <w:ind w:firstLine="630"/>
        <w:rPr>
          <w:rFonts w:hint="default" w:ascii="仿宋_GB2312" w:hAnsi="Times New Roman" w:eastAsia="仿宋_GB2312" w:cs="Times New Roman"/>
          <w:b w:val="0"/>
          <w:bCs w:val="0"/>
          <w:kern w:val="2"/>
          <w:sz w:val="32"/>
          <w:szCs w:val="32"/>
          <w:lang w:val="en-US" w:eastAsia="zh-CN" w:bidi="ar-SA"/>
        </w:rPr>
      </w:pPr>
      <w:r>
        <w:rPr>
          <w:rFonts w:hint="eastAsia" w:ascii="仿宋_GB2312" w:hAnsi="仿宋" w:eastAsia="仿宋_GB2312" w:cs="Times New Roman"/>
          <w:sz w:val="32"/>
          <w:szCs w:val="32"/>
          <w:lang w:val="en-US" w:eastAsia="zh-CN"/>
        </w:rPr>
        <w:t>2023年度，年初预算安排本年收入642.81万元。</w:t>
      </w:r>
      <w:r>
        <w:rPr>
          <w:rFonts w:hint="eastAsia" w:ascii="仿宋_GB2312" w:hAnsi="Times New Roman" w:eastAsia="仿宋_GB2312" w:cs="Times New Roman"/>
          <w:b w:val="0"/>
          <w:bCs w:val="0"/>
          <w:kern w:val="2"/>
          <w:sz w:val="32"/>
          <w:szCs w:val="32"/>
          <w:lang w:val="en-US" w:eastAsia="zh-CN" w:bidi="ar-SA"/>
        </w:rPr>
        <w:t>其中：一般公共预算财政拨款收入502.81万元，政府性基金预算财政拨款收入140万元。决算报表反映本年收入801.68万元，其中：一般公共预算财政拨款收入789.74万元，政府性基金预算财政拨款收入11.88万元，其他收入0.06万元。</w:t>
      </w:r>
    </w:p>
    <w:p>
      <w:pPr>
        <w:spacing w:line="240" w:lineRule="auto"/>
        <w:ind w:firstLine="630"/>
        <w:rPr>
          <w:rFonts w:hint="eastAsia" w:ascii="楷体_GB2312" w:hAnsi="Times New Roman" w:eastAsia="楷体_GB2312" w:cs="Times New Roman"/>
          <w:b/>
          <w:sz w:val="32"/>
          <w:szCs w:val="32"/>
          <w:lang w:val="en-US" w:eastAsia="zh-CN"/>
        </w:rPr>
      </w:pPr>
      <w:r>
        <w:rPr>
          <w:rFonts w:hint="eastAsia" w:ascii="楷体_GB2312" w:hAnsi="Times New Roman" w:eastAsia="楷体_GB2312" w:cs="Times New Roman"/>
          <w:b/>
          <w:sz w:val="32"/>
          <w:szCs w:val="32"/>
          <w:lang w:val="en-US" w:eastAsia="zh-CN"/>
        </w:rPr>
        <w:t>（二）支出情况。</w:t>
      </w:r>
    </w:p>
    <w:p>
      <w:pPr>
        <w:spacing w:line="240" w:lineRule="auto"/>
        <w:ind w:firstLine="630"/>
        <w:rPr>
          <w:rFonts w:hint="default"/>
          <w:lang w:val="en-US"/>
        </w:rPr>
      </w:pPr>
      <w:r>
        <w:rPr>
          <w:rFonts w:hint="eastAsia" w:ascii="仿宋_GB2312" w:hAnsi="Times New Roman" w:eastAsia="仿宋_GB2312" w:cs="Times New Roman"/>
          <w:b w:val="0"/>
          <w:bCs w:val="0"/>
          <w:kern w:val="2"/>
          <w:sz w:val="32"/>
          <w:szCs w:val="32"/>
          <w:lang w:val="en-US" w:eastAsia="zh-CN" w:bidi="ar-SA"/>
        </w:rPr>
        <w:t>2023年度，年初预算安排本年支出642.81</w:t>
      </w:r>
      <w:r>
        <w:rPr>
          <w:rFonts w:hint="eastAsia" w:ascii="仿宋_GB2312" w:eastAsia="仿宋_GB2312" w:cs="Times New Roman"/>
          <w:b w:val="0"/>
          <w:bCs w:val="0"/>
          <w:kern w:val="2"/>
          <w:sz w:val="32"/>
          <w:szCs w:val="32"/>
          <w:lang w:val="en-US" w:eastAsia="zh-CN" w:bidi="ar-SA"/>
        </w:rPr>
        <w:t>万</w:t>
      </w:r>
      <w:r>
        <w:rPr>
          <w:rFonts w:hint="eastAsia" w:ascii="仿宋_GB2312" w:hAnsi="Times New Roman" w:eastAsia="仿宋_GB2312" w:cs="Times New Roman"/>
          <w:b w:val="0"/>
          <w:bCs w:val="0"/>
          <w:kern w:val="2"/>
          <w:sz w:val="32"/>
          <w:szCs w:val="32"/>
          <w:lang w:val="en-US" w:eastAsia="zh-CN" w:bidi="ar-SA"/>
        </w:rPr>
        <w:t>元。其中：一般公共预算财政拨款支出502.81万元，政府性基金预算财政拨款支出140万元。决算报表反映本年支出1182.35万元，其中：一般公共预算财政拨款收入839.46万元，政府性基金预算财政拨款收入342.89万元。本年支出大于本年收入是因：本年支出中财政使用存量资金安排一般公共预算财政拨款支出49.65万元，政府性基金预算财政拨款支出331.01万元。</w:t>
      </w:r>
    </w:p>
    <w:p>
      <w:pPr>
        <w:numPr>
          <w:ilvl w:val="0"/>
          <w:numId w:val="4"/>
        </w:numPr>
        <w:ind w:left="0" w:leftChars="0" w:firstLine="643" w:firstLineChars="200"/>
        <w:rPr>
          <w:rFonts w:hint="eastAsia" w:ascii="楷体_GB2312" w:eastAsia="楷体_GB2312"/>
          <w:b/>
          <w:sz w:val="32"/>
          <w:szCs w:val="32"/>
        </w:rPr>
      </w:pPr>
      <w:r>
        <w:rPr>
          <w:rFonts w:hint="eastAsia" w:ascii="楷体_GB2312" w:eastAsia="楷体_GB2312"/>
          <w:b/>
          <w:sz w:val="32"/>
          <w:szCs w:val="32"/>
        </w:rPr>
        <w:t>结余分配和结转结余情况。</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rPr>
        <w:t>2023年</w:t>
      </w:r>
      <w:r>
        <w:rPr>
          <w:rFonts w:hint="eastAsia" w:ascii="仿宋_GB2312" w:eastAsia="仿宋_GB2312"/>
          <w:sz w:val="32"/>
          <w:szCs w:val="32"/>
          <w:lang w:eastAsia="zh-CN"/>
        </w:rPr>
        <w:t>度，</w:t>
      </w:r>
      <w:r>
        <w:rPr>
          <w:rFonts w:hint="eastAsia" w:ascii="仿宋_GB2312" w:eastAsia="仿宋_GB2312"/>
          <w:sz w:val="32"/>
          <w:szCs w:val="32"/>
        </w:rPr>
        <w:t>决算报表</w:t>
      </w:r>
      <w:r>
        <w:rPr>
          <w:rFonts w:hint="eastAsia" w:ascii="仿宋_GB2312" w:eastAsia="仿宋_GB2312"/>
          <w:sz w:val="32"/>
          <w:szCs w:val="32"/>
          <w:lang w:eastAsia="zh-CN"/>
        </w:rPr>
        <w:t>反映</w:t>
      </w:r>
      <w:r>
        <w:rPr>
          <w:rFonts w:hint="eastAsia" w:ascii="仿宋_GB2312" w:eastAsia="仿宋_GB2312"/>
          <w:sz w:val="32"/>
          <w:szCs w:val="32"/>
        </w:rPr>
        <w:t>结转结余</w:t>
      </w:r>
      <w:r>
        <w:rPr>
          <w:rFonts w:hint="eastAsia" w:ascii="仿宋_GB2312" w:eastAsia="仿宋_GB2312"/>
          <w:sz w:val="32"/>
          <w:szCs w:val="32"/>
          <w:lang w:val="en-US" w:eastAsia="zh-CN"/>
        </w:rPr>
        <w:t>11.59万元</w:t>
      </w:r>
      <w:r>
        <w:rPr>
          <w:rFonts w:hint="eastAsia" w:ascii="仿宋_GB2312"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三、部门预算绩效分析</w:t>
      </w:r>
    </w:p>
    <w:p>
      <w:pPr>
        <w:ind w:firstLine="643" w:firstLineChars="200"/>
        <w:rPr>
          <w:rFonts w:ascii="仿宋_GB2312" w:eastAsia="仿宋_GB2312"/>
          <w:sz w:val="32"/>
          <w:szCs w:val="32"/>
        </w:rPr>
      </w:pPr>
      <w:r>
        <w:rPr>
          <w:rFonts w:hint="eastAsia" w:ascii="楷体_GB2312" w:eastAsia="楷体_GB2312"/>
          <w:b/>
          <w:sz w:val="32"/>
          <w:szCs w:val="32"/>
        </w:rPr>
        <w:t>（一）部门预算总体绩效分析。</w:t>
      </w:r>
      <w:r>
        <w:rPr>
          <w:rFonts w:hint="eastAsia" w:ascii="仿宋_GB2312" w:eastAsia="仿宋_GB2312"/>
          <w:sz w:val="32"/>
          <w:szCs w:val="32"/>
        </w:rPr>
        <w:t>根据部门预算绩效评价指标体系“总体绩效”涉及二、三级指标进行逐项绩效分析并评分，依次包括履职效能、预算管理、财务管理、资产管理、采购管理等情况。</w:t>
      </w:r>
    </w:p>
    <w:p>
      <w:pPr>
        <w:keepNext w:val="0"/>
        <w:keepLines w:val="0"/>
        <w:pageBreakBefore w:val="0"/>
        <w:widowControl w:val="0"/>
        <w:kinsoku/>
        <w:wordWrap/>
        <w:overflowPunct/>
        <w:topLinePunct w:val="0"/>
        <w:autoSpaceDE/>
        <w:autoSpaceDN/>
        <w:bidi w:val="0"/>
        <w:adjustRightInd/>
        <w:snapToGrid/>
        <w:spacing w:line="353" w:lineRule="auto"/>
        <w:ind w:firstLine="640" w:firstLineChars="200"/>
        <w:textAlignment w:val="auto"/>
        <w:rPr>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履职</w:t>
      </w:r>
      <w:r>
        <w:rPr>
          <w:rFonts w:hint="eastAsia" w:ascii="楷体_GB2312" w:hAnsi="楷体_GB2312" w:eastAsia="楷体_GB2312" w:cs="楷体_GB2312"/>
          <w:color w:val="000000"/>
          <w:kern w:val="0"/>
          <w:sz w:val="32"/>
          <w:szCs w:val="32"/>
          <w:shd w:val="clear" w:color="auto" w:fill="FFFFFF"/>
        </w:rPr>
        <w:t>效能</w:t>
      </w:r>
      <w:r>
        <w:rPr>
          <w:rFonts w:hint="eastAsia" w:ascii="楷体_GB2312" w:hAnsi="楷体_GB2312" w:eastAsia="楷体_GB2312" w:cs="楷体_GB2312"/>
          <w:color w:val="000000"/>
          <w:kern w:val="0"/>
          <w:sz w:val="32"/>
          <w:szCs w:val="32"/>
          <w:shd w:val="clear" w:color="auto" w:fill="FFFFFF"/>
          <w:lang w:val="zh-CN"/>
        </w:rPr>
        <w:t>。</w:t>
      </w:r>
      <w:r>
        <w:rPr>
          <w:rFonts w:hint="eastAsia" w:ascii="Times New Roman" w:hAnsi="Times New Roman" w:eastAsia="仿宋_GB2312" w:cs="Times New Roman"/>
          <w:b w:val="0"/>
          <w:bCs/>
          <w:color w:val="auto"/>
          <w:sz w:val="32"/>
          <w:szCs w:val="32"/>
          <w:lang w:val="en-US" w:eastAsia="zh-CN"/>
        </w:rPr>
        <w:t>2023年，在区委、区政府的正确领导下，坚持以习近平新时代中国特色社会主义思想为指导，深入贯彻落实党的二十大精神和习近平总书记对四川工作系列重要指示精神，以强烈的使命感和紧迫感，聚焦夯实经济、做实项目、压实责任，积极谋划项目和争取向上资金，全力推进项目建设、高质量发展建设共同富裕试验区工作，推动发展改革事业再上新台阶。</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bidi="ar-SA"/>
        </w:rPr>
        <w:t>1）真抓实干，全力推动经济高质量发展。一是抓实谋划项目储备。</w:t>
      </w:r>
      <w:r>
        <w:rPr>
          <w:rFonts w:hint="default" w:ascii="Times New Roman" w:hAnsi="Times New Roman" w:eastAsia="仿宋_GB2312" w:cs="Times New Roman"/>
          <w:b w:val="0"/>
          <w:bCs/>
          <w:color w:val="auto"/>
          <w:sz w:val="32"/>
          <w:szCs w:val="32"/>
          <w:lang w:val="en-US" w:eastAsia="zh-CN"/>
        </w:rPr>
        <w:t>建立西区</w:t>
      </w:r>
      <w:r>
        <w:rPr>
          <w:rFonts w:hint="eastAsia" w:ascii="Times New Roman" w:hAnsi="Times New Roman" w:eastAsia="仿宋_GB2312" w:cs="Times New Roman"/>
          <w:b w:val="0"/>
          <w:bCs/>
          <w:color w:val="auto"/>
          <w:sz w:val="32"/>
          <w:szCs w:val="32"/>
          <w:lang w:val="en-US" w:eastAsia="zh-CN"/>
        </w:rPr>
        <w:t>“十四五”</w:t>
      </w:r>
      <w:r>
        <w:rPr>
          <w:rFonts w:hint="default" w:ascii="Times New Roman" w:hAnsi="Times New Roman" w:eastAsia="仿宋_GB2312" w:cs="Times New Roman"/>
          <w:b w:val="0"/>
          <w:bCs/>
          <w:color w:val="auto"/>
          <w:sz w:val="32"/>
          <w:szCs w:val="32"/>
          <w:lang w:val="en-US" w:eastAsia="zh-CN"/>
        </w:rPr>
        <w:t>项目储备库，包装储备项目507个，总投资424.72亿元，</w:t>
      </w:r>
      <w:r>
        <w:rPr>
          <w:rFonts w:hint="eastAsia" w:ascii="Times New Roman" w:hAnsi="Times New Roman" w:eastAsia="仿宋_GB2312" w:cs="Times New Roman"/>
          <w:b w:val="0"/>
          <w:bCs/>
          <w:color w:val="auto"/>
          <w:sz w:val="32"/>
          <w:szCs w:val="32"/>
          <w:lang w:val="en-US" w:eastAsia="zh-CN"/>
        </w:rPr>
        <w:t>其中，“攀西工业强区”</w:t>
      </w:r>
      <w:r>
        <w:rPr>
          <w:rFonts w:hint="default" w:ascii="Times New Roman" w:hAnsi="Times New Roman" w:eastAsia="仿宋_GB2312" w:cs="Times New Roman"/>
          <w:b w:val="0"/>
          <w:bCs/>
          <w:color w:val="auto"/>
          <w:sz w:val="32"/>
          <w:szCs w:val="32"/>
          <w:lang w:val="en-US" w:eastAsia="zh-CN"/>
        </w:rPr>
        <w:t>储备项目118个，总投资2083030.90万元。</w:t>
      </w:r>
      <w:r>
        <w:rPr>
          <w:rFonts w:hint="eastAsia" w:ascii="Times New Roman" w:hAnsi="Times New Roman" w:eastAsia="仿宋_GB2312" w:cs="Times New Roman"/>
          <w:b w:val="0"/>
          <w:bCs/>
          <w:color w:val="auto"/>
          <w:sz w:val="32"/>
          <w:szCs w:val="32"/>
          <w:lang w:val="en-US" w:eastAsia="zh-CN"/>
        </w:rPr>
        <w:t>“山水灵秀新城”</w:t>
      </w:r>
      <w:r>
        <w:rPr>
          <w:rFonts w:hint="default" w:ascii="Times New Roman" w:hAnsi="Times New Roman" w:eastAsia="仿宋_GB2312" w:cs="Times New Roman"/>
          <w:b w:val="0"/>
          <w:bCs/>
          <w:color w:val="auto"/>
          <w:sz w:val="32"/>
          <w:szCs w:val="32"/>
          <w:lang w:val="en-US" w:eastAsia="zh-CN"/>
        </w:rPr>
        <w:t>储备项目389个，总投资2164172.355万元</w:t>
      </w:r>
      <w:r>
        <w:rPr>
          <w:rFonts w:hint="eastAsia" w:ascii="Times New Roman" w:hAnsi="Times New Roman" w:eastAsia="仿宋_GB2312" w:cs="Times New Roman"/>
          <w:b w:val="0"/>
          <w:bCs/>
          <w:color w:val="auto"/>
          <w:sz w:val="32"/>
          <w:szCs w:val="32"/>
          <w:lang w:val="en-US" w:eastAsia="zh-CN"/>
        </w:rPr>
        <w:t>。二是有序推进项目建设。全年，确定重点项目66个（省级重点项目1个，市级重点项目25个，区级重点项目66个），总投资196.7亿元，计划完成37.4亿元，完成投资46.7亿元，投资完成率124.6%。三是加大政策资金争取。成功申报</w:t>
      </w:r>
      <w:r>
        <w:rPr>
          <w:rFonts w:hint="default" w:ascii="Times New Roman" w:hAnsi="Times New Roman" w:eastAsia="仿宋_GB2312" w:cs="Times New Roman"/>
          <w:b w:val="0"/>
          <w:bCs/>
          <w:color w:val="auto"/>
          <w:sz w:val="32"/>
          <w:szCs w:val="32"/>
          <w:lang w:val="en-US" w:eastAsia="zh-CN"/>
        </w:rPr>
        <w:t>攀枝花市西区格里坪片区燃气管网更新改造建设项目</w:t>
      </w:r>
      <w:r>
        <w:rPr>
          <w:rFonts w:hint="eastAsia" w:ascii="Times New Roman" w:hAnsi="Times New Roman" w:eastAsia="仿宋_GB2312" w:cs="Times New Roman"/>
          <w:b w:val="0"/>
          <w:bCs/>
          <w:color w:val="auto"/>
          <w:sz w:val="32"/>
          <w:szCs w:val="32"/>
          <w:lang w:val="en-US" w:eastAsia="zh-CN"/>
        </w:rPr>
        <w:t>、西区妇女居家灵活就业示范基地建设项目等</w:t>
      </w:r>
      <w:r>
        <w:rPr>
          <w:rFonts w:hint="default" w:ascii="Times New Roman" w:hAnsi="Times New Roman" w:eastAsia="仿宋_GB2312" w:cs="Times New Roman"/>
          <w:b w:val="0"/>
          <w:bCs/>
          <w:color w:val="auto"/>
          <w:sz w:val="32"/>
          <w:szCs w:val="32"/>
          <w:lang w:val="en-US" w:eastAsia="zh-CN"/>
        </w:rPr>
        <w:t>中省资金项目11个，总投资</w:t>
      </w:r>
      <w:r>
        <w:rPr>
          <w:rFonts w:hint="eastAsia" w:ascii="Times New Roman" w:hAnsi="Times New Roman" w:eastAsia="仿宋_GB2312" w:cs="Times New Roman"/>
          <w:b w:val="0"/>
          <w:bCs/>
          <w:color w:val="auto"/>
          <w:sz w:val="32"/>
          <w:szCs w:val="32"/>
          <w:lang w:val="en-US" w:eastAsia="zh-CN"/>
        </w:rPr>
        <w:t>3.17</w:t>
      </w:r>
      <w:r>
        <w:rPr>
          <w:rFonts w:hint="default" w:ascii="Times New Roman" w:hAnsi="Times New Roman" w:eastAsia="仿宋_GB2312" w:cs="Times New Roman"/>
          <w:b w:val="0"/>
          <w:bCs/>
          <w:color w:val="auto"/>
          <w:sz w:val="32"/>
          <w:szCs w:val="32"/>
          <w:lang w:val="en-US" w:eastAsia="zh-CN"/>
        </w:rPr>
        <w:t>亿元，</w:t>
      </w:r>
      <w:r>
        <w:rPr>
          <w:rFonts w:hint="eastAsia" w:ascii="Times New Roman" w:hAnsi="Times New Roman" w:eastAsia="仿宋_GB2312" w:cs="Times New Roman"/>
          <w:b w:val="0"/>
          <w:bCs/>
          <w:color w:val="auto"/>
          <w:sz w:val="32"/>
          <w:szCs w:val="32"/>
          <w:lang w:val="en-US" w:eastAsia="zh-CN"/>
        </w:rPr>
        <w:t>获批中省资金1.13亿元。上报专项债项目25个，通过国家发展改革委审核列入发行准备清单项目5个，专项债券需求3.84亿元，发放攀枝花市西区河门口老旧小区燃气管网更新改造建设、攀枝花格里坪化工园区基础设施建设、攀枝花市西区城市燃气管网更新改造建设等专项债项目3个，发行债券1.6亿元。</w:t>
      </w:r>
      <w:r>
        <w:rPr>
          <w:rFonts w:hint="eastAsia" w:eastAsia="仿宋_GB2312" w:cs="Times New Roman"/>
          <w:b w:val="0"/>
          <w:bCs/>
          <w:color w:val="auto"/>
          <w:sz w:val="32"/>
          <w:szCs w:val="32"/>
          <w:lang w:val="en-US" w:eastAsia="zh-CN"/>
        </w:rPr>
        <w:t>（2）持续优化，健全政府投资全过程管理。一是规范项目立项审批。</w:t>
      </w:r>
      <w:r>
        <w:rPr>
          <w:rFonts w:hint="eastAsia" w:ascii="Times New Roman" w:hAnsi="Times New Roman" w:eastAsia="仿宋_GB2312" w:cs="Times New Roman"/>
          <w:b w:val="0"/>
          <w:bCs/>
          <w:color w:val="auto"/>
          <w:sz w:val="32"/>
          <w:szCs w:val="32"/>
          <w:lang w:val="en-US" w:eastAsia="zh-CN"/>
        </w:rPr>
        <w:t>严格贯彻执行《政府投资条例》《四川省政府投资管理办法》等规定，</w:t>
      </w:r>
      <w:r>
        <w:rPr>
          <w:rFonts w:hint="default" w:ascii="Times New Roman" w:hAnsi="Times New Roman" w:eastAsia="仿宋_GB2312" w:cs="Times New Roman"/>
          <w:b w:val="0"/>
          <w:bCs/>
          <w:color w:val="auto"/>
          <w:sz w:val="32"/>
          <w:szCs w:val="32"/>
          <w:lang w:val="en-US" w:eastAsia="zh-CN"/>
        </w:rPr>
        <w:t>常态化开展在线监测和项目跟踪督导，确保投资项目顺利实施</w:t>
      </w:r>
      <w:r>
        <w:rPr>
          <w:rFonts w:hint="eastAsia" w:ascii="Times New Roman" w:hAnsi="Times New Roman" w:eastAsia="仿宋_GB2312" w:cs="Times New Roman"/>
          <w:b w:val="0"/>
          <w:bCs/>
          <w:color w:val="auto"/>
          <w:sz w:val="32"/>
          <w:szCs w:val="32"/>
          <w:lang w:val="en-US" w:eastAsia="zh-CN"/>
        </w:rPr>
        <w:t>，审批政府投资项目17个，总投资5.25亿元。</w:t>
      </w:r>
      <w:r>
        <w:rPr>
          <w:rFonts w:hint="eastAsia" w:eastAsia="仿宋_GB2312" w:cs="Times New Roman"/>
          <w:b w:val="0"/>
          <w:bCs/>
          <w:color w:val="auto"/>
          <w:sz w:val="32"/>
          <w:szCs w:val="32"/>
          <w:lang w:val="en-US" w:eastAsia="zh-CN"/>
        </w:rPr>
        <w:t>二是加强招投标活动监管。</w:t>
      </w:r>
      <w:r>
        <w:rPr>
          <w:rFonts w:hint="eastAsia" w:ascii="Times New Roman" w:hAnsi="Times New Roman" w:eastAsia="仿宋_GB2312" w:cs="Times New Roman"/>
          <w:b w:val="0"/>
          <w:bCs/>
          <w:color w:val="auto"/>
          <w:sz w:val="32"/>
          <w:szCs w:val="32"/>
          <w:lang w:val="en-US" w:eastAsia="zh-CN"/>
        </w:rPr>
        <w:t>严格按照招投标法律法规及国家和省、市有关规定，规范招标代理服务行为，落实四川省招标代理机构比选机制。依托电子招标投标系统、行业监管系统等灵活开展开标、评标现场监督，切实保障招投标活动公开、公平、公正。全年，西区</w:t>
      </w:r>
      <w:r>
        <w:rPr>
          <w:rFonts w:hint="default" w:ascii="Times New Roman" w:hAnsi="Times New Roman" w:eastAsia="仿宋_GB2312" w:cs="Times New Roman"/>
          <w:b w:val="0"/>
          <w:bCs/>
          <w:color w:val="auto"/>
          <w:sz w:val="32"/>
          <w:szCs w:val="32"/>
          <w:lang w:val="en-US" w:eastAsia="zh-CN"/>
        </w:rPr>
        <w:t>开展招投标活动22次，招标控制总价2.21亿元，中标总价2.07亿元，平均节资率6.3%。</w:t>
      </w:r>
      <w:r>
        <w:rPr>
          <w:rFonts w:hint="eastAsia" w:eastAsia="仿宋_GB2312" w:cs="Times New Roman"/>
          <w:b w:val="0"/>
          <w:bCs/>
          <w:color w:val="auto"/>
          <w:sz w:val="32"/>
          <w:szCs w:val="32"/>
          <w:lang w:val="en-US" w:eastAsia="zh-CN"/>
        </w:rPr>
        <w:t>（3）深入推进体制改革。</w:t>
      </w:r>
      <w:r>
        <w:rPr>
          <w:rFonts w:hint="eastAsia" w:ascii="Times New Roman" w:hAnsi="Times New Roman" w:eastAsia="仿宋_GB2312" w:cs="Times New Roman"/>
          <w:b w:val="0"/>
          <w:bCs/>
          <w:color w:val="auto"/>
          <w:sz w:val="32"/>
          <w:szCs w:val="32"/>
          <w:lang w:val="en-US" w:eastAsia="zh-CN"/>
        </w:rPr>
        <w:t>按照市委、区委全面深化改革委员会的安排部署，</w:t>
      </w:r>
      <w:r>
        <w:rPr>
          <w:rFonts w:hint="default" w:ascii="Times New Roman" w:hAnsi="Times New Roman" w:eastAsia="仿宋_GB2312" w:cs="Times New Roman"/>
          <w:b w:val="0"/>
          <w:bCs/>
          <w:color w:val="auto"/>
          <w:sz w:val="32"/>
          <w:szCs w:val="32"/>
          <w:lang w:val="en-US" w:eastAsia="zh-CN"/>
        </w:rPr>
        <w:t>拟定西区经济体制改革专项小组《2023年改革工作要点》和《2023年改革落实台账》</w:t>
      </w:r>
      <w:r>
        <w:rPr>
          <w:rFonts w:hint="eastAsia" w:ascii="Times New Roman" w:hAnsi="Times New Roman" w:eastAsia="仿宋_GB2312" w:cs="Times New Roman"/>
          <w:b w:val="0"/>
          <w:bCs/>
          <w:color w:val="auto"/>
          <w:sz w:val="32"/>
          <w:szCs w:val="32"/>
          <w:lang w:val="en-US" w:eastAsia="zh-CN"/>
        </w:rPr>
        <w:t>，全面完成10项区经济体制改革专项小组改革事项。</w:t>
      </w:r>
      <w:r>
        <w:rPr>
          <w:rFonts w:hint="eastAsia" w:eastAsia="仿宋_GB2312" w:cs="Times New Roman"/>
          <w:b w:val="0"/>
          <w:bCs/>
          <w:color w:val="auto"/>
          <w:sz w:val="32"/>
          <w:szCs w:val="32"/>
          <w:lang w:val="en-US" w:eastAsia="zh-CN"/>
        </w:rPr>
        <w:t>（3）统筹兼顾，确保各项工作多方位落实。一是</w:t>
      </w:r>
      <w:r>
        <w:rPr>
          <w:rFonts w:hint="eastAsia" w:ascii="楷体_GB2312" w:hAnsi="楷体_GB2312" w:eastAsia="楷体_GB2312" w:cs="楷体_GB2312"/>
          <w:bCs/>
          <w:color w:val="auto"/>
          <w:sz w:val="32"/>
          <w:szCs w:val="32"/>
          <w:lang w:val="en-US" w:eastAsia="zh-CN"/>
        </w:rPr>
        <w:t>推进康养产业发展。</w:t>
      </w:r>
      <w:r>
        <w:rPr>
          <w:rFonts w:hint="default" w:ascii="Times New Roman" w:hAnsi="Times New Roman" w:eastAsia="仿宋_GB2312" w:cs="Times New Roman"/>
          <w:b w:val="0"/>
          <w:bCs/>
          <w:color w:val="auto"/>
          <w:sz w:val="32"/>
          <w:szCs w:val="32"/>
          <w:lang w:val="en-US" w:eastAsia="zh-CN"/>
        </w:rPr>
        <w:t>编制《攀枝花市西区2023年康养产业融合发展重点项目清单》，着力打造西区康养产业融合发展3个重点项目，分别为《时光.里》火红年华研学文创园、格里坪镇社区养老服务综合体、攀枝花市西区陶家渡社区卫生服务中心中医药文化广场——“中药百草园”。根据市康养科安排和康养产业标准贯标工作要求，打造西区妇女居家灵活就业培训示范基地和锦橙酒店改造提升2个康养示范点位。</w:t>
      </w:r>
      <w:r>
        <w:rPr>
          <w:rFonts w:hint="eastAsia" w:eastAsia="仿宋_GB2312" w:cs="Times New Roman"/>
          <w:b w:val="0"/>
          <w:bCs/>
          <w:color w:val="auto"/>
          <w:sz w:val="32"/>
          <w:szCs w:val="32"/>
          <w:lang w:val="en-US" w:eastAsia="zh-CN"/>
        </w:rPr>
        <w:t>二是筑牢粮食安全基础。</w:t>
      </w:r>
      <w:r>
        <w:rPr>
          <w:rFonts w:hint="eastAsia" w:ascii="Times New Roman" w:hAnsi="Times New Roman" w:eastAsia="仿宋_GB2312" w:cs="Times New Roman"/>
          <w:b w:val="0"/>
          <w:bCs/>
          <w:color w:val="auto"/>
          <w:sz w:val="32"/>
          <w:szCs w:val="32"/>
          <w:lang w:val="en-US" w:eastAsia="zh-CN"/>
        </w:rPr>
        <w:t>加强粮食和物资储备行业安全生产和监督管理工作，全面完成西区政策性粮食储备5120吨和市级下达500吨粮食储备任务，完成稻谷轮换1012.69吨、小麦轮出1206.44吨和食用油轮换110吨。</w:t>
      </w:r>
      <w:r>
        <w:rPr>
          <w:rFonts w:hint="eastAsia" w:eastAsia="仿宋_GB2312" w:cs="Times New Roman"/>
          <w:b w:val="0"/>
          <w:bCs/>
          <w:color w:val="auto"/>
          <w:sz w:val="32"/>
          <w:szCs w:val="32"/>
          <w:lang w:val="en-US" w:eastAsia="zh-CN"/>
        </w:rPr>
        <w:t>三是强化价格监测认定。</w:t>
      </w:r>
      <w:r>
        <w:rPr>
          <w:rFonts w:hint="eastAsia" w:ascii="Times New Roman" w:hAnsi="Times New Roman" w:eastAsia="仿宋_GB2312" w:cs="Times New Roman"/>
          <w:b w:val="0"/>
          <w:bCs/>
          <w:color w:val="auto"/>
          <w:sz w:val="32"/>
          <w:szCs w:val="32"/>
          <w:lang w:val="en-US" w:eastAsia="zh-CN"/>
        </w:rPr>
        <w:t>认真贯彻落实价格工作规定，完善价格认定体系，强化监测预警体系，加强对工作人员的指导管理，及时发布和上报监测数据，确保价格监测工作规范、准确、权威。</w:t>
      </w:r>
      <w:r>
        <w:rPr>
          <w:rFonts w:hint="eastAsia" w:eastAsia="仿宋_GB2312" w:cs="Times New Roman"/>
          <w:b w:val="0"/>
          <w:bCs/>
          <w:color w:val="auto"/>
          <w:sz w:val="32"/>
          <w:szCs w:val="32"/>
          <w:lang w:val="en-US" w:eastAsia="zh-CN"/>
        </w:rPr>
        <w:t>四是加快物流枢纽建设。</w:t>
      </w:r>
      <w:r>
        <w:rPr>
          <w:rFonts w:hint="eastAsia" w:ascii="Times New Roman" w:hAnsi="Times New Roman" w:eastAsia="仿宋_GB2312" w:cs="Times New Roman"/>
          <w:b w:val="0"/>
          <w:bCs/>
          <w:color w:val="auto"/>
          <w:sz w:val="32"/>
          <w:szCs w:val="32"/>
          <w:lang w:val="en-US" w:eastAsia="zh-CN"/>
        </w:rPr>
        <w:t>以物流业促产业发展，统筹格里坪空间布局和产业发展，形成</w:t>
      </w:r>
      <w:r>
        <w:rPr>
          <w:rFonts w:hint="default" w:ascii="Times New Roman" w:hAnsi="Times New Roman" w:eastAsia="仿宋_GB2312" w:cs="Times New Roman"/>
          <w:b w:val="0"/>
          <w:bCs/>
          <w:color w:val="auto"/>
          <w:sz w:val="32"/>
          <w:szCs w:val="32"/>
          <w:lang w:val="en-US" w:eastAsia="zh-CN"/>
        </w:rPr>
        <w:t>集公路、铁路、</w:t>
      </w:r>
      <w:r>
        <w:rPr>
          <w:rFonts w:hint="eastAsia" w:ascii="Times New Roman" w:hAnsi="Times New Roman" w:eastAsia="仿宋_GB2312" w:cs="Times New Roman"/>
          <w:b w:val="0"/>
          <w:bCs/>
          <w:color w:val="auto"/>
          <w:sz w:val="32"/>
          <w:szCs w:val="32"/>
          <w:lang w:val="en-US" w:eastAsia="zh-CN"/>
        </w:rPr>
        <w:t>多式</w:t>
      </w:r>
      <w:r>
        <w:rPr>
          <w:rFonts w:hint="default" w:ascii="Times New Roman" w:hAnsi="Times New Roman" w:eastAsia="仿宋_GB2312" w:cs="Times New Roman"/>
          <w:b w:val="0"/>
          <w:bCs/>
          <w:color w:val="auto"/>
          <w:sz w:val="32"/>
          <w:szCs w:val="32"/>
          <w:lang w:val="en-US" w:eastAsia="zh-CN"/>
        </w:rPr>
        <w:t>联运为一体的集疏运通达体系。</w:t>
      </w:r>
      <w:r>
        <w:rPr>
          <w:rFonts w:hint="eastAsia" w:ascii="Times New Roman" w:hAnsi="Times New Roman" w:eastAsia="仿宋_GB2312" w:cs="Times New Roman"/>
          <w:b w:val="0"/>
          <w:bCs/>
          <w:color w:val="auto"/>
          <w:sz w:val="32"/>
          <w:szCs w:val="32"/>
          <w:lang w:val="en-US" w:eastAsia="zh-CN"/>
        </w:rPr>
        <w:t>组建以鼎信投资集团</w:t>
      </w:r>
      <w:r>
        <w:rPr>
          <w:rFonts w:hint="default" w:ascii="Times New Roman" w:hAnsi="Times New Roman" w:eastAsia="仿宋_GB2312" w:cs="Times New Roman"/>
          <w:b w:val="0"/>
          <w:bCs/>
          <w:color w:val="auto"/>
          <w:sz w:val="32"/>
          <w:szCs w:val="32"/>
          <w:lang w:val="en-US" w:eastAsia="zh-CN"/>
        </w:rPr>
        <w:t>为运营主体</w:t>
      </w:r>
      <w:r>
        <w:rPr>
          <w:rFonts w:hint="eastAsia" w:ascii="Times New Roman" w:hAnsi="Times New Roman" w:eastAsia="仿宋_GB2312" w:cs="Times New Roman"/>
          <w:b w:val="0"/>
          <w:bCs/>
          <w:color w:val="auto"/>
          <w:sz w:val="32"/>
          <w:szCs w:val="32"/>
          <w:lang w:val="en-US" w:eastAsia="zh-CN"/>
        </w:rPr>
        <w:t>，联合蜀物致远物流、健丰物流、攀青物流、新骋物资、云南省金沙江木材水运局等枢纽内重点物流企业共同发起成立的枢纽运营联盟。</w:t>
      </w:r>
      <w:r>
        <w:rPr>
          <w:rFonts w:hint="default" w:ascii="Times New Roman" w:hAnsi="Times New Roman" w:eastAsia="仿宋_GB2312" w:cs="Times New Roman"/>
          <w:b w:val="0"/>
          <w:bCs/>
          <w:color w:val="auto"/>
          <w:sz w:val="32"/>
          <w:szCs w:val="32"/>
          <w:lang w:val="en-US" w:eastAsia="zh-CN"/>
        </w:rPr>
        <w:t>有序推进</w:t>
      </w:r>
      <w:r>
        <w:rPr>
          <w:rFonts w:hint="eastAsia" w:ascii="Times New Roman" w:hAnsi="Times New Roman" w:eastAsia="仿宋_GB2312" w:cs="Times New Roman"/>
          <w:b w:val="0"/>
          <w:bCs/>
          <w:color w:val="auto"/>
          <w:sz w:val="32"/>
          <w:szCs w:val="32"/>
          <w:lang w:val="en-US" w:eastAsia="zh-CN"/>
        </w:rPr>
        <w:t>格里坪物流枢纽建设项目21个，攀枝花市生产服务型国家物流枢纽示范项目前期研究获</w:t>
      </w:r>
      <w:r>
        <w:rPr>
          <w:rFonts w:hint="default" w:ascii="Times New Roman" w:hAnsi="Times New Roman" w:eastAsia="仿宋_GB2312" w:cs="Times New Roman"/>
          <w:b w:val="0"/>
          <w:bCs/>
          <w:color w:val="auto"/>
          <w:sz w:val="32"/>
          <w:szCs w:val="32"/>
          <w:lang w:val="en-US" w:eastAsia="zh-CN"/>
        </w:rPr>
        <w:t>2023年重大项目前期工作费（西部大开发前期工作补助）专项中央预算内投资</w:t>
      </w:r>
      <w:r>
        <w:rPr>
          <w:rFonts w:hint="eastAsia" w:ascii="Times New Roman" w:hAnsi="Times New Roman" w:eastAsia="仿宋_GB2312" w:cs="Times New Roman"/>
          <w:b w:val="0"/>
          <w:bCs/>
          <w:color w:val="auto"/>
          <w:sz w:val="32"/>
          <w:szCs w:val="32"/>
          <w:lang w:val="en-US" w:eastAsia="zh-CN"/>
        </w:rPr>
        <w:t>93万元，第二批专项债项目</w:t>
      </w:r>
      <w:r>
        <w:rPr>
          <w:rFonts w:hint="default" w:ascii="Times New Roman" w:hAnsi="Times New Roman" w:eastAsia="仿宋_GB2312" w:cs="Times New Roman"/>
          <w:b w:val="0"/>
          <w:bCs/>
          <w:color w:val="auto"/>
          <w:sz w:val="32"/>
          <w:szCs w:val="32"/>
          <w:lang w:val="en-US" w:eastAsia="zh-CN"/>
        </w:rPr>
        <w:t>格里坪物流枢纽转运场站</w:t>
      </w:r>
      <w:r>
        <w:rPr>
          <w:rFonts w:hint="eastAsia" w:ascii="Times New Roman" w:hAnsi="Times New Roman" w:eastAsia="仿宋_GB2312" w:cs="Times New Roman"/>
          <w:b w:val="0"/>
          <w:bCs/>
          <w:color w:val="auto"/>
          <w:sz w:val="32"/>
          <w:szCs w:val="32"/>
          <w:lang w:val="en-US" w:eastAsia="zh-CN"/>
        </w:rPr>
        <w:t>建设1000万元通过国家发展改革委审核。</w:t>
      </w:r>
    </w:p>
    <w:p>
      <w:pPr>
        <w:keepNext w:val="0"/>
        <w:keepLines w:val="0"/>
        <w:pageBreakBefore w:val="0"/>
        <w:widowControl w:val="0"/>
        <w:kinsoku/>
        <w:wordWrap/>
        <w:overflowPunct/>
        <w:topLinePunct w:val="0"/>
        <w:autoSpaceDE/>
        <w:autoSpaceDN/>
        <w:bidi w:val="0"/>
        <w:adjustRightInd/>
        <w:spacing w:line="560" w:lineRule="exact"/>
        <w:ind w:left="105" w:leftChars="50" w:firstLine="640" w:firstLineChars="200"/>
        <w:textAlignment w:val="auto"/>
        <w:rPr>
          <w:rFonts w:hint="eastAsia" w:ascii="Times New Roman" w:hAnsi="Times New Roman" w:eastAsia="仿宋_GB2312"/>
          <w:color w:val="auto"/>
          <w:sz w:val="32"/>
          <w:szCs w:val="32"/>
          <w:lang w:val="zh-CN"/>
        </w:rPr>
      </w:pPr>
      <w:r>
        <w:rPr>
          <w:rFonts w:hint="eastAsia" w:ascii="楷体_GB2312" w:hAnsi="楷体_GB2312" w:eastAsia="楷体_GB2312" w:cs="楷体_GB2312"/>
          <w:color w:val="000000"/>
          <w:kern w:val="0"/>
          <w:sz w:val="32"/>
          <w:szCs w:val="32"/>
          <w:shd w:val="clear" w:color="auto" w:fill="FFFFFF"/>
        </w:rPr>
        <w:t>2.</w:t>
      </w:r>
      <w:r>
        <w:rPr>
          <w:rFonts w:hint="eastAsia" w:ascii="楷体_GB2312" w:hAnsi="楷体_GB2312" w:eastAsia="楷体_GB2312" w:cs="楷体_GB2312"/>
          <w:color w:val="000000"/>
          <w:kern w:val="0"/>
          <w:sz w:val="32"/>
          <w:szCs w:val="32"/>
          <w:shd w:val="clear" w:color="auto" w:fill="FFFFFF"/>
          <w:lang w:val="zh-CN"/>
        </w:rPr>
        <w:t>预算管理。</w:t>
      </w:r>
      <w:r>
        <w:rPr>
          <w:rFonts w:hint="eastAsia" w:ascii="Times New Roman" w:hAnsi="Times New Roman" w:eastAsia="仿宋_GB2312"/>
          <w:color w:val="auto"/>
          <w:sz w:val="32"/>
          <w:szCs w:val="32"/>
          <w:lang w:val="zh-CN"/>
        </w:rPr>
        <w:t>我委严格按照预算编制工作要求，结合本单位人员情况及实际工作需求，科学、合理编制部门预算。坚持“无预算不支出”，厉行节约，压缩公用经费开支，严控“三公”经费。在预算执行中，合理合规使用各项资金，加强预算执行，</w:t>
      </w:r>
      <w:r>
        <w:rPr>
          <w:rFonts w:hint="eastAsia" w:ascii="仿宋_GB2312" w:hAnsi="宋体" w:eastAsia="仿宋_GB2312" w:cs="宋体"/>
          <w:color w:val="auto"/>
          <w:kern w:val="0"/>
          <w:sz w:val="32"/>
          <w:szCs w:val="32"/>
        </w:rPr>
        <w:t>提高资金使用效率、确保目标实现。</w:t>
      </w:r>
      <w:r>
        <w:rPr>
          <w:rFonts w:hint="eastAsia" w:ascii="Times New Roman" w:hAnsi="Times New Roman" w:eastAsia="仿宋_GB2312"/>
          <w:color w:val="auto"/>
          <w:sz w:val="32"/>
          <w:szCs w:val="32"/>
          <w:lang w:val="zh-CN"/>
        </w:rPr>
        <w:t>预算项目均纳入项目库，进行绩效目标管理，按照项目进度及预算资金安排支付项目资金。</w:t>
      </w:r>
    </w:p>
    <w:p>
      <w:pPr>
        <w:adjustRightInd w:val="0"/>
        <w:snapToGrid w:val="0"/>
        <w:spacing w:line="578" w:lineRule="exact"/>
        <w:ind w:firstLine="640" w:firstLineChars="200"/>
        <w:jc w:val="left"/>
        <w:rPr>
          <w:rFonts w:ascii="楷体_GB2312" w:hAnsi="楷体_GB2312" w:eastAsia="楷体_GB2312" w:cs="楷体_GB2312"/>
          <w:color w:val="000000"/>
          <w:kern w:val="0"/>
          <w:sz w:val="32"/>
          <w:szCs w:val="32"/>
          <w:shd w:val="clear" w:color="auto" w:fill="FFFFFF"/>
          <w:lang w:val="zh-CN"/>
        </w:rPr>
      </w:pPr>
      <w:r>
        <w:rPr>
          <w:rFonts w:hint="eastAsia" w:eastAsia="仿宋_GB2312"/>
          <w:sz w:val="32"/>
          <w:szCs w:val="32"/>
          <w:lang w:val="zh-CN"/>
        </w:rPr>
        <w:t>围绕预算编制质量、单位收入统筹、支出执行进度、预算年终结余、严控一般性支出进行绩效分析。</w:t>
      </w:r>
    </w:p>
    <w:p>
      <w:pPr>
        <w:adjustRightInd w:val="0"/>
        <w:snapToGrid w:val="0"/>
        <w:spacing w:line="578" w:lineRule="exact"/>
        <w:ind w:firstLine="640" w:firstLineChars="200"/>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3.</w:t>
      </w:r>
      <w:r>
        <w:rPr>
          <w:rFonts w:hint="eastAsia" w:ascii="楷体_GB2312" w:hAnsi="楷体_GB2312" w:eastAsia="楷体_GB2312" w:cs="楷体_GB2312"/>
          <w:color w:val="000000"/>
          <w:kern w:val="0"/>
          <w:sz w:val="32"/>
          <w:szCs w:val="32"/>
          <w:shd w:val="clear" w:color="auto" w:fill="FFFFFF"/>
          <w:lang w:val="zh-CN"/>
        </w:rPr>
        <w:t>财务管理。</w:t>
      </w:r>
      <w:r>
        <w:rPr>
          <w:rFonts w:hint="eastAsia" w:eastAsia="仿宋_GB2312"/>
          <w:sz w:val="32"/>
          <w:szCs w:val="32"/>
          <w:lang w:val="zh-CN"/>
        </w:rPr>
        <w:t>围绕财务管理制度、财务岗位设置、资金使用规范进行绩效分析。</w:t>
      </w:r>
    </w:p>
    <w:p>
      <w:pPr>
        <w:adjustRightInd w:val="0"/>
        <w:snapToGrid w:val="0"/>
        <w:spacing w:line="578" w:lineRule="exact"/>
        <w:ind w:firstLine="640" w:firstLineChars="200"/>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4.</w:t>
      </w:r>
      <w:r>
        <w:rPr>
          <w:rFonts w:hint="eastAsia" w:ascii="楷体_GB2312" w:hAnsi="楷体_GB2312" w:eastAsia="楷体_GB2312" w:cs="楷体_GB2312"/>
          <w:color w:val="000000"/>
          <w:kern w:val="0"/>
          <w:sz w:val="32"/>
          <w:szCs w:val="32"/>
          <w:shd w:val="clear" w:color="auto" w:fill="FFFFFF"/>
          <w:lang w:val="zh-CN"/>
        </w:rPr>
        <w:t>资产管理。</w:t>
      </w:r>
      <w:r>
        <w:rPr>
          <w:rFonts w:hint="eastAsia" w:eastAsia="仿宋_GB2312"/>
          <w:sz w:val="32"/>
          <w:szCs w:val="32"/>
          <w:lang w:val="zh-CN"/>
        </w:rPr>
        <w:t>围绕人均资产变化率、资产利用率、资产盘活率进行绩效分析。</w:t>
      </w:r>
    </w:p>
    <w:p>
      <w:pPr>
        <w:adjustRightInd w:val="0"/>
        <w:snapToGrid w:val="0"/>
        <w:spacing w:line="578" w:lineRule="exact"/>
        <w:ind w:firstLine="640" w:firstLineChars="200"/>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5.</w:t>
      </w:r>
      <w:r>
        <w:rPr>
          <w:rFonts w:hint="eastAsia" w:ascii="楷体_GB2312" w:hAnsi="楷体_GB2312" w:eastAsia="楷体_GB2312" w:cs="楷体_GB2312"/>
          <w:color w:val="000000"/>
          <w:kern w:val="0"/>
          <w:sz w:val="32"/>
          <w:szCs w:val="32"/>
          <w:shd w:val="clear" w:color="auto" w:fill="FFFFFF"/>
          <w:lang w:val="zh-CN"/>
        </w:rPr>
        <w:t>采购管理。</w:t>
      </w:r>
      <w:r>
        <w:rPr>
          <w:rFonts w:hint="eastAsia" w:eastAsia="仿宋_GB2312"/>
          <w:sz w:val="32"/>
          <w:szCs w:val="32"/>
          <w:lang w:val="zh-CN"/>
        </w:rPr>
        <w:t>围绕支持中小企业发展、采购执行率进行绩效分析。</w:t>
      </w:r>
    </w:p>
    <w:p>
      <w:pPr>
        <w:ind w:firstLine="643" w:firstLineChars="200"/>
        <w:rPr>
          <w:rFonts w:eastAsia="仿宋_GB2312"/>
          <w:sz w:val="32"/>
          <w:szCs w:val="32"/>
          <w:lang w:val="zh-CN"/>
        </w:rPr>
      </w:pPr>
      <w:r>
        <w:rPr>
          <w:rFonts w:hint="eastAsia" w:ascii="楷体_GB2312" w:eastAsia="楷体_GB2312"/>
          <w:b/>
          <w:sz w:val="32"/>
          <w:szCs w:val="32"/>
        </w:rPr>
        <w:t>（二）部门预算项目绩效分析。</w:t>
      </w:r>
      <w:r>
        <w:rPr>
          <w:rFonts w:hint="eastAsia" w:eastAsia="仿宋_GB2312"/>
          <w:sz w:val="32"/>
          <w:szCs w:val="32"/>
          <w:lang w:val="zh-CN"/>
        </w:rPr>
        <w:t>填报以下数据，并根据部门预算绩效评价指标体系“项目绩效”涉及二、三级指标进行逐项绩效分析并评分，依次包括项目决策、项目执行、目标实现等情况。</w:t>
      </w:r>
    </w:p>
    <w:p>
      <w:pPr>
        <w:ind w:firstLine="640" w:firstLineChars="200"/>
        <w:rPr>
          <w:rFonts w:eastAsia="仿宋_GB2312"/>
          <w:sz w:val="32"/>
          <w:szCs w:val="32"/>
          <w:lang w:val="zh-CN"/>
        </w:rPr>
      </w:pPr>
      <w:r>
        <w:rPr>
          <w:rFonts w:hint="eastAsia" w:eastAsia="仿宋_GB2312"/>
          <w:sz w:val="32"/>
          <w:szCs w:val="32"/>
          <w:lang w:val="zh-CN"/>
        </w:rPr>
        <w:t>常年项目绩效分析。该类项目总数   个，涉及预算总金额   万元，1—12月预算执行总体进度为   %，其中：预算结余率大于10%的项目共计   个。</w:t>
      </w:r>
    </w:p>
    <w:p>
      <w:pPr>
        <w:ind w:firstLine="640" w:firstLineChars="200"/>
        <w:rPr>
          <w:rFonts w:eastAsia="仿宋_GB2312"/>
          <w:sz w:val="32"/>
          <w:szCs w:val="32"/>
          <w:lang w:val="zh-CN"/>
        </w:rPr>
      </w:pPr>
      <w:r>
        <w:rPr>
          <w:rFonts w:hint="eastAsia" w:eastAsia="仿宋_GB2312"/>
          <w:sz w:val="32"/>
          <w:szCs w:val="32"/>
          <w:lang w:val="zh-CN"/>
        </w:rPr>
        <w:t>阶段（一次性）项目绩效分析。该类项目总数   个，涉及预算总金额   万元，1—12月预算执行总体进度为   %，其中：预算结余率大于10%的项目共计   个。</w:t>
      </w:r>
    </w:p>
    <w:p>
      <w:pPr>
        <w:ind w:firstLine="640" w:firstLineChars="200"/>
        <w:rPr>
          <w:rFonts w:eastAsia="仿宋_GB2312"/>
          <w:sz w:val="32"/>
          <w:szCs w:val="32"/>
          <w:lang w:val="zh-CN"/>
        </w:rPr>
      </w:pPr>
      <w:r>
        <w:rPr>
          <w:rFonts w:hint="eastAsia" w:ascii="楷体_GB2312" w:hAnsi="楷体_GB2312" w:eastAsia="楷体_GB2312" w:cs="楷体_GB2312"/>
          <w:color w:val="000000"/>
          <w:kern w:val="0"/>
          <w:sz w:val="32"/>
          <w:szCs w:val="32"/>
          <w:shd w:val="clear" w:color="auto" w:fill="FFFFFF"/>
        </w:rPr>
        <w:t>1.项目决策。</w:t>
      </w:r>
      <w:r>
        <w:rPr>
          <w:rFonts w:hint="eastAsia" w:eastAsia="仿宋_GB2312"/>
          <w:sz w:val="32"/>
          <w:szCs w:val="32"/>
          <w:lang w:val="zh-CN"/>
        </w:rPr>
        <w:t>围绕决策程序、目标设置、项目入库进行绩效分析。</w:t>
      </w:r>
    </w:p>
    <w:p>
      <w:pPr>
        <w:ind w:firstLine="640" w:firstLineChars="200"/>
        <w:rPr>
          <w:rFonts w:eastAsia="仿宋_GB2312"/>
          <w:sz w:val="32"/>
          <w:szCs w:val="32"/>
          <w:lang w:val="zh-CN"/>
        </w:rPr>
      </w:pPr>
      <w:r>
        <w:rPr>
          <w:rFonts w:hint="eastAsia" w:ascii="楷体_GB2312" w:hAnsi="楷体_GB2312" w:eastAsia="楷体_GB2312" w:cs="楷体_GB2312"/>
          <w:color w:val="000000"/>
          <w:kern w:val="0"/>
          <w:sz w:val="32"/>
          <w:szCs w:val="32"/>
          <w:shd w:val="clear" w:color="auto" w:fill="FFFFFF"/>
        </w:rPr>
        <w:t>2.项目执行。</w:t>
      </w:r>
      <w:r>
        <w:rPr>
          <w:rFonts w:hint="eastAsia" w:eastAsia="仿宋_GB2312"/>
          <w:sz w:val="32"/>
          <w:szCs w:val="32"/>
          <w:lang w:val="zh-CN"/>
        </w:rPr>
        <w:t>围绕资金执行同向、项目调整、执行结果进行绩效分析。</w:t>
      </w:r>
    </w:p>
    <w:p>
      <w:pPr>
        <w:ind w:firstLine="640" w:firstLineChars="200"/>
        <w:rPr>
          <w:rFonts w:eastAsia="仿宋_GB2312"/>
          <w:sz w:val="32"/>
          <w:szCs w:val="32"/>
          <w:lang w:val="zh-CN"/>
        </w:rPr>
      </w:pPr>
      <w:r>
        <w:rPr>
          <w:rFonts w:hint="eastAsia" w:ascii="楷体_GB2312" w:hAnsi="楷体_GB2312" w:eastAsia="楷体_GB2312" w:cs="楷体_GB2312"/>
          <w:color w:val="000000"/>
          <w:kern w:val="0"/>
          <w:sz w:val="32"/>
          <w:szCs w:val="32"/>
          <w:shd w:val="clear" w:color="auto" w:fill="FFFFFF"/>
        </w:rPr>
        <w:t>3.目标实现。</w:t>
      </w:r>
      <w:r>
        <w:rPr>
          <w:rFonts w:hint="eastAsia" w:eastAsia="仿宋_GB2312"/>
          <w:sz w:val="32"/>
          <w:szCs w:val="32"/>
          <w:lang w:val="zh-CN"/>
        </w:rPr>
        <w:t>围绕目标完成、目标偏离、实现效果进行绩效分析。</w:t>
      </w:r>
    </w:p>
    <w:p>
      <w:pPr>
        <w:ind w:firstLine="640" w:firstLineChars="200"/>
        <w:rPr>
          <w:rFonts w:eastAsia="仿宋_GB2312"/>
          <w:sz w:val="32"/>
          <w:szCs w:val="32"/>
          <w:lang w:val="zh-CN"/>
        </w:rPr>
      </w:pPr>
      <w:r>
        <w:rPr>
          <w:rFonts w:hint="eastAsia" w:eastAsia="仿宋_GB2312"/>
          <w:sz w:val="32"/>
          <w:szCs w:val="32"/>
          <w:lang w:val="zh-CN"/>
        </w:rPr>
        <w:t>省级部门2023年度若涉及国有资本经营预算、社会保险基金预算的，应在部门预算绩效自评报告中对完成情况进行梳理阐述。国有资本经营预算绩效自评重点关注企业的运营质量、行业水平等情况；社会保险基金预算绩效自评重点关注基金可持续性、区域安全性等情况。</w:t>
      </w:r>
    </w:p>
    <w:p>
      <w:pPr>
        <w:ind w:firstLine="643" w:firstLineChars="200"/>
        <w:rPr>
          <w:rFonts w:eastAsia="仿宋_GB2312"/>
          <w:sz w:val="32"/>
          <w:szCs w:val="32"/>
          <w:lang w:val="zh-CN"/>
        </w:rPr>
      </w:pPr>
      <w:r>
        <w:rPr>
          <w:rFonts w:hint="eastAsia" w:ascii="楷体_GB2312" w:eastAsia="楷体_GB2312"/>
          <w:b/>
          <w:sz w:val="32"/>
          <w:szCs w:val="32"/>
        </w:rPr>
        <w:t>（三）重点领域绩效分析。</w:t>
      </w:r>
      <w:r>
        <w:rPr>
          <w:rFonts w:hint="eastAsia" w:eastAsia="仿宋_GB2312"/>
          <w:sz w:val="32"/>
          <w:szCs w:val="32"/>
          <w:lang w:val="zh-CN"/>
        </w:rPr>
        <w:t>省级部门2023年度若涉及国有资本、行政事业性国有资产、债券资金、政府采购和政府购买服务等重点领域的，应在部门预算绩效自评报告中对完成情况进行梳理阐述。</w:t>
      </w:r>
    </w:p>
    <w:p>
      <w:pPr>
        <w:ind w:firstLine="643" w:firstLineChars="200"/>
        <w:rPr>
          <w:rFonts w:eastAsia="仿宋_GB2312"/>
          <w:sz w:val="32"/>
          <w:szCs w:val="32"/>
          <w:lang w:val="zh-CN"/>
        </w:rPr>
      </w:pPr>
      <w:r>
        <w:rPr>
          <w:rFonts w:hint="eastAsia" w:ascii="楷体_GB2312" w:eastAsia="楷体_GB2312"/>
          <w:b/>
          <w:sz w:val="32"/>
          <w:szCs w:val="32"/>
        </w:rPr>
        <w:t>（四）绩效结果应用情况。</w:t>
      </w:r>
      <w:r>
        <w:rPr>
          <w:rFonts w:hint="eastAsia" w:eastAsia="仿宋_GB2312"/>
          <w:sz w:val="32"/>
          <w:szCs w:val="32"/>
          <w:lang w:val="zh-CN"/>
        </w:rPr>
        <w:t>围绕内部应用情况、信息公开情况、整改反馈情况进行分析。</w:t>
      </w:r>
    </w:p>
    <w:p>
      <w:pPr>
        <w:ind w:firstLine="640" w:firstLineChars="200"/>
        <w:rPr>
          <w:rFonts w:ascii="黑体" w:hAnsi="黑体" w:eastAsia="黑体"/>
          <w:sz w:val="32"/>
          <w:szCs w:val="32"/>
        </w:rPr>
      </w:pPr>
      <w:r>
        <w:rPr>
          <w:rFonts w:hint="eastAsia" w:ascii="黑体" w:hAnsi="黑体" w:eastAsia="黑体"/>
          <w:sz w:val="32"/>
          <w:szCs w:val="32"/>
        </w:rPr>
        <w:t>四、评价结论及建议</w:t>
      </w:r>
    </w:p>
    <w:p>
      <w:pPr>
        <w:ind w:firstLine="643" w:firstLineChars="200"/>
        <w:rPr>
          <w:rFonts w:eastAsia="仿宋_GB2312"/>
          <w:sz w:val="32"/>
          <w:szCs w:val="32"/>
          <w:lang w:val="zh-CN"/>
        </w:rPr>
      </w:pPr>
      <w:r>
        <w:rPr>
          <w:rFonts w:hint="eastAsia" w:ascii="楷体_GB2312" w:eastAsia="楷体_GB2312"/>
          <w:b/>
          <w:sz w:val="32"/>
          <w:szCs w:val="32"/>
        </w:rPr>
        <w:t>（一）评价结论。</w:t>
      </w:r>
      <w:r>
        <w:rPr>
          <w:rFonts w:hint="eastAsia" w:eastAsia="仿宋_GB2312"/>
          <w:sz w:val="32"/>
          <w:szCs w:val="32"/>
          <w:lang w:val="zh-CN"/>
        </w:rPr>
        <w:t>简要阐述部门预算绩效自评总体结论，其中必须包含自评得分。</w:t>
      </w:r>
    </w:p>
    <w:p>
      <w:pPr>
        <w:ind w:firstLine="643" w:firstLineChars="200"/>
        <w:rPr>
          <w:rFonts w:eastAsia="仿宋_GB2312"/>
          <w:sz w:val="32"/>
          <w:szCs w:val="32"/>
          <w:lang w:val="zh-CN"/>
        </w:rPr>
      </w:pPr>
      <w:r>
        <w:rPr>
          <w:rFonts w:hint="eastAsia" w:ascii="楷体_GB2312" w:eastAsia="楷体_GB2312"/>
          <w:b/>
          <w:sz w:val="32"/>
          <w:szCs w:val="32"/>
        </w:rPr>
        <w:t>（二）存在问题。</w:t>
      </w:r>
      <w:r>
        <w:rPr>
          <w:rFonts w:hint="eastAsia" w:eastAsia="仿宋_GB2312"/>
          <w:sz w:val="32"/>
          <w:szCs w:val="32"/>
          <w:lang w:val="zh-CN"/>
        </w:rPr>
        <w:t>简要阐述部门预算绩效自评发现的主要问题。</w:t>
      </w:r>
    </w:p>
    <w:p>
      <w:pPr>
        <w:ind w:firstLine="643" w:firstLineChars="200"/>
        <w:rPr>
          <w:rFonts w:eastAsia="仿宋_GB2312"/>
          <w:sz w:val="32"/>
          <w:szCs w:val="32"/>
          <w:lang w:val="zh-CN"/>
        </w:rPr>
      </w:pPr>
      <w:r>
        <w:rPr>
          <w:rFonts w:hint="eastAsia" w:ascii="楷体_GB2312" w:eastAsia="楷体_GB2312"/>
          <w:b/>
          <w:sz w:val="32"/>
          <w:szCs w:val="32"/>
        </w:rPr>
        <w:t>（三）改进建议。</w:t>
      </w:r>
      <w:r>
        <w:rPr>
          <w:rFonts w:hint="eastAsia" w:eastAsia="仿宋_GB2312"/>
          <w:sz w:val="32"/>
          <w:szCs w:val="32"/>
          <w:lang w:val="zh-CN"/>
        </w:rPr>
        <w:t>简要阐述预算安排、完善政策、改进管理等方面的措施建议，其中必须对应评价发现的主要问题一一提出措施建议。</w:t>
      </w:r>
    </w:p>
    <w:p>
      <w:pPr>
        <w:ind w:firstLine="640" w:firstLineChars="200"/>
        <w:rPr>
          <w:rFonts w:eastAsia="仿宋_GB2312"/>
          <w:sz w:val="32"/>
          <w:szCs w:val="32"/>
          <w:lang w:val="zh-CN"/>
        </w:rPr>
      </w:pPr>
    </w:p>
    <w:p>
      <w:pPr>
        <w:ind w:firstLine="640" w:firstLineChars="200"/>
        <w:rPr>
          <w:rFonts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预算项目支出绩效自评表（2023年度）</w:t>
      </w:r>
    </w:p>
    <w:p>
      <w:pPr>
        <w:ind w:firstLine="640" w:firstLineChars="200"/>
        <w:rPr>
          <w:rFonts w:eastAsia="仿宋_GB2312"/>
          <w:sz w:val="32"/>
          <w:szCs w:val="32"/>
          <w:lang w:val="zh-CN"/>
        </w:rPr>
      </w:pPr>
      <w:r>
        <w:rPr>
          <w:rFonts w:hint="eastAsia" w:eastAsia="仿宋_GB2312"/>
          <w:sz w:val="32"/>
          <w:szCs w:val="32"/>
          <w:lang w:val="zh-CN"/>
        </w:rPr>
        <w:t>（备注：按照绩效自评工作安排，各部门已在预算管理一体化系统绩效自评模块上传“部门预算项目支出绩效自评表（2023年度）”，该表格应作为附表予以公开。）</w:t>
      </w:r>
    </w:p>
    <w:p/>
    <w:p/>
    <w:p>
      <w:pPr>
        <w:rPr>
          <w:rFonts w:ascii="黑体" w:hAnsi="黑体" w:eastAsia="黑体"/>
          <w:sz w:val="32"/>
          <w:szCs w:val="32"/>
        </w:rPr>
      </w:pPr>
      <w:r>
        <w:rPr>
          <w:rFonts w:hint="eastAsia" w:ascii="黑体" w:hAnsi="黑体" w:eastAsia="黑体"/>
          <w:sz w:val="32"/>
          <w:szCs w:val="32"/>
        </w:rPr>
        <w:t>附件2</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专项预算项目绩效评价报告范本</w:t>
      </w:r>
    </w:p>
    <w:p>
      <w:pPr>
        <w:rPr>
          <w:rFonts w:eastAsia="仿宋_GB2312"/>
          <w:sz w:val="32"/>
          <w:szCs w:val="32"/>
          <w:lang w:val="zh-CN"/>
        </w:rPr>
      </w:pPr>
    </w:p>
    <w:p>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pPr>
        <w:ind w:firstLine="643" w:firstLineChars="200"/>
        <w:rPr>
          <w:rFonts w:eastAsia="仿宋_GB2312"/>
          <w:sz w:val="32"/>
          <w:szCs w:val="32"/>
          <w:lang w:val="zh-CN"/>
        </w:rPr>
      </w:pPr>
      <w:r>
        <w:rPr>
          <w:rFonts w:hint="eastAsia" w:ascii="楷体_GB2312" w:eastAsia="楷体_GB2312"/>
          <w:b/>
          <w:sz w:val="32"/>
          <w:szCs w:val="32"/>
          <w:lang w:val="zh-CN"/>
        </w:rPr>
        <w:t>（一）设立背景及基本情况。</w:t>
      </w:r>
      <w:r>
        <w:rPr>
          <w:rFonts w:hint="eastAsia" w:eastAsia="仿宋_GB2312"/>
          <w:sz w:val="32"/>
          <w:szCs w:val="32"/>
          <w:lang w:val="zh-CN"/>
        </w:rPr>
        <w:t>项目设立原因及背景，项目立项、资金申报的依据，项目主要内容。主管部门职能。</w:t>
      </w:r>
    </w:p>
    <w:p>
      <w:pPr>
        <w:ind w:firstLine="643" w:firstLineChars="200"/>
        <w:rPr>
          <w:rFonts w:eastAsia="仿宋_GB2312"/>
          <w:sz w:val="32"/>
          <w:szCs w:val="32"/>
          <w:lang w:val="zh-CN"/>
        </w:rPr>
      </w:pPr>
      <w:r>
        <w:rPr>
          <w:rFonts w:hint="eastAsia" w:ascii="楷体_GB2312" w:eastAsia="楷体_GB2312"/>
          <w:b/>
          <w:sz w:val="32"/>
          <w:szCs w:val="32"/>
          <w:lang w:val="zh-CN"/>
        </w:rPr>
        <w:t>（二）实施目的及支持方向。</w:t>
      </w:r>
      <w:r>
        <w:rPr>
          <w:rFonts w:hint="eastAsia" w:eastAsia="仿宋_GB2312"/>
          <w:sz w:val="32"/>
          <w:szCs w:val="32"/>
          <w:lang w:val="zh-CN"/>
        </w:rPr>
        <w:t>项目资金管理办法制定情况，项目实施目的和主要工作任务，项目支持方向。</w:t>
      </w:r>
    </w:p>
    <w:p>
      <w:pPr>
        <w:ind w:firstLine="643" w:firstLineChars="200"/>
        <w:rPr>
          <w:rFonts w:eastAsia="仿宋_GB2312"/>
          <w:sz w:val="32"/>
          <w:szCs w:val="32"/>
          <w:lang w:val="zh-CN"/>
        </w:rPr>
      </w:pPr>
      <w:r>
        <w:rPr>
          <w:rFonts w:hint="eastAsia" w:ascii="楷体_GB2312" w:eastAsia="楷体_GB2312"/>
          <w:b/>
          <w:sz w:val="32"/>
          <w:szCs w:val="32"/>
          <w:lang w:val="zh-CN"/>
        </w:rPr>
        <w:t>（三）预算安排及分配管理。</w:t>
      </w:r>
      <w:r>
        <w:rPr>
          <w:rFonts w:hint="eastAsia" w:eastAsia="仿宋_GB2312"/>
          <w:sz w:val="32"/>
          <w:szCs w:val="32"/>
          <w:lang w:val="zh-CN"/>
        </w:rPr>
        <w:t>项目预算安排情况，项目资金分配原则及考虑因素，项目资金分配情况。</w:t>
      </w:r>
    </w:p>
    <w:p>
      <w:pPr>
        <w:ind w:firstLine="643" w:firstLineChars="200"/>
        <w:rPr>
          <w:rFonts w:eastAsia="仿宋_GB2312"/>
          <w:sz w:val="32"/>
          <w:szCs w:val="32"/>
          <w:lang w:val="zh-CN"/>
        </w:rPr>
      </w:pPr>
      <w:r>
        <w:rPr>
          <w:rFonts w:hint="eastAsia" w:ascii="楷体_GB2312" w:eastAsia="楷体_GB2312"/>
          <w:b/>
          <w:sz w:val="32"/>
          <w:szCs w:val="32"/>
          <w:lang w:val="zh-CN"/>
        </w:rPr>
        <w:t>（四）项目绩效目标设置。</w:t>
      </w:r>
      <w:r>
        <w:rPr>
          <w:rFonts w:hint="eastAsia" w:eastAsia="仿宋_GB2312"/>
          <w:sz w:val="32"/>
          <w:szCs w:val="32"/>
          <w:lang w:val="zh-CN"/>
        </w:rPr>
        <w:t>项目整体、区域和具体绩效目标设置情况，项目自评工作开展情况。</w:t>
      </w:r>
    </w:p>
    <w:p>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pPr>
        <w:ind w:firstLine="643" w:firstLineChars="200"/>
        <w:rPr>
          <w:rFonts w:eastAsia="仿宋_GB2312"/>
          <w:sz w:val="32"/>
          <w:szCs w:val="32"/>
          <w:lang w:val="zh-CN"/>
        </w:rPr>
      </w:pPr>
      <w:r>
        <w:rPr>
          <w:rFonts w:hint="eastAsia" w:ascii="楷体_GB2312" w:eastAsia="楷体_GB2312"/>
          <w:b/>
          <w:sz w:val="32"/>
          <w:szCs w:val="32"/>
          <w:lang w:val="zh-CN"/>
        </w:rPr>
        <w:t>（一）评价目的。</w:t>
      </w:r>
      <w:r>
        <w:rPr>
          <w:rFonts w:hint="eastAsia" w:eastAsia="仿宋_GB2312"/>
          <w:sz w:val="32"/>
          <w:szCs w:val="32"/>
          <w:lang w:val="zh-CN"/>
        </w:rPr>
        <w:t>通过项目绩效自评要实现的目的。</w:t>
      </w:r>
    </w:p>
    <w:p>
      <w:pPr>
        <w:ind w:firstLine="643" w:firstLineChars="200"/>
        <w:rPr>
          <w:rFonts w:eastAsia="仿宋_GB2312"/>
          <w:sz w:val="32"/>
          <w:szCs w:val="32"/>
          <w:lang w:val="zh-CN"/>
        </w:rPr>
      </w:pPr>
      <w:r>
        <w:rPr>
          <w:rFonts w:hint="eastAsia" w:ascii="楷体_GB2312" w:eastAsia="楷体_GB2312"/>
          <w:b/>
          <w:sz w:val="32"/>
          <w:szCs w:val="32"/>
          <w:lang w:val="zh-CN"/>
        </w:rPr>
        <w:t>（二）预设问题及评价重点。</w:t>
      </w:r>
      <w:r>
        <w:rPr>
          <w:rFonts w:hint="eastAsia" w:eastAsia="仿宋_GB2312"/>
          <w:sz w:val="32"/>
          <w:szCs w:val="32"/>
          <w:lang w:val="zh-CN"/>
        </w:rPr>
        <w:t>按照绩效评价指标体系，对资金支出使用全过程及其实施效果进行综合评价和判断。</w:t>
      </w:r>
    </w:p>
    <w:p>
      <w:pPr>
        <w:ind w:firstLine="643" w:firstLineChars="200"/>
        <w:rPr>
          <w:rFonts w:eastAsia="仿宋_GB2312"/>
          <w:sz w:val="32"/>
          <w:szCs w:val="32"/>
          <w:lang w:val="zh-CN"/>
        </w:rPr>
      </w:pPr>
      <w:r>
        <w:rPr>
          <w:rFonts w:hint="eastAsia" w:ascii="楷体_GB2312" w:eastAsia="楷体_GB2312"/>
          <w:b/>
          <w:sz w:val="32"/>
          <w:szCs w:val="32"/>
          <w:lang w:val="zh-CN"/>
        </w:rPr>
        <w:t>（三）评价选点。</w:t>
      </w:r>
      <w:r>
        <w:rPr>
          <w:rFonts w:hint="eastAsia" w:eastAsia="仿宋_GB2312"/>
          <w:sz w:val="32"/>
          <w:szCs w:val="32"/>
          <w:lang w:val="zh-CN"/>
        </w:rPr>
        <w:t>项目绩效自评所抽样点位情况。</w:t>
      </w:r>
    </w:p>
    <w:p>
      <w:pPr>
        <w:ind w:firstLine="643" w:firstLineChars="200"/>
        <w:rPr>
          <w:rFonts w:eastAsia="仿宋_GB2312"/>
          <w:sz w:val="32"/>
          <w:szCs w:val="32"/>
          <w:lang w:val="zh-CN"/>
        </w:rPr>
      </w:pPr>
      <w:r>
        <w:rPr>
          <w:rFonts w:hint="eastAsia" w:ascii="楷体_GB2312" w:eastAsia="楷体_GB2312"/>
          <w:b/>
          <w:sz w:val="32"/>
          <w:szCs w:val="32"/>
          <w:lang w:val="zh-CN"/>
        </w:rPr>
        <w:t>（四）评价方法。</w:t>
      </w:r>
      <w:r>
        <w:rPr>
          <w:rFonts w:hint="eastAsia" w:eastAsia="仿宋_GB2312"/>
          <w:sz w:val="32"/>
          <w:szCs w:val="32"/>
          <w:lang w:val="zh-CN"/>
        </w:rPr>
        <w:t>根据项目情况和评价重点，用来收集相关材料和开展具体评价的方法。包括：采用成本效益分析法、标杆管理法、案卷研究法、单位自评法、实地勘察法、问卷调查法、座谈调研法等多种方法。</w:t>
      </w:r>
    </w:p>
    <w:p>
      <w:pPr>
        <w:ind w:firstLine="643" w:firstLineChars="200"/>
        <w:rPr>
          <w:rFonts w:eastAsia="仿宋_GB2312"/>
          <w:sz w:val="32"/>
          <w:szCs w:val="32"/>
          <w:lang w:val="zh-CN"/>
        </w:rPr>
      </w:pPr>
      <w:r>
        <w:rPr>
          <w:rFonts w:hint="eastAsia" w:ascii="楷体_GB2312" w:eastAsia="楷体_GB2312"/>
          <w:b/>
          <w:sz w:val="32"/>
          <w:szCs w:val="32"/>
          <w:lang w:val="zh-CN"/>
        </w:rPr>
        <w:t>（五）评价组织。</w:t>
      </w:r>
      <w:r>
        <w:rPr>
          <w:rFonts w:hint="eastAsia" w:eastAsia="仿宋_GB2312"/>
          <w:sz w:val="32"/>
          <w:szCs w:val="32"/>
          <w:lang w:val="zh-CN"/>
        </w:rPr>
        <w:t>评价组人员构成和职责分工。</w:t>
      </w:r>
    </w:p>
    <w:p>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pPr>
        <w:ind w:firstLine="640" w:firstLineChars="200"/>
        <w:rPr>
          <w:rFonts w:eastAsia="仿宋_GB2312"/>
          <w:sz w:val="32"/>
          <w:szCs w:val="32"/>
          <w:lang w:val="zh-CN"/>
        </w:rPr>
      </w:pPr>
      <w:r>
        <w:rPr>
          <w:rFonts w:hint="eastAsia" w:eastAsia="仿宋_GB2312"/>
          <w:sz w:val="32"/>
          <w:szCs w:val="32"/>
          <w:lang w:val="zh-CN"/>
        </w:rPr>
        <w:t>根据项目预算绩效评价指标体系“通用指标”“专用指标”“个性指标”涉及二、三级指标进行逐项绩效分析并评分。</w:t>
      </w:r>
    </w:p>
    <w:p>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pPr>
        <w:ind w:firstLine="640" w:firstLineChars="200"/>
        <w:rPr>
          <w:rFonts w:eastAsia="仿宋_GB2312"/>
          <w:sz w:val="32"/>
          <w:szCs w:val="32"/>
          <w:lang w:val="zh-CN"/>
        </w:rPr>
      </w:pPr>
      <w:r>
        <w:rPr>
          <w:rFonts w:hint="eastAsia" w:ascii="楷体_GB2312" w:eastAsia="楷体_GB2312"/>
          <w:sz w:val="32"/>
          <w:szCs w:val="32"/>
          <w:lang w:val="zh-CN"/>
        </w:rPr>
        <w:t>1.项目决策。</w:t>
      </w:r>
      <w:r>
        <w:rPr>
          <w:rFonts w:hint="eastAsia" w:eastAsia="仿宋_GB2312"/>
          <w:sz w:val="32"/>
          <w:szCs w:val="32"/>
          <w:lang w:val="zh-CN"/>
        </w:rPr>
        <w:t>围绕决策程序、规划论证、资金投向进行绩效分析。</w:t>
      </w:r>
    </w:p>
    <w:p>
      <w:pPr>
        <w:ind w:firstLine="640" w:firstLineChars="200"/>
        <w:rPr>
          <w:rFonts w:eastAsia="仿宋_GB2312"/>
          <w:sz w:val="32"/>
          <w:szCs w:val="32"/>
          <w:lang w:val="zh-CN"/>
        </w:rPr>
      </w:pPr>
      <w:r>
        <w:rPr>
          <w:rFonts w:hint="eastAsia" w:ascii="楷体_GB2312" w:eastAsia="楷体_GB2312"/>
          <w:sz w:val="32"/>
          <w:szCs w:val="32"/>
          <w:lang w:val="zh-CN"/>
        </w:rPr>
        <w:t>2.项目管理。</w:t>
      </w:r>
      <w:r>
        <w:rPr>
          <w:rFonts w:hint="eastAsia" w:eastAsia="仿宋_GB2312"/>
          <w:sz w:val="32"/>
          <w:szCs w:val="32"/>
          <w:lang w:val="zh-CN"/>
        </w:rPr>
        <w:t>围绕制度办法、分配管理、绩效监管进行绩效分析。</w:t>
      </w:r>
    </w:p>
    <w:p>
      <w:pPr>
        <w:ind w:firstLine="640" w:firstLineChars="200"/>
        <w:rPr>
          <w:rFonts w:eastAsia="仿宋_GB2312"/>
          <w:sz w:val="32"/>
          <w:szCs w:val="32"/>
          <w:lang w:val="zh-CN"/>
        </w:rPr>
      </w:pPr>
      <w:r>
        <w:rPr>
          <w:rFonts w:hint="eastAsia" w:ascii="楷体_GB2312" w:eastAsia="楷体_GB2312"/>
          <w:sz w:val="32"/>
          <w:szCs w:val="32"/>
          <w:lang w:val="zh-CN"/>
        </w:rPr>
        <w:t>3.项目实施。</w:t>
      </w:r>
      <w:r>
        <w:rPr>
          <w:rFonts w:hint="eastAsia" w:eastAsia="仿宋_GB2312"/>
          <w:sz w:val="32"/>
          <w:szCs w:val="32"/>
          <w:lang w:val="zh-CN"/>
        </w:rPr>
        <w:t>围绕预算执行、资金使用进行绩效分析。</w:t>
      </w:r>
    </w:p>
    <w:p>
      <w:pPr>
        <w:ind w:firstLine="640" w:firstLineChars="200"/>
        <w:rPr>
          <w:rFonts w:eastAsia="仿宋_GB2312"/>
          <w:sz w:val="32"/>
          <w:szCs w:val="32"/>
          <w:lang w:val="zh-CN"/>
        </w:rPr>
      </w:pPr>
      <w:r>
        <w:rPr>
          <w:rFonts w:hint="eastAsia" w:ascii="楷体_GB2312" w:eastAsia="楷体_GB2312"/>
          <w:sz w:val="32"/>
          <w:szCs w:val="32"/>
          <w:lang w:val="zh-CN"/>
        </w:rPr>
        <w:t>4.项目结果。</w:t>
      </w:r>
      <w:r>
        <w:rPr>
          <w:rFonts w:hint="eastAsia" w:eastAsia="仿宋_GB2312"/>
          <w:sz w:val="32"/>
          <w:szCs w:val="32"/>
          <w:lang w:val="zh-CN"/>
        </w:rPr>
        <w:t>围绕目标完成、完成时效进行绩效分析。</w:t>
      </w:r>
    </w:p>
    <w:p>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r>
        <w:rPr>
          <w:rFonts w:hint="eastAsia" w:eastAsia="仿宋_GB2312"/>
          <w:sz w:val="32"/>
          <w:szCs w:val="32"/>
          <w:lang w:val="zh-CN"/>
        </w:rPr>
        <w:t>根据专项预算项目资金支持对象选择所属指标进行绩效分析。支持对象包括产业发展、民生保障、基础设施、行政运转等方面。</w:t>
      </w:r>
    </w:p>
    <w:p>
      <w:pPr>
        <w:ind w:firstLine="640" w:firstLineChars="200"/>
        <w:rPr>
          <w:rFonts w:eastAsia="仿宋_GB2312"/>
          <w:sz w:val="32"/>
          <w:szCs w:val="32"/>
          <w:lang w:val="zh-CN"/>
        </w:rPr>
      </w:pPr>
      <w:r>
        <w:rPr>
          <w:rFonts w:hint="eastAsia" w:ascii="楷体_GB2312" w:eastAsia="楷体_GB2312"/>
          <w:sz w:val="32"/>
          <w:szCs w:val="32"/>
          <w:lang w:val="zh-CN"/>
        </w:rPr>
        <w:t>1.产业发展。</w:t>
      </w:r>
      <w:r>
        <w:rPr>
          <w:rFonts w:hint="eastAsia" w:eastAsia="仿宋_GB2312"/>
          <w:sz w:val="32"/>
          <w:szCs w:val="32"/>
          <w:lang w:val="zh-CN"/>
        </w:rPr>
        <w:t>围绕符合性、成长性、经济性进行绩效分析。</w:t>
      </w:r>
    </w:p>
    <w:p>
      <w:pPr>
        <w:ind w:firstLine="640" w:firstLineChars="200"/>
        <w:rPr>
          <w:rFonts w:eastAsia="仿宋_GB2312"/>
          <w:sz w:val="32"/>
          <w:szCs w:val="32"/>
          <w:lang w:val="zh-CN"/>
        </w:rPr>
      </w:pPr>
      <w:r>
        <w:rPr>
          <w:rFonts w:hint="eastAsia" w:ascii="楷体_GB2312" w:eastAsia="楷体_GB2312"/>
          <w:sz w:val="32"/>
          <w:szCs w:val="32"/>
          <w:lang w:val="zh-CN"/>
        </w:rPr>
        <w:t>2.民生保障。</w:t>
      </w:r>
      <w:r>
        <w:rPr>
          <w:rFonts w:hint="eastAsia" w:eastAsia="仿宋_GB2312"/>
          <w:sz w:val="32"/>
          <w:szCs w:val="32"/>
          <w:lang w:val="zh-CN"/>
        </w:rPr>
        <w:t>围绕区域均衡性、对象精准性、标准合理性、群众满意度进行绩效分析。</w:t>
      </w:r>
    </w:p>
    <w:p>
      <w:pPr>
        <w:ind w:firstLine="640" w:firstLineChars="200"/>
        <w:rPr>
          <w:rFonts w:eastAsia="仿宋_GB2312"/>
          <w:sz w:val="32"/>
          <w:szCs w:val="32"/>
          <w:lang w:val="zh-CN"/>
        </w:rPr>
      </w:pPr>
      <w:r>
        <w:rPr>
          <w:rFonts w:hint="eastAsia" w:ascii="楷体_GB2312" w:eastAsia="楷体_GB2312"/>
          <w:sz w:val="32"/>
          <w:szCs w:val="32"/>
          <w:lang w:val="zh-CN"/>
        </w:rPr>
        <w:t>3.基础设施。</w:t>
      </w:r>
      <w:r>
        <w:rPr>
          <w:rFonts w:hint="eastAsia" w:eastAsia="仿宋_GB2312"/>
          <w:sz w:val="32"/>
          <w:szCs w:val="32"/>
          <w:lang w:val="zh-CN"/>
        </w:rPr>
        <w:t>在建项目围绕工程进度和资金拨付进行绩效分析；建成项目围绕项目验收、功能实现、后续管护进行绩效分析。</w:t>
      </w:r>
    </w:p>
    <w:p>
      <w:pPr>
        <w:ind w:firstLine="640" w:firstLineChars="200"/>
        <w:rPr>
          <w:rFonts w:eastAsia="仿宋_GB2312"/>
          <w:sz w:val="32"/>
          <w:szCs w:val="32"/>
          <w:lang w:val="zh-CN"/>
        </w:rPr>
      </w:pPr>
      <w:r>
        <w:rPr>
          <w:rFonts w:hint="eastAsia" w:ascii="楷体_GB2312" w:eastAsia="楷体_GB2312"/>
          <w:sz w:val="32"/>
          <w:szCs w:val="32"/>
          <w:lang w:val="zh-CN"/>
        </w:rPr>
        <w:t>4.行政运转。</w:t>
      </w:r>
      <w:r>
        <w:rPr>
          <w:rFonts w:hint="eastAsia" w:eastAsia="仿宋_GB2312"/>
          <w:sz w:val="32"/>
          <w:szCs w:val="32"/>
          <w:lang w:val="zh-CN"/>
        </w:rPr>
        <w:t>围绕用途合规性、程序合规性、标准合规性进行绩效分析。</w:t>
      </w:r>
    </w:p>
    <w:p>
      <w:pPr>
        <w:ind w:firstLine="643" w:firstLineChars="200"/>
        <w:rPr>
          <w:rFonts w:eastAsia="仿宋_GB2312"/>
          <w:sz w:val="32"/>
          <w:szCs w:val="32"/>
          <w:lang w:val="zh-CN"/>
        </w:rPr>
      </w:pPr>
      <w:r>
        <w:rPr>
          <w:rFonts w:hint="eastAsia" w:ascii="楷体_GB2312" w:eastAsia="楷体_GB2312"/>
          <w:b/>
          <w:sz w:val="32"/>
          <w:szCs w:val="32"/>
          <w:lang w:val="zh-CN"/>
        </w:rPr>
        <w:t>（三）个性指标绩效分析。</w:t>
      </w:r>
      <w:r>
        <w:rPr>
          <w:rFonts w:hint="eastAsia" w:eastAsia="仿宋_GB2312"/>
          <w:sz w:val="32"/>
          <w:szCs w:val="32"/>
          <w:lang w:val="zh-CN"/>
        </w:rPr>
        <w:t>根据项目个性自行设定部分指标，反映该项指标执行完成情况。</w:t>
      </w:r>
    </w:p>
    <w:p>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pPr>
        <w:ind w:firstLine="640" w:firstLineChars="200"/>
        <w:rPr>
          <w:rFonts w:eastAsia="仿宋_GB2312"/>
          <w:sz w:val="32"/>
          <w:szCs w:val="32"/>
          <w:lang w:val="zh-CN"/>
        </w:rPr>
      </w:pPr>
      <w:r>
        <w:rPr>
          <w:rFonts w:hint="eastAsia" w:eastAsia="仿宋_GB2312"/>
          <w:sz w:val="32"/>
          <w:szCs w:val="32"/>
          <w:lang w:val="zh-CN"/>
        </w:rPr>
        <w:t>简要阐述专项预算项目绩效自评总体结论，包含评价总分、项目实施情况。</w:t>
      </w:r>
    </w:p>
    <w:p>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pPr>
        <w:ind w:firstLine="640" w:firstLineChars="200"/>
        <w:rPr>
          <w:rFonts w:eastAsia="仿宋_GB2312"/>
          <w:sz w:val="32"/>
          <w:szCs w:val="32"/>
          <w:lang w:val="zh-CN"/>
        </w:rPr>
      </w:pPr>
      <w:r>
        <w:rPr>
          <w:rFonts w:hint="eastAsia" w:eastAsia="仿宋_GB2312"/>
          <w:sz w:val="32"/>
          <w:szCs w:val="32"/>
          <w:lang w:val="zh-CN"/>
        </w:rPr>
        <w:t>简要阐述专项预算项目绩效自评发现的主要问题。</w:t>
      </w:r>
    </w:p>
    <w:p>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pPr>
        <w:ind w:firstLine="640" w:firstLineChars="200"/>
        <w:rPr>
          <w:rFonts w:eastAsia="仿宋_GB2312"/>
          <w:sz w:val="32"/>
          <w:szCs w:val="32"/>
          <w:lang w:val="zh-CN"/>
        </w:rPr>
      </w:pPr>
      <w:r>
        <w:rPr>
          <w:rFonts w:hint="eastAsia" w:eastAsia="仿宋_GB2312"/>
          <w:sz w:val="32"/>
          <w:szCs w:val="32"/>
          <w:lang w:val="zh-CN"/>
        </w:rPr>
        <w:t xml:space="preserve">    简要阐述专项预算项目在预算安排、完善政策、改进管理等方面的措施建议，其中必须对应评价发现的主要问题一一提出措施建议。</w:t>
      </w:r>
    </w:p>
    <w:p>
      <w:pPr>
        <w:ind w:firstLine="640" w:firstLineChars="200"/>
        <w:rPr>
          <w:rFonts w:eastAsia="仿宋_GB2312"/>
          <w:sz w:val="32"/>
          <w:szCs w:val="32"/>
          <w:lang w:val="zh-CN"/>
        </w:rPr>
      </w:pPr>
    </w:p>
    <w:p>
      <w:pPr>
        <w:ind w:firstLine="640" w:firstLineChars="200"/>
      </w:pPr>
      <w:r>
        <w:rPr>
          <w:rFonts w:hint="eastAsia" w:eastAsia="仿宋_GB2312"/>
          <w:color w:val="FF0000"/>
          <w:sz w:val="32"/>
          <w:szCs w:val="32"/>
          <w:lang w:val="zh-CN"/>
        </w:rPr>
        <w:t>（以上绩效自评报告，除涉密敏感内容外，原则上都应予以公开。）</w:t>
      </w:r>
    </w:p>
    <w:p>
      <w:pPr>
        <w:pStyle w:val="5"/>
        <w:jc w:val="center"/>
        <w:rPr>
          <w:rFonts w:ascii="黑体" w:hAnsi="黑体" w:eastAsia="黑体"/>
        </w:rPr>
      </w:pPr>
      <w:r>
        <w:rPr>
          <w:rFonts w:hint="eastAsia" w:ascii="黑体" w:hAnsi="黑体" w:eastAsia="黑体"/>
        </w:rPr>
        <w:t>第五部分 附表</w:t>
      </w:r>
    </w:p>
    <w:p>
      <w:pPr>
        <w:rPr>
          <w:rFonts w:ascii="仿宋" w:hAnsi="仿宋" w:eastAsia="仿宋"/>
          <w:sz w:val="32"/>
          <w:szCs w:val="32"/>
        </w:rPr>
      </w:pPr>
      <w:r>
        <w:rPr>
          <w:rFonts w:hint="eastAsia" w:ascii="仿宋" w:hAnsi="仿宋" w:eastAsia="仿宋"/>
          <w:sz w:val="32"/>
          <w:szCs w:val="32"/>
        </w:rPr>
        <w:t>一、收入支出决算总表</w:t>
      </w:r>
    </w:p>
    <w:p>
      <w:pPr>
        <w:rPr>
          <w:rFonts w:ascii="仿宋" w:hAnsi="仿宋" w:eastAsia="仿宋"/>
          <w:sz w:val="32"/>
          <w:szCs w:val="32"/>
        </w:rPr>
      </w:pPr>
      <w:r>
        <w:rPr>
          <w:rFonts w:hint="eastAsia" w:ascii="仿宋" w:hAnsi="仿宋" w:eastAsia="仿宋"/>
          <w:sz w:val="32"/>
          <w:szCs w:val="32"/>
        </w:rPr>
        <w:t>二、收入决算表</w:t>
      </w:r>
    </w:p>
    <w:p>
      <w:pPr>
        <w:rPr>
          <w:rFonts w:ascii="仿宋" w:hAnsi="仿宋" w:eastAsia="仿宋"/>
          <w:sz w:val="32"/>
          <w:szCs w:val="32"/>
        </w:rPr>
      </w:pPr>
      <w:r>
        <w:rPr>
          <w:rFonts w:hint="eastAsia" w:ascii="仿宋" w:hAnsi="仿宋" w:eastAsia="仿宋"/>
          <w:sz w:val="32"/>
          <w:szCs w:val="32"/>
        </w:rPr>
        <w:t>三、支出决算表</w:t>
      </w:r>
    </w:p>
    <w:p>
      <w:pPr>
        <w:rPr>
          <w:rFonts w:ascii="仿宋" w:hAnsi="仿宋" w:eastAsia="仿宋"/>
          <w:sz w:val="32"/>
          <w:szCs w:val="32"/>
        </w:rPr>
      </w:pPr>
      <w:r>
        <w:rPr>
          <w:rFonts w:hint="eastAsia" w:ascii="仿宋" w:hAnsi="仿宋" w:eastAsia="仿宋"/>
          <w:sz w:val="32"/>
          <w:szCs w:val="32"/>
        </w:rPr>
        <w:t>四、财政拨款收入支出决算总表</w:t>
      </w:r>
    </w:p>
    <w:p>
      <w:pPr>
        <w:rPr>
          <w:rFonts w:ascii="仿宋" w:hAnsi="仿宋" w:eastAsia="仿宋"/>
          <w:sz w:val="32"/>
          <w:szCs w:val="32"/>
        </w:rPr>
      </w:pPr>
      <w:r>
        <w:rPr>
          <w:rFonts w:hint="eastAsia" w:ascii="仿宋" w:hAnsi="仿宋" w:eastAsia="仿宋"/>
          <w:sz w:val="32"/>
          <w:szCs w:val="32"/>
        </w:rPr>
        <w:t>五、财政拨款支出决算明细表</w:t>
      </w:r>
    </w:p>
    <w:p>
      <w:pPr>
        <w:rPr>
          <w:rFonts w:ascii="仿宋" w:hAnsi="仿宋" w:eastAsia="仿宋"/>
          <w:sz w:val="32"/>
          <w:szCs w:val="32"/>
        </w:rPr>
      </w:pPr>
      <w:r>
        <w:rPr>
          <w:rFonts w:hint="eastAsia" w:ascii="仿宋" w:hAnsi="仿宋" w:eastAsia="仿宋"/>
          <w:sz w:val="32"/>
          <w:szCs w:val="32"/>
        </w:rPr>
        <w:t>六、一般公共预算财政拨款支出决算表</w:t>
      </w:r>
    </w:p>
    <w:p>
      <w:pPr>
        <w:rPr>
          <w:rFonts w:ascii="仿宋" w:hAnsi="仿宋" w:eastAsia="仿宋"/>
          <w:sz w:val="32"/>
          <w:szCs w:val="32"/>
        </w:rPr>
      </w:pPr>
      <w:r>
        <w:rPr>
          <w:rFonts w:hint="eastAsia" w:ascii="仿宋" w:hAnsi="仿宋" w:eastAsia="仿宋"/>
          <w:sz w:val="32"/>
          <w:szCs w:val="32"/>
        </w:rPr>
        <w:t>七、一般公共预算财政拨款支出决算明细表</w:t>
      </w:r>
    </w:p>
    <w:p>
      <w:pPr>
        <w:rPr>
          <w:rFonts w:ascii="仿宋" w:hAnsi="仿宋" w:eastAsia="仿宋"/>
          <w:sz w:val="32"/>
          <w:szCs w:val="32"/>
        </w:rPr>
      </w:pPr>
      <w:r>
        <w:rPr>
          <w:rFonts w:hint="eastAsia" w:ascii="仿宋" w:hAnsi="仿宋" w:eastAsia="仿宋"/>
          <w:sz w:val="32"/>
          <w:szCs w:val="32"/>
        </w:rPr>
        <w:t>八、一般公共预算财政拨款基本支出决算表</w:t>
      </w:r>
    </w:p>
    <w:p>
      <w:pPr>
        <w:rPr>
          <w:rFonts w:ascii="仿宋" w:hAnsi="仿宋" w:eastAsia="仿宋"/>
          <w:sz w:val="32"/>
          <w:szCs w:val="32"/>
        </w:rPr>
      </w:pPr>
      <w:r>
        <w:rPr>
          <w:rFonts w:hint="eastAsia" w:ascii="仿宋" w:hAnsi="仿宋" w:eastAsia="仿宋"/>
          <w:sz w:val="32"/>
          <w:szCs w:val="32"/>
        </w:rPr>
        <w:t>九、一般公共预算财政拨款项目支出决算表</w:t>
      </w:r>
    </w:p>
    <w:p>
      <w:pPr>
        <w:rPr>
          <w:rFonts w:ascii="仿宋" w:hAnsi="仿宋" w:eastAsia="仿宋"/>
          <w:sz w:val="32"/>
          <w:szCs w:val="32"/>
        </w:rPr>
      </w:pPr>
      <w:r>
        <w:rPr>
          <w:rFonts w:hint="eastAsia" w:ascii="仿宋" w:hAnsi="仿宋" w:eastAsia="仿宋"/>
          <w:sz w:val="32"/>
          <w:szCs w:val="32"/>
        </w:rPr>
        <w:t>十、政府性基金预算财政拨款收入支出决算表</w:t>
      </w:r>
    </w:p>
    <w:p>
      <w:pPr>
        <w:rPr>
          <w:rFonts w:ascii="仿宋" w:hAnsi="仿宋" w:eastAsia="仿宋"/>
          <w:sz w:val="32"/>
          <w:szCs w:val="32"/>
        </w:rPr>
      </w:pPr>
      <w:r>
        <w:rPr>
          <w:rFonts w:hint="eastAsia" w:ascii="仿宋" w:hAnsi="仿宋" w:eastAsia="仿宋"/>
          <w:sz w:val="32"/>
          <w:szCs w:val="32"/>
        </w:rPr>
        <w:t>十一、国有资本经营预算财政拨款收入支出决算表</w:t>
      </w:r>
    </w:p>
    <w:p>
      <w:pPr>
        <w:rPr>
          <w:rFonts w:ascii="仿宋" w:hAnsi="仿宋" w:eastAsia="仿宋"/>
          <w:sz w:val="32"/>
          <w:szCs w:val="32"/>
        </w:rPr>
      </w:pPr>
      <w:r>
        <w:rPr>
          <w:rFonts w:hint="eastAsia" w:ascii="仿宋" w:hAnsi="仿宋" w:eastAsia="仿宋"/>
          <w:sz w:val="32"/>
          <w:szCs w:val="32"/>
        </w:rPr>
        <w:t>十二、国有资本经营预算财政拨款支出决算表</w:t>
      </w:r>
    </w:p>
    <w:p>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23</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195DA"/>
    <w:multiLevelType w:val="singleLevel"/>
    <w:tmpl w:val="BAA195DA"/>
    <w:lvl w:ilvl="0" w:tentative="0">
      <w:start w:val="1"/>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1E4D04A"/>
    <w:multiLevelType w:val="singleLevel"/>
    <w:tmpl w:val="21E4D04A"/>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66E0107"/>
    <w:rsid w:val="07996F6E"/>
    <w:rsid w:val="07DFD8BA"/>
    <w:rsid w:val="0A2032A3"/>
    <w:rsid w:val="0D35B1ED"/>
    <w:rsid w:val="0E7ED1F5"/>
    <w:rsid w:val="0F98263C"/>
    <w:rsid w:val="101860EC"/>
    <w:rsid w:val="10C055FF"/>
    <w:rsid w:val="118107EC"/>
    <w:rsid w:val="120E2C0D"/>
    <w:rsid w:val="13D50BC4"/>
    <w:rsid w:val="13F5616D"/>
    <w:rsid w:val="16BB723D"/>
    <w:rsid w:val="17F9714D"/>
    <w:rsid w:val="1918F934"/>
    <w:rsid w:val="1ABB498F"/>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8BA3159"/>
    <w:rsid w:val="29FD04D3"/>
    <w:rsid w:val="2BFF7BC6"/>
    <w:rsid w:val="2C4A775A"/>
    <w:rsid w:val="2C8A61B5"/>
    <w:rsid w:val="2CD59C95"/>
    <w:rsid w:val="2DF04E50"/>
    <w:rsid w:val="2E307ECD"/>
    <w:rsid w:val="2EFD05E5"/>
    <w:rsid w:val="2F040D46"/>
    <w:rsid w:val="2F4F95CE"/>
    <w:rsid w:val="2FACAFDD"/>
    <w:rsid w:val="2FAE5751"/>
    <w:rsid w:val="2FB1A395"/>
    <w:rsid w:val="2FCF0B76"/>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84DAF"/>
    <w:rsid w:val="3FBE5714"/>
    <w:rsid w:val="3FDD8615"/>
    <w:rsid w:val="3FDFB2FF"/>
    <w:rsid w:val="3FF4CAE0"/>
    <w:rsid w:val="3FF75FAF"/>
    <w:rsid w:val="3FF7B227"/>
    <w:rsid w:val="4408117C"/>
    <w:rsid w:val="44E268DA"/>
    <w:rsid w:val="457F4F6B"/>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3667BD"/>
    <w:rsid w:val="4EAB630A"/>
    <w:rsid w:val="4ECE2238"/>
    <w:rsid w:val="4F7EA413"/>
    <w:rsid w:val="4FAB812F"/>
    <w:rsid w:val="4FE9BD67"/>
    <w:rsid w:val="4FEE4C07"/>
    <w:rsid w:val="4FFB052F"/>
    <w:rsid w:val="537E6D0A"/>
    <w:rsid w:val="53AB6B88"/>
    <w:rsid w:val="53F74C96"/>
    <w:rsid w:val="5583522D"/>
    <w:rsid w:val="57BD3DD4"/>
    <w:rsid w:val="57F9CD1E"/>
    <w:rsid w:val="598D5120"/>
    <w:rsid w:val="5AF92295"/>
    <w:rsid w:val="5AF9D8E9"/>
    <w:rsid w:val="5BDD38BD"/>
    <w:rsid w:val="5BDD79E6"/>
    <w:rsid w:val="5BEFC772"/>
    <w:rsid w:val="5BFF5DFC"/>
    <w:rsid w:val="5C9E4DAE"/>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214E15"/>
    <w:rsid w:val="65FB93B9"/>
    <w:rsid w:val="6633C463"/>
    <w:rsid w:val="67D55B77"/>
    <w:rsid w:val="67EE7F84"/>
    <w:rsid w:val="686F5F53"/>
    <w:rsid w:val="6AFFCEAF"/>
    <w:rsid w:val="6B96E9E6"/>
    <w:rsid w:val="6BC33BE3"/>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next w:val="9"/>
    <w:link w:val="28"/>
    <w:qFormat/>
    <w:uiPriority w:val="99"/>
    <w:pPr>
      <w:spacing w:beforeLines="30"/>
    </w:pPr>
    <w:rPr>
      <w:rFonts w:ascii="仿宋_GB2312" w:eastAsia="仿宋_GB2312"/>
      <w:kern w:val="0"/>
      <w:sz w:val="30"/>
    </w:rPr>
  </w:style>
  <w:style w:type="paragraph" w:customStyle="1" w:styleId="9">
    <w:name w:val="样式1"/>
    <w:basedOn w:val="1"/>
    <w:qFormat/>
    <w:uiPriority w:val="0"/>
    <w:rPr>
      <w:b/>
      <w:color w:val="538135"/>
      <w:sz w:val="28"/>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qFormat/>
    <w:uiPriority w:val="0"/>
    <w:pPr>
      <w:spacing w:before="240" w:after="60"/>
      <w:jc w:val="center"/>
      <w:outlineLvl w:val="0"/>
    </w:pPr>
    <w:rPr>
      <w:rFonts w:ascii="Arial" w:hAnsi="Arial" w:cs="Arial"/>
      <w:b/>
      <w:bCs/>
      <w:sz w:val="32"/>
      <w:szCs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字符"/>
    <w:basedOn w:val="18"/>
    <w:link w:val="5"/>
    <w:qFormat/>
    <w:uiPriority w:val="9"/>
    <w:rPr>
      <w:rFonts w:ascii="Times New Roman" w:hAnsi="Times New Roman"/>
      <w:b/>
      <w:bCs/>
      <w:kern w:val="44"/>
      <w:sz w:val="44"/>
      <w:szCs w:val="44"/>
    </w:rPr>
  </w:style>
  <w:style w:type="character" w:customStyle="1" w:styleId="31">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1"/>
    <w:semiHidden/>
    <w:qFormat/>
    <w:uiPriority w:val="99"/>
    <w:rPr>
      <w:rFonts w:ascii="Times New Roman" w:hAnsi="Times New Roman"/>
      <w:kern w:val="2"/>
      <w:sz w:val="18"/>
      <w:szCs w:val="18"/>
    </w:rPr>
  </w:style>
  <w:style w:type="character" w:customStyle="1" w:styleId="34">
    <w:name w:val="标题 3 字符"/>
    <w:basedOn w:val="18"/>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1535</Words>
  <Characters>8751</Characters>
  <Lines>72</Lines>
  <Paragraphs>20</Paragraphs>
  <TotalTime>9</TotalTime>
  <ScaleCrop>false</ScaleCrop>
  <LinksUpToDate>false</LinksUpToDate>
  <CharactersWithSpaces>10266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游巧</cp:lastModifiedBy>
  <cp:lastPrinted>2023-08-03T10:35:00Z</cp:lastPrinted>
  <dcterms:modified xsi:type="dcterms:W3CDTF">2025-10-31T11:26:24Z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F83C7AD546554F73858BA0B43DBB26D7</vt:lpwstr>
  </property>
</Properties>
</file>