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25186">
      <w:pPr>
        <w:pStyle w:val="7"/>
        <w:rPr>
          <w:rFonts w:hint="default" w:ascii="Times New Roman" w:hAnsi="Times New Roman" w:eastAsia="方正小标宋简体" w:cs="Times New Roman"/>
          <w:color w:val="auto"/>
          <w:kern w:val="2"/>
          <w:sz w:val="32"/>
          <w:szCs w:val="32"/>
          <w:highlight w:val="none"/>
          <w:lang w:val="en-US" w:eastAsia="zh-CN" w:bidi="ar-SA"/>
        </w:rPr>
      </w:pPr>
      <w:bookmarkStart w:id="0" w:name="_Toc15378441"/>
      <w:bookmarkStart w:id="1" w:name="_Toc15396597"/>
      <w:bookmarkStart w:id="2" w:name="_Toc15396475"/>
      <w:bookmarkStart w:id="3" w:name="_Toc15377193"/>
      <w:bookmarkStart w:id="4" w:name="_Toc15377425"/>
      <w:bookmarkStart w:id="5" w:name="_Toc15306267"/>
    </w:p>
    <w:p w14:paraId="21CFF67E">
      <w:pPr>
        <w:pStyle w:val="7"/>
        <w:rPr>
          <w:rFonts w:hint="default" w:ascii="Times New Roman" w:hAnsi="Times New Roman" w:eastAsia="方正小标宋简体" w:cs="Times New Roman"/>
          <w:color w:val="auto"/>
          <w:kern w:val="2"/>
          <w:sz w:val="32"/>
          <w:szCs w:val="32"/>
          <w:highlight w:val="none"/>
          <w:lang w:val="en-US" w:eastAsia="zh-CN" w:bidi="ar-SA"/>
        </w:rPr>
      </w:pPr>
    </w:p>
    <w:p w14:paraId="596EFA92">
      <w:pPr>
        <w:pStyle w:val="7"/>
        <w:rPr>
          <w:rFonts w:hint="default" w:ascii="Times New Roman" w:hAnsi="Times New Roman" w:eastAsia="方正小标宋简体" w:cs="Times New Roman"/>
          <w:color w:val="auto"/>
          <w:kern w:val="2"/>
          <w:sz w:val="32"/>
          <w:szCs w:val="32"/>
          <w:highlight w:val="none"/>
          <w:lang w:val="en-US" w:eastAsia="zh-CN" w:bidi="ar-SA"/>
        </w:rPr>
      </w:pPr>
    </w:p>
    <w:bookmarkEnd w:id="0"/>
    <w:bookmarkEnd w:id="1"/>
    <w:bookmarkEnd w:id="2"/>
    <w:bookmarkEnd w:id="3"/>
    <w:bookmarkEnd w:id="4"/>
    <w:p w14:paraId="562679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color w:val="auto"/>
          <w:kern w:val="2"/>
          <w:sz w:val="44"/>
          <w:szCs w:val="44"/>
          <w:highlight w:val="none"/>
          <w:lang w:val="en-US" w:eastAsia="zh-CN" w:bidi="ar-SA"/>
        </w:rPr>
      </w:pPr>
      <w:bookmarkStart w:id="6" w:name="_Toc15378442"/>
      <w:bookmarkStart w:id="7" w:name="_Toc15396476"/>
      <w:bookmarkStart w:id="8" w:name="_Toc15377426"/>
      <w:bookmarkStart w:id="9" w:name="_Toc15396598"/>
      <w:bookmarkStart w:id="10" w:name="_Toc15377194"/>
      <w:r>
        <w:rPr>
          <w:rFonts w:hint="eastAsia" w:ascii="方正小标宋_GBK" w:hAnsi="方正小标宋_GBK" w:eastAsia="方正小标宋_GBK" w:cs="方正小标宋_GBK"/>
          <w:b/>
          <w:bCs/>
          <w:color w:val="auto"/>
          <w:kern w:val="2"/>
          <w:sz w:val="44"/>
          <w:szCs w:val="44"/>
          <w:highlight w:val="none"/>
          <w:lang w:val="en-US" w:eastAsia="zh-CN" w:bidi="ar-SA"/>
        </w:rPr>
        <w:t>2024年度</w:t>
      </w:r>
      <w:bookmarkEnd w:id="5"/>
      <w:bookmarkStart w:id="11" w:name="_Toc15306268"/>
    </w:p>
    <w:p w14:paraId="6CFAA3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kern w:val="52"/>
          <w:sz w:val="44"/>
          <w:szCs w:val="44"/>
          <w:highlight w:val="none"/>
          <w:lang w:eastAsia="zh-CN"/>
        </w:rPr>
      </w:pPr>
      <w:r>
        <w:rPr>
          <w:rFonts w:hint="eastAsia" w:ascii="方正小标宋_GBK" w:hAnsi="方正小标宋_GBK" w:eastAsia="方正小标宋_GBK" w:cs="方正小标宋_GBK"/>
          <w:b/>
          <w:bCs/>
          <w:kern w:val="52"/>
          <w:sz w:val="44"/>
          <w:szCs w:val="44"/>
          <w:highlight w:val="none"/>
          <w:lang w:eastAsia="zh-CN"/>
        </w:rPr>
        <w:t>中共攀枝花市西区区委社会工作部</w:t>
      </w:r>
      <w:bookmarkEnd w:id="6"/>
      <w:bookmarkEnd w:id="7"/>
      <w:bookmarkEnd w:id="8"/>
      <w:bookmarkEnd w:id="9"/>
      <w:bookmarkEnd w:id="10"/>
      <w:bookmarkEnd w:id="11"/>
    </w:p>
    <w:p w14:paraId="7BDD2B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kern w:val="52"/>
          <w:sz w:val="44"/>
          <w:szCs w:val="44"/>
          <w:highlight w:val="none"/>
          <w:lang w:eastAsia="zh-CN"/>
        </w:rPr>
        <w:t>部门</w:t>
      </w:r>
      <w:r>
        <w:rPr>
          <w:rFonts w:hint="eastAsia" w:ascii="方正小标宋_GBK" w:hAnsi="方正小标宋_GBK" w:eastAsia="方正小标宋_GBK" w:cs="方正小标宋_GBK"/>
          <w:b/>
          <w:bCs/>
          <w:sz w:val="44"/>
          <w:szCs w:val="44"/>
          <w:highlight w:val="none"/>
        </w:rPr>
        <w:t>决算公开编制说明</w:t>
      </w:r>
    </w:p>
    <w:p w14:paraId="1A45DD05">
      <w:pPr>
        <w:widowControl/>
        <w:jc w:val="center"/>
        <w:rPr>
          <w:rFonts w:hint="default" w:ascii="Times New Roman" w:hAnsi="Times New Roman" w:eastAsia="黑体" w:cs="Times New Roman"/>
          <w:color w:val="auto"/>
          <w:sz w:val="32"/>
          <w:szCs w:val="32"/>
          <w:highlight w:val="none"/>
        </w:rPr>
      </w:pPr>
    </w:p>
    <w:p w14:paraId="61185B7A">
      <w:pPr>
        <w:widowControl/>
        <w:jc w:val="center"/>
        <w:rPr>
          <w:rFonts w:hint="default" w:ascii="Times New Roman" w:hAnsi="Times New Roman" w:eastAsia="黑体" w:cs="Times New Roman"/>
          <w:color w:val="auto"/>
          <w:sz w:val="32"/>
          <w:szCs w:val="32"/>
          <w:highlight w:val="none"/>
        </w:rPr>
      </w:pPr>
    </w:p>
    <w:p w14:paraId="0C8CD085">
      <w:pPr>
        <w:widowControl/>
        <w:jc w:val="center"/>
        <w:rPr>
          <w:rFonts w:hint="default" w:ascii="Times New Roman" w:hAnsi="Times New Roman" w:eastAsia="黑体" w:cs="Times New Roman"/>
          <w:color w:val="auto"/>
          <w:sz w:val="32"/>
          <w:szCs w:val="32"/>
          <w:highlight w:val="none"/>
        </w:rPr>
      </w:pPr>
    </w:p>
    <w:p w14:paraId="2FB93753">
      <w:pPr>
        <w:widowControl/>
        <w:jc w:val="center"/>
        <w:rPr>
          <w:rFonts w:hint="default" w:ascii="Times New Roman" w:hAnsi="Times New Roman" w:eastAsia="黑体" w:cs="Times New Roman"/>
          <w:color w:val="auto"/>
          <w:sz w:val="32"/>
          <w:szCs w:val="32"/>
          <w:highlight w:val="none"/>
        </w:rPr>
      </w:pPr>
    </w:p>
    <w:p w14:paraId="2CA4E862">
      <w:pPr>
        <w:widowControl/>
        <w:jc w:val="center"/>
        <w:rPr>
          <w:rFonts w:hint="default" w:ascii="Times New Roman" w:hAnsi="Times New Roman" w:eastAsia="黑体" w:cs="Times New Roman"/>
          <w:color w:val="auto"/>
          <w:sz w:val="32"/>
          <w:szCs w:val="32"/>
          <w:highlight w:val="none"/>
        </w:rPr>
      </w:pPr>
    </w:p>
    <w:p w14:paraId="72DE487C">
      <w:pPr>
        <w:widowControl/>
        <w:jc w:val="center"/>
        <w:rPr>
          <w:rFonts w:hint="default" w:ascii="Times New Roman" w:hAnsi="Times New Roman" w:eastAsia="黑体" w:cs="Times New Roman"/>
          <w:color w:val="auto"/>
          <w:sz w:val="32"/>
          <w:szCs w:val="32"/>
          <w:highlight w:val="none"/>
        </w:rPr>
      </w:pPr>
    </w:p>
    <w:p w14:paraId="0C853D8F">
      <w:pPr>
        <w:widowControl/>
        <w:jc w:val="center"/>
        <w:rPr>
          <w:rFonts w:hint="default" w:ascii="Times New Roman" w:hAnsi="Times New Roman" w:eastAsia="黑体" w:cs="Times New Roman"/>
          <w:color w:val="auto"/>
          <w:sz w:val="32"/>
          <w:szCs w:val="32"/>
          <w:highlight w:val="none"/>
        </w:rPr>
      </w:pPr>
    </w:p>
    <w:p w14:paraId="26A939E4">
      <w:pPr>
        <w:widowControl/>
        <w:jc w:val="center"/>
        <w:rPr>
          <w:rFonts w:hint="default" w:ascii="Times New Roman" w:hAnsi="Times New Roman" w:eastAsia="黑体" w:cs="Times New Roman"/>
          <w:color w:val="auto"/>
          <w:sz w:val="32"/>
          <w:szCs w:val="32"/>
          <w:highlight w:val="none"/>
        </w:rPr>
      </w:pPr>
    </w:p>
    <w:p w14:paraId="52EAE2CE">
      <w:pPr>
        <w:widowControl/>
        <w:jc w:val="center"/>
        <w:rPr>
          <w:rFonts w:hint="default" w:ascii="Times New Roman" w:hAnsi="Times New Roman" w:eastAsia="黑体" w:cs="Times New Roman"/>
          <w:color w:val="auto"/>
          <w:sz w:val="32"/>
          <w:szCs w:val="32"/>
          <w:highlight w:val="none"/>
        </w:rPr>
      </w:pPr>
    </w:p>
    <w:p w14:paraId="2E220E18">
      <w:pPr>
        <w:widowControl/>
        <w:jc w:val="center"/>
        <w:rPr>
          <w:rFonts w:hint="default" w:ascii="Times New Roman" w:hAnsi="Times New Roman" w:eastAsia="黑体" w:cs="Times New Roman"/>
          <w:color w:val="auto"/>
          <w:sz w:val="32"/>
          <w:szCs w:val="32"/>
          <w:highlight w:val="none"/>
        </w:rPr>
      </w:pPr>
    </w:p>
    <w:p w14:paraId="69387427">
      <w:pPr>
        <w:widowControl/>
        <w:jc w:val="center"/>
        <w:rPr>
          <w:rFonts w:hint="default" w:ascii="Times New Roman" w:hAnsi="Times New Roman" w:eastAsia="黑体" w:cs="Times New Roman"/>
          <w:color w:val="auto"/>
          <w:sz w:val="32"/>
          <w:szCs w:val="32"/>
          <w:highlight w:val="none"/>
        </w:rPr>
      </w:pPr>
    </w:p>
    <w:p w14:paraId="2CB0446C">
      <w:pPr>
        <w:widowControl/>
        <w:jc w:val="center"/>
        <w:rPr>
          <w:rFonts w:hint="default" w:ascii="Times New Roman" w:hAnsi="Times New Roman" w:eastAsia="黑体" w:cs="Times New Roman"/>
          <w:color w:val="auto"/>
          <w:sz w:val="32"/>
          <w:szCs w:val="32"/>
          <w:highlight w:val="none"/>
        </w:rPr>
      </w:pPr>
    </w:p>
    <w:p w14:paraId="221CE0CC">
      <w:pPr>
        <w:widowControl/>
        <w:jc w:val="center"/>
        <w:rPr>
          <w:rFonts w:hint="default" w:ascii="Times New Roman" w:hAnsi="Times New Roman" w:eastAsia="黑体" w:cs="Times New Roman"/>
          <w:color w:val="auto"/>
          <w:sz w:val="32"/>
          <w:szCs w:val="32"/>
          <w:highlight w:val="none"/>
        </w:rPr>
      </w:pPr>
    </w:p>
    <w:p w14:paraId="5B24A4C1">
      <w:pPr>
        <w:widowControl/>
        <w:jc w:val="center"/>
        <w:rPr>
          <w:rFonts w:hint="default" w:ascii="Times New Roman" w:hAnsi="Times New Roman" w:eastAsia="黑体" w:cs="Times New Roman"/>
          <w:color w:val="auto"/>
          <w:sz w:val="32"/>
          <w:szCs w:val="32"/>
          <w:highlight w:val="none"/>
        </w:rPr>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start="1"/>
          <w:cols w:space="425" w:num="1"/>
          <w:docGrid w:type="lines" w:linePitch="312" w:charSpace="0"/>
        </w:sectPr>
      </w:pPr>
    </w:p>
    <w:p w14:paraId="73484BA3">
      <w:pPr>
        <w:pStyle w:val="2"/>
        <w:rPr>
          <w:rFonts w:hint="default" w:ascii="Times New Roman" w:hAnsi="Times New Roman" w:cs="Times New Roman"/>
          <w:highlight w:val="none"/>
        </w:rPr>
      </w:pPr>
    </w:p>
    <w:p w14:paraId="40DDA496">
      <w:pPr>
        <w:widowControl/>
        <w:jc w:val="center"/>
        <w:rPr>
          <w:rFonts w:hint="default" w:ascii="Times New Roman" w:hAnsi="Times New Roman" w:eastAsia="黑体" w:cs="Times New Roman"/>
          <w:color w:val="auto"/>
          <w:sz w:val="32"/>
          <w:szCs w:val="32"/>
          <w:highlight w:val="none"/>
        </w:rPr>
      </w:pPr>
    </w:p>
    <w:p w14:paraId="448A4B27">
      <w:pPr>
        <w:widowControl/>
        <w:jc w:val="center"/>
        <w:rPr>
          <w:rFonts w:hint="default" w:ascii="Times New Roman" w:hAnsi="Times New Roman" w:eastAsia="黑体" w:cs="Times New Roman"/>
          <w:color w:val="auto"/>
          <w:sz w:val="32"/>
          <w:szCs w:val="32"/>
          <w:highlight w:val="none"/>
        </w:rPr>
      </w:pPr>
    </w:p>
    <w:p w14:paraId="33C3B9C9">
      <w:pPr>
        <w:widowControl/>
        <w:jc w:val="center"/>
        <w:rPr>
          <w:rFonts w:hint="default" w:ascii="Times New Roman" w:hAnsi="Times New Roman" w:eastAsia="黑体" w:cs="Times New Roman"/>
          <w:color w:val="auto"/>
          <w:sz w:val="32"/>
          <w:szCs w:val="32"/>
          <w:highlight w:val="none"/>
        </w:rPr>
      </w:pPr>
    </w:p>
    <w:p w14:paraId="0DE3CE32">
      <w:pPr>
        <w:widowControl/>
        <w:jc w:val="center"/>
        <w:rPr>
          <w:rFonts w:hint="default" w:ascii="Times New Roman" w:hAnsi="Times New Roman" w:eastAsia="黑体" w:cs="Times New Roman"/>
          <w:color w:val="auto"/>
          <w:sz w:val="32"/>
          <w:szCs w:val="32"/>
          <w:highlight w:val="none"/>
        </w:rPr>
      </w:pPr>
    </w:p>
    <w:p w14:paraId="6B816202">
      <w:pPr>
        <w:widowControl/>
        <w:jc w:val="center"/>
        <w:rPr>
          <w:rFonts w:hint="default" w:ascii="Times New Roman" w:hAnsi="Times New Roman" w:eastAsia="黑体" w:cs="Times New Roman"/>
          <w:color w:val="auto"/>
          <w:sz w:val="32"/>
          <w:szCs w:val="32"/>
          <w:highlight w:val="none"/>
        </w:rPr>
      </w:pPr>
    </w:p>
    <w:p w14:paraId="1BBFB934">
      <w:pPr>
        <w:widowControl/>
        <w:jc w:val="center"/>
        <w:rPr>
          <w:rFonts w:hint="default" w:ascii="Times New Roman" w:hAnsi="Times New Roman" w:eastAsia="黑体" w:cs="Times New Roman"/>
          <w:color w:val="auto"/>
          <w:sz w:val="32"/>
          <w:szCs w:val="32"/>
          <w:highlight w:val="none"/>
        </w:rPr>
      </w:pPr>
    </w:p>
    <w:p w14:paraId="5D74A4F0">
      <w:pPr>
        <w:widowControl/>
        <w:jc w:val="center"/>
        <w:rPr>
          <w:rFonts w:hint="default" w:ascii="Times New Roman" w:hAnsi="Times New Roman" w:eastAsia="黑体" w:cs="Times New Roman"/>
          <w:color w:val="auto"/>
          <w:sz w:val="32"/>
          <w:szCs w:val="32"/>
          <w:highlight w:val="none"/>
        </w:rPr>
      </w:pPr>
    </w:p>
    <w:p w14:paraId="1886070D">
      <w:pPr>
        <w:widowControl/>
        <w:jc w:val="center"/>
        <w:rPr>
          <w:rFonts w:hint="default" w:ascii="Times New Roman" w:hAnsi="Times New Roman" w:eastAsia="黑体" w:cs="Times New Roman"/>
          <w:color w:val="auto"/>
          <w:sz w:val="32"/>
          <w:szCs w:val="32"/>
          <w:highlight w:val="none"/>
        </w:rPr>
      </w:pPr>
    </w:p>
    <w:p w14:paraId="35E4CF76">
      <w:pPr>
        <w:widowControl/>
        <w:jc w:val="center"/>
        <w:rPr>
          <w:rFonts w:hint="default" w:ascii="Times New Roman" w:hAnsi="Times New Roman" w:eastAsia="黑体" w:cs="Times New Roman"/>
          <w:color w:val="auto"/>
          <w:sz w:val="32"/>
          <w:szCs w:val="32"/>
          <w:highlight w:val="none"/>
        </w:rPr>
      </w:pPr>
    </w:p>
    <w:p w14:paraId="125F157F">
      <w:pPr>
        <w:widowControl/>
        <w:jc w:val="center"/>
        <w:rPr>
          <w:rFonts w:hint="default" w:ascii="Times New Roman" w:hAnsi="Times New Roman" w:eastAsia="黑体" w:cs="Times New Roman"/>
          <w:color w:val="auto"/>
          <w:sz w:val="32"/>
          <w:szCs w:val="32"/>
          <w:highlight w:val="none"/>
        </w:rPr>
      </w:pPr>
    </w:p>
    <w:p w14:paraId="7DD3AC1C">
      <w:pPr>
        <w:widowControl/>
        <w:jc w:val="center"/>
        <w:rPr>
          <w:rFonts w:hint="default" w:ascii="Times New Roman" w:hAnsi="Times New Roman" w:eastAsia="黑体" w:cs="Times New Roman"/>
          <w:color w:val="auto"/>
          <w:sz w:val="32"/>
          <w:szCs w:val="32"/>
          <w:highlight w:val="none"/>
        </w:rPr>
      </w:pPr>
    </w:p>
    <w:p w14:paraId="06E8A199">
      <w:pPr>
        <w:widowControl/>
        <w:jc w:val="center"/>
        <w:rPr>
          <w:rFonts w:hint="default" w:ascii="Times New Roman" w:hAnsi="Times New Roman" w:eastAsia="黑体" w:cs="Times New Roman"/>
          <w:color w:val="auto"/>
          <w:sz w:val="32"/>
          <w:szCs w:val="32"/>
          <w:highlight w:val="none"/>
        </w:rPr>
      </w:pPr>
    </w:p>
    <w:p w14:paraId="6D264904">
      <w:pPr>
        <w:widowControl/>
        <w:jc w:val="center"/>
        <w:rPr>
          <w:rFonts w:hint="default" w:ascii="Times New Roman" w:hAnsi="Times New Roman" w:eastAsia="黑体" w:cs="Times New Roman"/>
          <w:color w:val="auto"/>
          <w:sz w:val="32"/>
          <w:szCs w:val="32"/>
          <w:highlight w:val="none"/>
        </w:rPr>
      </w:pPr>
    </w:p>
    <w:p w14:paraId="59ACBB76">
      <w:pPr>
        <w:widowControl/>
        <w:jc w:val="center"/>
        <w:rPr>
          <w:rFonts w:hint="default" w:ascii="Times New Roman" w:hAnsi="Times New Roman" w:eastAsia="黑体" w:cs="Times New Roman"/>
          <w:color w:val="auto"/>
          <w:sz w:val="32"/>
          <w:szCs w:val="32"/>
          <w:highlight w:val="none"/>
        </w:rPr>
      </w:pPr>
    </w:p>
    <w:p w14:paraId="5C38C410">
      <w:pPr>
        <w:widowControl/>
        <w:jc w:val="center"/>
        <w:rPr>
          <w:rFonts w:hint="default" w:ascii="Times New Roman" w:hAnsi="Times New Roman" w:eastAsia="黑体" w:cs="Times New Roman"/>
          <w:color w:val="auto"/>
          <w:sz w:val="32"/>
          <w:szCs w:val="32"/>
          <w:highlight w:val="none"/>
        </w:rPr>
      </w:pPr>
    </w:p>
    <w:p w14:paraId="3FA78329">
      <w:pPr>
        <w:widowControl/>
        <w:jc w:val="center"/>
        <w:rPr>
          <w:rFonts w:hint="default" w:ascii="Times New Roman" w:hAnsi="Times New Roman" w:eastAsia="黑体" w:cs="Times New Roman"/>
          <w:color w:val="auto"/>
          <w:sz w:val="32"/>
          <w:szCs w:val="32"/>
          <w:highlight w:val="none"/>
        </w:rPr>
      </w:pPr>
    </w:p>
    <w:p w14:paraId="49105EEA">
      <w:pPr>
        <w:widowControl/>
        <w:jc w:val="center"/>
        <w:rPr>
          <w:rFonts w:hint="default" w:ascii="Times New Roman" w:hAnsi="Times New Roman" w:eastAsia="黑体" w:cs="Times New Roman"/>
          <w:color w:val="auto"/>
          <w:sz w:val="32"/>
          <w:szCs w:val="32"/>
          <w:highlight w:val="none"/>
        </w:rPr>
      </w:pPr>
    </w:p>
    <w:p w14:paraId="31C8410A">
      <w:pPr>
        <w:widowControl/>
        <w:jc w:val="center"/>
        <w:rPr>
          <w:rFonts w:hint="default" w:ascii="Times New Roman" w:hAnsi="Times New Roman" w:eastAsia="黑体" w:cs="Times New Roman"/>
          <w:color w:val="auto"/>
          <w:sz w:val="32"/>
          <w:szCs w:val="32"/>
          <w:highlight w:val="none"/>
        </w:rPr>
      </w:pPr>
    </w:p>
    <w:p w14:paraId="48A8CA00">
      <w:pPr>
        <w:widowControl/>
        <w:jc w:val="center"/>
        <w:rPr>
          <w:rFonts w:hint="default" w:ascii="Times New Roman" w:hAnsi="Times New Roman" w:eastAsia="黑体" w:cs="Times New Roman"/>
          <w:color w:val="auto"/>
          <w:sz w:val="32"/>
          <w:szCs w:val="32"/>
          <w:highlight w:val="none"/>
        </w:rPr>
      </w:pPr>
    </w:p>
    <w:p w14:paraId="181CBC6F">
      <w:pPr>
        <w:widowControl/>
        <w:jc w:val="center"/>
        <w:rPr>
          <w:rFonts w:hint="default" w:ascii="Times New Roman" w:hAnsi="Times New Roman" w:eastAsia="黑体" w:cs="Times New Roman"/>
          <w:color w:val="auto"/>
          <w:sz w:val="32"/>
          <w:szCs w:val="32"/>
          <w:highlight w:val="none"/>
        </w:rPr>
        <w:sectPr>
          <w:footerReference r:id="rId7" w:type="default"/>
          <w:pgSz w:w="11906" w:h="16838"/>
          <w:pgMar w:top="2098" w:right="1474" w:bottom="1984" w:left="1587" w:header="851" w:footer="992" w:gutter="0"/>
          <w:pgNumType w:fmt="decimal" w:start="1"/>
          <w:cols w:space="425" w:num="1"/>
          <w:docGrid w:type="lines" w:linePitch="312" w:charSpace="0"/>
        </w:sectPr>
      </w:pPr>
    </w:p>
    <w:p w14:paraId="59928CBA">
      <w:pPr>
        <w:widowControl/>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目录</w:t>
      </w:r>
    </w:p>
    <w:p w14:paraId="5632B3D1">
      <w:pPr>
        <w:widowControl/>
        <w:jc w:val="center"/>
        <w:rPr>
          <w:rFonts w:hint="default" w:ascii="Times New Roman" w:hAnsi="Times New Roman" w:eastAsia="黑体" w:cs="Times New Roman"/>
          <w:color w:val="auto"/>
          <w:sz w:val="32"/>
          <w:szCs w:val="32"/>
          <w:highlight w:val="none"/>
        </w:rPr>
      </w:pPr>
    </w:p>
    <w:p w14:paraId="44CD9CE4">
      <w:pPr>
        <w:pStyle w:val="14"/>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日</w:t>
      </w:r>
    </w:p>
    <w:p w14:paraId="5BAD7674">
      <w:pPr>
        <w:rPr>
          <w:rFonts w:hint="default" w:ascii="Times New Roman" w:hAnsi="Times New Roman" w:cs="Times New Roman"/>
          <w:color w:val="auto"/>
          <w:sz w:val="32"/>
          <w:szCs w:val="32"/>
          <w:highlight w:val="none"/>
        </w:rPr>
      </w:pPr>
    </w:p>
    <w:p w14:paraId="108CAD0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第一部分 部门概况</w:t>
      </w:r>
    </w:p>
    <w:p w14:paraId="70B97085">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部门职责</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1</w:t>
      </w:r>
    </w:p>
    <w:p w14:paraId="053E6CFD">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二、机构设置</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2</w:t>
      </w:r>
    </w:p>
    <w:p w14:paraId="0B0FF8D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第二部分</w:t>
      </w:r>
      <w:r>
        <w:rPr>
          <w:rFonts w:hint="default" w:ascii="Times New Roman" w:hAnsi="Times New Roman" w:eastAsia="方正黑体_GBK" w:cs="Times New Roman"/>
          <w:color w:val="auto"/>
          <w:sz w:val="32"/>
          <w:szCs w:val="32"/>
          <w:highlight w:val="none"/>
          <w:lang w:val="en-US" w:eastAsia="zh-CN"/>
        </w:rPr>
        <w:t xml:space="preserve"> 2024年度</w:t>
      </w:r>
      <w:r>
        <w:rPr>
          <w:rFonts w:hint="default" w:ascii="Times New Roman" w:hAnsi="Times New Roman" w:eastAsia="方正黑体_GBK" w:cs="Times New Roman"/>
          <w:color w:val="auto"/>
          <w:sz w:val="32"/>
          <w:szCs w:val="32"/>
          <w:highlight w:val="none"/>
        </w:rPr>
        <w:t>部门决算情况说明</w:t>
      </w:r>
    </w:p>
    <w:p w14:paraId="79739D3A">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一、收入支出决算总体情况说</w:t>
      </w:r>
      <w:r>
        <w:rPr>
          <w:rFonts w:hint="default" w:ascii="Times New Roman" w:hAnsi="Times New Roman" w:eastAsia="方正仿宋_GBK" w:cs="Times New Roman"/>
          <w:color w:val="auto"/>
          <w:sz w:val="32"/>
          <w:szCs w:val="32"/>
          <w:highlight w:val="none"/>
          <w:lang w:eastAsia="zh-CN"/>
        </w:rPr>
        <w:t>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w:t>
      </w:r>
    </w:p>
    <w:p w14:paraId="49BCC193">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二、收入决算情况说明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w:t>
      </w:r>
    </w:p>
    <w:p w14:paraId="5E233ACB">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三、支出决算情况说明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4</w:t>
      </w:r>
    </w:p>
    <w:p w14:paraId="301D153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四、财政拨款收入支出决算总体情况说</w:t>
      </w:r>
      <w:r>
        <w:rPr>
          <w:rFonts w:hint="default" w:ascii="Times New Roman" w:hAnsi="Times New Roman" w:eastAsia="方正仿宋_GBK" w:cs="Times New Roman"/>
          <w:color w:val="auto"/>
          <w:sz w:val="32"/>
          <w:szCs w:val="32"/>
          <w:highlight w:val="none"/>
          <w:lang w:eastAsia="zh-CN"/>
        </w:rPr>
        <w:t>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5</w:t>
      </w:r>
    </w:p>
    <w:p w14:paraId="1476402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五、一般公共预算财政拨款支出决算情况说明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6</w:t>
      </w:r>
    </w:p>
    <w:p w14:paraId="055739AF">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六、一般公共预算财政拨款基本支出决算情况说明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8</w:t>
      </w:r>
    </w:p>
    <w:p w14:paraId="564C755C">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七、财政拨款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三公”经费支出决算情况说明</w:t>
      </w:r>
      <w:r>
        <w:rPr>
          <w:rFonts w:hint="default" w:ascii="Times New Roman" w:hAnsi="Times New Roman" w:eastAsia="方正仿宋_GBK" w:cs="Times New Roman"/>
          <w:color w:val="auto"/>
          <w:sz w:val="32"/>
          <w:szCs w:val="32"/>
          <w:highlight w:val="none"/>
          <w:lang w:val="en-US" w:eastAsia="zh-CN"/>
        </w:rPr>
        <w:t>............... ...</w:t>
      </w:r>
      <w:r>
        <w:rPr>
          <w:rFonts w:hint="eastAsia" w:ascii="Times New Roman" w:hAnsi="Times New Roman" w:eastAsia="方正仿宋_GBK" w:cs="Times New Roman"/>
          <w:color w:val="auto"/>
          <w:sz w:val="32"/>
          <w:szCs w:val="32"/>
          <w:highlight w:val="none"/>
          <w:lang w:val="en-US" w:eastAsia="zh-CN"/>
        </w:rPr>
        <w:t>9</w:t>
      </w:r>
    </w:p>
    <w:p w14:paraId="44E94C80">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八、政府性基金预算支出决算情况说明</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p>
    <w:p w14:paraId="449008D4">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九、</w:t>
      </w:r>
      <w:r>
        <w:rPr>
          <w:rFonts w:hint="default" w:ascii="Times New Roman" w:hAnsi="Times New Roman" w:eastAsia="方正仿宋_GBK" w:cs="Times New Roman"/>
          <w:color w:val="auto"/>
          <w:sz w:val="32"/>
          <w:szCs w:val="32"/>
          <w:highlight w:val="none"/>
          <w:lang w:eastAsia="zh-CN"/>
        </w:rPr>
        <w:t>国</w:t>
      </w:r>
      <w:r>
        <w:rPr>
          <w:rFonts w:hint="default" w:ascii="Times New Roman" w:hAnsi="Times New Roman" w:eastAsia="方正仿宋_GBK" w:cs="Times New Roman"/>
          <w:color w:val="auto"/>
          <w:sz w:val="32"/>
          <w:szCs w:val="32"/>
          <w:highlight w:val="none"/>
        </w:rPr>
        <w:t>有资本经营预算支出决算情况说明</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p>
    <w:p w14:paraId="4B72102B">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eastAsia="zh-CN"/>
        </w:rPr>
        <w:t>十</w:t>
      </w:r>
      <w:r>
        <w:rPr>
          <w:rFonts w:hint="default" w:ascii="Times New Roman" w:hAnsi="Times New Roman" w:eastAsia="方正仿宋_GBK" w:cs="Times New Roman"/>
          <w:color w:val="auto"/>
          <w:sz w:val="32"/>
          <w:szCs w:val="32"/>
          <w:highlight w:val="none"/>
        </w:rPr>
        <w:t>、其他重要事项的情况说明</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0</w:t>
      </w:r>
    </w:p>
    <w:p w14:paraId="665217B0">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方正黑体_GBK" w:cs="Times New Roman"/>
          <w:color w:val="auto"/>
          <w:kern w:val="2"/>
          <w:sz w:val="32"/>
          <w:szCs w:val="32"/>
          <w:highlight w:val="none"/>
          <w:lang w:val="en-US" w:eastAsia="zh-CN" w:bidi="ar-SA"/>
        </w:rPr>
        <w:t>第三部分 名词解释</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..........1</w:t>
      </w:r>
      <w:r>
        <w:rPr>
          <w:rFonts w:hint="eastAsia" w:cs="Times New Roman"/>
          <w:color w:val="auto"/>
          <w:sz w:val="32"/>
          <w:szCs w:val="32"/>
          <w:highlight w:val="none"/>
          <w:lang w:val="en-US" w:eastAsia="zh-CN"/>
        </w:rPr>
        <w:t>2</w:t>
      </w:r>
    </w:p>
    <w:p w14:paraId="511F155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方正黑体_GBK" w:cs="Times New Roman"/>
          <w:color w:val="auto"/>
          <w:kern w:val="2"/>
          <w:sz w:val="32"/>
          <w:szCs w:val="32"/>
          <w:highlight w:val="none"/>
          <w:lang w:val="en-US" w:eastAsia="zh-CN" w:bidi="ar-SA"/>
        </w:rPr>
        <w:t>第四部分 附件</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............1</w:t>
      </w:r>
      <w:r>
        <w:rPr>
          <w:rFonts w:hint="eastAsia" w:cs="Times New Roman"/>
          <w:color w:val="auto"/>
          <w:sz w:val="32"/>
          <w:szCs w:val="32"/>
          <w:highlight w:val="none"/>
          <w:lang w:val="en-US" w:eastAsia="zh-CN"/>
        </w:rPr>
        <w:t>5</w:t>
      </w:r>
      <w:r>
        <w:rPr>
          <w:rFonts w:hint="default" w:ascii="Times New Roman" w:hAnsi="Times New Roman" w:cs="Times New Roman"/>
          <w:color w:val="auto"/>
          <w:sz w:val="32"/>
          <w:szCs w:val="32"/>
          <w:highlight w:val="none"/>
          <w:lang w:val="en-US" w:eastAsia="zh-CN"/>
        </w:rPr>
        <w:t xml:space="preserve"> </w:t>
      </w:r>
    </w:p>
    <w:p w14:paraId="117A5F17">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方正黑体_GBK" w:cs="Times New Roman"/>
          <w:color w:val="auto"/>
          <w:kern w:val="2"/>
          <w:sz w:val="32"/>
          <w:szCs w:val="32"/>
          <w:highlight w:val="none"/>
          <w:lang w:val="en-US" w:eastAsia="zh-CN" w:bidi="ar-SA"/>
        </w:rPr>
        <w:t>第五部分 附表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.............2</w:t>
      </w:r>
      <w:r>
        <w:rPr>
          <w:rFonts w:hint="eastAsia" w:cs="Times New Roman"/>
          <w:color w:val="auto"/>
          <w:sz w:val="32"/>
          <w:szCs w:val="32"/>
          <w:highlight w:val="none"/>
          <w:lang w:val="en-US" w:eastAsia="zh-CN"/>
        </w:rPr>
        <w:t>2</w:t>
      </w:r>
    </w:p>
    <w:p w14:paraId="13AA7E18">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p>
    <w:p w14:paraId="6720F236">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收入支出决算总表</w:t>
      </w:r>
    </w:p>
    <w:p w14:paraId="3EFFA0F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二、收入决算表</w:t>
      </w:r>
    </w:p>
    <w:p w14:paraId="1B61D1A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三、支出决算表</w:t>
      </w:r>
    </w:p>
    <w:p w14:paraId="4E46600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四、财政拨款收入支出决算总表</w:t>
      </w:r>
    </w:p>
    <w:p w14:paraId="7B78C6D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五、财政拨款支出决算明细表</w:t>
      </w:r>
    </w:p>
    <w:p w14:paraId="30E5FE1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p>
    <w:p w14:paraId="7E23E6C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七、一般公共预算财政拨款支出决算明细表</w:t>
      </w:r>
    </w:p>
    <w:p w14:paraId="001E11F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八、一般公共预算财政拨款基本支出决算</w:t>
      </w:r>
      <w:r>
        <w:rPr>
          <w:rFonts w:hint="default" w:ascii="Times New Roman" w:hAnsi="Times New Roman" w:eastAsia="方正仿宋_GBK" w:cs="Times New Roman"/>
          <w:color w:val="auto"/>
          <w:sz w:val="32"/>
          <w:szCs w:val="32"/>
          <w:highlight w:val="none"/>
          <w:lang w:eastAsia="zh-CN"/>
        </w:rPr>
        <w:t>明细</w:t>
      </w:r>
      <w:r>
        <w:rPr>
          <w:rFonts w:hint="default" w:ascii="Times New Roman" w:hAnsi="Times New Roman" w:eastAsia="方正仿宋_GBK" w:cs="Times New Roman"/>
          <w:color w:val="auto"/>
          <w:sz w:val="32"/>
          <w:szCs w:val="32"/>
          <w:highlight w:val="none"/>
        </w:rPr>
        <w:t>表</w:t>
      </w:r>
    </w:p>
    <w:p w14:paraId="1CA9CC6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九、一般公共预算财政拨款项目支出决算表</w:t>
      </w:r>
    </w:p>
    <w:p w14:paraId="48A6AF3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十、政府性基金预算财政拨款收入支出决算表</w:t>
      </w:r>
    </w:p>
    <w:p w14:paraId="79CB8C9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十一、国有资本经营预算财政拨款收入支出决算表</w:t>
      </w:r>
    </w:p>
    <w:p w14:paraId="1432231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十二、</w:t>
      </w:r>
      <w:r>
        <w:rPr>
          <w:rFonts w:hint="default" w:ascii="Times New Roman" w:hAnsi="Times New Roman" w:eastAsia="方正仿宋_GBK" w:cs="Times New Roman"/>
          <w:color w:val="auto"/>
          <w:sz w:val="32"/>
          <w:szCs w:val="32"/>
          <w:highlight w:val="none"/>
          <w:lang w:val="en-US" w:eastAsia="zh-CN"/>
        </w:rPr>
        <w:t>国有资本经营预算财政拨款支出决算表</w:t>
      </w:r>
    </w:p>
    <w:p w14:paraId="15D2785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z w:val="32"/>
          <w:szCs w:val="32"/>
          <w:highlight w:val="none"/>
        </w:rPr>
        <w:t>十三、财政拨款“三公”经费支出决算表</w:t>
      </w:r>
    </w:p>
    <w:p w14:paraId="57B59D4F">
      <w:pPr>
        <w:pStyle w:val="3"/>
        <w:jc w:val="center"/>
        <w:rPr>
          <w:rFonts w:hint="default" w:ascii="Times New Roman" w:hAnsi="Times New Roman" w:eastAsia="方正小标宋简体" w:cs="Times New Roman"/>
          <w:b w:val="0"/>
          <w:color w:val="auto"/>
          <w:sz w:val="32"/>
          <w:szCs w:val="32"/>
          <w:highlight w:val="none"/>
        </w:rPr>
        <w:sectPr>
          <w:footerReference r:id="rId8" w:type="default"/>
          <w:pgSz w:w="11906" w:h="16838"/>
          <w:pgMar w:top="2098" w:right="1474" w:bottom="1984" w:left="1587" w:header="851" w:footer="992" w:gutter="0"/>
          <w:pgNumType w:fmt="decimal" w:start="1"/>
          <w:cols w:space="425" w:num="1"/>
          <w:docGrid w:type="lines" w:linePitch="312" w:charSpace="0"/>
        </w:sectPr>
      </w:pPr>
    </w:p>
    <w:p w14:paraId="1F4648A1">
      <w:pPr>
        <w:pStyle w:val="3"/>
        <w:keepNext/>
        <w:keepLines/>
        <w:pageBreakBefore w:val="0"/>
        <w:widowControl w:val="0"/>
        <w:numPr>
          <w:ilvl w:val="0"/>
          <w:numId w:val="0"/>
        </w:numPr>
        <w:kinsoku/>
        <w:wordWrap/>
        <w:overflowPunct/>
        <w:topLinePunct w:val="0"/>
        <w:autoSpaceDE/>
        <w:autoSpaceDN/>
        <w:bidi w:val="0"/>
        <w:adjustRightInd/>
        <w:snapToGrid/>
        <w:spacing w:before="0" w:after="0" w:line="0" w:lineRule="atLeast"/>
        <w:jc w:val="center"/>
        <w:textAlignment w:val="auto"/>
        <w:rPr>
          <w:rStyle w:val="31"/>
          <w:rFonts w:hint="default" w:ascii="Times New Roman" w:hAnsi="Times New Roman" w:eastAsia="方正小标宋_GBK" w:cs="Times New Roman"/>
          <w:b/>
          <w:bCs w:val="0"/>
          <w:color w:val="auto"/>
          <w:sz w:val="44"/>
          <w:szCs w:val="44"/>
          <w:highlight w:val="none"/>
        </w:rPr>
      </w:pPr>
      <w:bookmarkStart w:id="12" w:name="_Toc15377196"/>
      <w:bookmarkStart w:id="13" w:name="_Toc15396599"/>
      <w:r>
        <w:rPr>
          <w:rFonts w:hint="eastAsia" w:ascii="Times New Roman" w:hAnsi="Times New Roman" w:eastAsia="方正小标宋_GBK" w:cs="Times New Roman"/>
          <w:b/>
          <w:bCs w:val="0"/>
          <w:color w:val="auto"/>
          <w:kern w:val="44"/>
          <w:sz w:val="44"/>
          <w:szCs w:val="44"/>
          <w:lang w:val="en-US" w:eastAsia="zh-CN" w:bidi="ar-SA"/>
        </w:rPr>
        <w:t>第一部分</w:t>
      </w:r>
      <w:r>
        <w:rPr>
          <w:rStyle w:val="31"/>
          <w:rFonts w:hint="default" w:ascii="Times New Roman" w:hAnsi="Times New Roman" w:eastAsia="方正小标宋_GBK" w:cs="Times New Roman"/>
          <w:b/>
          <w:bCs w:val="0"/>
          <w:color w:val="auto"/>
          <w:sz w:val="44"/>
          <w:szCs w:val="44"/>
          <w:highlight w:val="none"/>
        </w:rPr>
        <w:t>部门概况</w:t>
      </w:r>
      <w:bookmarkEnd w:id="12"/>
      <w:bookmarkEnd w:id="13"/>
    </w:p>
    <w:p w14:paraId="0CCAA3E6">
      <w:pPr>
        <w:numPr>
          <w:ilvl w:val="0"/>
          <w:numId w:val="0"/>
        </w:numPr>
        <w:rPr>
          <w:rFonts w:hint="default"/>
        </w:rPr>
      </w:pPr>
    </w:p>
    <w:p w14:paraId="1E8DA7AD">
      <w:pPr>
        <w:pStyle w:val="3"/>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一、部门职责</w:t>
      </w:r>
    </w:p>
    <w:p w14:paraId="76E38FAE">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（一）研究相关理论、政策和规划，拟订相关地方性规范性文件并组织实施。深入调查研究，及时向区委报告工作情况并提出建议。</w:t>
      </w:r>
    </w:p>
    <w:p w14:paraId="7870FC3F">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二）统筹指导全区群众利益协调、诉求表达、矛盾调处、权益保障等人民信访工作，协调解决人民群众急难愁盼的重大问题。指导人民建议征集工作，负责征集、办理公民、法人和其他组织提出的意见建议，向区委、区政府及时反映公民、法人和其他组织对党和国家事业发展提出的重要意见建议。</w:t>
      </w:r>
    </w:p>
    <w:p w14:paraId="19EFAF50">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（三）统筹推进党建引领基层治理和基层政权建设，协调推进城乡社区治理体系、服务体系和治理能力建设，推动基层民主政治建设，指导监督基层群众自治制度的有效实施，健全基层群众自治机制。</w:t>
      </w:r>
    </w:p>
    <w:p w14:paraId="41018B52">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（四）指导全区性社会组织党建工作，统一领导全区性行业协会商会党的工作，承办全区性行业协会商会负责人人选的审核。协调推动全区行业协会商会深化改革和转型发展，调查研究相关重大问题。</w:t>
      </w:r>
    </w:p>
    <w:p w14:paraId="1DDC4F85">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五）指导全区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0EFBA9DA">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（六）负责全区志愿服务工作的统筹规划、协调指导、督促检查，指导推动社会工作人才队伍建设、志愿服务人才队伍建设和阵地建设，协调推动社会工作服务体系和志愿服务体系建设。</w:t>
      </w:r>
    </w:p>
    <w:p w14:paraId="4C21EB91">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（七）完成区委交办的其他任务。</w:t>
      </w:r>
    </w:p>
    <w:p w14:paraId="69AFA910">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14" w:name="_Toc15396601"/>
      <w:bookmarkStart w:id="15" w:name="_Toc15377200"/>
      <w:r>
        <w:rPr>
          <w:rFonts w:hint="default" w:ascii="Times New Roman" w:hAnsi="Times New Roman" w:eastAsia="方正黑体_GBK" w:cs="Times New Roman"/>
          <w:b w:val="0"/>
          <w:color w:val="auto"/>
          <w:sz w:val="32"/>
          <w:szCs w:val="32"/>
          <w:highlight w:val="none"/>
          <w:lang w:eastAsia="zh-CN"/>
        </w:rPr>
        <w:t>二、机构设置</w:t>
      </w:r>
      <w:bookmarkEnd w:id="14"/>
      <w:bookmarkEnd w:id="15"/>
    </w:p>
    <w:p w14:paraId="01E960EB">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中国共产党攀枝花市西区委员会社会工作部下属二级预算单位1个，其中行政单位0个，参照公务员法管理的事业单位0个，其他事业单位1个。</w:t>
      </w:r>
    </w:p>
    <w:p w14:paraId="6FB91B72">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纳入中国共产党攀枝花市西区委员会社会工作部2024年度部门决算编制范围的二级预算单位包括：</w:t>
      </w:r>
    </w:p>
    <w:p w14:paraId="7AB3DD57">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kern w:val="0"/>
          <w:sz w:val="32"/>
          <w:szCs w:val="32"/>
          <w:highlight w:val="none"/>
          <w:lang w:val="en-US" w:eastAsia="zh-CN" w:bidi="ar-SA"/>
        </w:rPr>
      </w:pPr>
      <w:bookmarkStart w:id="16" w:name="_Toc15378449"/>
      <w:bookmarkStart w:id="17" w:name="_Toc15377433"/>
      <w:bookmarkStart w:id="18" w:name="_Toc15306276"/>
      <w:bookmarkStart w:id="19" w:name="_Toc15377202"/>
      <w:r>
        <w:rPr>
          <w:rFonts w:hint="default" w:ascii="Times New Roman" w:hAnsi="Times New Roman" w:eastAsia="方正仿宋_GBK" w:cs="Times New Roman"/>
          <w:b w:val="0"/>
          <w:bCs w:val="0"/>
          <w:kern w:val="0"/>
          <w:sz w:val="32"/>
          <w:szCs w:val="32"/>
          <w:highlight w:val="none"/>
          <w:lang w:val="en-US" w:eastAsia="zh-CN" w:bidi="ar-SA"/>
        </w:rPr>
        <w:t>攀枝花市西区社会工作服务中心</w:t>
      </w:r>
      <w:bookmarkEnd w:id="16"/>
      <w:bookmarkEnd w:id="17"/>
      <w:bookmarkEnd w:id="18"/>
      <w:bookmarkEnd w:id="19"/>
    </w:p>
    <w:p w14:paraId="5B0209AE">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br w:type="page"/>
      </w:r>
    </w:p>
    <w:p w14:paraId="5AA0AB07">
      <w:pPr>
        <w:pStyle w:val="3"/>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left="0" w:leftChars="0" w:firstLine="0" w:firstLineChars="0"/>
        <w:jc w:val="center"/>
        <w:textAlignment w:val="auto"/>
        <w:rPr>
          <w:rStyle w:val="31"/>
          <w:rFonts w:hint="default" w:ascii="Times New Roman" w:hAnsi="Times New Roman" w:eastAsia="方正小标宋_GBK" w:cs="Times New Roman"/>
          <w:b/>
          <w:bCs w:val="0"/>
          <w:color w:val="auto"/>
          <w:sz w:val="44"/>
          <w:szCs w:val="44"/>
          <w:highlight w:val="none"/>
        </w:rPr>
      </w:pPr>
      <w:bookmarkStart w:id="20" w:name="_Toc15377204"/>
      <w:bookmarkStart w:id="21" w:name="_Toc15396602"/>
      <w:r>
        <w:rPr>
          <w:rFonts w:hint="eastAsia" w:ascii="Times New Roman" w:hAnsi="Times New Roman" w:eastAsia="方正小标宋_GBK" w:cs="Times New Roman"/>
          <w:b/>
          <w:bCs w:val="0"/>
          <w:color w:val="auto"/>
          <w:kern w:val="44"/>
          <w:sz w:val="44"/>
          <w:szCs w:val="44"/>
          <w:lang w:val="en-US" w:eastAsia="zh-CN" w:bidi="ar-SA"/>
        </w:rPr>
        <w:t>第二部分</w:t>
      </w:r>
      <w:r>
        <w:rPr>
          <w:rStyle w:val="31"/>
          <w:rFonts w:hint="default" w:ascii="Times New Roman" w:hAnsi="Times New Roman" w:eastAsia="方正小标宋_GBK" w:cs="Times New Roman"/>
          <w:b/>
          <w:bCs w:val="0"/>
          <w:color w:val="auto"/>
          <w:sz w:val="44"/>
          <w:szCs w:val="44"/>
          <w:highlight w:val="none"/>
          <w:lang w:val="en-US" w:eastAsia="zh-CN"/>
        </w:rPr>
        <w:t>2024年度</w:t>
      </w:r>
      <w:r>
        <w:rPr>
          <w:rStyle w:val="31"/>
          <w:rFonts w:hint="default" w:ascii="Times New Roman" w:hAnsi="Times New Roman" w:eastAsia="方正小标宋_GBK" w:cs="Times New Roman"/>
          <w:b/>
          <w:bCs w:val="0"/>
          <w:color w:val="auto"/>
          <w:sz w:val="44"/>
          <w:szCs w:val="44"/>
          <w:highlight w:val="none"/>
        </w:rPr>
        <w:t>部门决算情况说明</w:t>
      </w:r>
      <w:bookmarkEnd w:id="20"/>
      <w:bookmarkEnd w:id="21"/>
    </w:p>
    <w:p w14:paraId="31BD4BBF">
      <w:pPr>
        <w:numPr>
          <w:ilvl w:val="0"/>
          <w:numId w:val="0"/>
        </w:numPr>
        <w:ind w:leftChars="0"/>
        <w:rPr>
          <w:rFonts w:hint="default"/>
        </w:rPr>
      </w:pPr>
    </w:p>
    <w:p w14:paraId="136AF483">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22" w:name="_Toc15396603"/>
      <w:bookmarkStart w:id="23" w:name="_Toc15377205"/>
      <w:r>
        <w:rPr>
          <w:rFonts w:hint="default" w:ascii="Times New Roman" w:hAnsi="Times New Roman" w:eastAsia="方正黑体_GBK" w:cs="Times New Roman"/>
          <w:b w:val="0"/>
          <w:color w:val="auto"/>
          <w:sz w:val="32"/>
          <w:szCs w:val="32"/>
          <w:highlight w:val="none"/>
          <w:lang w:eastAsia="zh-CN"/>
        </w:rPr>
        <w:t>一、收入支出决算总体情况说明</w:t>
      </w:r>
      <w:bookmarkEnd w:id="22"/>
      <w:bookmarkEnd w:id="23"/>
    </w:p>
    <w:p w14:paraId="0F4DF099">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2024年度收入</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支出</w:t>
      </w:r>
      <w:r>
        <w:rPr>
          <w:rFonts w:hint="default" w:ascii="Times New Roman" w:hAnsi="Times New Roman" w:eastAsia="方正仿宋_GBK" w:cs="Times New Roman"/>
          <w:b w:val="0"/>
          <w:bCs w:val="0"/>
          <w:color w:val="auto"/>
          <w:sz w:val="32"/>
          <w:szCs w:val="32"/>
          <w:highlight w:val="none"/>
        </w:rPr>
        <w:t>总计</w:t>
      </w:r>
      <w:r>
        <w:rPr>
          <w:rFonts w:hint="default" w:ascii="Times New Roman" w:hAnsi="Times New Roman" w:eastAsia="方正仿宋_GBK" w:cs="Times New Roman"/>
          <w:b w:val="0"/>
          <w:bCs w:val="0"/>
          <w:color w:val="auto"/>
          <w:sz w:val="32"/>
          <w:szCs w:val="32"/>
          <w:highlight w:val="none"/>
          <w:lang w:eastAsia="zh-CN"/>
        </w:rPr>
        <w:t>均为</w:t>
      </w:r>
      <w:r>
        <w:rPr>
          <w:rFonts w:hint="default" w:ascii="Times New Roman" w:hAnsi="Times New Roman" w:eastAsia="方正仿宋_GBK" w:cs="Times New Roman"/>
          <w:b w:val="0"/>
          <w:bCs w:val="0"/>
          <w:sz w:val="32"/>
          <w:szCs w:val="32"/>
          <w:highlight w:val="none"/>
        </w:rPr>
        <w:t>72.08</w:t>
      </w:r>
      <w:r>
        <w:rPr>
          <w:rFonts w:hint="default" w:ascii="Times New Roman" w:hAnsi="Times New Roman" w:eastAsia="方正仿宋_GBK" w:cs="Times New Roman"/>
          <w:b w:val="0"/>
          <w:bCs w:val="0"/>
          <w:color w:val="auto"/>
          <w:sz w:val="32"/>
          <w:szCs w:val="32"/>
          <w:highlight w:val="none"/>
        </w:rPr>
        <w:t>万元。与</w:t>
      </w:r>
      <w:r>
        <w:rPr>
          <w:rFonts w:hint="default" w:ascii="Times New Roman" w:hAnsi="Times New Roman" w:eastAsia="方正仿宋_GBK" w:cs="Times New Roman"/>
          <w:b w:val="0"/>
          <w:bCs w:val="0"/>
          <w:color w:val="auto"/>
          <w:sz w:val="32"/>
          <w:szCs w:val="32"/>
          <w:highlight w:val="none"/>
          <w:lang w:eastAsia="zh-CN"/>
        </w:rPr>
        <w:t>202</w:t>
      </w: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相比，</w:t>
      </w:r>
      <w:r>
        <w:rPr>
          <w:rFonts w:hint="default" w:ascii="Times New Roman" w:hAnsi="Times New Roman" w:eastAsia="方正仿宋_GBK" w:cs="Times New Roman"/>
          <w:b w:val="0"/>
          <w:bCs w:val="0"/>
          <w:color w:val="auto"/>
          <w:sz w:val="32"/>
          <w:szCs w:val="32"/>
          <w:highlight w:val="none"/>
          <w:lang w:eastAsia="zh-CN"/>
        </w:rPr>
        <w:t>收入</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支出</w:t>
      </w:r>
      <w:r>
        <w:rPr>
          <w:rFonts w:hint="default" w:ascii="Times New Roman" w:hAnsi="Times New Roman" w:eastAsia="方正仿宋_GBK" w:cs="Times New Roman"/>
          <w:b w:val="0"/>
          <w:bCs w:val="0"/>
          <w:color w:val="auto"/>
          <w:sz w:val="32"/>
          <w:szCs w:val="32"/>
          <w:highlight w:val="none"/>
        </w:rPr>
        <w:t>总计各增加</w:t>
      </w:r>
      <w:r>
        <w:rPr>
          <w:rFonts w:hint="default" w:ascii="Times New Roman" w:hAnsi="Times New Roman" w:eastAsia="方正仿宋_GBK" w:cs="Times New Roman"/>
          <w:b w:val="0"/>
          <w:bCs w:val="0"/>
          <w:color w:val="auto"/>
          <w:sz w:val="32"/>
          <w:szCs w:val="32"/>
          <w:highlight w:val="none"/>
          <w:lang w:val="en-US" w:eastAsia="zh-CN"/>
        </w:rPr>
        <w:t>72.08</w:t>
      </w:r>
      <w:r>
        <w:rPr>
          <w:rFonts w:hint="default" w:ascii="Times New Roman" w:hAnsi="Times New Roman" w:eastAsia="方正仿宋_GBK" w:cs="Times New Roman"/>
          <w:b w:val="0"/>
          <w:bCs w:val="0"/>
          <w:color w:val="auto"/>
          <w:sz w:val="32"/>
          <w:szCs w:val="32"/>
          <w:highlight w:val="none"/>
        </w:rPr>
        <w:t>万元，增长</w:t>
      </w:r>
      <w:r>
        <w:rPr>
          <w:rFonts w:hint="default" w:ascii="Times New Roman" w:hAnsi="Times New Roman" w:eastAsia="方正仿宋_GBK" w:cs="Times New Roman"/>
          <w:b w:val="0"/>
          <w:bCs w:val="0"/>
          <w:color w:val="auto"/>
          <w:sz w:val="32"/>
          <w:szCs w:val="32"/>
          <w:highlight w:val="none"/>
          <w:lang w:val="en-US" w:eastAsia="zh-CN"/>
        </w:rPr>
        <w:t>100%。</w:t>
      </w:r>
      <w:r>
        <w:rPr>
          <w:rFonts w:hint="default" w:ascii="Times New Roman" w:hAnsi="Times New Roman" w:eastAsia="方正仿宋_GBK" w:cs="Times New Roman"/>
          <w:b w:val="0"/>
          <w:bCs w:val="0"/>
          <w:color w:val="auto"/>
          <w:sz w:val="32"/>
          <w:szCs w:val="32"/>
          <w:highlight w:val="none"/>
        </w:rPr>
        <w:t>主要变动原因是</w:t>
      </w:r>
      <w:r>
        <w:rPr>
          <w:rFonts w:hint="default" w:ascii="Times New Roman" w:hAnsi="Times New Roman" w:eastAsia="方正仿宋_GBK" w:cs="Times New Roman"/>
          <w:b w:val="0"/>
          <w:bCs w:val="0"/>
          <w:sz w:val="32"/>
          <w:szCs w:val="32"/>
          <w:highlight w:val="none"/>
          <w:lang w:val="en-US" w:eastAsia="zh-CN"/>
        </w:rPr>
        <w:t>根据《中共攀枝花市西区区委 攀枝花市西区人民政府关于印发〈攀枝花市西区机构改革方案〉的通知》（攀西委﹝2024﹞48号）的通知，区委社会工作部于2024年5月22日挂牌成立，无2023年收入、支出数。</w:t>
      </w:r>
    </w:p>
    <w:p w14:paraId="232D27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方正仿宋_GBK" w:cs="Times New Roman"/>
          <w:b w:val="0"/>
          <w:bCs w:val="0"/>
          <w:color w:val="auto"/>
          <w:sz w:val="32"/>
          <w:szCs w:val="32"/>
          <w:highlight w:val="none"/>
        </w:rPr>
        <w:t>图1：</w:t>
      </w:r>
      <w:r>
        <w:rPr>
          <w:rFonts w:hint="default" w:ascii="Times New Roman" w:hAnsi="Times New Roman" w:eastAsia="方正仿宋_GBK" w:cs="Times New Roman"/>
          <w:b w:val="0"/>
          <w:bCs w:val="0"/>
          <w:color w:val="auto"/>
          <w:sz w:val="32"/>
          <w:szCs w:val="32"/>
          <w:highlight w:val="none"/>
          <w:lang w:eastAsia="zh-CN"/>
        </w:rPr>
        <w:t>收入</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支出</w:t>
      </w:r>
      <w:r>
        <w:rPr>
          <w:rFonts w:hint="default" w:ascii="Times New Roman" w:hAnsi="Times New Roman" w:eastAsia="方正仿宋_GBK" w:cs="Times New Roman"/>
          <w:b w:val="0"/>
          <w:bCs w:val="0"/>
          <w:color w:val="auto"/>
          <w:sz w:val="32"/>
          <w:szCs w:val="32"/>
          <w:highlight w:val="none"/>
        </w:rPr>
        <w:t>决算总计变动情况图</w:t>
      </w:r>
      <w:r>
        <w:rPr>
          <w:rFonts w:hint="default" w:ascii="Times New Roman" w:hAnsi="Times New Roman" w:eastAsia="仿宋_GB2312" w:cs="Times New Roman"/>
          <w:color w:val="auto"/>
          <w:sz w:val="32"/>
          <w:szCs w:val="32"/>
          <w:highlight w:val="none"/>
          <w:lang w:val="en-US"/>
        </w:rPr>
        <w:drawing>
          <wp:anchor distT="0" distB="0" distL="114300" distR="114300" simplePos="0" relativeHeight="251664384" behindDoc="0" locked="0" layoutInCell="1" allowOverlap="1">
            <wp:simplePos x="0" y="0"/>
            <wp:positionH relativeFrom="column">
              <wp:posOffset>5080</wp:posOffset>
            </wp:positionH>
            <wp:positionV relativeFrom="paragraph">
              <wp:posOffset>480695</wp:posOffset>
            </wp:positionV>
            <wp:extent cx="5256530" cy="2988310"/>
            <wp:effectExtent l="5080" t="4445" r="1524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51DA916">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24" w:name="_Toc15396604"/>
      <w:bookmarkStart w:id="25" w:name="_Toc15377206"/>
      <w:r>
        <w:rPr>
          <w:rFonts w:hint="default" w:ascii="Times New Roman" w:hAnsi="Times New Roman" w:eastAsia="方正黑体_GBK" w:cs="Times New Roman"/>
          <w:b w:val="0"/>
          <w:color w:val="auto"/>
          <w:sz w:val="32"/>
          <w:szCs w:val="32"/>
          <w:highlight w:val="none"/>
          <w:lang w:eastAsia="zh-CN"/>
        </w:rPr>
        <w:t>二、收入决算情况说明</w:t>
      </w:r>
      <w:bookmarkEnd w:id="24"/>
      <w:bookmarkEnd w:id="25"/>
    </w:p>
    <w:p w14:paraId="6B0CA252">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sz w:val="32"/>
          <w:szCs w:val="32"/>
          <w:highlight w:val="none"/>
        </w:rPr>
        <w:t>.08万元，其中：一般公共预算财政拨款收入</w:t>
      </w:r>
      <w:r>
        <w:rPr>
          <w:rFonts w:hint="default" w:ascii="Times New Roman" w:hAnsi="Times New Roman" w:eastAsia="方正仿宋_GBK" w:cs="Times New Roman"/>
          <w:sz w:val="32"/>
          <w:szCs w:val="32"/>
          <w:highlight w:val="none"/>
          <w:lang w:val="en-US" w:eastAsia="zh-CN"/>
        </w:rPr>
        <w:t>59</w:t>
      </w:r>
      <w:r>
        <w:rPr>
          <w:rFonts w:hint="default" w:ascii="Times New Roman" w:hAnsi="Times New Roman" w:eastAsia="方正仿宋_GBK" w:cs="Times New Roman"/>
          <w:sz w:val="32"/>
          <w:szCs w:val="32"/>
          <w:highlight w:val="none"/>
        </w:rPr>
        <w:t>.08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100</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sz w:val="32"/>
          <w:szCs w:val="32"/>
          <w:highlight w:val="none"/>
          <w:lang w:eastAsia="zh-CN"/>
        </w:rPr>
        <w:t>%。</w:t>
      </w:r>
    </w:p>
    <w:p w14:paraId="7226642D">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w:t>
      </w:r>
      <w:r>
        <w:rPr>
          <w:rFonts w:hint="default" w:ascii="Times New Roman" w:hAnsi="Times New Roman" w:eastAsia="方正仿宋_GBK" w:cs="Times New Roman"/>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5080</wp:posOffset>
            </wp:positionH>
            <wp:positionV relativeFrom="paragraph">
              <wp:posOffset>480695</wp:posOffset>
            </wp:positionV>
            <wp:extent cx="5256530" cy="2988310"/>
            <wp:effectExtent l="5080" t="4445" r="15240" b="1714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189C166">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26" w:name="_Toc15377207"/>
      <w:bookmarkStart w:id="27" w:name="_Toc15396605"/>
      <w:r>
        <w:rPr>
          <w:rFonts w:hint="default" w:ascii="Times New Roman" w:hAnsi="Times New Roman" w:eastAsia="方正黑体_GBK" w:cs="Times New Roman"/>
          <w:b w:val="0"/>
          <w:color w:val="auto"/>
          <w:sz w:val="32"/>
          <w:szCs w:val="32"/>
          <w:highlight w:val="none"/>
          <w:lang w:eastAsia="zh-CN"/>
        </w:rPr>
        <w:t>三、支出决算情况说明</w:t>
      </w:r>
      <w:bookmarkEnd w:id="26"/>
      <w:bookmarkEnd w:id="27"/>
    </w:p>
    <w:p w14:paraId="2CF3F87A">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2024年度本年支出合计</w:t>
      </w:r>
      <w:r>
        <w:rPr>
          <w:rFonts w:hint="default" w:ascii="Times New Roman" w:hAnsi="Times New Roman" w:eastAsia="方正仿宋_GBK" w:cs="Times New Roman"/>
          <w:b w:val="0"/>
          <w:bCs w:val="0"/>
          <w:sz w:val="32"/>
          <w:szCs w:val="32"/>
          <w:highlight w:val="none"/>
        </w:rPr>
        <w:t>72.08</w:t>
      </w:r>
      <w:r>
        <w:rPr>
          <w:rFonts w:hint="default" w:ascii="Times New Roman" w:hAnsi="Times New Roman" w:eastAsia="方正仿宋_GBK" w:cs="Times New Roman"/>
          <w:b w:val="0"/>
          <w:bCs w:val="0"/>
          <w:color w:val="auto"/>
          <w:sz w:val="32"/>
          <w:szCs w:val="32"/>
          <w:highlight w:val="none"/>
          <w:lang w:eastAsia="zh-CN"/>
        </w:rPr>
        <w:t>万元，其中：基本支出</w:t>
      </w:r>
      <w:r>
        <w:rPr>
          <w:rFonts w:hint="default" w:ascii="Times New Roman" w:hAnsi="Times New Roman" w:eastAsia="方正仿宋_GBK" w:cs="Times New Roman"/>
          <w:b w:val="0"/>
          <w:bCs w:val="0"/>
          <w:sz w:val="32"/>
          <w:szCs w:val="32"/>
          <w:highlight w:val="none"/>
        </w:rPr>
        <w:t>59.08</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81.96</w:t>
      </w:r>
      <w:r>
        <w:rPr>
          <w:rFonts w:hint="default" w:ascii="Times New Roman" w:hAnsi="Times New Roman" w:eastAsia="方正仿宋_GBK" w:cs="Times New Roman"/>
          <w:b w:val="0"/>
          <w:bCs w:val="0"/>
          <w:color w:val="auto"/>
          <w:sz w:val="32"/>
          <w:szCs w:val="32"/>
          <w:highlight w:val="none"/>
          <w:lang w:eastAsia="zh-CN"/>
        </w:rPr>
        <w:t>%；项目支出</w:t>
      </w:r>
      <w:r>
        <w:rPr>
          <w:rFonts w:hint="default" w:ascii="Times New Roman" w:hAnsi="Times New Roman" w:eastAsia="方正仿宋_GBK" w:cs="Times New Roman"/>
          <w:b w:val="0"/>
          <w:bCs w:val="0"/>
          <w:sz w:val="32"/>
          <w:szCs w:val="32"/>
          <w:highlight w:val="none"/>
        </w:rPr>
        <w:t>13</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18.0</w:t>
      </w:r>
      <w:r>
        <w:rPr>
          <w:rFonts w:hint="eastAsia"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eastAsia="zh-CN"/>
        </w:rPr>
        <w:t>%；上缴上级支出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%；经营支出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%；对附属单位补助支出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万元，占</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sz w:val="32"/>
          <w:szCs w:val="32"/>
          <w:highlight w:val="none"/>
          <w:lang w:eastAsia="zh-CN"/>
        </w:rPr>
        <w:t>。</w:t>
      </w:r>
    </w:p>
    <w:p w14:paraId="2A82073C">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图3：支出决算结构图</w:t>
      </w:r>
    </w:p>
    <w:p w14:paraId="6D1BDCD8">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黑体_GBK" w:cs="Times New Roman"/>
          <w:b w:val="0"/>
          <w:color w:val="auto"/>
          <w:sz w:val="32"/>
          <w:szCs w:val="32"/>
          <w:highlight w:val="none"/>
          <w:lang w:eastAsia="zh-CN"/>
        </w:rPr>
      </w:pPr>
      <w:bookmarkStart w:id="28" w:name="_Toc15396606"/>
      <w:bookmarkStart w:id="29" w:name="_Toc15377208"/>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290830</wp:posOffset>
            </wp:positionH>
            <wp:positionV relativeFrom="paragraph">
              <wp:posOffset>19050</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方正黑体_GBK" w:cs="Times New Roman"/>
          <w:b w:val="0"/>
          <w:color w:val="auto"/>
          <w:sz w:val="32"/>
          <w:szCs w:val="32"/>
          <w:highlight w:val="none"/>
          <w:lang w:eastAsia="zh-CN"/>
        </w:rPr>
        <w:t>四、财政拨款收入支出决算总体情况说明</w:t>
      </w:r>
      <w:bookmarkEnd w:id="28"/>
      <w:bookmarkEnd w:id="29"/>
    </w:p>
    <w:p w14:paraId="6A49F83A">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2024年度财政拨款收入、支出总计均为</w:t>
      </w:r>
      <w:r>
        <w:rPr>
          <w:rFonts w:hint="default" w:ascii="Times New Roman" w:hAnsi="Times New Roman" w:eastAsia="方正仿宋_GBK" w:cs="Times New Roman"/>
          <w:b w:val="0"/>
          <w:bCs w:val="0"/>
          <w:color w:val="auto"/>
          <w:sz w:val="32"/>
          <w:szCs w:val="32"/>
          <w:highlight w:val="none"/>
          <w:lang w:eastAsia="zh-CN"/>
        </w:rPr>
        <w:t>72.08</w:t>
      </w:r>
      <w:r>
        <w:rPr>
          <w:rFonts w:hint="default" w:ascii="Times New Roman" w:hAnsi="Times New Roman" w:eastAsia="方正仿宋_GBK" w:cs="Times New Roman"/>
          <w:b w:val="0"/>
          <w:bCs w:val="0"/>
          <w:color w:val="auto"/>
          <w:sz w:val="32"/>
          <w:szCs w:val="32"/>
          <w:highlight w:val="none"/>
          <w:lang w:val="en-US" w:eastAsia="zh-CN"/>
        </w:rPr>
        <w:t>万元。与2023年度相比，财政拨款收入总计、支出总计各增加72.08万元，增长100%。主要变动原因是区委社会工作部于2024年5月22日挂牌成立，无2023年收入、支出数。</w:t>
      </w:r>
    </w:p>
    <w:p w14:paraId="7BEA9941">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图4：财政拨款收、支决算总计变动情况</w:t>
      </w:r>
    </w:p>
    <w:p w14:paraId="5DED2B92">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30" w:name="_Toc15377209"/>
      <w:bookmarkStart w:id="31" w:name="_Toc15396607"/>
    </w:p>
    <w:p w14:paraId="380FB389">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p>
    <w:p w14:paraId="7C952668">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p>
    <w:p w14:paraId="2E2133B1">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p>
    <w:p w14:paraId="120EF397">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410845</wp:posOffset>
            </wp:positionH>
            <wp:positionV relativeFrom="paragraph">
              <wp:posOffset>-1329055</wp:posOffset>
            </wp:positionV>
            <wp:extent cx="4528185" cy="2987040"/>
            <wp:effectExtent l="4445" t="4445" r="20320" b="1841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8D27621">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p>
    <w:p w14:paraId="21E738B5">
      <w:pPr>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黑体" w:cs="Times New Roman"/>
          <w:color w:val="auto"/>
          <w:sz w:val="32"/>
          <w:szCs w:val="32"/>
          <w:highlight w:val="none"/>
        </w:rPr>
      </w:pPr>
    </w:p>
    <w:p w14:paraId="0021032F">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五、一般公共预算财政拨款支出决算情况说明</w:t>
      </w:r>
      <w:bookmarkEnd w:id="30"/>
      <w:bookmarkEnd w:id="31"/>
    </w:p>
    <w:p w14:paraId="31F92187">
      <w:pPr>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32" w:name="_Toc15377210"/>
      <w:r>
        <w:rPr>
          <w:rFonts w:hint="default" w:ascii="Times New Roman" w:hAnsi="Times New Roman" w:eastAsia="方正楷体_GBK" w:cs="Times New Roman"/>
          <w:b/>
          <w:color w:val="auto"/>
          <w:sz w:val="32"/>
          <w:szCs w:val="32"/>
          <w:highlight w:val="none"/>
        </w:rPr>
        <w:t>（一）一般公共预算财政拨款支出决算总体情况</w:t>
      </w:r>
      <w:bookmarkEnd w:id="32"/>
    </w:p>
    <w:p w14:paraId="24EB0D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highlight w:val="none"/>
        </w:rPr>
        <w:t>72.08</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highlight w:val="none"/>
        </w:rPr>
        <w:t>100</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%。与2023年度相比，一般公共预算财政拨款支出增加72.08万元，增长100%。主要变动原因是</w:t>
      </w:r>
      <w:r>
        <w:rPr>
          <w:rFonts w:hint="default" w:ascii="Times New Roman" w:hAnsi="Times New Roman" w:eastAsia="方正仿宋_GBK" w:cs="Times New Roman"/>
          <w:sz w:val="32"/>
          <w:szCs w:val="32"/>
          <w:highlight w:val="none"/>
          <w:lang w:val="en-US" w:eastAsia="zh-CN"/>
        </w:rPr>
        <w:t>区委社会工作部于2024年5月22日挂牌成立，无2023年支出数。</w:t>
      </w:r>
    </w:p>
    <w:p w14:paraId="4AB4A10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spacing w:val="-6"/>
          <w:kern w:val="2"/>
          <w:sz w:val="32"/>
          <w:szCs w:val="32"/>
          <w:highlight w:val="none"/>
          <w:lang w:val="en-US" w:eastAsia="zh-CN" w:bidi="ar-SA"/>
        </w:rPr>
      </w:pPr>
      <w:r>
        <w:rPr>
          <w:rFonts w:hint="default" w:ascii="Times New Roman" w:hAnsi="Times New Roman" w:eastAsia="方正仿宋_GBK" w:cs="Times New Roman"/>
          <w:color w:val="auto"/>
          <w:spacing w:val="-6"/>
          <w:kern w:val="2"/>
          <w:sz w:val="32"/>
          <w:szCs w:val="32"/>
          <w:highlight w:val="none"/>
          <w:lang w:val="en-US" w:eastAsia="zh-CN" w:bidi="ar-SA"/>
        </w:rPr>
        <w:t>图5：一般公共预算财政拨款支出决算变动情况</w:t>
      </w:r>
    </w:p>
    <w:p w14:paraId="6B68DC02">
      <w:pPr>
        <w:pageBreakBefore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eastAsia="方正楷体_GBK" w:cs="Times New Roman"/>
          <w:b/>
          <w:color w:val="auto"/>
          <w:sz w:val="32"/>
          <w:szCs w:val="32"/>
          <w:highlight w:val="none"/>
        </w:rPr>
      </w:pPr>
      <w:bookmarkStart w:id="33" w:name="_Toc15377211"/>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157480</wp:posOffset>
            </wp:positionH>
            <wp:positionV relativeFrom="paragraph">
              <wp:posOffset>259715</wp:posOffset>
            </wp:positionV>
            <wp:extent cx="5256530" cy="2988310"/>
            <wp:effectExtent l="5080" t="4445" r="15240" b="1714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楷体_GBK" w:cs="Times New Roman"/>
          <w:b/>
          <w:color w:val="auto"/>
          <w:sz w:val="32"/>
          <w:szCs w:val="32"/>
          <w:highlight w:val="none"/>
        </w:rPr>
        <w:t>（二）一般公共预算财政拨款支出决算结构情况</w:t>
      </w:r>
      <w:bookmarkEnd w:id="33"/>
    </w:p>
    <w:p w14:paraId="421A78F4">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highlight w:val="none"/>
        </w:rPr>
        <w:t>72.08</w:t>
      </w:r>
      <w:r>
        <w:rPr>
          <w:rFonts w:hint="default" w:ascii="Times New Roman" w:hAnsi="Times New Roman" w:eastAsia="方正仿宋_GBK" w:cs="Times New Roman"/>
          <w:color w:val="auto"/>
          <w:kern w:val="2"/>
          <w:sz w:val="32"/>
          <w:szCs w:val="32"/>
          <w:highlight w:val="none"/>
          <w:lang w:val="en-US" w:eastAsia="zh-CN" w:bidi="ar-SA"/>
        </w:rPr>
        <w:t>万元，主要用于以下方面：一般公共服务支出52.29万元，占72.55%；社会保障和就业支出12.08万元，占16.76%；卫生健康支出3.27万元，占4.54%；住房保障支出4.43万元，占6.15%。</w:t>
      </w:r>
    </w:p>
    <w:p w14:paraId="77048276">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773A3384">
      <w:pPr>
        <w:pageBreakBefore w:val="0"/>
        <w:widowControl w:val="0"/>
        <w:kinsoku/>
        <w:wordWrap/>
        <w:overflowPunct/>
        <w:topLinePunct w:val="0"/>
        <w:bidi w:val="0"/>
        <w:spacing w:line="240" w:lineRule="auto"/>
        <w:textAlignment w:val="auto"/>
        <w:outlineLvl w:val="2"/>
        <w:rPr>
          <w:rFonts w:hint="default" w:ascii="Times New Roman" w:hAnsi="Times New Roman" w:eastAsia="方正楷体_GBK" w:cs="Times New Roman"/>
          <w:b/>
          <w:color w:val="auto"/>
          <w:sz w:val="32"/>
          <w:szCs w:val="32"/>
          <w:highlight w:val="none"/>
        </w:rPr>
      </w:pPr>
      <w:bookmarkStart w:id="34" w:name="_Toc15377212"/>
      <w:r>
        <w:rPr>
          <w:rFonts w:hint="default" w:ascii="Times New Roman" w:hAnsi="Times New Roman" w:eastAsia="方正楷体_GBK" w:cs="Times New Roman"/>
          <w:b/>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14605</wp:posOffset>
            </wp:positionH>
            <wp:positionV relativeFrom="paragraph">
              <wp:posOffset>347345</wp:posOffset>
            </wp:positionV>
            <wp:extent cx="5256530" cy="2988310"/>
            <wp:effectExtent l="5080" t="4445" r="15240" b="17145"/>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3F221C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（三）一般公共预算财政拨款支出决算具体情况</w:t>
      </w:r>
      <w:bookmarkEnd w:id="34"/>
    </w:p>
    <w:p w14:paraId="4C95C48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35" w:name="_Toc15377213"/>
      <w:bookmarkStart w:id="36" w:name="_Toc15378460"/>
      <w:bookmarkStart w:id="37" w:name="_Toc15377444"/>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highlight w:val="none"/>
        </w:rPr>
        <w:t>72.08</w:t>
      </w:r>
      <w:r>
        <w:rPr>
          <w:rFonts w:hint="eastAsia" w:eastAsia="方正仿宋_GBK" w:cs="Times New Roman"/>
          <w:sz w:val="32"/>
          <w:szCs w:val="32"/>
          <w:highlight w:val="none"/>
          <w:lang w:eastAsia="zh-CN"/>
        </w:rPr>
        <w:t>万元</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35"/>
      <w:bookmarkEnd w:id="36"/>
      <w:bookmarkEnd w:id="37"/>
    </w:p>
    <w:p w14:paraId="1BEF6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1.一般公共服务（类）社会工作事务（款）行政运行（项）：支出决算为26.08万元，完成预算100%。</w:t>
      </w:r>
    </w:p>
    <w:p w14:paraId="5DBE6C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2.一般公共服务（类）社会工作事务（款）事业运行（项）：支出决算为13.21万元，完成预算100%。</w:t>
      </w:r>
    </w:p>
    <w:p w14:paraId="0D3E0F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3.一般公共服务（类）社会工作事务（款）其他社会工作事务支出（项）：支出决算为13万元，完成预算100%。</w:t>
      </w:r>
    </w:p>
    <w:p w14:paraId="7DAF6B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4.社会保障和就业支出（类）行政事业单位养老支出（款）机关事业单位基本养老保险缴费支出（项）：支出决算为4.99万元，完成预算100%。</w:t>
      </w:r>
    </w:p>
    <w:p w14:paraId="0B0837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5.社会保障和就业支出（类）行政事业单位养老支出（款）机关事业单位职业年金缴费支出（项）：支出决算为7.09万元，完成预算100%。</w:t>
      </w:r>
    </w:p>
    <w:p w14:paraId="339704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6.卫生健康支出（类）行政事业单位医疗（款）行政单位医疗（项）：支出决算为1.89万元，完成预算100%。</w:t>
      </w:r>
    </w:p>
    <w:p w14:paraId="19D667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7.卫生健康支出（类）行政事业单位医疗（款）事业单位医疗（项）：支出决算为1.07万元，完成预算100%。</w:t>
      </w:r>
    </w:p>
    <w:p w14:paraId="469B98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8.卫生健康支出（类）行政事业单位医疗（款）公务员医疗补助（项）：支出决算为0.19万元，完成预算100%。</w:t>
      </w:r>
    </w:p>
    <w:p w14:paraId="7AC5C5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9.卫生健康支出（类）行政事业单位医疗（款）其他行政事业单位医疗支出（项）：支出决算为0.12万元，完成预算100%。</w:t>
      </w:r>
    </w:p>
    <w:p w14:paraId="585FF2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10.住房保障支出（类）住房改革支出（款）住房公积金（项）：支出决算为4.43万元，完成预算100%。</w:t>
      </w:r>
      <w:bookmarkStart w:id="38" w:name="_Toc15396608"/>
      <w:bookmarkStart w:id="39" w:name="_Toc15377214"/>
    </w:p>
    <w:p w14:paraId="7BFA81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六、一般公共预算财政拨款基本支出决算情况说明</w:t>
      </w:r>
      <w:bookmarkEnd w:id="38"/>
      <w:bookmarkEnd w:id="39"/>
      <w:r>
        <w:rPr>
          <w:rFonts w:hint="default" w:ascii="Times New Roman" w:hAnsi="Times New Roman" w:eastAsia="方正黑体_GBK" w:cs="Times New Roman"/>
          <w:b w:val="0"/>
          <w:color w:val="auto"/>
          <w:sz w:val="32"/>
          <w:szCs w:val="32"/>
          <w:highlight w:val="none"/>
          <w:lang w:eastAsia="zh-CN"/>
        </w:rPr>
        <w:tab/>
      </w:r>
    </w:p>
    <w:p w14:paraId="23961D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highlight w:val="none"/>
        </w:rPr>
        <w:t>59.08</w:t>
      </w:r>
      <w:r>
        <w:rPr>
          <w:rFonts w:hint="default" w:ascii="Times New Roman" w:hAnsi="Times New Roman" w:eastAsia="方正仿宋_GBK" w:cs="Times New Roman"/>
          <w:color w:val="auto"/>
          <w:kern w:val="2"/>
          <w:sz w:val="32"/>
          <w:szCs w:val="32"/>
          <w:highlight w:val="none"/>
          <w:lang w:val="en-US" w:eastAsia="zh-CN" w:bidi="ar-SA"/>
        </w:rPr>
        <w:t>万元，其中：人员经费</w:t>
      </w:r>
      <w:r>
        <w:rPr>
          <w:rFonts w:hint="default" w:ascii="Times New Roman" w:hAnsi="Times New Roman" w:eastAsia="方正仿宋_GBK" w:cs="Times New Roman"/>
          <w:sz w:val="32"/>
          <w:szCs w:val="32"/>
          <w:highlight w:val="none"/>
        </w:rPr>
        <w:t>57.8</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万元，主要包括：基本工资、津贴补贴、奖金、绩效工资、机关事业单位基本养老保险缴费、职业年金缴费、其他社会保障缴费、奖励金、住房公积金等。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highlight w:val="none"/>
        </w:rPr>
        <w:t>1.28</w:t>
      </w:r>
      <w:r>
        <w:rPr>
          <w:rFonts w:hint="default" w:ascii="Times New Roman" w:hAnsi="Times New Roman" w:eastAsia="方正仿宋_GBK" w:cs="Times New Roman"/>
          <w:color w:val="auto"/>
          <w:kern w:val="2"/>
          <w:sz w:val="32"/>
          <w:szCs w:val="32"/>
          <w:highlight w:val="none"/>
          <w:lang w:val="en-US" w:eastAsia="zh-CN" w:bidi="ar-SA"/>
        </w:rPr>
        <w:t>万元，主要包括：办公费、邮电费、差旅费、劳务费、委托业务费、其他交通费、办公设备购置、信息网络及软件购置更新等。</w:t>
      </w:r>
      <w:bookmarkStart w:id="40" w:name="_Toc15396609"/>
      <w:bookmarkStart w:id="41" w:name="_Toc15377215"/>
    </w:p>
    <w:p w14:paraId="502BA3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七、财政拨款“三公”经费支出决算情况说明</w:t>
      </w:r>
      <w:bookmarkEnd w:id="40"/>
      <w:bookmarkEnd w:id="41"/>
    </w:p>
    <w:p w14:paraId="0EC7F35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42"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42"/>
    </w:p>
    <w:p w14:paraId="2079759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color w:val="auto"/>
          <w:kern w:val="2"/>
          <w:sz w:val="32"/>
          <w:szCs w:val="32"/>
          <w:highlight w:val="none"/>
          <w:lang w:val="en-US" w:eastAsia="zh-CN" w:bidi="ar-SA"/>
        </w:rPr>
        <w:t>%。我部</w:t>
      </w:r>
      <w:r>
        <w:rPr>
          <w:rFonts w:hint="default" w:ascii="Times New Roman" w:hAnsi="Times New Roman" w:eastAsia="方正仿宋_GBK" w:cs="Times New Roman"/>
          <w:sz w:val="32"/>
          <w:szCs w:val="32"/>
          <w:highlight w:val="none"/>
          <w:lang w:val="en-US" w:eastAsia="zh-CN"/>
        </w:rPr>
        <w:t>于2024年5月22日挂牌成立，</w:t>
      </w:r>
      <w:r>
        <w:rPr>
          <w:rFonts w:hint="default" w:ascii="Times New Roman" w:hAnsi="Times New Roman" w:eastAsia="方正仿宋_GBK" w:cs="Times New Roman"/>
          <w:color w:val="auto"/>
          <w:kern w:val="2"/>
          <w:sz w:val="32"/>
          <w:szCs w:val="32"/>
          <w:highlight w:val="none"/>
          <w:lang w:val="en-US" w:eastAsia="zh-CN" w:bidi="ar-SA"/>
        </w:rPr>
        <w:t>无上年度数据。</w:t>
      </w:r>
    </w:p>
    <w:p w14:paraId="2E6AE99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43"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43"/>
    </w:p>
    <w:p w14:paraId="1B392D7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w:t>
      </w:r>
    </w:p>
    <w:p w14:paraId="00A2019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全年安排因公出国（境）团组0次，出国（境）0人。我部于2024年5月22日挂牌成立，无上年度数据。</w:t>
      </w:r>
    </w:p>
    <w:p w14:paraId="3C4C608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2.公务用车购置及运行维护费支出0万元，完成预算0%。 </w:t>
      </w:r>
    </w:p>
    <w:p w14:paraId="11BD3DF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我部无公务用车。</w:t>
      </w:r>
    </w:p>
    <w:p w14:paraId="7CA79B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p>
    <w:p w14:paraId="2EA9CC0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国内公务接待支出0万元。我部于2024年5月22日挂牌成立，无上年度数据。</w:t>
      </w:r>
    </w:p>
    <w:p w14:paraId="05BD8A7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外事接待支出0万元。我部于2024年5月22日挂牌成立，无上年度数据。</w:t>
      </w:r>
      <w:bookmarkStart w:id="44" w:name="_Toc15377218"/>
      <w:bookmarkStart w:id="45" w:name="_Toc15396610"/>
    </w:p>
    <w:p w14:paraId="630201AB">
      <w:pPr>
        <w:pageBreakBefore w:val="0"/>
        <w:widowControl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default" w:ascii="Times New Roman" w:hAnsi="Times New Roman" w:eastAsia="方正黑体_GBK" w:cs="Times New Roman"/>
          <w:b w:val="0"/>
          <w:color w:val="auto"/>
          <w:sz w:val="32"/>
          <w:szCs w:val="32"/>
          <w:highlight w:val="none"/>
          <w:lang w:eastAsia="zh-CN"/>
        </w:rPr>
        <w:t>八、政府性基金预算支出决算情况说明</w:t>
      </w:r>
      <w:bookmarkEnd w:id="44"/>
      <w:bookmarkEnd w:id="45"/>
    </w:p>
    <w:p w14:paraId="4007724E">
      <w:pPr>
        <w:pageBreakBefore w:val="0"/>
        <w:widowControl w:val="0"/>
        <w:numPr>
          <w:ilvl w:val="0"/>
          <w:numId w:val="0"/>
        </w:numPr>
        <w:kinsoku/>
        <w:wordWrap/>
        <w:overflowPunct/>
        <w:topLinePunct w:val="0"/>
        <w:bidi w:val="0"/>
        <w:spacing w:line="240" w:lineRule="auto"/>
        <w:ind w:firstLine="640"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color w:val="auto"/>
          <w:kern w:val="2"/>
          <w:sz w:val="32"/>
          <w:szCs w:val="32"/>
          <w:highlight w:val="none"/>
          <w:lang w:val="en-US" w:eastAsia="zh-CN" w:bidi="ar-SA"/>
        </w:rPr>
        <w:t>%。我部</w:t>
      </w:r>
      <w:r>
        <w:rPr>
          <w:rFonts w:hint="default" w:ascii="Times New Roman" w:hAnsi="Times New Roman" w:eastAsia="仿宋_GB2312" w:cs="Times New Roman"/>
          <w:sz w:val="32"/>
          <w:szCs w:val="32"/>
          <w:highlight w:val="none"/>
          <w:lang w:val="en-US" w:eastAsia="zh-CN"/>
        </w:rPr>
        <w:t>于2024年5月22日挂牌成立，</w:t>
      </w:r>
      <w:r>
        <w:rPr>
          <w:rFonts w:hint="default" w:ascii="Times New Roman" w:hAnsi="Times New Roman" w:eastAsia="仿宋_GB2312" w:cs="Times New Roman"/>
          <w:color w:val="auto"/>
          <w:kern w:val="2"/>
          <w:sz w:val="32"/>
          <w:szCs w:val="32"/>
          <w:highlight w:val="none"/>
          <w:lang w:val="en-US" w:eastAsia="zh-CN" w:bidi="ar-SA"/>
        </w:rPr>
        <w:t>无上年度数据。</w:t>
      </w:r>
    </w:p>
    <w:p w14:paraId="75644DCA">
      <w:pPr>
        <w:pStyle w:val="4"/>
        <w:pageBreakBefore w:val="0"/>
        <w:widowControl w:val="0"/>
        <w:numPr>
          <w:ilvl w:val="0"/>
          <w:numId w:val="0"/>
        </w:numPr>
        <w:kinsoku/>
        <w:wordWrap/>
        <w:overflowPunct/>
        <w:topLinePunct w:val="0"/>
        <w:bidi w:val="0"/>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bookmarkStart w:id="46" w:name="_Toc15396611"/>
      <w:bookmarkStart w:id="47" w:name="_Toc15377219"/>
      <w:r>
        <w:rPr>
          <w:rFonts w:hint="default" w:ascii="Times New Roman" w:hAnsi="Times New Roman" w:eastAsia="方正黑体_GBK" w:cs="Times New Roman"/>
          <w:b w:val="0"/>
          <w:color w:val="auto"/>
          <w:sz w:val="32"/>
          <w:szCs w:val="32"/>
          <w:highlight w:val="none"/>
          <w:lang w:eastAsia="zh-CN"/>
        </w:rPr>
        <w:t>九、国有资本经营预算支出决算情况说明</w:t>
      </w:r>
      <w:bookmarkEnd w:id="46"/>
      <w:bookmarkEnd w:id="47"/>
    </w:p>
    <w:p w14:paraId="52A23466">
      <w:pPr>
        <w:pStyle w:val="4"/>
        <w:pageBreakBefore w:val="0"/>
        <w:widowControl w:val="0"/>
        <w:numPr>
          <w:ilvl w:val="0"/>
          <w:numId w:val="0"/>
        </w:numPr>
        <w:kinsoku/>
        <w:wordWrap/>
        <w:overflowPunct/>
        <w:topLinePunct w:val="0"/>
        <w:bidi w:val="0"/>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kern w:val="2"/>
          <w:sz w:val="32"/>
          <w:szCs w:val="32"/>
          <w:highlight w:val="none"/>
          <w:lang w:val="en-US" w:eastAsia="zh-CN" w:bidi="ar-SA"/>
        </w:rPr>
        <w:t>万元，占本年支出合计的</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color w:val="auto"/>
          <w:kern w:val="2"/>
          <w:sz w:val="32"/>
          <w:szCs w:val="32"/>
          <w:highlight w:val="none"/>
          <w:lang w:val="en-US" w:eastAsia="zh-CN" w:bidi="ar-SA"/>
        </w:rPr>
        <w:t>%。</w:t>
      </w:r>
      <w:bookmarkStart w:id="48" w:name="_Toc15377221"/>
      <w:bookmarkStart w:id="49" w:name="_Toc15396612"/>
      <w:r>
        <w:rPr>
          <w:rFonts w:hint="default" w:ascii="Times New Roman" w:hAnsi="Times New Roman" w:eastAsia="方正仿宋_GBK" w:cs="Times New Roman"/>
          <w:b w:val="0"/>
          <w:bCs w:val="0"/>
          <w:color w:val="auto"/>
          <w:kern w:val="2"/>
          <w:sz w:val="32"/>
          <w:szCs w:val="32"/>
          <w:highlight w:val="none"/>
          <w:lang w:val="en-US" w:eastAsia="zh-CN" w:bidi="ar-SA"/>
        </w:rPr>
        <w:t>我部</w:t>
      </w:r>
      <w:r>
        <w:rPr>
          <w:rFonts w:hint="default" w:ascii="Times New Roman" w:hAnsi="Times New Roman" w:eastAsia="方正仿宋_GBK" w:cs="Times New Roman"/>
          <w:b w:val="0"/>
          <w:bCs w:val="0"/>
          <w:sz w:val="32"/>
          <w:szCs w:val="32"/>
          <w:highlight w:val="none"/>
          <w:lang w:val="en-US" w:eastAsia="zh-CN"/>
        </w:rPr>
        <w:t>于2024年5月22日挂牌成立，</w:t>
      </w:r>
      <w:r>
        <w:rPr>
          <w:rFonts w:hint="default" w:ascii="Times New Roman" w:hAnsi="Times New Roman" w:eastAsia="方正仿宋_GBK" w:cs="Times New Roman"/>
          <w:b w:val="0"/>
          <w:bCs w:val="0"/>
          <w:color w:val="auto"/>
          <w:kern w:val="2"/>
          <w:sz w:val="32"/>
          <w:szCs w:val="32"/>
          <w:highlight w:val="none"/>
          <w:lang w:val="en-US" w:eastAsia="zh-CN" w:bidi="ar-SA"/>
        </w:rPr>
        <w:t>无上年度</w:t>
      </w:r>
      <w:r>
        <w:rPr>
          <w:rFonts w:hint="default" w:ascii="Times New Roman" w:hAnsi="Times New Roman" w:eastAsia="方正仿宋_GBK" w:cs="Times New Roman"/>
          <w:b w:val="0"/>
          <w:bCs w:val="0"/>
          <w:sz w:val="32"/>
          <w:szCs w:val="32"/>
          <w:highlight w:val="none"/>
          <w:lang w:val="en-US" w:eastAsia="zh-CN"/>
        </w:rPr>
        <w:t>数据。</w:t>
      </w:r>
    </w:p>
    <w:p w14:paraId="471A4E4E">
      <w:pPr>
        <w:pStyle w:val="4"/>
        <w:pageBreakBefore w:val="0"/>
        <w:widowControl w:val="0"/>
        <w:numPr>
          <w:ilvl w:val="0"/>
          <w:numId w:val="0"/>
        </w:numPr>
        <w:kinsoku/>
        <w:wordWrap/>
        <w:overflowPunct/>
        <w:topLinePunct w:val="0"/>
        <w:bidi w:val="0"/>
        <w:spacing w:before="0" w:after="0" w:line="240" w:lineRule="auto"/>
        <w:ind w:firstLine="640" w:firstLineChars="200"/>
        <w:textAlignment w:val="auto"/>
        <w:rPr>
          <w:rFonts w:hint="default" w:ascii="Times New Roman" w:hAnsi="Times New Roman" w:eastAsia="方正黑体_GBK" w:cs="Times New Roman"/>
          <w:b w:val="0"/>
          <w:color w:val="auto"/>
          <w:sz w:val="32"/>
          <w:szCs w:val="32"/>
          <w:highlight w:val="none"/>
          <w:lang w:eastAsia="zh-CN"/>
        </w:rPr>
      </w:pPr>
      <w:r>
        <w:rPr>
          <w:rFonts w:hint="eastAsia" w:ascii="Times New Roman" w:hAnsi="Times New Roman" w:eastAsia="方正黑体_GBK" w:cs="Times New Roman"/>
          <w:b w:val="0"/>
          <w:color w:val="auto"/>
          <w:sz w:val="32"/>
          <w:szCs w:val="32"/>
          <w:highlight w:val="none"/>
          <w:lang w:eastAsia="zh-CN"/>
        </w:rPr>
        <w:t>十、</w:t>
      </w:r>
      <w:r>
        <w:rPr>
          <w:rFonts w:hint="default" w:ascii="Times New Roman" w:hAnsi="Times New Roman" w:eastAsia="方正黑体_GBK" w:cs="Times New Roman"/>
          <w:b w:val="0"/>
          <w:color w:val="auto"/>
          <w:sz w:val="32"/>
          <w:szCs w:val="32"/>
          <w:highlight w:val="none"/>
          <w:lang w:eastAsia="zh-CN"/>
        </w:rPr>
        <w:t>其他重要事项的情况说明</w:t>
      </w:r>
      <w:bookmarkEnd w:id="48"/>
      <w:bookmarkEnd w:id="49"/>
      <w:bookmarkStart w:id="50" w:name="_Toc15377222"/>
    </w:p>
    <w:p w14:paraId="7951647E">
      <w:pPr>
        <w:pStyle w:val="4"/>
        <w:pageBreakBefore w:val="0"/>
        <w:widowControl w:val="0"/>
        <w:numPr>
          <w:ilvl w:val="0"/>
          <w:numId w:val="0"/>
        </w:numPr>
        <w:kinsoku/>
        <w:wordWrap/>
        <w:overflowPunct/>
        <w:topLinePunct w:val="0"/>
        <w:bidi w:val="0"/>
        <w:spacing w:before="0" w:after="0" w:line="240" w:lineRule="auto"/>
        <w:ind w:firstLine="643" w:firstLineChars="200"/>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（一）机关运行经费支出情况</w:t>
      </w:r>
      <w:bookmarkEnd w:id="50"/>
    </w:p>
    <w:p w14:paraId="3DA4CC6D">
      <w:pPr>
        <w:pageBreakBefore w:val="0"/>
        <w:widowControl w:val="0"/>
        <w:kinsoku/>
        <w:wordWrap/>
        <w:overflowPunct/>
        <w:topLinePunct w:val="0"/>
        <w:bidi w:val="0"/>
        <w:spacing w:line="240" w:lineRule="auto"/>
        <w:ind w:firstLine="640" w:firstLineChars="200"/>
        <w:textAlignment w:val="auto"/>
        <w:outlineLvl w:val="2"/>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2024年度，中国共产党攀枝花市西区委员会社会工作部机关运行经费支出1.28万元，比2023年度增加1.28万元，增长100%。主要原因是我部于2024年5月22日挂牌成立，无上年度数据。</w:t>
      </w:r>
    </w:p>
    <w:p w14:paraId="684660B1">
      <w:pPr>
        <w:pageBreakBefore w:val="0"/>
        <w:widowControl w:val="0"/>
        <w:kinsoku/>
        <w:wordWrap/>
        <w:overflowPunct/>
        <w:topLinePunct w:val="0"/>
        <w:bidi w:val="0"/>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51" w:name="_Toc15377223"/>
      <w:r>
        <w:rPr>
          <w:rFonts w:hint="default" w:ascii="Times New Roman" w:hAnsi="Times New Roman" w:eastAsia="方正楷体_GBK" w:cs="Times New Roman"/>
          <w:b/>
          <w:color w:val="auto"/>
          <w:sz w:val="32"/>
          <w:szCs w:val="32"/>
          <w:highlight w:val="none"/>
        </w:rPr>
        <w:t>（二）政府采购支出情况</w:t>
      </w:r>
      <w:bookmarkEnd w:id="51"/>
    </w:p>
    <w:p w14:paraId="1D59853E">
      <w:pPr>
        <w:pageBreakBefore w:val="0"/>
        <w:widowControl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2024年度，中国共产党攀枝花市西区委员会社会工作部政府采购支出总额0万元，其中：政府采购货物支出0万元、政府采购工程支出0万元、政府采购服务支出0万元。</w:t>
      </w:r>
    </w:p>
    <w:p w14:paraId="604B5030">
      <w:pPr>
        <w:pageBreakBefore w:val="0"/>
        <w:widowControl w:val="0"/>
        <w:kinsoku/>
        <w:wordWrap/>
        <w:overflowPunct/>
        <w:topLinePunct w:val="0"/>
        <w:bidi w:val="0"/>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52" w:name="_Toc15377224"/>
      <w:r>
        <w:rPr>
          <w:rFonts w:hint="default" w:ascii="Times New Roman" w:hAnsi="Times New Roman" w:eastAsia="方正楷体_GBK" w:cs="Times New Roman"/>
          <w:b/>
          <w:color w:val="auto"/>
          <w:sz w:val="32"/>
          <w:szCs w:val="32"/>
          <w:highlight w:val="none"/>
        </w:rPr>
        <w:t>（三）国有资产占有使用情况</w:t>
      </w:r>
      <w:bookmarkEnd w:id="52"/>
    </w:p>
    <w:p w14:paraId="13E63003">
      <w:pPr>
        <w:pageBreakBefore w:val="0"/>
        <w:widowControl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截至2024年12月31日，中国共产党攀枝花市西区委员会社会工作部共有车辆0辆，其中：主要负责人用车0辆、机要通信用车0辆、应急保障用车0辆、其他用车0辆。单价100万元（含）以上设备（不含车辆）0台（套）。</w:t>
      </w:r>
    </w:p>
    <w:p w14:paraId="4E361D89">
      <w:pPr>
        <w:pageBreakBefore w:val="0"/>
        <w:widowControl w:val="0"/>
        <w:kinsoku/>
        <w:wordWrap/>
        <w:overflowPunct/>
        <w:topLinePunct w:val="0"/>
        <w:bidi w:val="0"/>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（四）预算绩效管理情况</w:t>
      </w:r>
    </w:p>
    <w:p w14:paraId="157F504C">
      <w:pPr>
        <w:pageBreakBefore w:val="0"/>
        <w:widowControl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部门在2024年度预算编制阶段，组织对开办费、基层治理+小微协商机制工作经费2个项目开展了预算事前绩效评估，对2个项目编制了绩效目标，预算执行过程中，选取2个项目开展绩效监控。</w:t>
      </w:r>
    </w:p>
    <w:p w14:paraId="79BA5BE1">
      <w:pPr>
        <w:pStyle w:val="17"/>
        <w:keepNext w:val="0"/>
        <w:keepLines w:val="0"/>
        <w:pageBreakBefore w:val="0"/>
        <w:widowControl w:val="0"/>
        <w:kinsoku/>
        <w:wordWrap/>
        <w:overflowPunct/>
        <w:topLinePunct w:val="0"/>
        <w:autoSpaceDE/>
        <w:autoSpaceDN/>
        <w:bidi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组织对2024年度一般公共预算全面开展绩效自评，形成区委社会工作部部门整体（含部门预算项目）绩效自评报告，区委社会工作部部门整体绩效自评得分为100分。区委社会工作部</w:t>
      </w:r>
      <w:r>
        <w:rPr>
          <w:rFonts w:hint="default" w:ascii="Times New Roman" w:hAnsi="Times New Roman" w:eastAsia="方正仿宋_GBK" w:cs="Times New Roman"/>
          <w:sz w:val="32"/>
          <w:szCs w:val="32"/>
          <w:highlight w:val="none"/>
          <w:lang w:val="en-US" w:eastAsia="zh-CN"/>
        </w:rPr>
        <w:t>通过绩效评价树立了绩效理念，加强了对资金的监管，全年项目支出达到预期绩效目标，提高了财政资金的使用效率。</w:t>
      </w:r>
    </w:p>
    <w:p w14:paraId="29535A2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bidi="ar"/>
        </w:rPr>
        <w:t>中共攀枝花市西区区委社会工作部2024年部门预算绩自评报告</w:t>
      </w:r>
      <w:r>
        <w:rPr>
          <w:rFonts w:hint="default" w:ascii="Times New Roman" w:hAnsi="Times New Roman" w:eastAsia="方正仿宋_GBK" w:cs="Times New Roman"/>
          <w:sz w:val="32"/>
          <w:szCs w:val="32"/>
          <w:highlight w:val="none"/>
          <w:lang w:val="en-US" w:eastAsia="zh-CN"/>
        </w:rPr>
        <w:t>》详见附件</w:t>
      </w:r>
    </w:p>
    <w:p w14:paraId="10338CF4">
      <w:pPr>
        <w:pStyle w:val="3"/>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小标宋_GBK" w:cs="Times New Roman"/>
          <w:b/>
          <w:bCs w:val="0"/>
          <w:color w:val="auto"/>
          <w:sz w:val="44"/>
          <w:szCs w:val="44"/>
          <w:highlight w:val="none"/>
        </w:rPr>
      </w:pPr>
      <w:bookmarkStart w:id="53" w:name="_Toc15377225"/>
      <w:bookmarkStart w:id="54" w:name="_Toc15396613"/>
    </w:p>
    <w:p w14:paraId="274811E9">
      <w:pPr>
        <w:pStyle w:val="3"/>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小标宋_GBK" w:cs="Times New Roman"/>
          <w:b/>
          <w:bCs w:val="0"/>
          <w:color w:val="auto"/>
          <w:sz w:val="44"/>
          <w:szCs w:val="44"/>
          <w:highlight w:val="none"/>
        </w:rPr>
      </w:pPr>
    </w:p>
    <w:p w14:paraId="56ED67EE">
      <w:pPr>
        <w:rPr>
          <w:rFonts w:hint="default"/>
        </w:rPr>
      </w:pPr>
    </w:p>
    <w:p w14:paraId="0B6DA477">
      <w:pPr>
        <w:pStyle w:val="3"/>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小标宋_GBK" w:cs="Times New Roman"/>
          <w:b/>
          <w:bCs w:val="0"/>
          <w:color w:val="auto"/>
          <w:sz w:val="44"/>
          <w:szCs w:val="44"/>
          <w:highlight w:val="none"/>
        </w:rPr>
      </w:pPr>
    </w:p>
    <w:p w14:paraId="605B4239">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color w:val="auto"/>
          <w:sz w:val="44"/>
          <w:szCs w:val="44"/>
          <w:highlight w:val="none"/>
        </w:rPr>
      </w:pPr>
      <w:r>
        <w:rPr>
          <w:rFonts w:hint="default" w:ascii="Times New Roman" w:hAnsi="Times New Roman" w:eastAsia="方正小标宋_GBK" w:cs="Times New Roman"/>
          <w:b/>
          <w:bCs w:val="0"/>
          <w:color w:val="auto"/>
          <w:sz w:val="44"/>
          <w:szCs w:val="44"/>
          <w:highlight w:val="none"/>
        </w:rPr>
        <w:t>第</w:t>
      </w:r>
      <w:r>
        <w:rPr>
          <w:rFonts w:hint="default" w:ascii="Times New Roman" w:hAnsi="Times New Roman" w:eastAsia="方正小标宋_GBK" w:cs="Times New Roman"/>
          <w:b/>
          <w:bCs w:val="0"/>
          <w:color w:val="auto"/>
          <w:sz w:val="44"/>
          <w:szCs w:val="44"/>
          <w:highlight w:val="none"/>
          <w:lang w:eastAsia="zh-CN"/>
        </w:rPr>
        <w:t>三</w:t>
      </w:r>
      <w:r>
        <w:rPr>
          <w:rFonts w:hint="default" w:ascii="Times New Roman" w:hAnsi="Times New Roman" w:eastAsia="方正小标宋_GBK" w:cs="Times New Roman"/>
          <w:b/>
          <w:bCs w:val="0"/>
          <w:color w:val="auto"/>
          <w:sz w:val="44"/>
          <w:szCs w:val="44"/>
          <w:highlight w:val="none"/>
        </w:rPr>
        <w:t>部分</w:t>
      </w:r>
      <w:r>
        <w:rPr>
          <w:rFonts w:hint="default" w:ascii="Times New Roman" w:hAnsi="Times New Roman" w:eastAsia="方正小标宋_GBK" w:cs="Times New Roman"/>
          <w:b/>
          <w:bCs w:val="0"/>
          <w:color w:val="auto"/>
          <w:sz w:val="44"/>
          <w:szCs w:val="44"/>
          <w:highlight w:val="none"/>
          <w:lang w:val="en-US" w:eastAsia="zh-CN"/>
        </w:rPr>
        <w:t xml:space="preserve">  </w:t>
      </w:r>
      <w:r>
        <w:rPr>
          <w:rFonts w:hint="default" w:ascii="Times New Roman" w:hAnsi="Times New Roman" w:eastAsia="方正小标宋_GBK" w:cs="Times New Roman"/>
          <w:b/>
          <w:bCs w:val="0"/>
          <w:color w:val="auto"/>
          <w:sz w:val="44"/>
          <w:szCs w:val="44"/>
          <w:highlight w:val="none"/>
        </w:rPr>
        <w:t>名词解释</w:t>
      </w:r>
      <w:bookmarkEnd w:id="53"/>
      <w:bookmarkEnd w:id="54"/>
    </w:p>
    <w:p w14:paraId="7BA1C23E">
      <w:pPr>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sz w:val="32"/>
          <w:szCs w:val="32"/>
          <w:highlight w:val="none"/>
        </w:rPr>
      </w:pPr>
    </w:p>
    <w:p w14:paraId="6108A273">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1.财政拨款收入：指单位从同级财政部门取得的财政预算资金。</w:t>
      </w:r>
    </w:p>
    <w:p w14:paraId="2EF3EC62">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2.事业收入：指事业单位开展专业业务活动及辅助活动取得的收入。</w:t>
      </w:r>
    </w:p>
    <w:p w14:paraId="3F5B15D5">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3.经营收入：指事业单位在专业业务活动及其辅助活动之外开展非独立核算经营活动取得的收入</w:t>
      </w:r>
      <w:r>
        <w:rPr>
          <w:rFonts w:hint="default" w:ascii="Times New Roman" w:hAnsi="Times New Roman" w:eastAsia="方正仿宋_GBK" w:cs="Times New Roman"/>
          <w:color w:val="auto"/>
          <w:sz w:val="32"/>
          <w:szCs w:val="32"/>
          <w:highlight w:val="none"/>
          <w:lang w:eastAsia="zh-CN"/>
        </w:rPr>
        <w:t>。</w:t>
      </w:r>
    </w:p>
    <w:p w14:paraId="7C57A60D">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4.其他收入：指单位取得的除上述收入以外的各项收入。</w:t>
      </w:r>
    </w:p>
    <w:p w14:paraId="0DDEFC97">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sz w:val="32"/>
          <w:szCs w:val="32"/>
          <w:highlight w:val="none"/>
          <w:u w:val="none"/>
          <w:lang w:eastAsia="zh-CN"/>
        </w:rPr>
        <w:t>使用非财政拨款结余（含专用结余）</w:t>
      </w:r>
      <w:r>
        <w:rPr>
          <w:rFonts w:hint="default" w:ascii="Times New Roman" w:hAnsi="Times New Roman" w:eastAsia="方正仿宋_GBK" w:cs="Times New Roman"/>
          <w:color w:val="auto"/>
          <w:sz w:val="32"/>
          <w:szCs w:val="32"/>
          <w:highlight w:val="none"/>
        </w:rPr>
        <w:t>：指事业单位</w:t>
      </w:r>
      <w:r>
        <w:rPr>
          <w:rFonts w:hint="default" w:ascii="Times New Roman" w:hAnsi="Times New Roman" w:eastAsia="方正仿宋_GBK" w:cs="Times New Roman"/>
          <w:color w:val="auto"/>
          <w:sz w:val="32"/>
          <w:szCs w:val="32"/>
          <w:highlight w:val="none"/>
          <w:lang w:eastAsia="zh-CN"/>
        </w:rPr>
        <w:t>使用以前年度积累的非财政拨款结余弥补当年收支差额的金额。</w:t>
      </w:r>
      <w:r>
        <w:rPr>
          <w:rFonts w:hint="default" w:ascii="Times New Roman" w:hAnsi="Times New Roman" w:eastAsia="方正仿宋_GBK" w:cs="Times New Roman"/>
          <w:color w:val="auto"/>
          <w:sz w:val="32"/>
          <w:szCs w:val="32"/>
          <w:highlight w:val="none"/>
        </w:rPr>
        <w:t xml:space="preserve"> </w:t>
      </w:r>
    </w:p>
    <w:p w14:paraId="3A6CF59F">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6.年初结转和结余：指以前年度尚未完成、结转到本年按有关规定继续使用的资金。 </w:t>
      </w:r>
    </w:p>
    <w:p w14:paraId="56167314">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7.结余分配：指事业单位按照会计制度规定</w:t>
      </w:r>
      <w:r>
        <w:rPr>
          <w:rFonts w:hint="default" w:ascii="Times New Roman" w:hAnsi="Times New Roman" w:eastAsia="方正仿宋_GBK" w:cs="Times New Roman"/>
          <w:color w:val="auto"/>
          <w:sz w:val="32"/>
          <w:szCs w:val="32"/>
          <w:highlight w:val="none"/>
          <w:lang w:eastAsia="zh-CN"/>
        </w:rPr>
        <w:t>缴纳的所得税、提取的专用结余以及转入非财政拨款结余的金额</w:t>
      </w:r>
      <w:r>
        <w:rPr>
          <w:rFonts w:hint="default" w:ascii="Times New Roman" w:hAnsi="Times New Roman" w:eastAsia="方正仿宋_GBK" w:cs="Times New Roman"/>
          <w:color w:val="auto"/>
          <w:sz w:val="32"/>
          <w:szCs w:val="32"/>
          <w:highlight w:val="none"/>
        </w:rPr>
        <w:t>等。</w:t>
      </w:r>
    </w:p>
    <w:p w14:paraId="0CB447A9">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年末结转和结余：指单位按有关规定结转到下年或以后年度继续使用的资金。</w:t>
      </w:r>
    </w:p>
    <w:p w14:paraId="7662AC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.一般公共服务支出（类）社会工作事务（款）行政运行（项）：指行政单位（包括实行公务员管理的事业单位）的基本支出。</w:t>
      </w:r>
    </w:p>
    <w:p w14:paraId="24DC00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.一般公共服务支出（类）社会工作事务（款）</w:t>
      </w:r>
      <w:r>
        <w:rPr>
          <w:rFonts w:hint="default" w:ascii="Times New Roman" w:hAnsi="Times New Roman" w:eastAsia="方正仿宋_GBK" w:cs="Times New Roman"/>
          <w:sz w:val="32"/>
          <w:szCs w:val="32"/>
          <w:highlight w:val="none"/>
          <w:lang w:eastAsia="zh-CN"/>
        </w:rPr>
        <w:t>事业</w:t>
      </w:r>
      <w:r>
        <w:rPr>
          <w:rFonts w:hint="default" w:ascii="Times New Roman" w:hAnsi="Times New Roman" w:eastAsia="方正仿宋_GBK" w:cs="Times New Roman"/>
          <w:sz w:val="32"/>
          <w:szCs w:val="32"/>
          <w:highlight w:val="none"/>
        </w:rPr>
        <w:t>运行（项）：</w:t>
      </w:r>
      <w:r>
        <w:rPr>
          <w:rFonts w:hint="default" w:ascii="Times New Roman" w:hAnsi="Times New Roman" w:eastAsia="方正仿宋_GBK" w:cs="Times New Roman"/>
          <w:sz w:val="32"/>
          <w:szCs w:val="32"/>
          <w:highlight w:val="none"/>
          <w:lang w:eastAsia="zh-CN"/>
        </w:rPr>
        <w:t>反映</w:t>
      </w:r>
      <w:r>
        <w:rPr>
          <w:rFonts w:hint="default" w:ascii="Times New Roman" w:hAnsi="Times New Roman" w:eastAsia="方正仿宋_GBK" w:cs="Times New Roman"/>
          <w:sz w:val="32"/>
          <w:szCs w:val="32"/>
          <w:highlight w:val="none"/>
        </w:rPr>
        <w:t>事业单位的基本支出。</w:t>
      </w:r>
    </w:p>
    <w:p w14:paraId="5DEEF5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.社会保障和就业支出（类）行政事业单位养老支出（款）机关事业单位基本养老保险缴费支出（项）：指机关事业单位实施养老保险制度有单位缴纳的基本养老保险费支出。</w:t>
      </w:r>
    </w:p>
    <w:p w14:paraId="59C40C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.卫生健康支出（类） 行政事业单位医疗支出（款）行政单位医疗（项）：反映财政部门安排的行政单位基本医疗保险缴费经费，未参加医疗保险的行政单位的公费医疗经费，按国家规定享受离休人员、红军老战士待遇人员的医疗经费。</w:t>
      </w:r>
    </w:p>
    <w:p w14:paraId="3D91ACC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.卫生健康支出（类） 行政事业单位医疗支出（款）事业单位医疗（项）：反映财政部门安排的事业单位基本医疗保险缴费经费，未参加医疗保险的事业单位的公费医疗经费，按国家规定享受离休人员待遇的医疗经费。</w:t>
      </w:r>
    </w:p>
    <w:p w14:paraId="4A69D8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.卫生健康支出（类） 行政事业单位医疗支出（款）公务员医疗补助（项）：反映财政部门安排的公务员医疗补助经费。</w:t>
      </w:r>
    </w:p>
    <w:p w14:paraId="3271B7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.卫生健康支出（类） 行政事业单位医疗支出（款）其他行政事业单位医疗支出（项）：反映除上述项目以外的其他用于行政事业单位医疗方面的支出。</w:t>
      </w:r>
    </w:p>
    <w:p w14:paraId="76EF30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16</w:t>
      </w:r>
      <w:r>
        <w:rPr>
          <w:rFonts w:hint="default" w:ascii="Times New Roman" w:hAnsi="Times New Roman" w:eastAsia="方正仿宋_GBK" w:cs="Times New Roman"/>
          <w:sz w:val="32"/>
          <w:szCs w:val="32"/>
          <w:highlight w:val="none"/>
        </w:rPr>
        <w:t>.住房保障支出（类）住房改革支出（款）住房公积金（项）：指行政事业单位按人力资源和社会保障部、财政部规定的基本工资和津贴补贴以及规定比例为职工缴纳的住房公积金。</w:t>
      </w:r>
    </w:p>
    <w:p w14:paraId="30FEE92F">
      <w:pPr>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.基本支出：指为保障机构正常运转、完成日常工作任务而发生的人员支出和公用支出。</w:t>
      </w:r>
    </w:p>
    <w:p w14:paraId="53CF218C">
      <w:pPr>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 xml:space="preserve">.项目支出：指在基本支出之外为完成特定行政任务和事业发展目标所发生的支出。 </w:t>
      </w:r>
    </w:p>
    <w:p w14:paraId="657FD0C4">
      <w:pPr>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.经营支出：指事业单位在专业业务活动及其辅助活动之外开展非独立核算经营活动发生的支出。</w:t>
      </w:r>
    </w:p>
    <w:p w14:paraId="3B766A35">
      <w:pPr>
        <w:pStyle w:val="29"/>
        <w:pageBreakBefore w:val="0"/>
        <w:widowControl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0626C4">
      <w:pPr>
        <w:pStyle w:val="29"/>
        <w:pageBreakBefore w:val="0"/>
        <w:widowControl w:val="0"/>
        <w:kinsoku/>
        <w:wordWrap/>
        <w:overflowPunct/>
        <w:topLinePunct w:val="0"/>
        <w:bidi w:val="0"/>
        <w:spacing w:line="240" w:lineRule="auto"/>
        <w:ind w:firstLine="640" w:firstLineChars="200"/>
        <w:textAlignment w:val="auto"/>
        <w:rPr>
          <w:rFonts w:hint="eastAsia" w:eastAsia="方正小标宋_GBK" w:cs="Times New Roman"/>
          <w:b/>
          <w:bCs w:val="0"/>
          <w:color w:val="auto"/>
          <w:sz w:val="44"/>
          <w:szCs w:val="44"/>
          <w:highlight w:val="none"/>
          <w:lang w:val="en-US" w:eastAsia="zh-CN"/>
        </w:rPr>
      </w:pP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5" w:name="_Toc15396614"/>
      <w:bookmarkStart w:id="56" w:name="_Toc15377226"/>
    </w:p>
    <w:bookmarkEnd w:id="55"/>
    <w:p w14:paraId="76685EFF">
      <w:pPr>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Times New Roman" w:hAnsi="Times New Roman" w:cs="Times New Roman"/>
          <w:highlight w:val="none"/>
          <w:lang w:val="en-US" w:eastAsia="zh-CN"/>
        </w:rPr>
      </w:pPr>
    </w:p>
    <w:p w14:paraId="7DE25483">
      <w:pPr>
        <w:pStyle w:val="2"/>
        <w:rPr>
          <w:rFonts w:hint="default"/>
          <w:lang w:val="en-US" w:eastAsia="zh-CN"/>
        </w:rPr>
      </w:pPr>
    </w:p>
    <w:p w14:paraId="0D14C1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eastAsia="方正小标宋_GBK" w:cs="Times New Roman"/>
          <w:b/>
          <w:bCs/>
          <w:kern w:val="52"/>
          <w:sz w:val="44"/>
          <w:szCs w:val="44"/>
          <w:highlight w:val="none"/>
          <w:lang w:val="en-US" w:eastAsia="zh-CN"/>
        </w:rPr>
      </w:pPr>
      <w:r>
        <w:rPr>
          <w:rFonts w:hint="eastAsia" w:ascii="Times New Roman" w:hAnsi="Times New Roman" w:eastAsia="方正小标宋_GBK" w:cs="Times New Roman"/>
          <w:b/>
          <w:bCs/>
          <w:kern w:val="52"/>
          <w:sz w:val="44"/>
          <w:szCs w:val="44"/>
          <w:lang w:val="en-US" w:eastAsia="zh-CN" w:bidi="ar-SA"/>
        </w:rPr>
        <w:t>第</w:t>
      </w:r>
      <w:r>
        <w:rPr>
          <w:rFonts w:hint="eastAsia" w:eastAsia="方正小标宋_GBK" w:cs="Times New Roman"/>
          <w:b/>
          <w:bCs/>
          <w:kern w:val="52"/>
          <w:sz w:val="44"/>
          <w:szCs w:val="44"/>
          <w:lang w:val="en-US" w:eastAsia="zh-CN" w:bidi="ar-SA"/>
        </w:rPr>
        <w:t>四</w:t>
      </w:r>
      <w:r>
        <w:rPr>
          <w:rFonts w:hint="eastAsia" w:ascii="Times New Roman" w:hAnsi="Times New Roman" w:eastAsia="方正小标宋_GBK" w:cs="Times New Roman"/>
          <w:b/>
          <w:bCs/>
          <w:kern w:val="52"/>
          <w:sz w:val="44"/>
          <w:szCs w:val="44"/>
          <w:lang w:val="en-US" w:eastAsia="zh-CN" w:bidi="ar-SA"/>
        </w:rPr>
        <w:t>部分</w:t>
      </w:r>
      <w:r>
        <w:rPr>
          <w:rFonts w:hint="eastAsia" w:eastAsia="方正小标宋_GBK" w:cs="Times New Roman"/>
          <w:b/>
          <w:bCs/>
          <w:kern w:val="52"/>
          <w:sz w:val="44"/>
          <w:szCs w:val="44"/>
          <w:highlight w:val="none"/>
          <w:lang w:val="en-US" w:eastAsia="zh-CN"/>
        </w:rPr>
        <w:t xml:space="preserve"> 附件</w:t>
      </w:r>
    </w:p>
    <w:p w14:paraId="0C8EC84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_GBK" w:cs="Times New Roman"/>
          <w:b/>
          <w:bCs/>
          <w:kern w:val="52"/>
          <w:sz w:val="44"/>
          <w:szCs w:val="44"/>
          <w:highlight w:val="none"/>
          <w:lang w:eastAsia="zh-CN"/>
        </w:rPr>
      </w:pPr>
      <w:r>
        <w:rPr>
          <w:rFonts w:hint="default" w:ascii="Times New Roman" w:hAnsi="Times New Roman" w:eastAsia="方正小标宋_GBK" w:cs="Times New Roman"/>
          <w:b/>
          <w:bCs/>
          <w:kern w:val="52"/>
          <w:sz w:val="44"/>
          <w:szCs w:val="44"/>
          <w:highlight w:val="none"/>
          <w:lang w:eastAsia="zh-CN"/>
        </w:rPr>
        <w:t>中共攀枝花市西区区委社会工作部</w:t>
      </w:r>
    </w:p>
    <w:p w14:paraId="6252D2C1">
      <w:pPr>
        <w:keepNext w:val="0"/>
        <w:keepLines w:val="0"/>
        <w:pageBreakBefore w:val="0"/>
        <w:widowControl w:val="0"/>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eastAsia="方正小标宋_GBK" w:cs="Times New Roman"/>
          <w:b/>
          <w:bCs/>
          <w:kern w:val="52"/>
          <w:sz w:val="44"/>
          <w:szCs w:val="44"/>
          <w:highlight w:val="none"/>
          <w:shd w:val="clear" w:color="auto" w:fill="FFFFFF"/>
        </w:rPr>
      </w:pPr>
      <w:r>
        <w:rPr>
          <w:rFonts w:hint="default" w:ascii="Times New Roman" w:hAnsi="Times New Roman" w:eastAsia="方正小标宋_GBK" w:cs="Times New Roman"/>
          <w:b/>
          <w:bCs/>
          <w:kern w:val="52"/>
          <w:sz w:val="44"/>
          <w:szCs w:val="44"/>
          <w:highlight w:val="none"/>
          <w:shd w:val="clear" w:color="auto" w:fill="FFFFFF"/>
          <w:lang w:val="en-US" w:eastAsia="zh-CN"/>
        </w:rPr>
        <w:t>2024年</w:t>
      </w:r>
      <w:r>
        <w:rPr>
          <w:rFonts w:hint="default" w:ascii="Times New Roman" w:hAnsi="Times New Roman" w:eastAsia="方正小标宋_GBK" w:cs="Times New Roman"/>
          <w:b/>
          <w:bCs/>
          <w:kern w:val="52"/>
          <w:sz w:val="44"/>
          <w:szCs w:val="44"/>
          <w:highlight w:val="none"/>
          <w:shd w:val="clear" w:color="auto" w:fill="FFFFFF"/>
        </w:rPr>
        <w:t>部门预算绩效</w:t>
      </w:r>
      <w:r>
        <w:rPr>
          <w:rFonts w:hint="eastAsia" w:eastAsia="方正小标宋_GBK" w:cs="Times New Roman"/>
          <w:b/>
          <w:bCs/>
          <w:kern w:val="52"/>
          <w:sz w:val="44"/>
          <w:szCs w:val="44"/>
          <w:highlight w:val="none"/>
          <w:shd w:val="clear" w:color="auto" w:fill="FFFFFF"/>
          <w:lang w:eastAsia="zh-CN"/>
        </w:rPr>
        <w:t>评价</w:t>
      </w:r>
      <w:r>
        <w:rPr>
          <w:rFonts w:hint="default" w:ascii="Times New Roman" w:hAnsi="Times New Roman" w:eastAsia="方正小标宋_GBK" w:cs="Times New Roman"/>
          <w:b/>
          <w:bCs/>
          <w:kern w:val="52"/>
          <w:sz w:val="44"/>
          <w:szCs w:val="44"/>
          <w:highlight w:val="none"/>
          <w:shd w:val="clear" w:color="auto" w:fill="FFFFFF"/>
        </w:rPr>
        <w:t>报告</w:t>
      </w:r>
    </w:p>
    <w:p w14:paraId="72F5A470">
      <w:pPr>
        <w:pStyle w:val="2"/>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highlight w:val="none"/>
        </w:rPr>
      </w:pPr>
    </w:p>
    <w:p w14:paraId="18FCC8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一、部门（单位）基本情况</w:t>
      </w:r>
    </w:p>
    <w:p w14:paraId="0BB303A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（一）机构组成。</w:t>
      </w:r>
      <w:r>
        <w:rPr>
          <w:rFonts w:hint="default" w:ascii="Times New Roman" w:hAnsi="Times New Roman" w:eastAsia="方正仿宋_GBK" w:cs="Times New Roman"/>
          <w:sz w:val="32"/>
          <w:szCs w:val="32"/>
          <w:highlight w:val="none"/>
          <w:lang w:eastAsia="zh-CN"/>
        </w:rPr>
        <w:t>区委社会工作部内设办公室、一股、二股内设机构。区委社会工作部所属事业单位</w:t>
      </w:r>
      <w:r>
        <w:rPr>
          <w:rFonts w:hint="default" w:ascii="Times New Roman" w:hAnsi="Times New Roman" w:eastAsia="方正仿宋_GBK" w:cs="Times New Roman"/>
          <w:sz w:val="32"/>
          <w:szCs w:val="32"/>
          <w:highlight w:val="none"/>
          <w:lang w:val="en-US" w:eastAsia="zh-CN"/>
        </w:rPr>
        <w:t>1个，为</w:t>
      </w:r>
      <w:r>
        <w:rPr>
          <w:rFonts w:hint="default" w:ascii="Times New Roman" w:hAnsi="Times New Roman" w:eastAsia="方正仿宋_GBK" w:cs="Times New Roman"/>
          <w:sz w:val="32"/>
          <w:szCs w:val="32"/>
          <w:highlight w:val="none"/>
          <w:lang w:eastAsia="zh-CN"/>
        </w:rPr>
        <w:t>攀枝花市西区社会工作服务中心，中心未独立核算。</w:t>
      </w:r>
    </w:p>
    <w:p w14:paraId="049F0A9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（二）机构职能。</w:t>
      </w:r>
      <w:r>
        <w:rPr>
          <w:rFonts w:hint="default" w:ascii="Times New Roman" w:hAnsi="Times New Roman" w:eastAsia="方正仿宋_GBK" w:cs="Times New Roman"/>
          <w:sz w:val="32"/>
          <w:szCs w:val="32"/>
          <w:highlight w:val="none"/>
          <w:lang w:eastAsia="zh-CN"/>
        </w:rPr>
        <w:t>区委社会工作部职责和功能。</w:t>
      </w:r>
    </w:p>
    <w:p w14:paraId="39C373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zh-CN" w:eastAsia="zh-CN"/>
        </w:rPr>
        <w:t>研究相关理论、政策和规划，拟订相关地方性规范性文件并组织实施。深入调查研究，及时向区委报告工作情况并提出建议。</w:t>
      </w:r>
    </w:p>
    <w:p w14:paraId="59C8E0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zh-CN" w:eastAsia="zh-CN"/>
        </w:rPr>
        <w:t>统筹指导全区群众利益协调、诉求表达、矛盾调处、权益保障等人民信访工作，协调解决人民群众急难愁盼的重大问题。指导人民建议征集工作，负责征集、办理公民、法人和其他组织提出的意见建议，向区委、区政府及时反映公民、法人和其他组织对党和国家事业发展提出的重要意见建议。</w:t>
      </w:r>
    </w:p>
    <w:p w14:paraId="2EB3BA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zh-CN" w:eastAsia="zh-CN"/>
        </w:rPr>
        <w:t>统筹推进党建引领基层治理和基层政权建设，协调推进城乡社区治理体系、服务体系和治理能力建设，推动基层民主政治建设，指导监督基层群众自治制度的有效实施，健全基层群众自治机制。</w:t>
      </w:r>
    </w:p>
    <w:p w14:paraId="412BD2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指导全区性社会组织党建工作，统一领导全区性行业协会商会党的工作，承办全区性行业协会商会负责人人选的审核。协调推动全区行业协会商会深化改革和转型发展，调查研究相关重大问题。</w:t>
      </w:r>
    </w:p>
    <w:p w14:paraId="7EE2F2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zh-CN" w:eastAsia="zh-CN"/>
        </w:rPr>
        <w:t>指导全区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2FD3FE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zh-CN" w:eastAsia="zh-CN"/>
        </w:rPr>
        <w:t>负责全区志愿服务工作的统筹规划、协调指导、督促检查，指导推动社会工作人才队伍建设、志愿服务人才队伍建设和阵地建设，协调推动社会工作服务体系和志愿服务体系建设。</w:t>
      </w:r>
    </w:p>
    <w:p w14:paraId="6790D6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zh-CN" w:eastAsia="zh-CN"/>
        </w:rPr>
        <w:t>完成区委交办的其他任务。</w:t>
      </w:r>
    </w:p>
    <w:p w14:paraId="03B0521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（三）人员概况。</w:t>
      </w:r>
      <w:r>
        <w:rPr>
          <w:rFonts w:hint="default" w:ascii="Times New Roman" w:hAnsi="Times New Roman" w:eastAsia="方正仿宋_GBK" w:cs="Times New Roman"/>
          <w:sz w:val="32"/>
          <w:szCs w:val="32"/>
          <w:highlight w:val="none"/>
          <w:lang w:eastAsia="zh-CN"/>
        </w:rPr>
        <w:t>截至2024年末，区委社会工作部行政编制</w:t>
      </w:r>
      <w:r>
        <w:rPr>
          <w:rFonts w:hint="default" w:ascii="Times New Roman" w:hAnsi="Times New Roman" w:eastAsia="方正仿宋_GBK" w:cs="Times New Roman"/>
          <w:sz w:val="32"/>
          <w:szCs w:val="32"/>
          <w:highlight w:val="none"/>
          <w:lang w:val="en-US" w:eastAsia="zh-CN"/>
        </w:rPr>
        <w:t>4名，年末实有人数3人。区委社会工作部所属事业单位攀枝花市西区社会工作服务中心事业编制5名，年末实有人数3人。</w:t>
      </w:r>
    </w:p>
    <w:p w14:paraId="015874FF">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二、部门资金收支情况</w:t>
      </w:r>
    </w:p>
    <w:p w14:paraId="5448EEA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（一）收入情况</w:t>
      </w:r>
    </w:p>
    <w:p w14:paraId="7C77E74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区委社会工作部</w:t>
      </w:r>
      <w:r>
        <w:rPr>
          <w:rFonts w:hint="default" w:ascii="Times New Roman" w:hAnsi="Times New Roman" w:eastAsia="方正仿宋_GBK" w:cs="Times New Roman"/>
          <w:sz w:val="32"/>
          <w:szCs w:val="32"/>
          <w:highlight w:val="none"/>
          <w:lang w:val="zh-CN" w:eastAsia="zh-CN"/>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年</w:t>
      </w:r>
      <w:r>
        <w:rPr>
          <w:rFonts w:hint="eastAsia" w:eastAsia="方正仿宋_GBK" w:cs="Times New Roman"/>
          <w:sz w:val="32"/>
          <w:szCs w:val="32"/>
          <w:highlight w:val="none"/>
          <w:lang w:val="zh-CN" w:eastAsia="zh-CN"/>
        </w:rPr>
        <w:t>决算报表</w:t>
      </w:r>
      <w:r>
        <w:rPr>
          <w:rFonts w:hint="default" w:ascii="Times New Roman" w:hAnsi="Times New Roman" w:eastAsia="方正仿宋_GBK" w:cs="Times New Roman"/>
          <w:sz w:val="32"/>
          <w:szCs w:val="32"/>
          <w:highlight w:val="none"/>
          <w:lang w:val="zh-CN" w:eastAsia="zh-CN"/>
        </w:rPr>
        <w:t>收入</w:t>
      </w:r>
      <w:r>
        <w:rPr>
          <w:rFonts w:hint="eastAsia" w:eastAsia="方正仿宋_GBK" w:cs="Times New Roman"/>
          <w:sz w:val="32"/>
          <w:szCs w:val="32"/>
          <w:highlight w:val="none"/>
          <w:lang w:val="zh-CN" w:eastAsia="zh-CN"/>
        </w:rPr>
        <w:t>为</w:t>
      </w:r>
      <w:r>
        <w:rPr>
          <w:rFonts w:hint="eastAsia" w:eastAsia="方正仿宋_GBK" w:cs="Times New Roman"/>
          <w:sz w:val="32"/>
          <w:szCs w:val="32"/>
          <w:highlight w:val="none"/>
          <w:lang w:val="en-US" w:eastAsia="zh-CN"/>
        </w:rPr>
        <w:t>72</w:t>
      </w:r>
      <w:r>
        <w:rPr>
          <w:rFonts w:hint="default" w:ascii="Times New Roman" w:hAnsi="Times New Roman" w:eastAsia="方正仿宋_GBK" w:cs="Times New Roman"/>
          <w:sz w:val="32"/>
          <w:szCs w:val="32"/>
          <w:highlight w:val="none"/>
          <w:lang w:val="en-US" w:eastAsia="zh-CN"/>
        </w:rPr>
        <w:t>.08</w:t>
      </w:r>
      <w:r>
        <w:rPr>
          <w:rFonts w:hint="default" w:ascii="Times New Roman" w:hAnsi="Times New Roman" w:eastAsia="方正仿宋_GBK" w:cs="Times New Roman"/>
          <w:sz w:val="32"/>
          <w:szCs w:val="32"/>
          <w:highlight w:val="none"/>
          <w:lang w:val="zh-CN" w:eastAsia="zh-CN"/>
        </w:rPr>
        <w:t>万元，其中：一般公共预算拨款收入</w:t>
      </w:r>
      <w:r>
        <w:rPr>
          <w:rFonts w:hint="eastAsia" w:eastAsia="方正仿宋_GBK" w:cs="Times New Roman"/>
          <w:sz w:val="32"/>
          <w:szCs w:val="32"/>
          <w:highlight w:val="none"/>
          <w:lang w:val="en-US" w:eastAsia="zh-CN"/>
        </w:rPr>
        <w:t>59</w:t>
      </w:r>
      <w:r>
        <w:rPr>
          <w:rFonts w:hint="default" w:ascii="Times New Roman" w:hAnsi="Times New Roman" w:eastAsia="方正仿宋_GBK" w:cs="Times New Roman"/>
          <w:sz w:val="32"/>
          <w:szCs w:val="32"/>
          <w:highlight w:val="none"/>
          <w:lang w:val="en-US" w:eastAsia="zh-CN"/>
        </w:rPr>
        <w:t>.08</w:t>
      </w:r>
      <w:r>
        <w:rPr>
          <w:rFonts w:hint="default" w:ascii="Times New Roman" w:hAnsi="Times New Roman" w:eastAsia="方正仿宋_GBK" w:cs="Times New Roman"/>
          <w:sz w:val="32"/>
          <w:szCs w:val="32"/>
          <w:highlight w:val="none"/>
          <w:lang w:val="zh-CN" w:eastAsia="zh-CN"/>
        </w:rPr>
        <w:t>万元，</w:t>
      </w:r>
      <w:r>
        <w:rPr>
          <w:rFonts w:hint="eastAsia" w:eastAsia="方正仿宋_GBK" w:cs="Times New Roman"/>
          <w:sz w:val="32"/>
          <w:szCs w:val="32"/>
          <w:highlight w:val="none"/>
          <w:lang w:val="zh-CN" w:eastAsia="zh-CN"/>
        </w:rPr>
        <w:t>年初结转和结余</w:t>
      </w:r>
      <w:r>
        <w:rPr>
          <w:rFonts w:hint="eastAsia" w:eastAsia="方正仿宋_GBK" w:cs="Times New Roman"/>
          <w:sz w:val="32"/>
          <w:szCs w:val="32"/>
          <w:highlight w:val="none"/>
          <w:lang w:val="en-US" w:eastAsia="zh-CN"/>
        </w:rPr>
        <w:t>13万元</w:t>
      </w:r>
      <w:r>
        <w:rPr>
          <w:rFonts w:hint="default" w:ascii="Times New Roman" w:hAnsi="Times New Roman" w:eastAsia="方正仿宋_GBK" w:cs="Times New Roman"/>
          <w:sz w:val="32"/>
          <w:szCs w:val="32"/>
          <w:highlight w:val="none"/>
          <w:lang w:val="zh-CN" w:eastAsia="zh-CN"/>
        </w:rPr>
        <w:t>。</w:t>
      </w:r>
    </w:p>
    <w:p w14:paraId="7804AF5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（二）支出情况</w:t>
      </w:r>
    </w:p>
    <w:p w14:paraId="01493AB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区委社会工作部</w:t>
      </w:r>
      <w:r>
        <w:rPr>
          <w:rFonts w:hint="default" w:ascii="Times New Roman" w:hAnsi="Times New Roman" w:eastAsia="方正仿宋_GBK" w:cs="Times New Roman"/>
          <w:sz w:val="32"/>
          <w:szCs w:val="32"/>
          <w:highlight w:val="none"/>
          <w:lang w:val="zh-CN" w:eastAsia="zh-CN"/>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年</w:t>
      </w:r>
      <w:r>
        <w:rPr>
          <w:rFonts w:hint="eastAsia" w:eastAsia="方正仿宋_GBK" w:cs="Times New Roman"/>
          <w:sz w:val="32"/>
          <w:szCs w:val="32"/>
          <w:highlight w:val="none"/>
          <w:lang w:val="zh-CN" w:eastAsia="zh-CN"/>
        </w:rPr>
        <w:t>决算报表</w:t>
      </w:r>
      <w:r>
        <w:rPr>
          <w:rFonts w:hint="default" w:ascii="Times New Roman" w:hAnsi="Times New Roman" w:eastAsia="方正仿宋_GBK" w:cs="Times New Roman"/>
          <w:sz w:val="32"/>
          <w:szCs w:val="32"/>
          <w:highlight w:val="none"/>
          <w:lang w:val="zh-CN" w:eastAsia="zh-CN"/>
        </w:rPr>
        <w:t>支出</w:t>
      </w:r>
      <w:r>
        <w:rPr>
          <w:rFonts w:hint="default" w:ascii="Times New Roman" w:hAnsi="Times New Roman" w:eastAsia="方正仿宋_GBK" w:cs="Times New Roman"/>
          <w:sz w:val="32"/>
          <w:szCs w:val="32"/>
          <w:highlight w:val="none"/>
          <w:lang w:val="en-US" w:eastAsia="zh-CN"/>
        </w:rPr>
        <w:t>72.08</w:t>
      </w:r>
      <w:r>
        <w:rPr>
          <w:rFonts w:hint="default" w:ascii="Times New Roman" w:hAnsi="Times New Roman" w:eastAsia="方正仿宋_GBK" w:cs="Times New Roman"/>
          <w:sz w:val="32"/>
          <w:szCs w:val="32"/>
          <w:highlight w:val="none"/>
          <w:lang w:val="zh-CN" w:eastAsia="zh-CN"/>
        </w:rPr>
        <w:t>万元，其中：基本支出</w:t>
      </w:r>
      <w:r>
        <w:rPr>
          <w:rFonts w:hint="default" w:ascii="Times New Roman" w:hAnsi="Times New Roman" w:eastAsia="方正仿宋_GBK" w:cs="Times New Roman"/>
          <w:sz w:val="32"/>
          <w:szCs w:val="32"/>
          <w:highlight w:val="none"/>
          <w:lang w:val="en-US" w:eastAsia="zh-CN"/>
        </w:rPr>
        <w:t>59.08</w:t>
      </w:r>
      <w:r>
        <w:rPr>
          <w:rFonts w:hint="default" w:ascii="Times New Roman" w:hAnsi="Times New Roman" w:eastAsia="方正仿宋_GBK" w:cs="Times New Roman"/>
          <w:sz w:val="32"/>
          <w:szCs w:val="32"/>
          <w:highlight w:val="none"/>
          <w:lang w:val="zh-CN" w:eastAsia="zh-CN"/>
        </w:rPr>
        <w:t>万元（人员经费</w:t>
      </w:r>
      <w:r>
        <w:rPr>
          <w:rFonts w:hint="default" w:ascii="Times New Roman" w:hAnsi="Times New Roman" w:eastAsia="方正仿宋_GBK" w:cs="Times New Roman"/>
          <w:sz w:val="32"/>
          <w:szCs w:val="32"/>
          <w:highlight w:val="none"/>
          <w:lang w:val="en-US" w:eastAsia="zh-CN"/>
        </w:rPr>
        <w:t>57.80</w:t>
      </w:r>
      <w:r>
        <w:rPr>
          <w:rFonts w:hint="default" w:ascii="Times New Roman" w:hAnsi="Times New Roman" w:eastAsia="方正仿宋_GBK" w:cs="Times New Roman"/>
          <w:sz w:val="32"/>
          <w:szCs w:val="32"/>
          <w:highlight w:val="none"/>
          <w:lang w:val="zh-CN" w:eastAsia="zh-CN"/>
        </w:rPr>
        <w:t>万元，公用经费</w:t>
      </w:r>
      <w:r>
        <w:rPr>
          <w:rFonts w:hint="default" w:ascii="Times New Roman" w:hAnsi="Times New Roman" w:eastAsia="方正仿宋_GBK" w:cs="Times New Roman"/>
          <w:sz w:val="32"/>
          <w:szCs w:val="32"/>
          <w:highlight w:val="none"/>
          <w:lang w:val="en-US" w:eastAsia="zh-CN"/>
        </w:rPr>
        <w:t>1.28</w:t>
      </w:r>
      <w:r>
        <w:rPr>
          <w:rFonts w:hint="default" w:ascii="Times New Roman" w:hAnsi="Times New Roman" w:eastAsia="方正仿宋_GBK" w:cs="Times New Roman"/>
          <w:sz w:val="32"/>
          <w:szCs w:val="32"/>
          <w:highlight w:val="none"/>
          <w:lang w:val="zh-CN" w:eastAsia="zh-CN"/>
        </w:rPr>
        <w:t>万元）；项目经费支出</w:t>
      </w:r>
      <w:r>
        <w:rPr>
          <w:rFonts w:hint="default" w:ascii="Times New Roman" w:hAnsi="Times New Roman" w:eastAsia="方正仿宋_GBK" w:cs="Times New Roman"/>
          <w:sz w:val="32"/>
          <w:szCs w:val="32"/>
          <w:highlight w:val="none"/>
          <w:lang w:val="en-US" w:eastAsia="zh-CN"/>
        </w:rPr>
        <w:t>13.00</w:t>
      </w:r>
      <w:r>
        <w:rPr>
          <w:rFonts w:hint="default" w:ascii="Times New Roman" w:hAnsi="Times New Roman" w:eastAsia="方正仿宋_GBK" w:cs="Times New Roman"/>
          <w:sz w:val="32"/>
          <w:szCs w:val="32"/>
          <w:highlight w:val="none"/>
          <w:lang w:val="zh-CN" w:eastAsia="zh-CN"/>
        </w:rPr>
        <w:t>万元。</w:t>
      </w:r>
    </w:p>
    <w:p w14:paraId="0015C4C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（三）结余分配和结转结余情况</w:t>
      </w:r>
    </w:p>
    <w:p w14:paraId="05F53A7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区委社会工作部2024年决算报表结转结余</w:t>
      </w:r>
      <w:r>
        <w:rPr>
          <w:rFonts w:hint="eastAsia" w:eastAsia="方正仿宋_GBK" w:cs="Times New Roman"/>
          <w:sz w:val="32"/>
          <w:szCs w:val="32"/>
          <w:highlight w:val="none"/>
          <w:lang w:val="zh-CN" w:eastAsia="zh-CN"/>
        </w:rPr>
        <w:t>情况：无</w:t>
      </w:r>
      <w:r>
        <w:rPr>
          <w:rFonts w:hint="default" w:ascii="Times New Roman" w:hAnsi="Times New Roman" w:eastAsia="方正仿宋_GBK" w:cs="Times New Roman"/>
          <w:sz w:val="32"/>
          <w:szCs w:val="32"/>
          <w:highlight w:val="none"/>
          <w:lang w:val="zh-CN" w:eastAsia="zh-CN"/>
        </w:rPr>
        <w:t>。</w:t>
      </w:r>
    </w:p>
    <w:p w14:paraId="7C0B61EE">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三、部门预算绩效分析</w:t>
      </w:r>
    </w:p>
    <w:p w14:paraId="1AEC7D6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（一）部门预算总体绩效分析</w:t>
      </w:r>
    </w:p>
    <w:p w14:paraId="6166A6C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1.履职效能</w:t>
      </w:r>
    </w:p>
    <w:p w14:paraId="6814895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2024年我部预算执行，做到支出有预算，预算有绩效，绩效有监督，工作取得了较好的成效，效能得到了提高，取得的主要成效有：</w:t>
      </w:r>
    </w:p>
    <w:p w14:paraId="282AB42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是谋深做实党建引领基层治理和基层政权建设。依托2023年度省级“特色创优”项目，打造了路北社区“服务创新型社区”、景怡社区和金林社区“贴心关爱型社区”、河石坝社区和太平社区“多元共治型社区”以及动力站社区“智慧科技型社区”4个不同类型特色社区。建立激励机制，明确社区专职工作者待遇实行“岗位报酬+绩效报酬”制度，设置“4岗12级”，对87名专职社会工作者岗位等级进行调整。二是聚力破解基层治理“小马拉大车”突出问题。清理规范标志标牌200余块、制度牌子150余块。减少村级证明事项20项，同比减少60%，对30余家市、区两级部门（单位）及其他省、市、区单位或相关企业要求出具的50余项相关证明事项进行梳理，形成不应出具证明事项台账。三是全力确保行业协会商会和“两企三新”党建扩面提质。健全完善区委“两新”工委组织机构，充分整合11个成员单位、6个镇（街道）、6个行业党委（物流、科技、小个专、物业管理、文旅、卫生健康）力量，会商研究重点任务，明确重点工作、细化任务分工，确保“两新”组织党建工作落到实处。四是有效提升志愿服务水平。打造“榴小籽”“木棉花”“五老说和”等特色志愿服务队伍20余支，“爱心妈妈”“雷永·家”等志愿服务项目10个，开展创建文明城市、保障高考中考、共富宣讲、法律服务等志愿服务活动500余场次，充分发挥志愿服务品牌示范引领作用。五是建立《机关工作规则》《“三重一大”事项决策实施办法》等内控制度，有力保障社会工作规范高效有序运行。强化外宣工作，4篇信息在四川党建网、市委《每日要情》登载。</w:t>
      </w:r>
    </w:p>
    <w:p w14:paraId="652CB79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lang w:val="zh-CN" w:eastAsia="zh-CN"/>
        </w:rPr>
        <w:t>预算管理</w:t>
      </w:r>
    </w:p>
    <w:p w14:paraId="03CEB2F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围绕预算编制质量、单位收入统筹、支出执行进度、预算年终结余、严格控制一般性支出进行绩效分析。</w:t>
      </w:r>
    </w:p>
    <w:p w14:paraId="12F647C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3.财务管理</w:t>
      </w:r>
    </w:p>
    <w:p w14:paraId="58B0703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建立健全财务管理制度，涵盖预算管理、收支管理、资产管理等方面，严格制度执行，确保财务工作有章可循；财务岗位分工设置科学，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p>
    <w:p w14:paraId="2D5C1D86">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4.资产管理</w:t>
      </w:r>
    </w:p>
    <w:p w14:paraId="7F9A6F5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高度重视闲置资产管理，建立动态清查机制，定期梳理闲置资产明细，通过内部调剂、共享使用等方式，将闲置设备、办公用品等调配至需求股室。同时，在资产系统内对固定资产及状态及时进行更新，优化资源配置，显著提升资产利用率，有效避免资源浪费，为机关高效运转提供有力保障。</w:t>
      </w:r>
    </w:p>
    <w:p w14:paraId="2044486C">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5.采购管理</w:t>
      </w:r>
    </w:p>
    <w:p w14:paraId="1E867ED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严格按照采购管理文件要求执行，采购前精准预算编制，结合实际需求科学规划；采购中坚持公开透明，严格执行采购程序；采购后加强验收与监督，确保物资质量达标，同时强化档案管理，保障采购全程留痕、规范有序。</w:t>
      </w:r>
    </w:p>
    <w:p w14:paraId="594099D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sz w:val="32"/>
          <w:szCs w:val="32"/>
          <w:highlight w:val="none"/>
          <w:lang w:val="zh-CN" w:eastAsia="zh-CN"/>
        </w:rPr>
      </w:pPr>
      <w:r>
        <w:rPr>
          <w:rFonts w:hint="default" w:ascii="Times New Roman" w:hAnsi="Times New Roman" w:eastAsia="方正楷体_GBK" w:cs="Times New Roman"/>
          <w:b/>
          <w:bCs/>
          <w:sz w:val="32"/>
          <w:szCs w:val="32"/>
          <w:highlight w:val="none"/>
          <w:lang w:val="zh-CN" w:eastAsia="zh-CN"/>
        </w:rPr>
        <w:t>（二）部门预算项目绩效分析</w:t>
      </w:r>
    </w:p>
    <w:p w14:paraId="3334640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常年项目绩效分析。该类项目总数</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zh-CN" w:eastAsia="zh-CN"/>
        </w:rPr>
        <w:t>个，涉及预算总金额</w:t>
      </w:r>
      <w:r>
        <w:rPr>
          <w:rFonts w:hint="eastAsia"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lang w:val="zh-CN" w:eastAsia="zh-CN"/>
        </w:rPr>
        <w:t>万元，1—12月预算执行总体进度为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lang w:val="zh-CN" w:eastAsia="zh-CN"/>
        </w:rPr>
        <w:t>%，其中：预算结余率大于10%的项目共计</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val="zh-CN" w:eastAsia="zh-CN"/>
        </w:rPr>
        <w:t>个。</w:t>
      </w:r>
    </w:p>
    <w:p w14:paraId="4569D8C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1.项目决策</w:t>
      </w:r>
    </w:p>
    <w:p w14:paraId="47823C2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Times New Roman" w:hAnsi="Times New Roman" w:eastAsia="方正仿宋_GBK" w:cs="Times New Roman"/>
          <w:sz w:val="32"/>
          <w:szCs w:val="32"/>
          <w:highlight w:val="none"/>
          <w:lang w:val="en-US" w:eastAsia="zh-CN"/>
        </w:rPr>
        <w:t>决策程序规范</w:t>
      </w:r>
      <w:r>
        <w:rPr>
          <w:rFonts w:hint="eastAsia" w:eastAsia="方正仿宋_GBK" w:cs="Times New Roman"/>
          <w:sz w:val="32"/>
          <w:szCs w:val="32"/>
          <w:highlight w:val="none"/>
          <w:lang w:val="en-US" w:eastAsia="zh-CN"/>
        </w:rPr>
        <w:t>、目标设置合理、项目入库进行绩效分析得当，严格按照“三重一大”决策程序，履行部门职能，设置项目预算金额，经单位与财政相关负责人审核及时入库，并做到事前、事中、事后都有绩效评析。</w:t>
      </w:r>
    </w:p>
    <w:p w14:paraId="45AA428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lang w:val="zh-CN" w:eastAsia="zh-CN"/>
        </w:rPr>
        <w:t>项目执行</w:t>
      </w:r>
    </w:p>
    <w:p w14:paraId="423F961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项目实施期限为202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zh-CN" w:eastAsia="zh-CN"/>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zh-CN" w:eastAsia="zh-CN"/>
        </w:rPr>
        <w:t>月至12月，由</w:t>
      </w:r>
      <w:r>
        <w:rPr>
          <w:rFonts w:hint="default" w:ascii="Times New Roman" w:hAnsi="Times New Roman" w:eastAsia="方正仿宋_GBK" w:cs="Times New Roman"/>
          <w:sz w:val="32"/>
          <w:szCs w:val="32"/>
          <w:highlight w:val="none"/>
          <w:lang w:val="en-US" w:eastAsia="zh-CN"/>
        </w:rPr>
        <w:t>区委社会工作部</w:t>
      </w:r>
      <w:r>
        <w:rPr>
          <w:rFonts w:hint="default" w:ascii="Times New Roman" w:hAnsi="Times New Roman" w:eastAsia="方正仿宋_GBK" w:cs="Times New Roman"/>
          <w:sz w:val="32"/>
          <w:szCs w:val="32"/>
          <w:highlight w:val="none"/>
          <w:lang w:val="zh-CN" w:eastAsia="zh-CN"/>
        </w:rPr>
        <w:t>申报，西区财政局审核批复，主要用于保障协调推进城乡社区治理体系、服务体系和治理能力建设，指导“两企三新”党建工作，推动社会工作人才队伍建设、志愿服务人才队伍建设等各项工作开展，保障</w:t>
      </w:r>
      <w:r>
        <w:rPr>
          <w:rFonts w:hint="default" w:ascii="Times New Roman" w:hAnsi="Times New Roman" w:eastAsia="方正仿宋_GBK" w:cs="Times New Roman"/>
          <w:sz w:val="32"/>
          <w:szCs w:val="32"/>
          <w:highlight w:val="none"/>
          <w:lang w:val="en-US" w:eastAsia="zh-CN"/>
        </w:rPr>
        <w:t>社会工作</w:t>
      </w:r>
      <w:r>
        <w:rPr>
          <w:rFonts w:hint="default" w:ascii="Times New Roman" w:hAnsi="Times New Roman" w:eastAsia="方正仿宋_GBK" w:cs="Times New Roman"/>
          <w:sz w:val="32"/>
          <w:szCs w:val="32"/>
          <w:highlight w:val="none"/>
          <w:lang w:val="zh-CN" w:eastAsia="zh-CN"/>
        </w:rPr>
        <w:t>高质量发展。</w:t>
      </w:r>
    </w:p>
    <w:p w14:paraId="6AF9A60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highlight w:val="none"/>
          <w:lang w:val="zh-CN" w:eastAsia="zh-CN"/>
        </w:rPr>
      </w:pPr>
      <w:r>
        <w:rPr>
          <w:rFonts w:hint="default" w:ascii="Times New Roman" w:hAnsi="Times New Roman" w:eastAsia="方正仿宋_GBK" w:cs="Times New Roman"/>
          <w:b/>
          <w:bCs/>
          <w:sz w:val="32"/>
          <w:szCs w:val="32"/>
          <w:highlight w:val="none"/>
          <w:lang w:val="zh-CN" w:eastAsia="zh-CN"/>
        </w:rPr>
        <w:t>3.目标实现</w:t>
      </w:r>
    </w:p>
    <w:p w14:paraId="03D3306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2024年度</w:t>
      </w:r>
      <w:r>
        <w:rPr>
          <w:rFonts w:hint="eastAsia" w:eastAsia="方正仿宋_GBK" w:cs="Times New Roman"/>
          <w:sz w:val="32"/>
          <w:szCs w:val="32"/>
          <w:highlight w:val="none"/>
          <w:lang w:val="en-US" w:eastAsia="zh-CN"/>
        </w:rPr>
        <w:t>，部门整体目标完成情况良好，绩效评价良好，全年基本支出保证单位的正常运转和日常工作的正常开展，项目支出保障了社会工作的顺利、平稳推进，达到预期的绩效目标。</w:t>
      </w:r>
    </w:p>
    <w:p w14:paraId="0865B4DC">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（三）绩效结果应用情况</w:t>
      </w:r>
    </w:p>
    <w:p w14:paraId="528A268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本单位所有开支均按照财务管理制度执行，资金的使用严格把关，机关的日常工作运行基本得到保障。绩效评价对全年工作目标起到积极的促进作用。强调部门目标的层层分解与传递以明确岗位职责提高执行力，为明年工作开展及实施奠定坚实基础。我单位将绩效自评结果运用到下一年工作的统筹安排、项目资金划拨及按照工作任务的重要性来明确资金使用上，以提高工作效率</w:t>
      </w:r>
      <w:r>
        <w:rPr>
          <w:rFonts w:hint="eastAsia"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zh-CN" w:eastAsia="zh-CN"/>
        </w:rPr>
        <w:t>保质保量完成区委</w:t>
      </w:r>
      <w:r>
        <w:rPr>
          <w:rFonts w:hint="eastAsia"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zh-CN" w:eastAsia="zh-CN"/>
        </w:rPr>
        <w:t>区政府交办的各项工作任务。绩效自评结果在攀枝花市西区人民政府网站政务公开栏目中公开公示。</w:t>
      </w:r>
    </w:p>
    <w:p w14:paraId="49FD16D3">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四、评价结论及建议</w:t>
      </w:r>
    </w:p>
    <w:p w14:paraId="00226373">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rPr>
      </w:pPr>
      <w:r>
        <w:rPr>
          <w:rFonts w:hint="default" w:ascii="Times New Roman" w:hAnsi="Times New Roman" w:eastAsia="方正楷体_GBK" w:cs="Times New Roman"/>
          <w:b/>
          <w:bCs/>
          <w:color w:val="000000"/>
          <w:kern w:val="0"/>
          <w:sz w:val="32"/>
          <w:szCs w:val="32"/>
          <w:highlight w:val="none"/>
          <w:shd w:val="clear" w:color="auto" w:fill="FFFFFF"/>
          <w:lang w:val="zh-CN"/>
        </w:rPr>
        <w:t>（一）评价结论</w:t>
      </w:r>
    </w:p>
    <w:p w14:paraId="4E98D1A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2024年区委社会工作部整体支出绩效自评较科学准确，真实地反映了本单位财政收支情况，较好完成年初绩效目标任务，自评优秀。评价得分100分</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其中总体绩效65分，项目绩效35分。</w:t>
      </w:r>
    </w:p>
    <w:p w14:paraId="2FA78586">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zh-C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（二）存在问题</w:t>
      </w:r>
    </w:p>
    <w:p w14:paraId="4D48D39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zh-CN" w:eastAsia="zh-CN"/>
        </w:rPr>
        <w:t>在资金安排和使用上仍有不可预见性：如在预算执行中，有时会因临时新增重要的工作任务或者人员增加发生新的费用，而年初预算时很难精确测算相关支出，导致预算执行中需要追加经费；</w:t>
      </w:r>
      <w:r>
        <w:rPr>
          <w:rFonts w:hint="default" w:ascii="Times New Roman" w:hAnsi="Times New Roman" w:eastAsia="方正仿宋_GBK" w:cs="Times New Roman"/>
          <w:b/>
          <w:bCs/>
          <w:sz w:val="32"/>
          <w:szCs w:val="32"/>
          <w:highlight w:val="none"/>
          <w:lang w:val="zh-CN" w:eastAsia="zh-CN"/>
        </w:rPr>
        <w:t>二是</w:t>
      </w:r>
      <w:r>
        <w:rPr>
          <w:rFonts w:hint="eastAsia" w:eastAsia="方正仿宋_GBK" w:cs="Times New Roman"/>
          <w:sz w:val="32"/>
          <w:szCs w:val="32"/>
          <w:highlight w:val="none"/>
          <w:lang w:val="zh-CN" w:eastAsia="zh-CN"/>
        </w:rPr>
        <w:t>资产管理有待加强，固定资产管理不够规范</w:t>
      </w:r>
      <w:r>
        <w:rPr>
          <w:rFonts w:hint="default" w:ascii="Times New Roman" w:hAnsi="Times New Roman" w:eastAsia="方正仿宋_GBK" w:cs="Times New Roman"/>
          <w:sz w:val="32"/>
          <w:szCs w:val="32"/>
          <w:highlight w:val="none"/>
          <w:lang w:val="en-US" w:eastAsia="zh-CN"/>
        </w:rPr>
        <w:t>。</w:t>
      </w:r>
    </w:p>
    <w:p w14:paraId="4C553880">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楷体_GBK" w:cs="Times New Roman"/>
          <w:b/>
          <w:bCs/>
          <w:color w:val="000000"/>
          <w:kern w:val="0"/>
          <w:sz w:val="32"/>
          <w:szCs w:val="32"/>
          <w:highlight w:val="none"/>
          <w:shd w:val="clear" w:color="auto" w:fill="FFFFFF"/>
          <w:lang w:val="en" w:eastAsia="zh-CN"/>
        </w:rPr>
      </w:pPr>
      <w:r>
        <w:rPr>
          <w:rFonts w:hint="default" w:ascii="Times New Roman" w:hAnsi="Times New Roman" w:eastAsia="方正楷体_GBK" w:cs="Times New Roman"/>
          <w:b/>
          <w:bCs/>
          <w:color w:val="000000"/>
          <w:kern w:val="0"/>
          <w:sz w:val="32"/>
          <w:szCs w:val="32"/>
          <w:highlight w:val="none"/>
          <w:shd w:val="clear" w:color="auto" w:fill="FFFFFF"/>
          <w:lang w:val="zh-CN"/>
        </w:rPr>
        <w:t>（三）改进建议</w:t>
      </w:r>
      <w:bookmarkStart w:id="57" w:name="_Hlk110546638"/>
    </w:p>
    <w:bookmarkEnd w:id="57"/>
    <w:p w14:paraId="70C5672E">
      <w:pPr>
        <w:pStyle w:val="9"/>
        <w:keepNext w:val="0"/>
        <w:keepLines w:val="0"/>
        <w:pageBreakBefore w:val="0"/>
        <w:widowControl w:val="0"/>
        <w:numPr>
          <w:ilvl w:val="0"/>
          <w:numId w:val="0"/>
        </w:numPr>
        <w:kinsoku/>
        <w:wordWrap/>
        <w:overflowPunct/>
        <w:topLinePunct w:val="0"/>
        <w:autoSpaceDE/>
        <w:autoSpaceDN/>
        <w:bidi w:val="0"/>
        <w:spacing w:after="0" w:line="240" w:lineRule="auto"/>
        <w:ind w:firstLine="643" w:firstLineChars="200"/>
        <w:textAlignment w:val="auto"/>
        <w:rPr>
          <w:rFonts w:hint="default" w:ascii="Times New Roman" w:hAnsi="Times New Roman" w:eastAsia="仿宋_GB2312" w:cs="Times New Roman"/>
          <w:kern w:val="2"/>
          <w:sz w:val="32"/>
          <w:szCs w:val="32"/>
          <w:highlight w:val="none"/>
          <w:u w:val="none"/>
          <w:lang w:val="zh-CN" w:eastAsia="zh-CN" w:bidi="ar"/>
        </w:rPr>
      </w:pPr>
      <w:r>
        <w:rPr>
          <w:rFonts w:hint="eastAsia" w:ascii="Times New Roman" w:eastAsia="方正仿宋_GBK" w:cs="Times New Roman"/>
          <w:b/>
          <w:bCs/>
          <w:sz w:val="32"/>
          <w:szCs w:val="32"/>
          <w:highlight w:val="none"/>
          <w:lang w:val="en-US" w:eastAsia="zh-CN"/>
        </w:rPr>
        <w:t>一是</w:t>
      </w:r>
      <w:r>
        <w:rPr>
          <w:rFonts w:hint="default" w:ascii="Times New Roman" w:hAnsi="Times New Roman" w:eastAsia="方正仿宋_GBK" w:cs="Times New Roman"/>
          <w:sz w:val="32"/>
          <w:szCs w:val="32"/>
          <w:highlight w:val="none"/>
          <w:lang w:val="en-US" w:eastAsia="zh-CN"/>
        </w:rPr>
        <w:t>进一步完善和加强单位内部财务管理制度，加强预算编制的精准性及预算项目的可实施性，加强资金使用动态管理，确保资金使用效益最大化。</w:t>
      </w:r>
      <w:r>
        <w:rPr>
          <w:rFonts w:hint="eastAsia" w:ascii="Times New Roman" w:eastAsia="方正仿宋_GBK" w:cs="Times New Roman"/>
          <w:b/>
          <w:bCs/>
          <w:sz w:val="32"/>
          <w:szCs w:val="32"/>
          <w:highlight w:val="none"/>
          <w:lang w:val="en-US" w:eastAsia="zh-CN"/>
        </w:rPr>
        <w:t>二是</w:t>
      </w:r>
      <w:r>
        <w:rPr>
          <w:rFonts w:hint="eastAsia" w:ascii="Times New Roman" w:eastAsia="方正仿宋_GBK" w:cs="Times New Roman"/>
          <w:sz w:val="32"/>
          <w:szCs w:val="32"/>
          <w:highlight w:val="none"/>
          <w:lang w:val="en-US" w:eastAsia="zh-CN"/>
        </w:rPr>
        <w:t>加强与财政、各业务科室的衔接沟通协调，推进预算项目执行。</w:t>
      </w:r>
      <w:r>
        <w:rPr>
          <w:rFonts w:hint="eastAsia" w:ascii="Times New Roman" w:eastAsia="方正仿宋_GBK" w:cs="Times New Roman"/>
          <w:b/>
          <w:bCs/>
          <w:sz w:val="32"/>
          <w:szCs w:val="32"/>
          <w:highlight w:val="none"/>
          <w:lang w:val="en-US" w:eastAsia="zh-CN"/>
        </w:rPr>
        <w:t>三是</w:t>
      </w:r>
      <w:r>
        <w:rPr>
          <w:rFonts w:hint="eastAsia" w:ascii="Times New Roman" w:eastAsia="方正仿宋_GBK" w:cs="Times New Roman"/>
          <w:sz w:val="32"/>
          <w:szCs w:val="32"/>
          <w:highlight w:val="none"/>
          <w:lang w:val="en-US" w:eastAsia="zh-CN"/>
        </w:rPr>
        <w:t>优化资产管理制度，使</w:t>
      </w:r>
      <w:bookmarkStart w:id="72" w:name="_GoBack"/>
      <w:bookmarkEnd w:id="72"/>
      <w:r>
        <w:rPr>
          <w:rFonts w:hint="eastAsia" w:ascii="Times New Roman" w:eastAsia="方正仿宋_GBK" w:cs="Times New Roman"/>
          <w:sz w:val="32"/>
          <w:szCs w:val="32"/>
          <w:highlight w:val="none"/>
          <w:lang w:val="en-US" w:eastAsia="zh-CN"/>
        </w:rPr>
        <w:t>固定资产达到最佳使用效果。</w:t>
      </w:r>
    </w:p>
    <w:p w14:paraId="4D93625A">
      <w:pPr>
        <w:pStyle w:val="7"/>
        <w:pageBreakBefore w:val="0"/>
        <w:widowControl w:val="0"/>
        <w:kinsoku/>
        <w:wordWrap/>
        <w:overflowPunct/>
        <w:topLinePunct w:val="0"/>
        <w:bidi w:val="0"/>
        <w:spacing w:beforeLines="0" w:line="240" w:lineRule="auto"/>
        <w:textAlignment w:val="auto"/>
        <w:rPr>
          <w:rFonts w:hint="default" w:ascii="Times New Roman" w:hAnsi="Times New Roman" w:cs="Times New Roman"/>
          <w:color w:val="FF0000"/>
          <w:kern w:val="0"/>
          <w:sz w:val="32"/>
          <w:szCs w:val="32"/>
          <w:highlight w:val="none"/>
          <w:shd w:val="clear" w:color="auto" w:fill="FFFFFF"/>
          <w:lang w:val="zh-CN"/>
        </w:rPr>
      </w:pPr>
    </w:p>
    <w:p w14:paraId="278059C6">
      <w:pPr>
        <w:pageBreakBefore w:val="0"/>
        <w:widowControl w:val="0"/>
        <w:kinsoku/>
        <w:wordWrap/>
        <w:overflowPunct/>
        <w:topLinePunct w:val="0"/>
        <w:bidi w:val="0"/>
        <w:spacing w:line="240" w:lineRule="auto"/>
        <w:textAlignment w:val="auto"/>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65A5D9DD">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color w:val="auto"/>
          <w:sz w:val="44"/>
          <w:szCs w:val="44"/>
          <w:highlight w:val="none"/>
        </w:rPr>
      </w:pPr>
      <w:bookmarkStart w:id="58" w:name="_Toc15396618"/>
      <w:r>
        <w:rPr>
          <w:rFonts w:hint="default" w:ascii="Times New Roman" w:hAnsi="Times New Roman" w:eastAsia="方正小标宋_GBK" w:cs="Times New Roman"/>
          <w:b/>
          <w:bCs w:val="0"/>
          <w:color w:val="auto"/>
          <w:sz w:val="44"/>
          <w:szCs w:val="44"/>
          <w:highlight w:val="none"/>
        </w:rPr>
        <w:t>第五部分 附表</w:t>
      </w:r>
      <w:bookmarkEnd w:id="56"/>
      <w:bookmarkEnd w:id="58"/>
      <w:bookmarkStart w:id="59" w:name="_Toc15396619"/>
    </w:p>
    <w:p w14:paraId="1C2BAE1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sz w:val="32"/>
          <w:szCs w:val="32"/>
          <w:highlight w:val="none"/>
        </w:rPr>
      </w:pPr>
    </w:p>
    <w:p w14:paraId="002F289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一、收入支出决算总表</w:t>
      </w:r>
      <w:bookmarkEnd w:id="59"/>
    </w:p>
    <w:p w14:paraId="40345ECA">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0" w:name="_Toc15396620"/>
      <w:r>
        <w:rPr>
          <w:rFonts w:hint="default" w:ascii="Times New Roman" w:hAnsi="Times New Roman" w:eastAsia="方正仿宋_GBK" w:cs="Times New Roman"/>
          <w:color w:val="auto"/>
          <w:sz w:val="32"/>
          <w:szCs w:val="32"/>
          <w:highlight w:val="none"/>
        </w:rPr>
        <w:t>二、收入决算表</w:t>
      </w:r>
      <w:bookmarkEnd w:id="60"/>
    </w:p>
    <w:p w14:paraId="30806319">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1" w:name="_Toc15396621"/>
      <w:r>
        <w:rPr>
          <w:rFonts w:hint="default" w:ascii="Times New Roman" w:hAnsi="Times New Roman" w:eastAsia="方正仿宋_GBK" w:cs="Times New Roman"/>
          <w:color w:val="auto"/>
          <w:sz w:val="32"/>
          <w:szCs w:val="32"/>
          <w:highlight w:val="none"/>
        </w:rPr>
        <w:t>三、支出决算表</w:t>
      </w:r>
      <w:bookmarkEnd w:id="61"/>
    </w:p>
    <w:p w14:paraId="7960B733">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2" w:name="_Toc15396622"/>
      <w:r>
        <w:rPr>
          <w:rFonts w:hint="default" w:ascii="Times New Roman" w:hAnsi="Times New Roman" w:eastAsia="方正仿宋_GBK" w:cs="Times New Roman"/>
          <w:color w:val="auto"/>
          <w:sz w:val="32"/>
          <w:szCs w:val="32"/>
          <w:highlight w:val="none"/>
        </w:rPr>
        <w:t>四、财政拨款收入支出决算总表</w:t>
      </w:r>
      <w:bookmarkEnd w:id="62"/>
    </w:p>
    <w:p w14:paraId="4FA5F3B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3" w:name="_Toc15396623"/>
      <w:r>
        <w:rPr>
          <w:rFonts w:hint="default" w:ascii="Times New Roman" w:hAnsi="Times New Roman" w:eastAsia="方正仿宋_GBK" w:cs="Times New Roman"/>
          <w:color w:val="auto"/>
          <w:sz w:val="32"/>
          <w:szCs w:val="32"/>
          <w:highlight w:val="none"/>
        </w:rPr>
        <w:t>五、财政拨款支出决算明细表</w:t>
      </w:r>
      <w:bookmarkEnd w:id="63"/>
      <w:bookmarkStart w:id="64" w:name="_Toc15396624"/>
    </w:p>
    <w:p w14:paraId="4D4135ED">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bookmarkEnd w:id="64"/>
    </w:p>
    <w:p w14:paraId="6768E73C">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5" w:name="_Toc15396625"/>
      <w:r>
        <w:rPr>
          <w:rFonts w:hint="default" w:ascii="Times New Roman" w:hAnsi="Times New Roman" w:eastAsia="方正仿宋_GBK" w:cs="Times New Roman"/>
          <w:color w:val="auto"/>
          <w:sz w:val="32"/>
          <w:szCs w:val="32"/>
          <w:highlight w:val="none"/>
        </w:rPr>
        <w:t>七、一般公共预算财政拨款支出决算明细表</w:t>
      </w:r>
      <w:bookmarkEnd w:id="65"/>
    </w:p>
    <w:p w14:paraId="5CE513DF">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6" w:name="_Toc15396626"/>
      <w:r>
        <w:rPr>
          <w:rFonts w:hint="default" w:ascii="Times New Roman" w:hAnsi="Times New Roman" w:eastAsia="方正仿宋_GBK" w:cs="Times New Roman"/>
          <w:color w:val="auto"/>
          <w:sz w:val="32"/>
          <w:szCs w:val="32"/>
          <w:highlight w:val="none"/>
        </w:rPr>
        <w:t>八、一般公共预算财政拨款基本支出决算表</w:t>
      </w:r>
      <w:bookmarkEnd w:id="66"/>
    </w:p>
    <w:p w14:paraId="63C4DD72">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7" w:name="_Toc15396627"/>
      <w:r>
        <w:rPr>
          <w:rFonts w:hint="default" w:ascii="Times New Roman" w:hAnsi="Times New Roman" w:eastAsia="方正仿宋_GBK" w:cs="Times New Roman"/>
          <w:color w:val="auto"/>
          <w:sz w:val="32"/>
          <w:szCs w:val="32"/>
          <w:highlight w:val="none"/>
        </w:rPr>
        <w:t>九、一般公共预算财政拨款项目支出决算表</w:t>
      </w:r>
      <w:bookmarkEnd w:id="67"/>
    </w:p>
    <w:p w14:paraId="23135722">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8" w:name="_Toc15396628"/>
      <w:r>
        <w:rPr>
          <w:rFonts w:hint="default" w:ascii="Times New Roman" w:hAnsi="Times New Roman" w:eastAsia="方正仿宋_GBK" w:cs="Times New Roman"/>
          <w:color w:val="auto"/>
          <w:sz w:val="32"/>
          <w:szCs w:val="32"/>
          <w:highlight w:val="none"/>
        </w:rPr>
        <w:t>十、</w:t>
      </w:r>
      <w:bookmarkEnd w:id="68"/>
      <w:r>
        <w:rPr>
          <w:rFonts w:hint="default" w:ascii="Times New Roman" w:hAnsi="Times New Roman" w:eastAsia="方正仿宋_GBK" w:cs="Times New Roman"/>
          <w:color w:val="auto"/>
          <w:sz w:val="32"/>
          <w:szCs w:val="32"/>
          <w:highlight w:val="none"/>
        </w:rPr>
        <w:t>政府性基金预算财政拨款收入支出决算表</w:t>
      </w:r>
    </w:p>
    <w:p w14:paraId="43768E37">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69" w:name="_Toc15396629"/>
      <w:r>
        <w:rPr>
          <w:rFonts w:hint="default" w:ascii="Times New Roman" w:hAnsi="Times New Roman" w:eastAsia="方正仿宋_GBK" w:cs="Times New Roman"/>
          <w:color w:val="auto"/>
          <w:sz w:val="32"/>
          <w:szCs w:val="32"/>
          <w:highlight w:val="none"/>
        </w:rPr>
        <w:t>十一、</w:t>
      </w:r>
      <w:bookmarkEnd w:id="69"/>
      <w:r>
        <w:rPr>
          <w:rFonts w:hint="default" w:ascii="Times New Roman" w:hAnsi="Times New Roman" w:eastAsia="方正仿宋_GBK" w:cs="Times New Roman"/>
          <w:color w:val="auto"/>
          <w:sz w:val="32"/>
          <w:szCs w:val="32"/>
          <w:highlight w:val="none"/>
        </w:rPr>
        <w:t>国有资本经营预算</w:t>
      </w:r>
      <w:r>
        <w:rPr>
          <w:rFonts w:hint="default" w:ascii="Times New Roman" w:hAnsi="Times New Roman" w:eastAsia="方正仿宋_GBK" w:cs="Times New Roman"/>
          <w:color w:val="auto"/>
          <w:sz w:val="32"/>
          <w:szCs w:val="32"/>
          <w:highlight w:val="none"/>
          <w:lang w:eastAsia="zh-CN"/>
        </w:rPr>
        <w:t>财政拨款收入</w:t>
      </w:r>
      <w:r>
        <w:rPr>
          <w:rFonts w:hint="default" w:ascii="Times New Roman" w:hAnsi="Times New Roman" w:eastAsia="方正仿宋_GBK" w:cs="Times New Roman"/>
          <w:color w:val="auto"/>
          <w:sz w:val="32"/>
          <w:szCs w:val="32"/>
          <w:highlight w:val="none"/>
        </w:rPr>
        <w:t>支出决算表</w:t>
      </w:r>
    </w:p>
    <w:p w14:paraId="74E9771A">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rPr>
      </w:pPr>
      <w:bookmarkStart w:id="70" w:name="_Toc15396630"/>
      <w:r>
        <w:rPr>
          <w:rFonts w:hint="default" w:ascii="Times New Roman" w:hAnsi="Times New Roman" w:eastAsia="方正仿宋_GBK" w:cs="Times New Roman"/>
          <w:color w:val="auto"/>
          <w:sz w:val="32"/>
          <w:szCs w:val="32"/>
          <w:highlight w:val="none"/>
        </w:rPr>
        <w:t>十二、</w:t>
      </w:r>
      <w:bookmarkEnd w:id="70"/>
      <w:r>
        <w:rPr>
          <w:rFonts w:hint="default" w:ascii="Times New Roman" w:hAnsi="Times New Roman" w:eastAsia="方正仿宋_GBK" w:cs="Times New Roman"/>
          <w:color w:val="auto"/>
          <w:sz w:val="32"/>
          <w:szCs w:val="32"/>
          <w:highlight w:val="none"/>
          <w:lang w:eastAsia="zh-CN"/>
        </w:rPr>
        <w:t>国有资本经营预算财政拨款支出决算表</w:t>
      </w:r>
    </w:p>
    <w:p w14:paraId="0D1932CB">
      <w:pPr>
        <w:pStyle w:val="16"/>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auto"/>
          <w:sz w:val="32"/>
          <w:szCs w:val="32"/>
          <w:highlight w:val="none"/>
          <w:lang w:eastAsia="zh-CN"/>
        </w:rPr>
      </w:pPr>
      <w:bookmarkStart w:id="71" w:name="_Toc15396631"/>
      <w:r>
        <w:rPr>
          <w:rFonts w:hint="default" w:ascii="Times New Roman" w:hAnsi="Times New Roman" w:eastAsia="方正仿宋_GBK" w:cs="Times New Roman"/>
          <w:color w:val="auto"/>
          <w:sz w:val="32"/>
          <w:szCs w:val="32"/>
          <w:highlight w:val="none"/>
        </w:rPr>
        <w:t>十三、</w:t>
      </w:r>
      <w:bookmarkEnd w:id="71"/>
      <w:r>
        <w:rPr>
          <w:rFonts w:hint="default" w:ascii="Times New Roman" w:hAnsi="Times New Roman" w:eastAsia="方正仿宋_GBK" w:cs="Times New Roman"/>
          <w:color w:val="auto"/>
          <w:sz w:val="32"/>
          <w:szCs w:val="32"/>
          <w:highlight w:val="none"/>
          <w:lang w:eastAsia="zh-CN"/>
        </w:rPr>
        <w:t>财政拨款“三公”经费支出决算表</w:t>
      </w:r>
    </w:p>
    <w:p w14:paraId="59E85549">
      <w:pPr>
        <w:pStyle w:val="3"/>
        <w:pageBreakBefore w:val="0"/>
        <w:widowControl w:val="0"/>
        <w:kinsoku/>
        <w:wordWrap/>
        <w:overflowPunct/>
        <w:topLinePunct w:val="0"/>
        <w:bidi w:val="0"/>
        <w:spacing w:before="0" w:after="0" w:line="240" w:lineRule="auto"/>
        <w:jc w:val="center"/>
        <w:textAlignment w:val="auto"/>
        <w:rPr>
          <w:rFonts w:hint="default" w:ascii="Times New Roman" w:hAnsi="Times New Roman" w:eastAsia="方正仿宋_GBK" w:cs="Times New Roman"/>
          <w:sz w:val="32"/>
          <w:szCs w:val="32"/>
          <w:highlight w:val="none"/>
          <w:lang w:eastAsia="zh-CN"/>
        </w:rPr>
      </w:pPr>
    </w:p>
    <w:sectPr>
      <w:footerReference r:id="rId9"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Gill Sans MT"/>
    <w:panose1 w:val="020F0502020204030204"/>
    <w:charset w:val="00"/>
    <w:family w:val="swiss"/>
    <w:pitch w:val="default"/>
    <w:sig w:usb0="00000000" w:usb1="00000000" w:usb2="00000001" w:usb3="00000000" w:csb0="0000019F" w:csb1="00000000"/>
  </w:font>
  <w:font w:name="Gill Sans MT">
    <w:panose1 w:val="020B0502020104090203"/>
    <w:charset w:val="00"/>
    <w:family w:val="auto"/>
    <w:pitch w:val="default"/>
    <w:sig w:usb0="00000003" w:usb1="00000000" w:usb2="00000000" w:usb3="00000000" w:csb0="20000003"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B8CE">
    <w:pPr>
      <w:pStyle w:val="12"/>
      <w:jc w:val="center"/>
    </w:pPr>
  </w:p>
  <w:p w14:paraId="0A139758">
    <w:pPr>
      <w:pStyle w:val="12"/>
      <w:rPr>
        <w:rFonts w:hint="eastAsia" w:ascii="方正仿宋_GBK" w:hAnsi="方正仿宋_GBK" w:eastAsia="方正仿宋_GBK" w:cs="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8CB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DED6D">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DED6D">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BF74">
    <w:pPr>
      <w:pStyle w:val="12"/>
      <w:jc w:val="center"/>
    </w:pPr>
  </w:p>
  <w:p w14:paraId="72779004">
    <w:pPr>
      <w:pStyle w:val="12"/>
      <w:rPr>
        <w:rFonts w:hint="eastAsia" w:ascii="方正仿宋_GBK" w:hAnsi="方正仿宋_GBK" w:eastAsia="方正仿宋_GBK" w:cs="方正仿宋_GBK"/>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81FB">
    <w:pPr>
      <w:pStyle w:val="12"/>
      <w:jc w:val="center"/>
    </w:pPr>
  </w:p>
  <w:p w14:paraId="7162BAD4">
    <w:pPr>
      <w:pStyle w:val="12"/>
      <w:rPr>
        <w:rFonts w:hint="eastAsia" w:ascii="方正仿宋_GBK" w:hAnsi="方正仿宋_GBK" w:eastAsia="方正仿宋_GBK" w:cs="方正仿宋_GBK"/>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E737">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D51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E1D51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BDAA97A">
    <w:pPr>
      <w:pStyle w:val="12"/>
      <w:rPr>
        <w:rFonts w:hint="eastAsia" w:ascii="方正仿宋_GBK" w:hAnsi="方正仿宋_GBK" w:eastAsia="方正仿宋_GBK" w:cs="方正仿宋_GBK"/>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D25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F080">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A647CA"/>
    <w:rsid w:val="061E35DE"/>
    <w:rsid w:val="066E0107"/>
    <w:rsid w:val="06EB2968"/>
    <w:rsid w:val="074E2EF7"/>
    <w:rsid w:val="07996F6E"/>
    <w:rsid w:val="07DFD8BA"/>
    <w:rsid w:val="08836BD0"/>
    <w:rsid w:val="09867E8F"/>
    <w:rsid w:val="0A2032A3"/>
    <w:rsid w:val="0AF12517"/>
    <w:rsid w:val="0CA8290A"/>
    <w:rsid w:val="0D35B1ED"/>
    <w:rsid w:val="0D501777"/>
    <w:rsid w:val="0DA90E87"/>
    <w:rsid w:val="0E254B6B"/>
    <w:rsid w:val="0F7D081D"/>
    <w:rsid w:val="0F98263C"/>
    <w:rsid w:val="101860EC"/>
    <w:rsid w:val="101F47CC"/>
    <w:rsid w:val="10C055FF"/>
    <w:rsid w:val="11694EBD"/>
    <w:rsid w:val="11772AA4"/>
    <w:rsid w:val="118107EC"/>
    <w:rsid w:val="120E47CA"/>
    <w:rsid w:val="12E24EE2"/>
    <w:rsid w:val="13A72EEF"/>
    <w:rsid w:val="13D50BC4"/>
    <w:rsid w:val="143E4A1F"/>
    <w:rsid w:val="14B17F78"/>
    <w:rsid w:val="158132D9"/>
    <w:rsid w:val="15FF73B6"/>
    <w:rsid w:val="165E0673"/>
    <w:rsid w:val="16B831D5"/>
    <w:rsid w:val="16BB723D"/>
    <w:rsid w:val="17A828FD"/>
    <w:rsid w:val="17E50567"/>
    <w:rsid w:val="186504BB"/>
    <w:rsid w:val="19A445FC"/>
    <w:rsid w:val="19DF335B"/>
    <w:rsid w:val="1BE8440E"/>
    <w:rsid w:val="1BFD0A25"/>
    <w:rsid w:val="1D155CEE"/>
    <w:rsid w:val="1D1638FE"/>
    <w:rsid w:val="1E312DEB"/>
    <w:rsid w:val="1E451718"/>
    <w:rsid w:val="1E740ACF"/>
    <w:rsid w:val="1F924505"/>
    <w:rsid w:val="1FF35744"/>
    <w:rsid w:val="1FF40485"/>
    <w:rsid w:val="1FF6BC77"/>
    <w:rsid w:val="200F101E"/>
    <w:rsid w:val="20541126"/>
    <w:rsid w:val="21224D81"/>
    <w:rsid w:val="2186353C"/>
    <w:rsid w:val="22F34C27"/>
    <w:rsid w:val="232F19D7"/>
    <w:rsid w:val="234C07DB"/>
    <w:rsid w:val="23860B96"/>
    <w:rsid w:val="23B343B6"/>
    <w:rsid w:val="240371BF"/>
    <w:rsid w:val="24134E54"/>
    <w:rsid w:val="244F3473"/>
    <w:rsid w:val="247C0C4C"/>
    <w:rsid w:val="24C97D99"/>
    <w:rsid w:val="25A718F0"/>
    <w:rsid w:val="25BB59F6"/>
    <w:rsid w:val="260F557C"/>
    <w:rsid w:val="26970054"/>
    <w:rsid w:val="277E9C0D"/>
    <w:rsid w:val="27C65584"/>
    <w:rsid w:val="281408E2"/>
    <w:rsid w:val="29FD04D3"/>
    <w:rsid w:val="2B275DB5"/>
    <w:rsid w:val="2BCA7FF2"/>
    <w:rsid w:val="2BFF7BC6"/>
    <w:rsid w:val="2C8A61B5"/>
    <w:rsid w:val="2DF04E50"/>
    <w:rsid w:val="2E586DFA"/>
    <w:rsid w:val="2EDD6A07"/>
    <w:rsid w:val="2F040D46"/>
    <w:rsid w:val="2F6B035B"/>
    <w:rsid w:val="2FAE5751"/>
    <w:rsid w:val="2FB1A395"/>
    <w:rsid w:val="2FD9A7D8"/>
    <w:rsid w:val="2FDBF714"/>
    <w:rsid w:val="308C0468"/>
    <w:rsid w:val="30AB6865"/>
    <w:rsid w:val="3115220C"/>
    <w:rsid w:val="319F7F4E"/>
    <w:rsid w:val="324F174E"/>
    <w:rsid w:val="327842A0"/>
    <w:rsid w:val="32BD1EF1"/>
    <w:rsid w:val="3304709D"/>
    <w:rsid w:val="33A773CB"/>
    <w:rsid w:val="33ED7470"/>
    <w:rsid w:val="349D6851"/>
    <w:rsid w:val="352B2203"/>
    <w:rsid w:val="35581108"/>
    <w:rsid w:val="35C91255"/>
    <w:rsid w:val="36AA5135"/>
    <w:rsid w:val="36BE0DA7"/>
    <w:rsid w:val="372E3495"/>
    <w:rsid w:val="376B6AA6"/>
    <w:rsid w:val="376D39B2"/>
    <w:rsid w:val="37AB2361"/>
    <w:rsid w:val="37E16F03"/>
    <w:rsid w:val="37F53A3B"/>
    <w:rsid w:val="37FF827E"/>
    <w:rsid w:val="37FFD43D"/>
    <w:rsid w:val="389B6C89"/>
    <w:rsid w:val="38D469F0"/>
    <w:rsid w:val="38DF8B9D"/>
    <w:rsid w:val="394F62F5"/>
    <w:rsid w:val="39627CCD"/>
    <w:rsid w:val="397BAF1F"/>
    <w:rsid w:val="3AB79AF3"/>
    <w:rsid w:val="3AE7F488"/>
    <w:rsid w:val="3AE834C0"/>
    <w:rsid w:val="3AED41D3"/>
    <w:rsid w:val="3B7EF35A"/>
    <w:rsid w:val="3B9FDB6C"/>
    <w:rsid w:val="3BF5BC2F"/>
    <w:rsid w:val="3CDF462D"/>
    <w:rsid w:val="3CEBA265"/>
    <w:rsid w:val="3CFBAF5B"/>
    <w:rsid w:val="3D87412E"/>
    <w:rsid w:val="3D98207C"/>
    <w:rsid w:val="3DEE7CF3"/>
    <w:rsid w:val="3DF404E3"/>
    <w:rsid w:val="3DFF20DD"/>
    <w:rsid w:val="3E740A63"/>
    <w:rsid w:val="3E78745D"/>
    <w:rsid w:val="3EE17838"/>
    <w:rsid w:val="3F3F716E"/>
    <w:rsid w:val="3F4E4F3B"/>
    <w:rsid w:val="3F55381A"/>
    <w:rsid w:val="3F7F7599"/>
    <w:rsid w:val="3F9A4950"/>
    <w:rsid w:val="3FF4CAE0"/>
    <w:rsid w:val="3FF6577C"/>
    <w:rsid w:val="3FF7B227"/>
    <w:rsid w:val="42312A82"/>
    <w:rsid w:val="42FE0D52"/>
    <w:rsid w:val="44E268DA"/>
    <w:rsid w:val="450D13D7"/>
    <w:rsid w:val="45506656"/>
    <w:rsid w:val="4577303D"/>
    <w:rsid w:val="480801AA"/>
    <w:rsid w:val="4836462E"/>
    <w:rsid w:val="486A6C7A"/>
    <w:rsid w:val="49A10689"/>
    <w:rsid w:val="4A627F82"/>
    <w:rsid w:val="4AD3A724"/>
    <w:rsid w:val="4AFF9F62"/>
    <w:rsid w:val="4AFFB977"/>
    <w:rsid w:val="4B0E749A"/>
    <w:rsid w:val="4B1A06F3"/>
    <w:rsid w:val="4B2477C4"/>
    <w:rsid w:val="4B4F25DA"/>
    <w:rsid w:val="4BE068DB"/>
    <w:rsid w:val="4D577224"/>
    <w:rsid w:val="4DBF1CEB"/>
    <w:rsid w:val="4DDE5AAB"/>
    <w:rsid w:val="4DF0007C"/>
    <w:rsid w:val="4EAB630A"/>
    <w:rsid w:val="4ECE2238"/>
    <w:rsid w:val="4EF20227"/>
    <w:rsid w:val="4F833267"/>
    <w:rsid w:val="4F9A0054"/>
    <w:rsid w:val="4FE9BD67"/>
    <w:rsid w:val="4FFB052F"/>
    <w:rsid w:val="534F73A8"/>
    <w:rsid w:val="537E6D0A"/>
    <w:rsid w:val="53F74C96"/>
    <w:rsid w:val="547C41CC"/>
    <w:rsid w:val="55170BA8"/>
    <w:rsid w:val="553218C9"/>
    <w:rsid w:val="567E1AA5"/>
    <w:rsid w:val="56E47B74"/>
    <w:rsid w:val="570C2828"/>
    <w:rsid w:val="57175D52"/>
    <w:rsid w:val="57BD3DD4"/>
    <w:rsid w:val="5816724E"/>
    <w:rsid w:val="5AF7CBC3"/>
    <w:rsid w:val="5AF92295"/>
    <w:rsid w:val="5B250254"/>
    <w:rsid w:val="5B5B3454"/>
    <w:rsid w:val="5B5FB055"/>
    <w:rsid w:val="5BD9FEAA"/>
    <w:rsid w:val="5BDD79E6"/>
    <w:rsid w:val="5BDF9BE1"/>
    <w:rsid w:val="5BF561CA"/>
    <w:rsid w:val="5BFF5DFC"/>
    <w:rsid w:val="5CD71FC4"/>
    <w:rsid w:val="5D1F11B5"/>
    <w:rsid w:val="5D33D9F4"/>
    <w:rsid w:val="5D695134"/>
    <w:rsid w:val="5DAE1B18"/>
    <w:rsid w:val="5DAF1243"/>
    <w:rsid w:val="5DC317E2"/>
    <w:rsid w:val="5DE7D9E5"/>
    <w:rsid w:val="5DFD6EA5"/>
    <w:rsid w:val="5E4BA1BD"/>
    <w:rsid w:val="5ECEC941"/>
    <w:rsid w:val="5F3FEDAA"/>
    <w:rsid w:val="5F9F90CE"/>
    <w:rsid w:val="5FBF83D6"/>
    <w:rsid w:val="5FBF9FF3"/>
    <w:rsid w:val="5FCD4E2C"/>
    <w:rsid w:val="5FDFAD6C"/>
    <w:rsid w:val="5FE24921"/>
    <w:rsid w:val="5FEF394A"/>
    <w:rsid w:val="5FF67715"/>
    <w:rsid w:val="5FFE2B80"/>
    <w:rsid w:val="5FFE3204"/>
    <w:rsid w:val="5FFFF96D"/>
    <w:rsid w:val="62BF3928"/>
    <w:rsid w:val="63B3701E"/>
    <w:rsid w:val="63BF6F5D"/>
    <w:rsid w:val="63EC4A16"/>
    <w:rsid w:val="647F5392"/>
    <w:rsid w:val="64B57E6E"/>
    <w:rsid w:val="65E66580"/>
    <w:rsid w:val="664B1D71"/>
    <w:rsid w:val="664B4E8E"/>
    <w:rsid w:val="67277B67"/>
    <w:rsid w:val="67446DCC"/>
    <w:rsid w:val="67AA3209"/>
    <w:rsid w:val="698D0931"/>
    <w:rsid w:val="69FC2745"/>
    <w:rsid w:val="6A7FE5F3"/>
    <w:rsid w:val="6A844975"/>
    <w:rsid w:val="6B053271"/>
    <w:rsid w:val="6B8B07BD"/>
    <w:rsid w:val="6BDD78B3"/>
    <w:rsid w:val="6C4A05C8"/>
    <w:rsid w:val="6C8742B8"/>
    <w:rsid w:val="6DBF5E93"/>
    <w:rsid w:val="6DFF077E"/>
    <w:rsid w:val="6DFF42F9"/>
    <w:rsid w:val="6E072901"/>
    <w:rsid w:val="6E570F04"/>
    <w:rsid w:val="6E714EF0"/>
    <w:rsid w:val="6E7E3605"/>
    <w:rsid w:val="6E7FDCC7"/>
    <w:rsid w:val="6ED6A62E"/>
    <w:rsid w:val="6EE00B15"/>
    <w:rsid w:val="6F6FB3EB"/>
    <w:rsid w:val="6F79ABFC"/>
    <w:rsid w:val="6F8731EA"/>
    <w:rsid w:val="6FBF2ADF"/>
    <w:rsid w:val="6FCE6052"/>
    <w:rsid w:val="6FD57C00"/>
    <w:rsid w:val="6FEFFFD8"/>
    <w:rsid w:val="6FF5CC65"/>
    <w:rsid w:val="6FFB47EC"/>
    <w:rsid w:val="6FFE9CE2"/>
    <w:rsid w:val="6FFF034A"/>
    <w:rsid w:val="6FFF422A"/>
    <w:rsid w:val="70484440"/>
    <w:rsid w:val="712A28F1"/>
    <w:rsid w:val="715C0E4B"/>
    <w:rsid w:val="71992E7C"/>
    <w:rsid w:val="72233669"/>
    <w:rsid w:val="72734D90"/>
    <w:rsid w:val="73160E6D"/>
    <w:rsid w:val="731B6C1F"/>
    <w:rsid w:val="7332FE48"/>
    <w:rsid w:val="73AB61DA"/>
    <w:rsid w:val="73AD73D5"/>
    <w:rsid w:val="73B6EB34"/>
    <w:rsid w:val="73F7231F"/>
    <w:rsid w:val="73FA497D"/>
    <w:rsid w:val="744731E5"/>
    <w:rsid w:val="747C21A6"/>
    <w:rsid w:val="74BBD01D"/>
    <w:rsid w:val="74ED5379"/>
    <w:rsid w:val="75DEEEC2"/>
    <w:rsid w:val="75E32345"/>
    <w:rsid w:val="76E3355F"/>
    <w:rsid w:val="76FE4B4E"/>
    <w:rsid w:val="76FF5125"/>
    <w:rsid w:val="776F6FFA"/>
    <w:rsid w:val="777D59E2"/>
    <w:rsid w:val="778769C8"/>
    <w:rsid w:val="77A75DCA"/>
    <w:rsid w:val="77B7A0FF"/>
    <w:rsid w:val="77DC22F5"/>
    <w:rsid w:val="77FD8BC7"/>
    <w:rsid w:val="77FF40A3"/>
    <w:rsid w:val="783E271A"/>
    <w:rsid w:val="78616DE9"/>
    <w:rsid w:val="78E10509"/>
    <w:rsid w:val="78E875D7"/>
    <w:rsid w:val="79086DAD"/>
    <w:rsid w:val="79D7FD79"/>
    <w:rsid w:val="79EE5BA4"/>
    <w:rsid w:val="7A894339"/>
    <w:rsid w:val="7AD284E8"/>
    <w:rsid w:val="7AFF7572"/>
    <w:rsid w:val="7B6C7DFB"/>
    <w:rsid w:val="7BBFBED0"/>
    <w:rsid w:val="7BBFCA5A"/>
    <w:rsid w:val="7BC3E394"/>
    <w:rsid w:val="7BFE6391"/>
    <w:rsid w:val="7BFFB7A6"/>
    <w:rsid w:val="7C1F3737"/>
    <w:rsid w:val="7CBFC87B"/>
    <w:rsid w:val="7CCB5AE0"/>
    <w:rsid w:val="7CFE0F48"/>
    <w:rsid w:val="7D272ABC"/>
    <w:rsid w:val="7D3A3924"/>
    <w:rsid w:val="7D66B70E"/>
    <w:rsid w:val="7D7E486E"/>
    <w:rsid w:val="7D7EC23E"/>
    <w:rsid w:val="7DFF8ABE"/>
    <w:rsid w:val="7E4B05E8"/>
    <w:rsid w:val="7E6B3474"/>
    <w:rsid w:val="7E7C2E97"/>
    <w:rsid w:val="7E7DF72F"/>
    <w:rsid w:val="7E8ADEBF"/>
    <w:rsid w:val="7E9F055E"/>
    <w:rsid w:val="7ED46C47"/>
    <w:rsid w:val="7EEF11D3"/>
    <w:rsid w:val="7EFE4840"/>
    <w:rsid w:val="7F0971A6"/>
    <w:rsid w:val="7F1D62E7"/>
    <w:rsid w:val="7F3F679B"/>
    <w:rsid w:val="7F4FC4EF"/>
    <w:rsid w:val="7F5E4D54"/>
    <w:rsid w:val="7F5F5B6D"/>
    <w:rsid w:val="7F6E0135"/>
    <w:rsid w:val="7F6F5493"/>
    <w:rsid w:val="7F79F205"/>
    <w:rsid w:val="7F7BEFE5"/>
    <w:rsid w:val="7F7C46A7"/>
    <w:rsid w:val="7FA30C79"/>
    <w:rsid w:val="7FA79C44"/>
    <w:rsid w:val="7FAF8ABF"/>
    <w:rsid w:val="7FB7269E"/>
    <w:rsid w:val="7FC96657"/>
    <w:rsid w:val="7FDA9588"/>
    <w:rsid w:val="7FDF220F"/>
    <w:rsid w:val="7FDFBD1E"/>
    <w:rsid w:val="7FEDC5F7"/>
    <w:rsid w:val="7FEDD9DE"/>
    <w:rsid w:val="7FF5890D"/>
    <w:rsid w:val="7FF93490"/>
    <w:rsid w:val="7FF95A46"/>
    <w:rsid w:val="8B7F962C"/>
    <w:rsid w:val="8F7FB45E"/>
    <w:rsid w:val="8FEA8392"/>
    <w:rsid w:val="99FF2014"/>
    <w:rsid w:val="9F55A9FC"/>
    <w:rsid w:val="9FBD8EC6"/>
    <w:rsid w:val="A6DD0D7F"/>
    <w:rsid w:val="A7B75ED5"/>
    <w:rsid w:val="ABFD40E3"/>
    <w:rsid w:val="ACFF4FBB"/>
    <w:rsid w:val="ADC6F725"/>
    <w:rsid w:val="ADDD09E1"/>
    <w:rsid w:val="AFFF6FCA"/>
    <w:rsid w:val="B2EC079D"/>
    <w:rsid w:val="B36712EB"/>
    <w:rsid w:val="B62FB3CB"/>
    <w:rsid w:val="B7CF06AB"/>
    <w:rsid w:val="B7CFA926"/>
    <w:rsid w:val="B7F8786B"/>
    <w:rsid w:val="BA7E33F5"/>
    <w:rsid w:val="BABB6AA1"/>
    <w:rsid w:val="BB0D9C72"/>
    <w:rsid w:val="BB2F4199"/>
    <w:rsid w:val="BCFFB442"/>
    <w:rsid w:val="BD079C78"/>
    <w:rsid w:val="BD733540"/>
    <w:rsid w:val="BF3735D5"/>
    <w:rsid w:val="BF7B62E1"/>
    <w:rsid w:val="BF7F09AC"/>
    <w:rsid w:val="BFA71158"/>
    <w:rsid w:val="BFBE149C"/>
    <w:rsid w:val="BFD3BB4B"/>
    <w:rsid w:val="BFD475C3"/>
    <w:rsid w:val="BFDE5EA6"/>
    <w:rsid w:val="BFFEF6D3"/>
    <w:rsid w:val="C8F751AB"/>
    <w:rsid w:val="CCE5BF5C"/>
    <w:rsid w:val="CDF78216"/>
    <w:rsid w:val="CF6FC6F3"/>
    <w:rsid w:val="CFD3D3D7"/>
    <w:rsid w:val="CFDF1009"/>
    <w:rsid w:val="D7D7B16A"/>
    <w:rsid w:val="D8D6DB89"/>
    <w:rsid w:val="DA758BA5"/>
    <w:rsid w:val="DB6F4CAB"/>
    <w:rsid w:val="DB777682"/>
    <w:rsid w:val="DB7F22DF"/>
    <w:rsid w:val="DBFF58E1"/>
    <w:rsid w:val="DD1FB521"/>
    <w:rsid w:val="DD756AE6"/>
    <w:rsid w:val="DEFBFEAE"/>
    <w:rsid w:val="DEFED9B9"/>
    <w:rsid w:val="DF1F3B80"/>
    <w:rsid w:val="DF6DC1B8"/>
    <w:rsid w:val="DF6F9789"/>
    <w:rsid w:val="DF9EE011"/>
    <w:rsid w:val="DFE5F7A2"/>
    <w:rsid w:val="DFE9BE81"/>
    <w:rsid w:val="DFF9DA99"/>
    <w:rsid w:val="DFFFA9E8"/>
    <w:rsid w:val="E3BF209A"/>
    <w:rsid w:val="E5F4E9DC"/>
    <w:rsid w:val="E6EFF27A"/>
    <w:rsid w:val="E70FE695"/>
    <w:rsid w:val="E7BBD59A"/>
    <w:rsid w:val="E8870CC0"/>
    <w:rsid w:val="E97DFD8C"/>
    <w:rsid w:val="EB2E368B"/>
    <w:rsid w:val="EB551AD9"/>
    <w:rsid w:val="ECFED1BC"/>
    <w:rsid w:val="ED1D69BB"/>
    <w:rsid w:val="ED7FD312"/>
    <w:rsid w:val="EDDE738F"/>
    <w:rsid w:val="EE6F969A"/>
    <w:rsid w:val="EE9BF4FC"/>
    <w:rsid w:val="EEFAAC76"/>
    <w:rsid w:val="EF2E1AC6"/>
    <w:rsid w:val="EF4B4C00"/>
    <w:rsid w:val="EF53993F"/>
    <w:rsid w:val="EF6FD633"/>
    <w:rsid w:val="EF9BF644"/>
    <w:rsid w:val="EFBD6A35"/>
    <w:rsid w:val="EFBFB2F4"/>
    <w:rsid w:val="EFBFFA21"/>
    <w:rsid w:val="EFD3CAD5"/>
    <w:rsid w:val="EFF7399E"/>
    <w:rsid w:val="EFFEFA93"/>
    <w:rsid w:val="F19F40A5"/>
    <w:rsid w:val="F1B8F809"/>
    <w:rsid w:val="F2BEBCB8"/>
    <w:rsid w:val="F36FB518"/>
    <w:rsid w:val="F3BFACF3"/>
    <w:rsid w:val="F3DE1A04"/>
    <w:rsid w:val="F3F722E5"/>
    <w:rsid w:val="F4FBCD07"/>
    <w:rsid w:val="F6BBA3DF"/>
    <w:rsid w:val="F70A73A7"/>
    <w:rsid w:val="F73237D4"/>
    <w:rsid w:val="F7DDFFCC"/>
    <w:rsid w:val="F8F39ACC"/>
    <w:rsid w:val="F9FF1B64"/>
    <w:rsid w:val="FA5F1E70"/>
    <w:rsid w:val="FA5FDB97"/>
    <w:rsid w:val="FAEFA159"/>
    <w:rsid w:val="FAF7229A"/>
    <w:rsid w:val="FAF9DBB4"/>
    <w:rsid w:val="FB475136"/>
    <w:rsid w:val="FB783625"/>
    <w:rsid w:val="FB7F486A"/>
    <w:rsid w:val="FBBF1F5A"/>
    <w:rsid w:val="FBFF5B2E"/>
    <w:rsid w:val="FD5F4BE4"/>
    <w:rsid w:val="FD7FFE2B"/>
    <w:rsid w:val="FDEE196B"/>
    <w:rsid w:val="FDF7A84A"/>
    <w:rsid w:val="FDFE6575"/>
    <w:rsid w:val="FE5F30CF"/>
    <w:rsid w:val="FEDF668F"/>
    <w:rsid w:val="FEDFDDC2"/>
    <w:rsid w:val="FEED32F6"/>
    <w:rsid w:val="FEF781DD"/>
    <w:rsid w:val="FEFD7DAD"/>
    <w:rsid w:val="FEFD9D71"/>
    <w:rsid w:val="FEFEA320"/>
    <w:rsid w:val="FF295552"/>
    <w:rsid w:val="FF3F7E3F"/>
    <w:rsid w:val="FF6F165C"/>
    <w:rsid w:val="FF77389D"/>
    <w:rsid w:val="FFA3370A"/>
    <w:rsid w:val="FFAD72BA"/>
    <w:rsid w:val="FFBA12D7"/>
    <w:rsid w:val="FFCBD314"/>
    <w:rsid w:val="FFDBFEEF"/>
    <w:rsid w:val="FFDFF91C"/>
    <w:rsid w:val="FFDFFAEE"/>
    <w:rsid w:val="FFEF6777"/>
    <w:rsid w:val="FFF9B57B"/>
    <w:rsid w:val="FFFD61D9"/>
    <w:rsid w:val="FFFD8F59"/>
    <w:rsid w:val="FFFF2BB1"/>
    <w:rsid w:val="FFFFB04D"/>
    <w:rsid w:val="FFFFE1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eastAsia="仿宋_GB2312"/>
      <w:sz w:val="32"/>
    </w:rPr>
  </w:style>
  <w:style w:type="paragraph" w:styleId="6">
    <w:name w:val="Salutation"/>
    <w:basedOn w:val="1"/>
    <w:next w:val="1"/>
    <w:unhideWhenUsed/>
    <w:qFormat/>
    <w:uiPriority w:val="99"/>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收入、支出决算总计变动情况图</a:t>
            </a:r>
            <a:endParaRPr altLang="en-US"/>
          </a:p>
        </c:rich>
      </c:tx>
      <c:layout/>
      <c:overlay val="0"/>
      <c:spPr>
        <a:noFill/>
        <a:ln>
          <a:noFill/>
        </a:ln>
        <a:effectLst/>
      </c:spPr>
    </c:title>
    <c:autoTitleDeleted val="0"/>
    <c:plotArea>
      <c:layout>
        <c:manualLayout>
          <c:layoutTarget val="inner"/>
          <c:xMode val="edge"/>
          <c:yMode val="edge"/>
          <c:x val="0.0533462188934525"/>
          <c:y val="0.159158521036974"/>
          <c:w val="0.918627687847306"/>
          <c:h val="0.639481512962176"/>
        </c:manualLayout>
      </c:layout>
      <c:barChart>
        <c:barDir val="col"/>
        <c:grouping val="clustered"/>
        <c:varyColors val="0"/>
        <c:ser>
          <c:idx val="0"/>
          <c:order val="0"/>
          <c:tx>
            <c:strRef>
              <c:f>Sheet1!$B$2</c:f>
              <c:strCache>
                <c:ptCount val="1"/>
                <c:pt idx="0">
                  <c:v>2024</c:v>
                </c:pt>
              </c:strCache>
            </c:strRef>
          </c:tx>
          <c:spPr>
            <a:solidFill>
              <a:schemeClr val="accent1"/>
            </a:solidFill>
            <a:ln>
              <a:noFill/>
            </a:ln>
            <a:effectLst/>
          </c:spPr>
          <c:invertIfNegative val="0"/>
          <c:dLbls>
            <c:delete val="1"/>
          </c:dLbls>
          <c:cat>
            <c:strRef>
              <c:f>Sheet1!$A$3:$A$4</c:f>
              <c:strCache>
                <c:ptCount val="2"/>
                <c:pt idx="0">
                  <c:v>收入72.08</c:v>
                </c:pt>
                <c:pt idx="1">
                  <c:v>支出72.08</c:v>
                </c:pt>
              </c:strCache>
            </c:strRef>
          </c:cat>
          <c:val>
            <c:numRef>
              <c:f>Sheet1!$B$3:$B$4</c:f>
              <c:numCache>
                <c:formatCode>General</c:formatCode>
                <c:ptCount val="2"/>
                <c:pt idx="0">
                  <c:v>72.08</c:v>
                </c:pt>
                <c:pt idx="1">
                  <c:v>72.08</c:v>
                </c:pt>
              </c:numCache>
            </c:numRef>
          </c:val>
        </c:ser>
        <c:ser>
          <c:idx val="1"/>
          <c:order val="1"/>
          <c:tx>
            <c:strRef>
              <c:f>Sheet1!$C$2</c:f>
              <c:strCache>
                <c:ptCount val="1"/>
                <c:pt idx="0">
                  <c:v>2023</c:v>
                </c:pt>
              </c:strCache>
            </c:strRef>
          </c:tx>
          <c:spPr>
            <a:solidFill>
              <a:schemeClr val="accent2"/>
            </a:solidFill>
            <a:ln>
              <a:noFill/>
            </a:ln>
            <a:effectLst/>
          </c:spPr>
          <c:invertIfNegative val="0"/>
          <c:dLbls>
            <c:delete val="1"/>
          </c:dLbls>
          <c:cat>
            <c:strRef>
              <c:f>Sheet1!$A$3:$A$4</c:f>
              <c:strCache>
                <c:ptCount val="2"/>
                <c:pt idx="0">
                  <c:v>收入72.08</c:v>
                </c:pt>
                <c:pt idx="1">
                  <c:v>支出72.08</c:v>
                </c:pt>
              </c:strCache>
            </c:strRef>
          </c:cat>
          <c:val>
            <c:numRef>
              <c:f>Sheet1!$C$3:$C$4</c:f>
              <c:numCache>
                <c:formatCode>General</c:formatCode>
                <c:ptCount val="2"/>
                <c:pt idx="0">
                  <c:v>1</c:v>
                </c:pt>
                <c:pt idx="1">
                  <c:v>1</c:v>
                </c:pt>
              </c:numCache>
            </c:numRef>
          </c:val>
        </c:ser>
        <c:dLbls>
          <c:showLegendKey val="0"/>
          <c:showVal val="0"/>
          <c:showCatName val="0"/>
          <c:showSerName val="0"/>
          <c:showPercent val="0"/>
          <c:showBubbleSize val="0"/>
        </c:dLbls>
        <c:gapWidth val="246"/>
        <c:overlap val="-28"/>
        <c:axId val="407866537"/>
        <c:axId val="622559132"/>
      </c:barChart>
      <c:catAx>
        <c:axId val="4078665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2559132"/>
        <c:crosses val="autoZero"/>
        <c:auto val="1"/>
        <c:lblAlgn val="ctr"/>
        <c:lblOffset val="100"/>
        <c:noMultiLvlLbl val="0"/>
      </c:catAx>
      <c:valAx>
        <c:axId val="6225591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8665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593b6e-081c-46d5-8247-a60250aac8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一般公共预算财政拨款收入100%</c:v>
                </c:pt>
                <c:pt idx="1">
                  <c:v>政府性基金预算财政拨款收入0%</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e343ee-5f85-4e35-b2c9-6972e7669a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基本支出81.96%</c:v>
                </c:pt>
                <c:pt idx="1">
                  <c:v>项目支出18.03%</c:v>
                </c:pt>
              </c:strCache>
            </c:strRef>
          </c:cat>
          <c:val>
            <c:numRef>
              <c:f>Sheet1!$B$2:$B$3</c:f>
              <c:numCache>
                <c:formatCode>0.00%</c:formatCode>
                <c:ptCount val="2"/>
                <c:pt idx="0">
                  <c:v>0.8196</c:v>
                </c:pt>
                <c:pt idx="1">
                  <c:v>0.1803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d4fd1e-bc32-4bc9-9474-a3a4be8172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72.08</c:v>
                </c:pt>
                <c:pt idx="1">
                  <c:v>72.08</c:v>
                </c:pt>
              </c:numCache>
            </c:numRef>
          </c:val>
        </c:ser>
        <c:ser>
          <c:idx val="1"/>
          <c:order val="1"/>
          <c:tx>
            <c:strRef>
              <c:f>Sheet1!$C$1</c:f>
              <c:strCache>
                <c:ptCount val="1"/>
                <c:pt idx="0">
                  <c:v>2023</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0</c:v>
                </c:pt>
                <c:pt idx="1">
                  <c:v>0</c:v>
                </c:pt>
              </c:numCache>
            </c:numRef>
          </c:val>
        </c:ser>
        <c:dLbls>
          <c:showLegendKey val="0"/>
          <c:showVal val="1"/>
          <c:showCatName val="0"/>
          <c:showSerName val="0"/>
          <c:showPercent val="0"/>
          <c:showBubbleSize val="0"/>
        </c:dLbls>
        <c:gapWidth val="150"/>
        <c:overlap val="0"/>
        <c:axId val="102208039"/>
        <c:axId val="968535242"/>
      </c:barChart>
      <c:catAx>
        <c:axId val="102208039"/>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68535242"/>
        <c:crosses val="autoZero"/>
        <c:auto val="1"/>
        <c:lblAlgn val="ctr"/>
        <c:lblOffset val="100"/>
        <c:noMultiLvlLbl val="0"/>
      </c:catAx>
      <c:valAx>
        <c:axId val="968535242"/>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dk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02208039"/>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2c233966-6cea-48ea-b663-7566b69f693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50060401063059"/>
          <c:y val="0.017424564385890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72.08</c:v>
                </c:pt>
              </c:numCache>
            </c:numRef>
          </c:val>
        </c:ser>
        <c:ser>
          <c:idx val="1"/>
          <c:order val="1"/>
          <c:tx>
            <c:strRef>
              <c:f>Sheet1!$C$1</c:f>
              <c:strCache>
                <c:ptCount val="1"/>
                <c:pt idx="0">
                  <c:v>2023</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0</c:v>
                </c:pt>
              </c:numCache>
            </c:numRef>
          </c:val>
        </c:ser>
        <c:dLbls>
          <c:showLegendKey val="0"/>
          <c:showVal val="0"/>
          <c:showCatName val="0"/>
          <c:showSerName val="0"/>
          <c:showPercent val="0"/>
          <c:showBubbleSize val="0"/>
        </c:dLbls>
        <c:gapWidth val="150"/>
        <c:overlap val="0"/>
        <c:axId val="178012476"/>
        <c:axId val="133564639"/>
      </c:barChart>
      <c:catAx>
        <c:axId val="1780124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564639"/>
        <c:crosses val="autoZero"/>
        <c:auto val="1"/>
        <c:lblAlgn val="ctr"/>
        <c:lblOffset val="100"/>
        <c:noMultiLvlLbl val="0"/>
      </c:catAx>
      <c:valAx>
        <c:axId val="133564639"/>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0124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32dcffd7-ad15-480a-8c98-fa45201b1e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一般公共服务支出72.55%</c:v>
                </c:pt>
                <c:pt idx="1">
                  <c:v>社会保障和就业支出16.76%</c:v>
                </c:pt>
                <c:pt idx="2">
                  <c:v>卫生健康支出4.54%</c:v>
                </c:pt>
                <c:pt idx="3">
                  <c:v>住房保障支出6.15%</c:v>
                </c:pt>
              </c:strCache>
            </c:strRef>
          </c:cat>
          <c:val>
            <c:numRef>
              <c:f>Sheet1!$B$2:$B$5</c:f>
              <c:numCache>
                <c:formatCode>0.00%</c:formatCode>
                <c:ptCount val="4"/>
                <c:pt idx="0">
                  <c:v>0.7255</c:v>
                </c:pt>
                <c:pt idx="1">
                  <c:v>0.1676</c:v>
                </c:pt>
                <c:pt idx="2">
                  <c:v>0.0454</c:v>
                </c:pt>
                <c:pt idx="3">
                  <c:v>0.0615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f3ae66-12cf-4acb-a26f-1d8eec915f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8441</Words>
  <Characters>9591</Characters>
  <Lines>61</Lines>
  <Paragraphs>17</Paragraphs>
  <TotalTime>25</TotalTime>
  <ScaleCrop>false</ScaleCrop>
  <LinksUpToDate>false</LinksUpToDate>
  <CharactersWithSpaces>9617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user</cp:lastModifiedBy>
  <cp:lastPrinted>2025-10-31T13:08:00Z</cp:lastPrinted>
  <dcterms:modified xsi:type="dcterms:W3CDTF">2025-10-31T15:11:49Z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42002B0B70E74EB5BC03667F3EBAF6CD_13</vt:lpwstr>
  </property>
  <property fmtid="{D5CDD505-2E9C-101B-9397-08002B2CF9AE}" pid="4" name="KSOTemplateDocerSaveRecord">
    <vt:lpwstr>eyJoZGlkIjoiY2UwZTBhMTQ0MGQ5ZGYxNGIxN2E4NTY5MTAxYjBiZWEiLCJ1c2VySWQiOiI3MTE4OTUxMjgifQ==</vt:lpwstr>
  </property>
</Properties>
</file>