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F7ED9">
      <w:pPr>
        <w:pStyle w:val="5"/>
        <w:rPr>
          <w:rFonts w:hint="default"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96597"/>
      <w:bookmarkStart w:id="2" w:name="_Toc15396475"/>
      <w:bookmarkStart w:id="3" w:name="_Toc15378441"/>
      <w:bookmarkStart w:id="4" w:name="_Toc15377425"/>
      <w:bookmarkStart w:id="5" w:name="_Toc15377193"/>
    </w:p>
    <w:p w14:paraId="52E883A4">
      <w:pPr>
        <w:pStyle w:val="5"/>
        <w:rPr>
          <w:rFonts w:hint="default" w:ascii="Times New Roman" w:hAnsi="Times New Roman" w:eastAsia="方正小标宋简体" w:cs="Times New Roman"/>
          <w:color w:val="auto"/>
          <w:kern w:val="2"/>
          <w:sz w:val="72"/>
          <w:szCs w:val="72"/>
          <w:highlight w:val="none"/>
          <w:lang w:val="en-US" w:eastAsia="zh-CN" w:bidi="ar-SA"/>
        </w:rPr>
      </w:pPr>
    </w:p>
    <w:p w14:paraId="23B97FC9">
      <w:pPr>
        <w:pStyle w:val="5"/>
        <w:rPr>
          <w:rFonts w:hint="default" w:ascii="Times New Roman" w:hAnsi="Times New Roman" w:eastAsia="方正小标宋简体" w:cs="Times New Roman"/>
          <w:color w:val="auto"/>
          <w:kern w:val="2"/>
          <w:sz w:val="72"/>
          <w:szCs w:val="72"/>
          <w:highlight w:val="none"/>
          <w:lang w:val="en-US" w:eastAsia="zh-CN" w:bidi="ar-SA"/>
        </w:rPr>
      </w:pPr>
    </w:p>
    <w:p w14:paraId="20D4E695">
      <w:pPr>
        <w:pStyle w:val="5"/>
        <w:jc w:val="center"/>
        <w:rPr>
          <w:rFonts w:hint="default" w:ascii="Times New Roman" w:hAnsi="Times New Roman" w:eastAsia="方正小标宋简体" w:cs="Times New Roman"/>
          <w:color w:val="auto"/>
          <w:kern w:val="2"/>
          <w:sz w:val="52"/>
          <w:szCs w:val="52"/>
          <w:highlight w:val="none"/>
          <w:lang w:val="en-US" w:eastAsia="zh-CN" w:bidi="ar-SA"/>
        </w:rPr>
      </w:pPr>
      <w:r>
        <w:rPr>
          <w:rFonts w:hint="default" w:ascii="Times New Roman" w:hAnsi="Times New Roman" w:eastAsia="方正小标宋简体" w:cs="Times New Roman"/>
          <w:color w:val="auto"/>
          <w:kern w:val="2"/>
          <w:sz w:val="52"/>
          <w:szCs w:val="52"/>
          <w:highlight w:val="none"/>
          <w:lang w:val="en-US" w:eastAsia="zh-CN" w:bidi="ar-SA"/>
        </w:rPr>
        <w:t>攀枝花市西区档案馆</w:t>
      </w:r>
    </w:p>
    <w:p w14:paraId="61DDFC97">
      <w:pPr>
        <w:pStyle w:val="5"/>
        <w:jc w:val="center"/>
        <w:rPr>
          <w:rFonts w:hint="default" w:ascii="Times New Roman" w:hAnsi="Times New Roman" w:eastAsia="方正小标宋简体" w:cs="Times New Roman"/>
          <w:color w:val="auto"/>
          <w:kern w:val="2"/>
          <w:sz w:val="52"/>
          <w:szCs w:val="52"/>
          <w:highlight w:val="none"/>
          <w:lang w:val="en-US" w:eastAsia="zh-CN" w:bidi="ar-SA"/>
        </w:rPr>
      </w:pPr>
      <w:r>
        <w:rPr>
          <w:rFonts w:hint="default" w:ascii="Times New Roman" w:hAnsi="Times New Roman" w:eastAsia="方正小标宋简体" w:cs="Times New Roman"/>
          <w:color w:val="auto"/>
          <w:kern w:val="2"/>
          <w:sz w:val="52"/>
          <w:szCs w:val="52"/>
          <w:highlight w:val="none"/>
          <w:lang w:val="en-US" w:eastAsia="zh-CN" w:bidi="ar-SA"/>
        </w:rPr>
        <w:t>2024年度</w:t>
      </w:r>
      <w:r>
        <w:rPr>
          <w:rFonts w:hint="eastAsia" w:ascii="Times New Roman" w:eastAsia="方正小标宋简体" w:cs="Times New Roman"/>
          <w:color w:val="auto"/>
          <w:kern w:val="2"/>
          <w:sz w:val="52"/>
          <w:szCs w:val="52"/>
          <w:highlight w:val="none"/>
          <w:lang w:val="en-US" w:eastAsia="zh-CN" w:bidi="ar-SA"/>
        </w:rPr>
        <w:t>单位</w:t>
      </w:r>
      <w:r>
        <w:rPr>
          <w:rFonts w:hint="default" w:ascii="Times New Roman" w:hAnsi="Times New Roman" w:eastAsia="方正小标宋简体" w:cs="Times New Roman"/>
          <w:color w:val="auto"/>
          <w:kern w:val="2"/>
          <w:sz w:val="52"/>
          <w:szCs w:val="52"/>
          <w:highlight w:val="none"/>
          <w:lang w:val="en-US" w:eastAsia="zh-CN" w:bidi="ar-SA"/>
        </w:rPr>
        <w:t>决算公开编制说明</w:t>
      </w:r>
    </w:p>
    <w:p w14:paraId="4F883BE5">
      <w:pPr>
        <w:rPr>
          <w:rFonts w:hint="default" w:ascii="Times New Roman" w:hAnsi="Times New Roman" w:cs="Times New Roman"/>
        </w:rPr>
      </w:pPr>
    </w:p>
    <w:p w14:paraId="0E552555">
      <w:pPr>
        <w:pStyle w:val="5"/>
        <w:jc w:val="center"/>
        <w:rPr>
          <w:rFonts w:hint="default" w:ascii="Times New Roman" w:hAnsi="Times New Roman" w:eastAsia="方正小标宋简体" w:cs="Times New Roman"/>
          <w:color w:val="auto"/>
          <w:kern w:val="2"/>
          <w:sz w:val="44"/>
          <w:szCs w:val="44"/>
          <w:highlight w:val="none"/>
          <w:lang w:val="en-US" w:eastAsia="zh-CN" w:bidi="ar-SA"/>
        </w:rPr>
      </w:pPr>
    </w:p>
    <w:p w14:paraId="60EC3319">
      <w:pPr>
        <w:pStyle w:val="5"/>
        <w:jc w:val="center"/>
        <w:rPr>
          <w:rFonts w:hint="default" w:ascii="Times New Roman" w:hAnsi="Times New Roman" w:eastAsia="方正小标宋简体" w:cs="Times New Roman"/>
          <w:color w:val="auto"/>
          <w:kern w:val="2"/>
          <w:sz w:val="44"/>
          <w:szCs w:val="44"/>
          <w:highlight w:val="none"/>
          <w:lang w:val="en-US" w:eastAsia="zh-CN" w:bidi="ar-SA"/>
        </w:rPr>
      </w:pPr>
    </w:p>
    <w:p w14:paraId="78B6C1D7">
      <w:pPr>
        <w:pStyle w:val="5"/>
        <w:jc w:val="center"/>
        <w:rPr>
          <w:rFonts w:hint="default" w:ascii="Times New Roman" w:hAnsi="Times New Roman" w:eastAsia="方正小标宋简体" w:cs="Times New Roman"/>
          <w:color w:val="auto"/>
          <w:kern w:val="2"/>
          <w:sz w:val="44"/>
          <w:szCs w:val="44"/>
          <w:highlight w:val="none"/>
          <w:lang w:val="en-US" w:eastAsia="zh-CN" w:bidi="ar-SA"/>
        </w:rPr>
      </w:pPr>
    </w:p>
    <w:p w14:paraId="5D645A1E">
      <w:pPr>
        <w:pStyle w:val="5"/>
        <w:jc w:val="center"/>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0A5035C5">
      <w:pPr>
        <w:widowControl/>
        <w:jc w:val="center"/>
        <w:rPr>
          <w:rFonts w:hint="default" w:ascii="Times New Roman" w:hAnsi="Times New Roman" w:eastAsia="黑体" w:cs="Times New Roman"/>
          <w:color w:val="auto"/>
          <w:sz w:val="48"/>
          <w:szCs w:val="48"/>
          <w:highlight w:val="none"/>
        </w:rPr>
      </w:pPr>
    </w:p>
    <w:p w14:paraId="2CD0EFEE">
      <w:pPr>
        <w:pStyle w:val="13"/>
        <w:rPr>
          <w:rFonts w:hint="default" w:ascii="Times New Roman" w:hAnsi="Times New Roman" w:eastAsia="黑体" w:cs="Times New Roman"/>
          <w:color w:val="auto"/>
          <w:sz w:val="48"/>
          <w:szCs w:val="48"/>
          <w:highlight w:val="none"/>
        </w:rPr>
      </w:pPr>
    </w:p>
    <w:p w14:paraId="7E67BA93">
      <w:pPr>
        <w:pStyle w:val="7"/>
        <w:rPr>
          <w:rFonts w:hint="default" w:ascii="Times New Roman" w:hAnsi="Times New Roman" w:eastAsia="黑体" w:cs="Times New Roman"/>
          <w:color w:val="auto"/>
          <w:sz w:val="48"/>
          <w:szCs w:val="48"/>
          <w:highlight w:val="none"/>
        </w:rPr>
      </w:pPr>
    </w:p>
    <w:p w14:paraId="51A5505E">
      <w:pPr>
        <w:pStyle w:val="7"/>
        <w:rPr>
          <w:rFonts w:hint="default" w:ascii="Times New Roman" w:hAnsi="Times New Roman" w:eastAsia="黑体" w:cs="Times New Roman"/>
          <w:color w:val="auto"/>
          <w:sz w:val="48"/>
          <w:szCs w:val="48"/>
          <w:highlight w:val="none"/>
        </w:rPr>
      </w:pPr>
    </w:p>
    <w:p w14:paraId="2C273570">
      <w:pPr>
        <w:pStyle w:val="7"/>
        <w:rPr>
          <w:rFonts w:hint="default" w:ascii="Times New Roman" w:hAnsi="Times New Roman" w:eastAsia="黑体" w:cs="Times New Roman"/>
          <w:color w:val="auto"/>
          <w:sz w:val="48"/>
          <w:szCs w:val="48"/>
          <w:highlight w:val="none"/>
        </w:rPr>
      </w:pPr>
    </w:p>
    <w:p w14:paraId="2ADFFA77">
      <w:pPr>
        <w:pStyle w:val="7"/>
        <w:rPr>
          <w:rFonts w:hint="default" w:ascii="Times New Roman" w:hAnsi="Times New Roman" w:eastAsia="黑体" w:cs="Times New Roman"/>
          <w:color w:val="auto"/>
          <w:sz w:val="48"/>
          <w:szCs w:val="48"/>
          <w:highlight w:val="none"/>
        </w:rPr>
      </w:pPr>
    </w:p>
    <w:p w14:paraId="7A1857DD">
      <w:pPr>
        <w:widowControl/>
        <w:jc w:val="center"/>
        <w:rPr>
          <w:rFonts w:hint="default" w:ascii="Times New Roman" w:hAnsi="Times New Roman" w:eastAsia="黑体" w:cs="Times New Roman"/>
          <w:color w:val="auto"/>
          <w:sz w:val="48"/>
          <w:szCs w:val="48"/>
          <w:highlight w:val="none"/>
        </w:rPr>
      </w:pPr>
    </w:p>
    <w:p w14:paraId="4AD6D1AD">
      <w:pPr>
        <w:widowControl/>
        <w:jc w:val="both"/>
        <w:rPr>
          <w:rFonts w:hint="default" w:ascii="Times New Roman" w:hAnsi="Times New Roman" w:eastAsia="黑体" w:cs="Times New Roman"/>
          <w:color w:val="auto"/>
          <w:sz w:val="48"/>
          <w:szCs w:val="48"/>
          <w:highlight w:val="none"/>
        </w:rPr>
      </w:pPr>
    </w:p>
    <w:sdt>
      <w:sdtPr>
        <w:rPr>
          <w:rFonts w:ascii="宋体" w:hAnsi="宋体" w:eastAsia="宋体" w:cs="Times New Roman"/>
          <w:kern w:val="2"/>
          <w:sz w:val="21"/>
          <w:szCs w:val="24"/>
          <w:lang w:val="en-US" w:eastAsia="zh-CN" w:bidi="ar-SA"/>
        </w:rPr>
        <w:id w:val="147478783"/>
        <w15:color w:val="DBDBDB"/>
        <w:docPartObj>
          <w:docPartGallery w:val="Table of Contents"/>
          <w:docPartUnique/>
        </w:docPartObj>
      </w:sdtPr>
      <w:sdtEndPr>
        <w:rPr>
          <w:rFonts w:hint="default" w:ascii="Times New Roman" w:hAnsi="Times New Roman" w:eastAsia="方正小标宋简体" w:cs="Times New Roman"/>
          <w:b/>
          <w:bCs/>
          <w:color w:val="auto"/>
          <w:kern w:val="44"/>
          <w:sz w:val="44"/>
          <w:szCs w:val="44"/>
          <w:highlight w:val="none"/>
          <w:lang w:val="en-US" w:eastAsia="zh-CN" w:bidi="ar-SA"/>
        </w:rPr>
      </w:sdtEndPr>
      <w:sdtContent>
        <w:p w14:paraId="56ECD55E">
          <w:pPr>
            <w:spacing w:before="0" w:beforeLines="0" w:after="0" w:afterLines="0" w:line="240" w:lineRule="auto"/>
            <w:ind w:left="0" w:leftChars="0" w:right="0" w:rightChars="0" w:firstLine="0" w:firstLineChars="0"/>
            <w:jc w:val="center"/>
          </w:pPr>
          <w:bookmarkStart w:id="6" w:name="_Toc15377196"/>
          <w:bookmarkStart w:id="7" w:name="_Toc15396599"/>
          <w:r>
            <w:rPr>
              <w:rFonts w:ascii="宋体" w:hAnsi="宋体" w:eastAsia="宋体"/>
              <w:sz w:val="21"/>
            </w:rPr>
            <w:t>目录</w:t>
          </w:r>
        </w:p>
        <w:p w14:paraId="3C53B669">
          <w:pPr>
            <w:pStyle w:val="12"/>
            <w:tabs>
              <w:tab w:val="right" w:leader="dot" w:pos="8306"/>
              <w:tab w:val="clear" w:pos="8296"/>
            </w:tabs>
            <w:rPr>
              <w:sz w:val="28"/>
              <w:szCs w:val="28"/>
            </w:rPr>
          </w:pPr>
          <w:r>
            <w:rPr>
              <w:rFonts w:hint="default" w:ascii="Times New Roman" w:hAnsi="Times New Roman" w:eastAsia="方正小标宋简体" w:cs="Times New Roman"/>
              <w:b w:val="0"/>
              <w:color w:val="auto"/>
              <w:sz w:val="28"/>
              <w:szCs w:val="28"/>
              <w:highlight w:val="none"/>
            </w:rPr>
            <w:fldChar w:fldCharType="begin"/>
          </w:r>
          <w:r>
            <w:rPr>
              <w:rFonts w:hint="default" w:ascii="Times New Roman" w:hAnsi="Times New Roman" w:eastAsia="方正小标宋简体" w:cs="Times New Roman"/>
              <w:b w:val="0"/>
              <w:color w:val="auto"/>
              <w:sz w:val="28"/>
              <w:szCs w:val="28"/>
              <w:highlight w:val="none"/>
            </w:rPr>
            <w:instrText xml:space="preserve">TOC \o "1-2" \h \u </w:instrText>
          </w:r>
          <w:r>
            <w:rPr>
              <w:rFonts w:hint="default" w:ascii="Times New Roman" w:hAnsi="Times New Roman" w:eastAsia="方正小标宋简体" w:cs="Times New Roman"/>
              <w:b w:val="0"/>
              <w:color w:val="auto"/>
              <w:sz w:val="28"/>
              <w:szCs w:val="28"/>
              <w:highlight w:val="none"/>
            </w:rPr>
            <w:fldChar w:fldCharType="separate"/>
          </w: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_Toc23966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方正小标宋简体" w:cs="Times New Roman"/>
              <w:sz w:val="28"/>
              <w:szCs w:val="28"/>
              <w:highlight w:val="none"/>
            </w:rPr>
            <w:t>第一部分</w:t>
          </w:r>
          <w:r>
            <w:rPr>
              <w:rFonts w:hint="default" w:ascii="Times New Roman" w:hAnsi="Times New Roman" w:eastAsia="方正小标宋简体" w:cs="Times New Roman"/>
              <w:sz w:val="28"/>
              <w:szCs w:val="28"/>
              <w:highlight w:val="none"/>
              <w:lang w:val="en-US" w:eastAsia="zh-CN"/>
            </w:rPr>
            <w:t xml:space="preserve"> </w:t>
          </w:r>
          <w:r>
            <w:rPr>
              <w:rFonts w:hint="default" w:ascii="Times New Roman" w:hAnsi="Times New Roman" w:eastAsia="方正小标宋简体" w:cs="Times New Roman"/>
              <w:sz w:val="28"/>
              <w:szCs w:val="28"/>
              <w:highlight w:val="none"/>
            </w:rPr>
            <w:t xml:space="preserve"> </w:t>
          </w:r>
          <w:r>
            <w:rPr>
              <w:rFonts w:hint="eastAsia" w:eastAsia="方正小标宋简体" w:cs="Times New Roman"/>
              <w:sz w:val="28"/>
              <w:szCs w:val="28"/>
              <w:highlight w:val="none"/>
              <w:lang w:val="en-US" w:eastAsia="zh-CN"/>
            </w:rPr>
            <w:t>单位</w:t>
          </w:r>
          <w:r>
            <w:rPr>
              <w:rFonts w:hint="default" w:ascii="Times New Roman" w:hAnsi="Times New Roman" w:eastAsia="方正小标宋简体" w:cs="Times New Roman"/>
              <w:bCs w:val="0"/>
              <w:sz w:val="28"/>
              <w:szCs w:val="28"/>
              <w:highlight w:val="none"/>
            </w:rPr>
            <w:t>概况</w:t>
          </w:r>
          <w:r>
            <w:rPr>
              <w:sz w:val="28"/>
              <w:szCs w:val="28"/>
            </w:rPr>
            <w:tab/>
          </w:r>
          <w:r>
            <w:rPr>
              <w:sz w:val="28"/>
              <w:szCs w:val="28"/>
            </w:rPr>
            <w:fldChar w:fldCharType="begin"/>
          </w:r>
          <w:r>
            <w:rPr>
              <w:sz w:val="28"/>
              <w:szCs w:val="28"/>
            </w:rPr>
            <w:instrText xml:space="preserve"> PAGEREF _Toc23966 \h </w:instrText>
          </w:r>
          <w:r>
            <w:rPr>
              <w:sz w:val="28"/>
              <w:szCs w:val="28"/>
            </w:rPr>
            <w:fldChar w:fldCharType="separate"/>
          </w:r>
          <w:r>
            <w:rPr>
              <w:sz w:val="28"/>
              <w:szCs w:val="28"/>
            </w:rPr>
            <w:t>- 3 -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51699654">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_Toc27984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一、</w:t>
          </w:r>
          <w:r>
            <w:rPr>
              <w:rFonts w:hint="eastAsia" w:ascii="Times New Roman" w:hAnsi="Times New Roman" w:eastAsia="黑体" w:cs="Times New Roman"/>
              <w:sz w:val="28"/>
              <w:szCs w:val="28"/>
              <w:highlight w:val="none"/>
              <w:lang w:val="en-US" w:eastAsia="zh-CN"/>
            </w:rPr>
            <w:t>单位</w:t>
          </w:r>
          <w:r>
            <w:rPr>
              <w:rFonts w:hint="default" w:ascii="Times New Roman" w:hAnsi="Times New Roman" w:eastAsia="黑体" w:cs="Times New Roman"/>
              <w:sz w:val="28"/>
              <w:szCs w:val="28"/>
              <w:highlight w:val="none"/>
              <w:lang w:eastAsia="zh-CN"/>
            </w:rPr>
            <w:t>职责</w:t>
          </w:r>
          <w:r>
            <w:rPr>
              <w:sz w:val="28"/>
              <w:szCs w:val="28"/>
            </w:rPr>
            <w:tab/>
          </w:r>
          <w:r>
            <w:rPr>
              <w:sz w:val="28"/>
              <w:szCs w:val="28"/>
            </w:rPr>
            <w:fldChar w:fldCharType="begin"/>
          </w:r>
          <w:r>
            <w:rPr>
              <w:sz w:val="28"/>
              <w:szCs w:val="28"/>
            </w:rPr>
            <w:instrText xml:space="preserve"> PAGEREF _Toc27984 \h </w:instrText>
          </w:r>
          <w:r>
            <w:rPr>
              <w:sz w:val="28"/>
              <w:szCs w:val="28"/>
            </w:rPr>
            <w:fldChar w:fldCharType="separate"/>
          </w:r>
          <w:r>
            <w:rPr>
              <w:sz w:val="28"/>
              <w:szCs w:val="28"/>
            </w:rPr>
            <w:t>- 3 -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2B256A62">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_Toc5667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二、机</w:t>
          </w:r>
          <w:r>
            <w:rPr>
              <w:rFonts w:hint="default" w:ascii="Times New Roman" w:hAnsi="Times New Roman" w:eastAsia="黑体" w:cs="Times New Roman"/>
              <w:bCs w:val="0"/>
              <w:sz w:val="28"/>
              <w:szCs w:val="28"/>
              <w:highlight w:val="none"/>
            </w:rPr>
            <w:t>构设置</w:t>
          </w:r>
          <w:r>
            <w:rPr>
              <w:sz w:val="28"/>
              <w:szCs w:val="28"/>
            </w:rPr>
            <w:tab/>
          </w:r>
          <w:r>
            <w:rPr>
              <w:sz w:val="28"/>
              <w:szCs w:val="28"/>
            </w:rPr>
            <w:fldChar w:fldCharType="begin"/>
          </w:r>
          <w:r>
            <w:rPr>
              <w:sz w:val="28"/>
              <w:szCs w:val="28"/>
            </w:rPr>
            <w:instrText xml:space="preserve"> PAGEREF _Toc5667 \h </w:instrText>
          </w:r>
          <w:r>
            <w:rPr>
              <w:sz w:val="28"/>
              <w:szCs w:val="28"/>
            </w:rPr>
            <w:fldChar w:fldCharType="separate"/>
          </w:r>
          <w:r>
            <w:rPr>
              <w:sz w:val="28"/>
              <w:szCs w:val="28"/>
            </w:rPr>
            <w:t>- 3 -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105E7083">
          <w:pPr>
            <w:pStyle w:val="12"/>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_Toc30691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方正小标宋简体" w:cs="Times New Roman"/>
              <w:sz w:val="28"/>
              <w:szCs w:val="28"/>
              <w:highlight w:val="none"/>
            </w:rPr>
            <w:t>第二部分</w:t>
          </w:r>
          <w:r>
            <w:rPr>
              <w:rFonts w:hint="default" w:ascii="Times New Roman" w:hAnsi="Times New Roman" w:eastAsia="方正小标宋简体" w:cs="Times New Roman"/>
              <w:sz w:val="28"/>
              <w:szCs w:val="28"/>
              <w:highlight w:val="none"/>
              <w:lang w:val="en-US" w:eastAsia="zh-CN"/>
            </w:rPr>
            <w:t xml:space="preserve"> </w:t>
          </w:r>
          <w:r>
            <w:rPr>
              <w:rFonts w:hint="default" w:ascii="Times New Roman" w:hAnsi="Times New Roman" w:eastAsia="方正小标宋简体" w:cs="Times New Roman"/>
              <w:sz w:val="28"/>
              <w:szCs w:val="28"/>
              <w:highlight w:val="none"/>
            </w:rPr>
            <w:t xml:space="preserve"> </w:t>
          </w:r>
          <w:r>
            <w:rPr>
              <w:rFonts w:hint="default" w:ascii="Times New Roman" w:hAnsi="Times New Roman" w:eastAsia="方正小标宋简体" w:cs="Times New Roman"/>
              <w:sz w:val="28"/>
              <w:szCs w:val="28"/>
              <w:highlight w:val="none"/>
              <w:lang w:val="en-US" w:eastAsia="zh-CN"/>
            </w:rPr>
            <w:t>2024年度</w:t>
          </w:r>
          <w:r>
            <w:rPr>
              <w:rFonts w:hint="eastAsia" w:eastAsia="方正小标宋简体" w:cs="Times New Roman"/>
              <w:sz w:val="28"/>
              <w:szCs w:val="28"/>
              <w:highlight w:val="none"/>
              <w:lang w:val="en-US" w:eastAsia="zh-CN"/>
            </w:rPr>
            <w:t>单位</w:t>
          </w:r>
          <w:r>
            <w:rPr>
              <w:rFonts w:hint="default" w:ascii="Times New Roman" w:hAnsi="Times New Roman" w:eastAsia="方正小标宋简体" w:cs="Times New Roman"/>
              <w:sz w:val="28"/>
              <w:szCs w:val="28"/>
              <w:highlight w:val="none"/>
            </w:rPr>
            <w:t>决算情况说明</w:t>
          </w:r>
          <w:r>
            <w:rPr>
              <w:sz w:val="28"/>
              <w:szCs w:val="28"/>
            </w:rPr>
            <w:tab/>
          </w:r>
          <w:r>
            <w:rPr>
              <w:sz w:val="28"/>
              <w:szCs w:val="28"/>
            </w:rPr>
            <w:fldChar w:fldCharType="begin"/>
          </w:r>
          <w:r>
            <w:rPr>
              <w:sz w:val="28"/>
              <w:szCs w:val="28"/>
            </w:rPr>
            <w:instrText xml:space="preserve"> PAGEREF _Toc30691 \h </w:instrText>
          </w:r>
          <w:r>
            <w:rPr>
              <w:sz w:val="28"/>
              <w:szCs w:val="28"/>
            </w:rPr>
            <w:fldChar w:fldCharType="separate"/>
          </w:r>
          <w:r>
            <w:rPr>
              <w:sz w:val="28"/>
              <w:szCs w:val="28"/>
            </w:rPr>
            <w:t>- 4 -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639A0782">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_Toc21035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lang w:eastAsia="zh-CN"/>
            </w:rPr>
            <w:t>一、</w:t>
          </w:r>
          <w:r>
            <w:rPr>
              <w:rFonts w:hint="default" w:ascii="Times New Roman" w:hAnsi="Times New Roman" w:eastAsia="黑体" w:cs="Times New Roman"/>
              <w:sz w:val="28"/>
              <w:szCs w:val="28"/>
              <w:highlight w:val="none"/>
            </w:rPr>
            <w:t>收入支出决算总体情况说明</w:t>
          </w:r>
          <w:r>
            <w:rPr>
              <w:sz w:val="28"/>
              <w:szCs w:val="28"/>
            </w:rPr>
            <w:tab/>
          </w:r>
          <w:r>
            <w:rPr>
              <w:sz w:val="28"/>
              <w:szCs w:val="28"/>
            </w:rPr>
            <w:fldChar w:fldCharType="begin"/>
          </w:r>
          <w:r>
            <w:rPr>
              <w:sz w:val="28"/>
              <w:szCs w:val="28"/>
            </w:rPr>
            <w:instrText xml:space="preserve"> PAGEREF _Toc21035 \h </w:instrText>
          </w:r>
          <w:r>
            <w:rPr>
              <w:sz w:val="28"/>
              <w:szCs w:val="28"/>
            </w:rPr>
            <w:fldChar w:fldCharType="separate"/>
          </w:r>
          <w:r>
            <w:rPr>
              <w:sz w:val="28"/>
              <w:szCs w:val="28"/>
            </w:rPr>
            <w:t>- 4 -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4F210277">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_Toc3442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lang w:eastAsia="zh-CN"/>
            </w:rPr>
            <w:t>二、收入决算情况说明</w:t>
          </w:r>
          <w:r>
            <w:rPr>
              <w:sz w:val="28"/>
              <w:szCs w:val="28"/>
            </w:rPr>
            <w:tab/>
          </w:r>
          <w:r>
            <w:rPr>
              <w:sz w:val="28"/>
              <w:szCs w:val="28"/>
            </w:rPr>
            <w:fldChar w:fldCharType="begin"/>
          </w:r>
          <w:r>
            <w:rPr>
              <w:sz w:val="28"/>
              <w:szCs w:val="28"/>
            </w:rPr>
            <w:instrText xml:space="preserve"> PAGEREF _Toc3442 \h </w:instrText>
          </w:r>
          <w:r>
            <w:rPr>
              <w:sz w:val="28"/>
              <w:szCs w:val="28"/>
            </w:rPr>
            <w:fldChar w:fldCharType="separate"/>
          </w:r>
          <w:r>
            <w:rPr>
              <w:sz w:val="28"/>
              <w:szCs w:val="28"/>
            </w:rPr>
            <w:t>- 4 -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02E204F5">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_Toc16944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lang w:eastAsia="zh-CN"/>
            </w:rPr>
            <w:t>三、</w:t>
          </w:r>
          <w:r>
            <w:rPr>
              <w:rFonts w:hint="default" w:ascii="Times New Roman" w:hAnsi="Times New Roman" w:eastAsia="黑体" w:cs="Times New Roman"/>
              <w:sz w:val="28"/>
              <w:szCs w:val="28"/>
              <w:highlight w:val="none"/>
            </w:rPr>
            <w:t>支出决算情况说明</w:t>
          </w:r>
          <w:r>
            <w:rPr>
              <w:sz w:val="28"/>
              <w:szCs w:val="28"/>
            </w:rPr>
            <w:tab/>
          </w:r>
          <w:r>
            <w:rPr>
              <w:sz w:val="28"/>
              <w:szCs w:val="28"/>
            </w:rPr>
            <w:fldChar w:fldCharType="begin"/>
          </w:r>
          <w:r>
            <w:rPr>
              <w:sz w:val="28"/>
              <w:szCs w:val="28"/>
            </w:rPr>
            <w:instrText xml:space="preserve"> PAGEREF _Toc16944 \h </w:instrText>
          </w:r>
          <w:r>
            <w:rPr>
              <w:sz w:val="28"/>
              <w:szCs w:val="28"/>
            </w:rPr>
            <w:fldChar w:fldCharType="separate"/>
          </w:r>
          <w:r>
            <w:rPr>
              <w:sz w:val="28"/>
              <w:szCs w:val="28"/>
            </w:rPr>
            <w:t>- 5 -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34FFA5E5">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_Toc710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四、财政拨款收入支出决算总体情况说明</w:t>
          </w:r>
          <w:r>
            <w:rPr>
              <w:sz w:val="28"/>
              <w:szCs w:val="28"/>
            </w:rPr>
            <w:tab/>
          </w:r>
          <w:r>
            <w:rPr>
              <w:sz w:val="28"/>
              <w:szCs w:val="28"/>
            </w:rPr>
            <w:fldChar w:fldCharType="begin"/>
          </w:r>
          <w:r>
            <w:rPr>
              <w:sz w:val="28"/>
              <w:szCs w:val="28"/>
            </w:rPr>
            <w:instrText xml:space="preserve"> PAGEREF _Toc710 \h </w:instrText>
          </w:r>
          <w:r>
            <w:rPr>
              <w:sz w:val="28"/>
              <w:szCs w:val="28"/>
            </w:rPr>
            <w:fldChar w:fldCharType="separate"/>
          </w:r>
          <w:r>
            <w:rPr>
              <w:sz w:val="28"/>
              <w:szCs w:val="28"/>
            </w:rPr>
            <w:t>- 5 -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5DA0E91B">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_Toc24439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五、一般公共预算财政拨款支出决算情况说明</w:t>
          </w:r>
          <w:r>
            <w:rPr>
              <w:sz w:val="28"/>
              <w:szCs w:val="28"/>
            </w:rPr>
            <w:tab/>
          </w:r>
          <w:r>
            <w:rPr>
              <w:sz w:val="28"/>
              <w:szCs w:val="28"/>
            </w:rPr>
            <w:fldChar w:fldCharType="begin"/>
          </w:r>
          <w:r>
            <w:rPr>
              <w:sz w:val="28"/>
              <w:szCs w:val="28"/>
            </w:rPr>
            <w:instrText xml:space="preserve"> PAGEREF _Toc24439 \h </w:instrText>
          </w:r>
          <w:r>
            <w:rPr>
              <w:sz w:val="28"/>
              <w:szCs w:val="28"/>
            </w:rPr>
            <w:fldChar w:fldCharType="separate"/>
          </w:r>
          <w:r>
            <w:rPr>
              <w:sz w:val="28"/>
              <w:szCs w:val="28"/>
            </w:rPr>
            <w:t>- 6 -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71A0ED7F">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_Toc3450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六、一般公共预算财政拨款基本支出决算情况说明</w:t>
          </w:r>
          <w:r>
            <w:rPr>
              <w:sz w:val="28"/>
              <w:szCs w:val="28"/>
            </w:rPr>
            <w:tab/>
          </w:r>
          <w:r>
            <w:rPr>
              <w:sz w:val="28"/>
              <w:szCs w:val="28"/>
            </w:rPr>
            <w:fldChar w:fldCharType="begin"/>
          </w:r>
          <w:r>
            <w:rPr>
              <w:sz w:val="28"/>
              <w:szCs w:val="28"/>
            </w:rPr>
            <w:instrText xml:space="preserve"> PAGEREF _Toc3450 \h </w:instrText>
          </w:r>
          <w:r>
            <w:rPr>
              <w:sz w:val="28"/>
              <w:szCs w:val="28"/>
            </w:rPr>
            <w:fldChar w:fldCharType="separate"/>
          </w:r>
          <w:r>
            <w:rPr>
              <w:sz w:val="28"/>
              <w:szCs w:val="28"/>
            </w:rPr>
            <w:t>- 8 -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50D9015C">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_Toc20634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七、财政拨款“三公”经费支出决算情况说明</w:t>
          </w:r>
          <w:r>
            <w:rPr>
              <w:sz w:val="28"/>
              <w:szCs w:val="28"/>
            </w:rPr>
            <w:tab/>
          </w:r>
          <w:r>
            <w:rPr>
              <w:sz w:val="28"/>
              <w:szCs w:val="28"/>
            </w:rPr>
            <w:fldChar w:fldCharType="begin"/>
          </w:r>
          <w:r>
            <w:rPr>
              <w:sz w:val="28"/>
              <w:szCs w:val="28"/>
            </w:rPr>
            <w:instrText xml:space="preserve"> PAGEREF _Toc20634 \h </w:instrText>
          </w:r>
          <w:r>
            <w:rPr>
              <w:sz w:val="28"/>
              <w:szCs w:val="28"/>
            </w:rPr>
            <w:fldChar w:fldCharType="separate"/>
          </w:r>
          <w:r>
            <w:rPr>
              <w:sz w:val="28"/>
              <w:szCs w:val="28"/>
            </w:rPr>
            <w:t>- 9 -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15E94C1C">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_Toc4974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八、政府性基金预算支出决算情况说明</w:t>
          </w:r>
          <w:r>
            <w:rPr>
              <w:sz w:val="28"/>
              <w:szCs w:val="28"/>
            </w:rPr>
            <w:tab/>
          </w:r>
          <w:r>
            <w:rPr>
              <w:sz w:val="28"/>
              <w:szCs w:val="28"/>
            </w:rPr>
            <w:fldChar w:fldCharType="begin"/>
          </w:r>
          <w:r>
            <w:rPr>
              <w:sz w:val="28"/>
              <w:szCs w:val="28"/>
            </w:rPr>
            <w:instrText xml:space="preserve"> PAGEREF _Toc4974 \h </w:instrText>
          </w:r>
          <w:r>
            <w:rPr>
              <w:sz w:val="28"/>
              <w:szCs w:val="28"/>
            </w:rPr>
            <w:fldChar w:fldCharType="separate"/>
          </w:r>
          <w:r>
            <w:rPr>
              <w:sz w:val="28"/>
              <w:szCs w:val="28"/>
            </w:rPr>
            <w:t>- 10 -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226B5E0A">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_Toc2885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lang w:eastAsia="zh-CN"/>
            </w:rPr>
            <w:t>九、</w:t>
          </w:r>
          <w:r>
            <w:rPr>
              <w:rFonts w:hint="default" w:ascii="Times New Roman" w:hAnsi="Times New Roman" w:eastAsia="黑体" w:cs="Times New Roman"/>
              <w:sz w:val="28"/>
              <w:szCs w:val="28"/>
              <w:highlight w:val="none"/>
            </w:rPr>
            <w:t>国有资本经营预算支出决算情况说明</w:t>
          </w:r>
          <w:r>
            <w:rPr>
              <w:sz w:val="28"/>
              <w:szCs w:val="28"/>
            </w:rPr>
            <w:tab/>
          </w:r>
          <w:r>
            <w:rPr>
              <w:sz w:val="28"/>
              <w:szCs w:val="28"/>
            </w:rPr>
            <w:fldChar w:fldCharType="begin"/>
          </w:r>
          <w:r>
            <w:rPr>
              <w:sz w:val="28"/>
              <w:szCs w:val="28"/>
            </w:rPr>
            <w:instrText xml:space="preserve"> PAGEREF _Toc2885 \h </w:instrText>
          </w:r>
          <w:r>
            <w:rPr>
              <w:sz w:val="28"/>
              <w:szCs w:val="28"/>
            </w:rPr>
            <w:fldChar w:fldCharType="separate"/>
          </w:r>
          <w:r>
            <w:rPr>
              <w:sz w:val="28"/>
              <w:szCs w:val="28"/>
            </w:rPr>
            <w:t>- 10 -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21328A92">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_Toc29689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lang w:eastAsia="zh-CN"/>
            </w:rPr>
            <w:t>十、</w:t>
          </w:r>
          <w:r>
            <w:rPr>
              <w:rFonts w:hint="default" w:ascii="Times New Roman" w:hAnsi="Times New Roman" w:eastAsia="黑体" w:cs="Times New Roman"/>
              <w:sz w:val="28"/>
              <w:szCs w:val="28"/>
              <w:highlight w:val="none"/>
            </w:rPr>
            <w:t>其他重要事项的情况说明</w:t>
          </w:r>
          <w:r>
            <w:rPr>
              <w:sz w:val="28"/>
              <w:szCs w:val="28"/>
            </w:rPr>
            <w:tab/>
          </w:r>
          <w:r>
            <w:rPr>
              <w:sz w:val="28"/>
              <w:szCs w:val="28"/>
            </w:rPr>
            <w:fldChar w:fldCharType="begin"/>
          </w:r>
          <w:r>
            <w:rPr>
              <w:sz w:val="28"/>
              <w:szCs w:val="28"/>
            </w:rPr>
            <w:instrText xml:space="preserve"> PAGEREF _Toc29689 \h </w:instrText>
          </w:r>
          <w:r>
            <w:rPr>
              <w:sz w:val="28"/>
              <w:szCs w:val="28"/>
            </w:rPr>
            <w:fldChar w:fldCharType="separate"/>
          </w:r>
          <w:r>
            <w:rPr>
              <w:sz w:val="28"/>
              <w:szCs w:val="28"/>
            </w:rPr>
            <w:t>- 10 -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5999115A">
          <w:pPr>
            <w:pStyle w:val="12"/>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_Toc21923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第</w:t>
          </w:r>
          <w:r>
            <w:rPr>
              <w:rFonts w:hint="default" w:ascii="Times New Roman" w:hAnsi="Times New Roman" w:eastAsia="黑体" w:cs="Times New Roman"/>
              <w:sz w:val="28"/>
              <w:szCs w:val="28"/>
              <w:highlight w:val="none"/>
              <w:lang w:eastAsia="zh-CN"/>
            </w:rPr>
            <w:t>三</w:t>
          </w:r>
          <w:r>
            <w:rPr>
              <w:rFonts w:hint="default" w:ascii="Times New Roman" w:hAnsi="Times New Roman" w:eastAsia="黑体" w:cs="Times New Roman"/>
              <w:sz w:val="28"/>
              <w:szCs w:val="28"/>
              <w:highlight w:val="none"/>
            </w:rPr>
            <w:t>部分</w:t>
          </w:r>
          <w:r>
            <w:rPr>
              <w:rFonts w:hint="default" w:ascii="Times New Roman" w:hAnsi="Times New Roman" w:eastAsia="黑体" w:cs="Times New Roman"/>
              <w:sz w:val="28"/>
              <w:szCs w:val="28"/>
              <w:highlight w:val="none"/>
              <w:lang w:val="en-US" w:eastAsia="zh-CN"/>
            </w:rPr>
            <w:t xml:space="preserve">  </w:t>
          </w:r>
          <w:r>
            <w:rPr>
              <w:rFonts w:hint="default" w:ascii="Times New Roman" w:hAnsi="Times New Roman" w:eastAsia="黑体" w:cs="Times New Roman"/>
              <w:sz w:val="28"/>
              <w:szCs w:val="28"/>
              <w:highlight w:val="none"/>
            </w:rPr>
            <w:t>名词解释</w:t>
          </w:r>
          <w:r>
            <w:rPr>
              <w:sz w:val="28"/>
              <w:szCs w:val="28"/>
            </w:rPr>
            <w:tab/>
          </w:r>
          <w:r>
            <w:rPr>
              <w:sz w:val="28"/>
              <w:szCs w:val="28"/>
            </w:rPr>
            <w:fldChar w:fldCharType="begin"/>
          </w:r>
          <w:r>
            <w:rPr>
              <w:sz w:val="28"/>
              <w:szCs w:val="28"/>
            </w:rPr>
            <w:instrText xml:space="preserve"> PAGEREF _Toc21923 \h </w:instrText>
          </w:r>
          <w:r>
            <w:rPr>
              <w:sz w:val="28"/>
              <w:szCs w:val="28"/>
            </w:rPr>
            <w:fldChar w:fldCharType="separate"/>
          </w:r>
          <w:r>
            <w:rPr>
              <w:sz w:val="28"/>
              <w:szCs w:val="28"/>
            </w:rPr>
            <w:t>- 14 -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58689F17">
          <w:pPr>
            <w:pStyle w:val="12"/>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_Toc13591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第四部分</w:t>
          </w:r>
          <w:r>
            <w:rPr>
              <w:rFonts w:hint="default" w:ascii="Times New Roman" w:hAnsi="Times New Roman" w:eastAsia="黑体" w:cs="Times New Roman"/>
              <w:sz w:val="28"/>
              <w:szCs w:val="28"/>
              <w:highlight w:val="none"/>
              <w:lang w:val="en-US" w:eastAsia="zh-CN"/>
            </w:rPr>
            <w:t xml:space="preserve"> </w:t>
          </w:r>
          <w:r>
            <w:rPr>
              <w:rFonts w:hint="default" w:ascii="Times New Roman" w:hAnsi="Times New Roman" w:eastAsia="黑体" w:cs="Times New Roman"/>
              <w:sz w:val="28"/>
              <w:szCs w:val="28"/>
              <w:highlight w:val="none"/>
            </w:rPr>
            <w:t xml:space="preserve"> 附件</w:t>
          </w:r>
          <w:r>
            <w:rPr>
              <w:sz w:val="28"/>
              <w:szCs w:val="28"/>
            </w:rPr>
            <w:tab/>
          </w:r>
          <w:r>
            <w:rPr>
              <w:sz w:val="28"/>
              <w:szCs w:val="28"/>
            </w:rPr>
            <w:fldChar w:fldCharType="begin"/>
          </w:r>
          <w:r>
            <w:rPr>
              <w:sz w:val="28"/>
              <w:szCs w:val="28"/>
            </w:rPr>
            <w:instrText xml:space="preserve"> PAGEREF _Toc13591 \h </w:instrText>
          </w:r>
          <w:r>
            <w:rPr>
              <w:sz w:val="28"/>
              <w:szCs w:val="28"/>
            </w:rPr>
            <w:fldChar w:fldCharType="separate"/>
          </w:r>
          <w:r>
            <w:rPr>
              <w:sz w:val="28"/>
              <w:szCs w:val="28"/>
            </w:rPr>
            <w:t>- 18 -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2AF0EF9B">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_Toc7625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kern w:val="0"/>
              <w:sz w:val="28"/>
              <w:szCs w:val="28"/>
              <w:highlight w:val="none"/>
              <w:shd w:val="clear" w:color="auto" w:fill="FFFFFF"/>
              <w:lang w:val="zh-CN"/>
            </w:rPr>
            <w:t>一、单位基本情况</w:t>
          </w:r>
          <w:r>
            <w:rPr>
              <w:sz w:val="28"/>
              <w:szCs w:val="28"/>
            </w:rPr>
            <w:tab/>
          </w:r>
          <w:r>
            <w:rPr>
              <w:sz w:val="28"/>
              <w:szCs w:val="28"/>
            </w:rPr>
            <w:fldChar w:fldCharType="begin"/>
          </w:r>
          <w:r>
            <w:rPr>
              <w:sz w:val="28"/>
              <w:szCs w:val="28"/>
            </w:rPr>
            <w:instrText xml:space="preserve"> PAGEREF _Toc7625 \h </w:instrText>
          </w:r>
          <w:r>
            <w:rPr>
              <w:sz w:val="28"/>
              <w:szCs w:val="28"/>
            </w:rPr>
            <w:fldChar w:fldCharType="separate"/>
          </w:r>
          <w:r>
            <w:rPr>
              <w:sz w:val="28"/>
              <w:szCs w:val="28"/>
            </w:rPr>
            <w:t>- 18 -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47B6DC8E">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_Toc15954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kern w:val="0"/>
              <w:sz w:val="28"/>
              <w:szCs w:val="28"/>
              <w:highlight w:val="none"/>
              <w:shd w:val="clear" w:color="auto" w:fill="FFFFFF"/>
              <w:lang w:val="zh-CN" w:eastAsia="zh-CN"/>
            </w:rPr>
            <w:t>二、</w:t>
          </w:r>
          <w:r>
            <w:rPr>
              <w:rFonts w:hint="eastAsia" w:eastAsia="黑体" w:cs="Times New Roman"/>
              <w:kern w:val="0"/>
              <w:sz w:val="28"/>
              <w:szCs w:val="28"/>
              <w:highlight w:val="none"/>
              <w:shd w:val="clear" w:color="auto" w:fill="FFFFFF"/>
              <w:lang w:val="en-US" w:eastAsia="zh-CN"/>
            </w:rPr>
            <w:t>单位</w:t>
          </w:r>
          <w:r>
            <w:rPr>
              <w:rFonts w:hint="default" w:ascii="Times New Roman" w:hAnsi="Times New Roman" w:eastAsia="黑体" w:cs="Times New Roman"/>
              <w:kern w:val="0"/>
              <w:sz w:val="28"/>
              <w:szCs w:val="28"/>
              <w:highlight w:val="none"/>
              <w:shd w:val="clear" w:color="auto" w:fill="FFFFFF"/>
              <w:lang w:val="zh-CN" w:eastAsia="zh-CN"/>
            </w:rPr>
            <w:t>资金收支情况</w:t>
          </w:r>
          <w:r>
            <w:rPr>
              <w:sz w:val="28"/>
              <w:szCs w:val="28"/>
            </w:rPr>
            <w:tab/>
          </w:r>
          <w:r>
            <w:rPr>
              <w:sz w:val="28"/>
              <w:szCs w:val="28"/>
            </w:rPr>
            <w:fldChar w:fldCharType="begin"/>
          </w:r>
          <w:r>
            <w:rPr>
              <w:sz w:val="28"/>
              <w:szCs w:val="28"/>
            </w:rPr>
            <w:instrText xml:space="preserve"> PAGEREF _Toc15954 \h </w:instrText>
          </w:r>
          <w:r>
            <w:rPr>
              <w:sz w:val="28"/>
              <w:szCs w:val="28"/>
            </w:rPr>
            <w:fldChar w:fldCharType="separate"/>
          </w:r>
          <w:r>
            <w:rPr>
              <w:sz w:val="28"/>
              <w:szCs w:val="28"/>
            </w:rPr>
            <w:t>- 18 -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3666E4C1">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_Toc14285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kern w:val="0"/>
              <w:sz w:val="28"/>
              <w:szCs w:val="28"/>
              <w:highlight w:val="none"/>
              <w:shd w:val="clear" w:color="auto" w:fill="FFFFFF"/>
              <w:lang w:val="zh-CN" w:eastAsia="zh-CN"/>
            </w:rPr>
            <w:t>三、</w:t>
          </w:r>
          <w:r>
            <w:rPr>
              <w:rFonts w:hint="eastAsia" w:eastAsia="黑体" w:cs="Times New Roman"/>
              <w:kern w:val="0"/>
              <w:sz w:val="28"/>
              <w:szCs w:val="28"/>
              <w:highlight w:val="none"/>
              <w:shd w:val="clear" w:color="auto" w:fill="FFFFFF"/>
              <w:lang w:val="en-US" w:eastAsia="zh-CN"/>
            </w:rPr>
            <w:t>单位</w:t>
          </w:r>
          <w:r>
            <w:rPr>
              <w:rFonts w:hint="default" w:ascii="Times New Roman" w:hAnsi="Times New Roman" w:eastAsia="黑体" w:cs="Times New Roman"/>
              <w:kern w:val="0"/>
              <w:sz w:val="28"/>
              <w:szCs w:val="28"/>
              <w:highlight w:val="none"/>
              <w:shd w:val="clear" w:color="auto" w:fill="FFFFFF"/>
              <w:lang w:val="zh-CN" w:eastAsia="zh-CN"/>
            </w:rPr>
            <w:t>预算绩效分析</w:t>
          </w:r>
          <w:r>
            <w:rPr>
              <w:sz w:val="28"/>
              <w:szCs w:val="28"/>
            </w:rPr>
            <w:tab/>
          </w:r>
          <w:r>
            <w:rPr>
              <w:sz w:val="28"/>
              <w:szCs w:val="28"/>
            </w:rPr>
            <w:fldChar w:fldCharType="begin"/>
          </w:r>
          <w:r>
            <w:rPr>
              <w:sz w:val="28"/>
              <w:szCs w:val="28"/>
            </w:rPr>
            <w:instrText xml:space="preserve"> PAGEREF _Toc14285 \h </w:instrText>
          </w:r>
          <w:r>
            <w:rPr>
              <w:sz w:val="28"/>
              <w:szCs w:val="28"/>
            </w:rPr>
            <w:fldChar w:fldCharType="separate"/>
          </w:r>
          <w:r>
            <w:rPr>
              <w:sz w:val="28"/>
              <w:szCs w:val="28"/>
            </w:rPr>
            <w:t>- 18 -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6E49ECEB">
          <w:pPr>
            <w:pStyle w:val="14"/>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_Toc14664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kern w:val="0"/>
              <w:sz w:val="28"/>
              <w:szCs w:val="28"/>
              <w:highlight w:val="none"/>
              <w:shd w:val="clear" w:color="auto" w:fill="FFFFFF"/>
              <w:lang w:val="zh-CN" w:eastAsia="zh-CN"/>
            </w:rPr>
            <w:t>四、</w:t>
          </w:r>
          <w:r>
            <w:rPr>
              <w:rFonts w:hint="default" w:ascii="Times New Roman" w:hAnsi="Times New Roman" w:eastAsia="黑体" w:cs="Times New Roman"/>
              <w:kern w:val="0"/>
              <w:sz w:val="28"/>
              <w:szCs w:val="28"/>
              <w:highlight w:val="none"/>
              <w:shd w:val="clear" w:color="auto" w:fill="FFFFFF"/>
              <w:lang w:val="zh-CN"/>
            </w:rPr>
            <w:t>评价结论及建议</w:t>
          </w:r>
          <w:r>
            <w:rPr>
              <w:sz w:val="28"/>
              <w:szCs w:val="28"/>
            </w:rPr>
            <w:tab/>
          </w:r>
          <w:r>
            <w:rPr>
              <w:sz w:val="28"/>
              <w:szCs w:val="28"/>
            </w:rPr>
            <w:fldChar w:fldCharType="begin"/>
          </w:r>
          <w:r>
            <w:rPr>
              <w:sz w:val="28"/>
              <w:szCs w:val="28"/>
            </w:rPr>
            <w:instrText xml:space="preserve"> PAGEREF _Toc14664 \h </w:instrText>
          </w:r>
          <w:r>
            <w:rPr>
              <w:sz w:val="28"/>
              <w:szCs w:val="28"/>
            </w:rPr>
            <w:fldChar w:fldCharType="separate"/>
          </w:r>
          <w:r>
            <w:rPr>
              <w:sz w:val="28"/>
              <w:szCs w:val="28"/>
            </w:rPr>
            <w:t>- 21 -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5F5719C5">
          <w:pPr>
            <w:pStyle w:val="12"/>
            <w:tabs>
              <w:tab w:val="right" w:leader="dot" w:pos="8306"/>
              <w:tab w:val="clear" w:pos="8296"/>
            </w:tabs>
            <w:rPr>
              <w:sz w:val="28"/>
              <w:szCs w:val="28"/>
            </w:rPr>
          </w:pPr>
          <w:r>
            <w:rPr>
              <w:rFonts w:hint="default" w:ascii="Times New Roman" w:hAnsi="Times New Roman" w:eastAsia="方正小标宋简体" w:cs="Times New Roman"/>
              <w:color w:val="auto"/>
              <w:sz w:val="28"/>
              <w:szCs w:val="28"/>
              <w:highlight w:val="none"/>
            </w:rPr>
            <w:fldChar w:fldCharType="begin"/>
          </w:r>
          <w:r>
            <w:rPr>
              <w:rFonts w:hint="default" w:ascii="Times New Roman" w:hAnsi="Times New Roman" w:eastAsia="方正小标宋简体" w:cs="Times New Roman"/>
              <w:sz w:val="28"/>
              <w:szCs w:val="28"/>
              <w:highlight w:val="none"/>
            </w:rPr>
            <w:instrText xml:space="preserve"> HYPERLINK \l _Toc11645 </w:instrText>
          </w:r>
          <w:r>
            <w:rPr>
              <w:rFonts w:hint="default" w:ascii="Times New Roman" w:hAnsi="Times New Roman" w:eastAsia="方正小标宋简体" w:cs="Times New Roman"/>
              <w:sz w:val="28"/>
              <w:szCs w:val="28"/>
              <w:highlight w:val="none"/>
            </w:rPr>
            <w:fldChar w:fldCharType="separate"/>
          </w:r>
          <w:r>
            <w:rPr>
              <w:rFonts w:hint="default" w:ascii="Times New Roman" w:hAnsi="Times New Roman" w:eastAsia="黑体" w:cs="Times New Roman"/>
              <w:sz w:val="28"/>
              <w:szCs w:val="28"/>
              <w:highlight w:val="none"/>
            </w:rPr>
            <w:t>第五部分 附表</w:t>
          </w:r>
          <w:r>
            <w:rPr>
              <w:sz w:val="28"/>
              <w:szCs w:val="28"/>
            </w:rPr>
            <w:tab/>
          </w:r>
          <w:r>
            <w:rPr>
              <w:sz w:val="28"/>
              <w:szCs w:val="28"/>
            </w:rPr>
            <w:fldChar w:fldCharType="begin"/>
          </w:r>
          <w:r>
            <w:rPr>
              <w:sz w:val="28"/>
              <w:szCs w:val="28"/>
            </w:rPr>
            <w:instrText xml:space="preserve"> PAGEREF _Toc11645 \h </w:instrText>
          </w:r>
          <w:r>
            <w:rPr>
              <w:sz w:val="28"/>
              <w:szCs w:val="28"/>
            </w:rPr>
            <w:fldChar w:fldCharType="separate"/>
          </w:r>
          <w:r>
            <w:rPr>
              <w:sz w:val="28"/>
              <w:szCs w:val="28"/>
            </w:rPr>
            <w:t>- 24 -</w:t>
          </w:r>
          <w:r>
            <w:rPr>
              <w:sz w:val="28"/>
              <w:szCs w:val="28"/>
            </w:rPr>
            <w:fldChar w:fldCharType="end"/>
          </w:r>
          <w:r>
            <w:rPr>
              <w:rFonts w:hint="default" w:ascii="Times New Roman" w:hAnsi="Times New Roman" w:eastAsia="方正小标宋简体" w:cs="Times New Roman"/>
              <w:color w:val="auto"/>
              <w:sz w:val="28"/>
              <w:szCs w:val="28"/>
              <w:highlight w:val="none"/>
            </w:rPr>
            <w:fldChar w:fldCharType="end"/>
          </w:r>
        </w:p>
        <w:p w14:paraId="0781C402">
          <w:pPr>
            <w:pStyle w:val="7"/>
            <w:rPr>
              <w:rFonts w:hint="default" w:ascii="Times New Roman" w:hAnsi="Times New Roman" w:eastAsia="方正小标宋简体" w:cs="Times New Roman"/>
              <w:b w:val="0"/>
              <w:color w:val="auto"/>
              <w:highlight w:val="none"/>
            </w:rPr>
          </w:pPr>
          <w:r>
            <w:rPr>
              <w:rFonts w:hint="default" w:ascii="Times New Roman" w:hAnsi="Times New Roman" w:eastAsia="方正小标宋简体" w:cs="Times New Roman"/>
              <w:color w:val="auto"/>
              <w:sz w:val="28"/>
              <w:szCs w:val="28"/>
              <w:highlight w:val="none"/>
            </w:rPr>
            <w:fldChar w:fldCharType="end"/>
          </w:r>
          <w:bookmarkStart w:id="8" w:name="_Toc23966"/>
        </w:p>
      </w:sdtContent>
    </w:sdt>
    <w:p w14:paraId="6452CEC4">
      <w:pPr>
        <w:rPr>
          <w:rFonts w:hint="default"/>
        </w:rPr>
      </w:pPr>
    </w:p>
    <w:p w14:paraId="6BD82D40">
      <w:pPr>
        <w:pStyle w:val="2"/>
        <w:jc w:val="center"/>
        <w:rPr>
          <w:rFonts w:hint="default" w:ascii="Times New Roman" w:hAnsi="Times New Roman" w:eastAsia="黑体" w:cs="Times New Roman"/>
          <w:color w:val="auto"/>
          <w:sz w:val="32"/>
          <w:szCs w:val="32"/>
          <w:highlight w:val="none"/>
        </w:rPr>
      </w:pPr>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eastAsia" w:eastAsia="方正小标宋简体" w:cs="Times New Roman"/>
          <w:b w:val="0"/>
          <w:color w:val="auto"/>
          <w:highlight w:val="none"/>
          <w:lang w:val="en-US" w:eastAsia="zh-CN"/>
        </w:rPr>
        <w:t>单位</w:t>
      </w:r>
      <w:r>
        <w:rPr>
          <w:rStyle w:val="28"/>
          <w:rFonts w:hint="default" w:ascii="Times New Roman" w:hAnsi="Times New Roman" w:eastAsia="方正小标宋简体" w:cs="Times New Roman"/>
          <w:b w:val="0"/>
          <w:bCs w:val="0"/>
          <w:color w:val="auto"/>
          <w:highlight w:val="none"/>
        </w:rPr>
        <w:t>概况</w:t>
      </w:r>
      <w:bookmarkEnd w:id="6"/>
      <w:bookmarkEnd w:id="7"/>
      <w:bookmarkEnd w:id="8"/>
    </w:p>
    <w:p w14:paraId="57091AC2">
      <w:pPr>
        <w:pStyle w:val="3"/>
        <w:ind w:firstLine="640" w:firstLineChars="200"/>
        <w:rPr>
          <w:rFonts w:hint="default" w:ascii="Times New Roman" w:hAnsi="Times New Roman" w:eastAsia="黑体" w:cs="Times New Roman"/>
          <w:b w:val="0"/>
          <w:color w:val="auto"/>
          <w:highlight w:val="none"/>
          <w:lang w:eastAsia="zh-CN"/>
        </w:rPr>
      </w:pPr>
      <w:bookmarkStart w:id="9" w:name="_Toc15396600"/>
      <w:bookmarkStart w:id="10" w:name="_Toc15377197"/>
      <w:bookmarkStart w:id="11" w:name="_Toc27984"/>
      <w:r>
        <w:rPr>
          <w:rFonts w:hint="default" w:ascii="Times New Roman" w:hAnsi="Times New Roman" w:eastAsia="黑体" w:cs="Times New Roman"/>
          <w:b w:val="0"/>
          <w:color w:val="auto"/>
          <w:highlight w:val="none"/>
        </w:rPr>
        <w:t>一、</w:t>
      </w:r>
      <w:bookmarkEnd w:id="9"/>
      <w:bookmarkEnd w:id="10"/>
      <w:r>
        <w:rPr>
          <w:rFonts w:hint="eastAsia" w:ascii="Times New Roman" w:hAnsi="Times New Roman" w:eastAsia="黑体" w:cs="Times New Roman"/>
          <w:b w:val="0"/>
          <w:color w:val="auto"/>
          <w:highlight w:val="none"/>
          <w:lang w:val="en-US" w:eastAsia="zh-CN"/>
        </w:rPr>
        <w:t>单位</w:t>
      </w:r>
      <w:r>
        <w:rPr>
          <w:rFonts w:hint="default" w:ascii="Times New Roman" w:hAnsi="Times New Roman" w:eastAsia="黑体" w:cs="Times New Roman"/>
          <w:b w:val="0"/>
          <w:color w:val="auto"/>
          <w:highlight w:val="none"/>
          <w:lang w:eastAsia="zh-CN"/>
        </w:rPr>
        <w:t>职责</w:t>
      </w:r>
      <w:bookmarkEnd w:id="11"/>
    </w:p>
    <w:p w14:paraId="7D54436F">
      <w:pPr>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一是收集和接收本馆保管范围内对国家和社会有保存价值的档案。</w:t>
      </w:r>
    </w:p>
    <w:p w14:paraId="2E09945F">
      <w:pPr>
        <w:pStyle w:val="5"/>
        <w:pageBreakBefore w:val="0"/>
        <w:widowControl w:val="0"/>
        <w:kinsoku/>
        <w:wordWrap/>
        <w:overflowPunct/>
        <w:topLinePunct w:val="0"/>
        <w:autoSpaceDE/>
        <w:autoSpaceDN/>
        <w:bidi w:val="0"/>
        <w:adjustRightInd/>
        <w:snapToGrid/>
        <w:spacing w:before="93"/>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rPr>
        <w:t>二是对所保存的档案严格按照规定整理和保管。</w:t>
      </w:r>
    </w:p>
    <w:p w14:paraId="6D65A7BD">
      <w:pPr>
        <w:pStyle w:val="5"/>
        <w:pageBreakBefore w:val="0"/>
        <w:widowControl w:val="0"/>
        <w:kinsoku/>
        <w:wordWrap/>
        <w:overflowPunct/>
        <w:topLinePunct w:val="0"/>
        <w:autoSpaceDE/>
        <w:autoSpaceDN/>
        <w:bidi w:val="0"/>
        <w:adjustRightInd/>
        <w:snapToGrid/>
        <w:spacing w:before="93"/>
        <w:ind w:firstLine="640" w:firstLineChars="200"/>
        <w:textAlignment w:val="auto"/>
        <w:rPr>
          <w:rFonts w:hint="default" w:ascii="Times New Roman" w:hAnsi="Times New Roman" w:cs="Times New Roman"/>
          <w:lang w:eastAsia="zh-CN"/>
        </w:rPr>
      </w:pPr>
      <w:r>
        <w:rPr>
          <w:rFonts w:hint="default" w:ascii="Times New Roman" w:hAnsi="Times New Roman" w:eastAsia="仿宋" w:cs="Times New Roman"/>
          <w:kern w:val="2"/>
          <w:sz w:val="32"/>
          <w:szCs w:val="32"/>
        </w:rPr>
        <w:t>三是采用各种形式开发档案资源，为社会利用档案资源提供服务。</w:t>
      </w:r>
    </w:p>
    <w:p w14:paraId="5ECFB3FE">
      <w:pPr>
        <w:pStyle w:val="3"/>
        <w:ind w:firstLine="640" w:firstLineChars="200"/>
        <w:rPr>
          <w:rStyle w:val="29"/>
          <w:rFonts w:hint="default" w:ascii="Times New Roman" w:hAnsi="Times New Roman" w:cs="Times New Roman"/>
          <w:b w:val="0"/>
          <w:bCs w:val="0"/>
          <w:color w:val="auto"/>
          <w:highlight w:val="none"/>
        </w:rPr>
      </w:pPr>
      <w:bookmarkStart w:id="12" w:name="_Toc15396601"/>
      <w:bookmarkStart w:id="13" w:name="_Toc5667"/>
      <w:bookmarkStart w:id="14" w:name="_Toc15377200"/>
      <w:r>
        <w:rPr>
          <w:rFonts w:hint="default" w:ascii="Times New Roman" w:hAnsi="Times New Roman" w:eastAsia="黑体" w:cs="Times New Roman"/>
          <w:b w:val="0"/>
          <w:color w:val="auto"/>
          <w:highlight w:val="none"/>
        </w:rPr>
        <w:t>二、机</w:t>
      </w:r>
      <w:r>
        <w:rPr>
          <w:rStyle w:val="29"/>
          <w:rFonts w:hint="default" w:ascii="Times New Roman" w:hAnsi="Times New Roman" w:eastAsia="黑体" w:cs="Times New Roman"/>
          <w:b w:val="0"/>
          <w:bCs w:val="0"/>
          <w:color w:val="auto"/>
          <w:highlight w:val="none"/>
        </w:rPr>
        <w:t>构设置</w:t>
      </w:r>
      <w:bookmarkEnd w:id="12"/>
      <w:bookmarkEnd w:id="13"/>
      <w:bookmarkEnd w:id="14"/>
    </w:p>
    <w:p w14:paraId="4E62512D">
      <w:pPr>
        <w:ind w:firstLine="800" w:firstLineChars="25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西区档案馆为一级预算单位（参照公务员法管理的事业单位）。下属二级预算单位0个，其中行政单位0个，参照公务员法管理的事业单位</w:t>
      </w:r>
      <w:r>
        <w:rPr>
          <w:rFonts w:hint="default" w:ascii="Times New Roman" w:hAnsi="Times New Roman" w:eastAsia="仿宋" w:cs="Times New Roman"/>
          <w:bCs/>
          <w:sz w:val="32"/>
          <w:szCs w:val="32"/>
        </w:rPr>
        <w:t>0</w:t>
      </w:r>
      <w:r>
        <w:rPr>
          <w:rFonts w:hint="default" w:ascii="Times New Roman" w:hAnsi="Times New Roman" w:eastAsia="仿宋" w:cs="Times New Roman"/>
          <w:sz w:val="32"/>
          <w:szCs w:val="32"/>
        </w:rPr>
        <w:t>个，其他事业单位0个。</w:t>
      </w:r>
    </w:p>
    <w:p w14:paraId="535F553D">
      <w:pPr>
        <w:widowControl/>
        <w:ind w:firstLine="640" w:firstLineChars="200"/>
        <w:jc w:val="left"/>
        <w:rPr>
          <w:rFonts w:hint="eastAsia" w:ascii="Times New Roman" w:hAnsi="Times New Roman" w:eastAsia="仿宋" w:cs="Times New Roman"/>
          <w:color w:val="auto"/>
          <w:kern w:val="0"/>
          <w:sz w:val="32"/>
          <w:szCs w:val="32"/>
          <w:highlight w:val="none"/>
          <w:lang w:val="en-US" w:eastAsia="zh-CN"/>
        </w:rPr>
      </w:pPr>
      <w:r>
        <w:rPr>
          <w:rFonts w:hint="default" w:ascii="Times New Roman" w:hAnsi="Times New Roman" w:eastAsia="仿宋" w:cs="Times New Roman"/>
          <w:sz w:val="32"/>
          <w:szCs w:val="32"/>
          <w:lang w:val="en-US" w:eastAsia="zh-CN"/>
        </w:rPr>
        <w:t>无</w:t>
      </w:r>
      <w:r>
        <w:rPr>
          <w:rFonts w:hint="default" w:ascii="Times New Roman" w:hAnsi="Times New Roman" w:eastAsia="仿宋" w:cs="Times New Roman"/>
          <w:sz w:val="32"/>
          <w:szCs w:val="32"/>
        </w:rPr>
        <w:t>纳入西区档案馆202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年度</w:t>
      </w:r>
      <w:r>
        <w:rPr>
          <w:rFonts w:hint="eastAsia" w:eastAsia="仿宋" w:cs="Times New Roman"/>
          <w:sz w:val="32"/>
          <w:szCs w:val="32"/>
          <w:lang w:val="en-US" w:eastAsia="zh-CN"/>
        </w:rPr>
        <w:t>单位</w:t>
      </w:r>
      <w:r>
        <w:rPr>
          <w:rFonts w:hint="default" w:ascii="Times New Roman" w:hAnsi="Times New Roman" w:eastAsia="仿宋" w:cs="Times New Roman"/>
          <w:sz w:val="32"/>
          <w:szCs w:val="32"/>
        </w:rPr>
        <w:t>决算编制范围的二级</w:t>
      </w:r>
      <w:r>
        <w:rPr>
          <w:rFonts w:hint="eastAsia" w:eastAsia="仿宋" w:cs="Times New Roman"/>
          <w:sz w:val="32"/>
          <w:szCs w:val="32"/>
          <w:lang w:val="en-US" w:eastAsia="zh-CN"/>
        </w:rPr>
        <w:t>单位。</w:t>
      </w:r>
    </w:p>
    <w:p w14:paraId="183CDEAB">
      <w:pPr>
        <w:pStyle w:val="2"/>
        <w:jc w:val="both"/>
        <w:outlineLvl w:val="9"/>
        <w:rPr>
          <w:rFonts w:hint="default" w:ascii="Times New Roman" w:hAnsi="Times New Roman" w:eastAsia="方正小标宋简体" w:cs="Times New Roman"/>
          <w:b w:val="0"/>
          <w:color w:val="auto"/>
          <w:highlight w:val="none"/>
        </w:rPr>
      </w:pPr>
      <w:bookmarkStart w:id="15" w:name="_Toc15377204"/>
      <w:bookmarkStart w:id="16" w:name="_Toc15396602"/>
    </w:p>
    <w:p w14:paraId="02375C77">
      <w:pPr>
        <w:rPr>
          <w:rFonts w:hint="default" w:ascii="Times New Roman" w:hAnsi="Times New Roman" w:eastAsia="方正小标宋简体" w:cs="Times New Roman"/>
          <w:b w:val="0"/>
          <w:color w:val="auto"/>
          <w:highlight w:val="none"/>
        </w:rPr>
      </w:pPr>
    </w:p>
    <w:p w14:paraId="1D49823C">
      <w:pPr>
        <w:pStyle w:val="5"/>
        <w:rPr>
          <w:rFonts w:hint="default" w:ascii="Times New Roman" w:hAnsi="Times New Roman" w:cs="Times New Roman"/>
        </w:rPr>
      </w:pPr>
    </w:p>
    <w:p w14:paraId="706E3D96">
      <w:pPr>
        <w:pStyle w:val="2"/>
        <w:jc w:val="center"/>
        <w:rPr>
          <w:rFonts w:hint="default" w:ascii="Times New Roman" w:hAnsi="Times New Roman" w:eastAsia="方正小标宋简体" w:cs="Times New Roman"/>
          <w:b w:val="0"/>
          <w:color w:val="auto"/>
          <w:highlight w:val="none"/>
        </w:rPr>
      </w:pPr>
      <w:bookmarkStart w:id="17" w:name="_Toc30691"/>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eastAsia" w:eastAsia="方正小标宋简体" w:cs="Times New Roman"/>
          <w:b w:val="0"/>
          <w:color w:val="auto"/>
          <w:highlight w:val="none"/>
          <w:lang w:val="en-US" w:eastAsia="zh-CN"/>
        </w:rPr>
        <w:t>单位</w:t>
      </w:r>
      <w:r>
        <w:rPr>
          <w:rFonts w:hint="default" w:ascii="Times New Roman" w:hAnsi="Times New Roman" w:eastAsia="方正小标宋简体" w:cs="Times New Roman"/>
          <w:b w:val="0"/>
          <w:color w:val="auto"/>
          <w:highlight w:val="none"/>
        </w:rPr>
        <w:t>决算情况说明</w:t>
      </w:r>
      <w:bookmarkEnd w:id="15"/>
      <w:bookmarkEnd w:id="16"/>
      <w:bookmarkEnd w:id="17"/>
    </w:p>
    <w:p w14:paraId="7B803CD0">
      <w:pPr>
        <w:rPr>
          <w:rFonts w:hint="default" w:ascii="Times New Roman" w:hAnsi="Times New Roman" w:cs="Times New Roman"/>
          <w:color w:val="auto"/>
          <w:highlight w:val="none"/>
        </w:rPr>
      </w:pPr>
    </w:p>
    <w:p w14:paraId="2D24C2E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18" w:name="_Toc15396603"/>
      <w:bookmarkStart w:id="19" w:name="_Toc21035"/>
      <w:bookmarkStart w:id="20" w:name="_Toc15377205"/>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18"/>
      <w:bookmarkEnd w:id="19"/>
      <w:bookmarkEnd w:id="20"/>
    </w:p>
    <w:p w14:paraId="2A0EC77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val="en-US" w:eastAsia="zh-CN"/>
        </w:rPr>
      </w:pPr>
      <w:bookmarkStart w:id="21" w:name="_Toc18469"/>
      <w:bookmarkStart w:id="22" w:name="_Toc29166"/>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189.03</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w:t>
      </w:r>
      <w:r>
        <w:rPr>
          <w:rFonts w:hint="default" w:ascii="Times New Roman" w:hAnsi="Times New Roman" w:eastAsia="仿宋_GB2312" w:cs="Times New Roman"/>
          <w:color w:val="auto"/>
          <w:sz w:val="32"/>
          <w:szCs w:val="32"/>
          <w:highlight w:val="none"/>
          <w:lang w:val="en-US" w:eastAsia="zh-CN"/>
        </w:rPr>
        <w:t>41.5</w:t>
      </w:r>
      <w:r>
        <w:rPr>
          <w:rFonts w:hint="default" w:ascii="Times New Roman" w:hAnsi="Times New Roman" w:eastAsia="仿宋_GB2312" w:cs="Times New Roman"/>
          <w:color w:val="auto"/>
          <w:sz w:val="32"/>
          <w:szCs w:val="32"/>
          <w:highlight w:val="none"/>
        </w:rPr>
        <w:t>万元，增长</w:t>
      </w:r>
      <w:r>
        <w:rPr>
          <w:rFonts w:hint="default" w:ascii="Times New Roman" w:hAnsi="Times New Roman" w:eastAsia="仿宋_GB2312" w:cs="Times New Roman"/>
          <w:color w:val="auto"/>
          <w:sz w:val="32"/>
          <w:szCs w:val="32"/>
          <w:highlight w:val="none"/>
          <w:lang w:val="en-US" w:eastAsia="zh-CN"/>
        </w:rPr>
        <w:t>28.13</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增加项目经费收支，支付档案数字化加工服务费用。</w:t>
      </w:r>
      <w:bookmarkEnd w:id="21"/>
      <w:bookmarkEnd w:id="22"/>
    </w:p>
    <w:p w14:paraId="17CBAFA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 w:cs="Times New Roman"/>
          <w:color w:val="auto"/>
          <w:kern w:val="0"/>
          <w:sz w:val="32"/>
          <w:szCs w:val="32"/>
          <w:highlight w:val="none"/>
          <w:lang w:eastAsia="zh-CN"/>
        </w:rPr>
        <w:drawing>
          <wp:anchor distT="0" distB="0" distL="114300" distR="114300" simplePos="0" relativeHeight="251659264" behindDoc="1" locked="0" layoutInCell="1" allowOverlap="1">
            <wp:simplePos x="0" y="0"/>
            <wp:positionH relativeFrom="column">
              <wp:posOffset>685800</wp:posOffset>
            </wp:positionH>
            <wp:positionV relativeFrom="paragraph">
              <wp:posOffset>86360</wp:posOffset>
            </wp:positionV>
            <wp:extent cx="3943985" cy="2198370"/>
            <wp:effectExtent l="4445" t="4445" r="13970" b="6985"/>
            <wp:wrapTight wrapText="bothSides">
              <wp:wrapPolygon>
                <wp:start x="-24" y="-44"/>
                <wp:lineTo x="-24" y="21481"/>
                <wp:lineTo x="21572" y="21481"/>
                <wp:lineTo x="21572" y="-44"/>
                <wp:lineTo x="-24" y="-44"/>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59BA49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p>
    <w:p w14:paraId="2E8EC30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p>
    <w:p w14:paraId="5469366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p>
    <w:p w14:paraId="62D751D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p>
    <w:p w14:paraId="68D90D7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color w:val="auto"/>
          <w:sz w:val="32"/>
          <w:szCs w:val="32"/>
          <w:highlight w:val="none"/>
          <w:lang w:val="en-US" w:eastAsia="zh-CN"/>
        </w:rPr>
      </w:pPr>
    </w:p>
    <w:p w14:paraId="3B44D9C0">
      <w:pPr>
        <w:keepNext w:val="0"/>
        <w:keepLines w:val="0"/>
        <w:pageBreakBefore w:val="0"/>
        <w:widowControl w:val="0"/>
        <w:kinsoku/>
        <w:wordWrap/>
        <w:overflowPunct/>
        <w:topLinePunct w:val="0"/>
        <w:autoSpaceDE/>
        <w:autoSpaceDN/>
        <w:bidi w:val="0"/>
        <w:adjustRightInd/>
        <w:snapToGrid/>
        <w:ind w:firstLine="1280" w:firstLineChars="4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14:paraId="0978AF6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3" w:name="_Toc3442"/>
      <w:bookmarkStart w:id="24" w:name="_Toc15377206"/>
      <w:bookmarkStart w:id="25" w:name="_Toc15396604"/>
      <w:r>
        <w:rPr>
          <w:rFonts w:hint="default" w:ascii="Times New Roman" w:hAnsi="Times New Roman" w:eastAsia="黑体" w:cs="Times New Roman"/>
          <w:color w:val="auto"/>
          <w:sz w:val="32"/>
          <w:szCs w:val="32"/>
          <w:highlight w:val="none"/>
          <w:lang w:eastAsia="zh-CN"/>
        </w:rPr>
        <w:t>二、收入决算情况说明</w:t>
      </w:r>
      <w:bookmarkEnd w:id="23"/>
      <w:bookmarkEnd w:id="24"/>
      <w:bookmarkEnd w:id="25"/>
    </w:p>
    <w:p w14:paraId="05FE5E3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bookmarkStart w:id="26" w:name="_Toc18028"/>
      <w:bookmarkStart w:id="27" w:name="_Toc26316"/>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189.03万元，其中：一般公共预算财政拨款收入169.03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89.41</w:t>
      </w:r>
      <w:r>
        <w:rPr>
          <w:rFonts w:hint="default" w:ascii="Times New Roman" w:hAnsi="Times New Roman" w:eastAsia="仿宋_GB2312" w:cs="Times New Roman"/>
          <w:color w:val="auto"/>
          <w:sz w:val="32"/>
          <w:szCs w:val="32"/>
          <w:highlight w:val="none"/>
          <w:lang w:eastAsia="zh-CN"/>
        </w:rPr>
        <w:t>%；国有资本经营预算财政拨款收入</w:t>
      </w:r>
      <w:r>
        <w:rPr>
          <w:rFonts w:hint="default" w:ascii="Times New Roman" w:hAnsi="Times New Roman" w:eastAsia="仿宋_GB2312" w:cs="Times New Roman"/>
          <w:sz w:val="32"/>
          <w:szCs w:val="32"/>
        </w:rPr>
        <w:t>20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10.58</w:t>
      </w:r>
      <w:r>
        <w:rPr>
          <w:rFonts w:hint="default" w:ascii="Times New Roman" w:hAnsi="Times New Roman" w:eastAsia="仿宋_GB2312" w:cs="Times New Roman"/>
          <w:color w:val="auto"/>
          <w:sz w:val="32"/>
          <w:szCs w:val="32"/>
          <w:highlight w:val="none"/>
          <w:lang w:eastAsia="zh-CN"/>
        </w:rPr>
        <w:t>%。</w:t>
      </w:r>
      <w:bookmarkEnd w:id="26"/>
      <w:bookmarkEnd w:id="27"/>
    </w:p>
    <w:p w14:paraId="43132F7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690245</wp:posOffset>
            </wp:positionH>
            <wp:positionV relativeFrom="paragraph">
              <wp:posOffset>59055</wp:posOffset>
            </wp:positionV>
            <wp:extent cx="3842385" cy="2652395"/>
            <wp:effectExtent l="4445" t="4445" r="20320" b="10160"/>
            <wp:wrapTight wrapText="bothSides">
              <wp:wrapPolygon>
                <wp:start x="-25" y="-36"/>
                <wp:lineTo x="-25" y="21528"/>
                <wp:lineTo x="21500" y="21528"/>
                <wp:lineTo x="21500" y="-36"/>
                <wp:lineTo x="-25" y="-36"/>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FB07FC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4EA96A5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6C15605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37FC63B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5F9968C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9"/>
        <w:rPr>
          <w:rFonts w:hint="default" w:ascii="Times New Roman" w:hAnsi="Times New Roman" w:eastAsia="仿宋_GB2312" w:cs="Times New Roman"/>
          <w:color w:val="auto"/>
          <w:sz w:val="32"/>
          <w:szCs w:val="32"/>
          <w:highlight w:val="none"/>
          <w:lang w:eastAsia="zh-CN"/>
        </w:rPr>
      </w:pPr>
    </w:p>
    <w:p w14:paraId="708D9A5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3A182DAD">
      <w:pPr>
        <w:ind w:firstLine="2080" w:firstLineChars="6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14:paraId="19BDC54A">
      <w:pPr>
        <w:ind w:firstLine="800" w:firstLineChars="250"/>
        <w:rPr>
          <w:rFonts w:hint="default" w:ascii="Times New Roman" w:hAnsi="Times New Roman" w:eastAsia="仿宋_GB2312" w:cs="Times New Roman"/>
          <w:color w:val="auto"/>
          <w:sz w:val="32"/>
          <w:szCs w:val="32"/>
          <w:highlight w:val="none"/>
          <w:lang w:eastAsia="zh-CN"/>
        </w:rPr>
      </w:pPr>
    </w:p>
    <w:p w14:paraId="38FD0CE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28" w:name="_Toc15377207"/>
      <w:bookmarkStart w:id="29" w:name="_Toc16944"/>
      <w:bookmarkStart w:id="30" w:name="_Toc15396605"/>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28"/>
      <w:bookmarkEnd w:id="29"/>
      <w:bookmarkEnd w:id="30"/>
    </w:p>
    <w:p w14:paraId="6584D4F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bookmarkStart w:id="31" w:name="_Toc5175"/>
      <w:bookmarkStart w:id="32" w:name="_Toc4123"/>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189.03</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158.8</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84</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30.23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15.99</w:t>
      </w:r>
      <w:r>
        <w:rPr>
          <w:rFonts w:hint="default" w:ascii="Times New Roman" w:hAnsi="Times New Roman" w:eastAsia="仿宋_GB2312" w:cs="Times New Roman"/>
          <w:color w:val="auto"/>
          <w:sz w:val="32"/>
          <w:szCs w:val="32"/>
          <w:highlight w:val="none"/>
          <w:lang w:eastAsia="zh-CN"/>
        </w:rPr>
        <w:t>%。</w:t>
      </w:r>
      <w:bookmarkEnd w:id="31"/>
      <w:bookmarkEnd w:id="32"/>
    </w:p>
    <w:p w14:paraId="35E5C74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anchor distT="0" distB="0" distL="114300" distR="114300" simplePos="0" relativeHeight="251661312" behindDoc="1" locked="0" layoutInCell="1" allowOverlap="1">
            <wp:simplePos x="0" y="0"/>
            <wp:positionH relativeFrom="column">
              <wp:posOffset>549910</wp:posOffset>
            </wp:positionH>
            <wp:positionV relativeFrom="paragraph">
              <wp:posOffset>286385</wp:posOffset>
            </wp:positionV>
            <wp:extent cx="4046855" cy="2489835"/>
            <wp:effectExtent l="4445" t="4445" r="6350" b="20320"/>
            <wp:wrapTight wrapText="bothSides">
              <wp:wrapPolygon>
                <wp:start x="-24" y="-39"/>
                <wp:lineTo x="-24" y="21446"/>
                <wp:lineTo x="21532" y="21446"/>
                <wp:lineTo x="21532" y="-39"/>
                <wp:lineTo x="-24" y="-39"/>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DFED4A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3039788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3EB0F8D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613BBEF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auto"/>
          <w:sz w:val="32"/>
          <w:szCs w:val="32"/>
          <w:highlight w:val="none"/>
          <w:lang w:eastAsia="zh-CN"/>
        </w:rPr>
      </w:pPr>
    </w:p>
    <w:p w14:paraId="412A2F83">
      <w:pPr>
        <w:ind w:firstLine="2080" w:firstLineChars="6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p>
    <w:p w14:paraId="120D125F">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33" w:name="_Toc710"/>
      <w:bookmarkStart w:id="34" w:name="_Toc15377208"/>
      <w:bookmarkStart w:id="35" w:name="_Toc15396606"/>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33"/>
      <w:bookmarkEnd w:id="34"/>
      <w:bookmarkEnd w:id="35"/>
    </w:p>
    <w:p w14:paraId="7570BC5D">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189.03</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万元。与2023年度相比，财政拨款收入总计、支出总计各增加41.5万元，增长28.13%。主要变动原因是</w:t>
      </w:r>
      <w:r>
        <w:rPr>
          <w:rFonts w:hint="default" w:ascii="Times New Roman" w:hAnsi="Times New Roman" w:eastAsia="仿宋_GB2312" w:cs="Times New Roman"/>
          <w:color w:val="auto"/>
          <w:sz w:val="32"/>
          <w:szCs w:val="32"/>
          <w:highlight w:val="none"/>
          <w:lang w:val="en-US" w:eastAsia="zh-CN"/>
        </w:rPr>
        <w:t>增加项目经费收支，支付档案数字化加工服务费用。</w:t>
      </w:r>
    </w:p>
    <w:p w14:paraId="201B55C7">
      <w:pPr>
        <w:pStyle w:val="5"/>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drawing>
          <wp:anchor distT="0" distB="0" distL="114300" distR="114300" simplePos="0" relativeHeight="251662336" behindDoc="1" locked="0" layoutInCell="1" allowOverlap="1">
            <wp:simplePos x="0" y="0"/>
            <wp:positionH relativeFrom="column">
              <wp:posOffset>576580</wp:posOffset>
            </wp:positionH>
            <wp:positionV relativeFrom="paragraph">
              <wp:posOffset>61595</wp:posOffset>
            </wp:positionV>
            <wp:extent cx="4003040" cy="2440940"/>
            <wp:effectExtent l="4445" t="5080" r="12065" b="11430"/>
            <wp:wrapTight wrapText="bothSides">
              <wp:wrapPolygon>
                <wp:start x="-24" y="-45"/>
                <wp:lineTo x="-24" y="21533"/>
                <wp:lineTo x="21562" y="21533"/>
                <wp:lineTo x="21562" y="-45"/>
                <wp:lineTo x="-24" y="-45"/>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3934B6C9">
      <w:pPr>
        <w:pStyle w:val="5"/>
        <w:rPr>
          <w:rFonts w:hint="default" w:ascii="Times New Roman" w:hAnsi="Times New Roman" w:eastAsia="仿宋_GB2312" w:cs="Times New Roman"/>
          <w:color w:val="auto"/>
          <w:sz w:val="32"/>
          <w:szCs w:val="32"/>
          <w:highlight w:val="none"/>
          <w:lang w:val="en-US" w:eastAsia="zh-CN"/>
        </w:rPr>
      </w:pPr>
    </w:p>
    <w:p w14:paraId="3BF9417E">
      <w:pPr>
        <w:pStyle w:val="5"/>
        <w:rPr>
          <w:rFonts w:hint="default" w:ascii="Times New Roman" w:hAnsi="Times New Roman" w:eastAsia="仿宋_GB2312" w:cs="Times New Roman"/>
          <w:color w:val="auto"/>
          <w:sz w:val="32"/>
          <w:szCs w:val="32"/>
          <w:highlight w:val="none"/>
          <w:lang w:val="en-US" w:eastAsia="zh-CN"/>
        </w:rPr>
      </w:pPr>
    </w:p>
    <w:p w14:paraId="0A7E8C20">
      <w:pPr>
        <w:pStyle w:val="5"/>
        <w:rPr>
          <w:rFonts w:hint="default" w:ascii="Times New Roman" w:hAnsi="Times New Roman" w:eastAsia="仿宋_GB2312" w:cs="Times New Roman"/>
          <w:color w:val="auto"/>
          <w:sz w:val="32"/>
          <w:szCs w:val="32"/>
          <w:highlight w:val="none"/>
          <w:lang w:val="en-US" w:eastAsia="zh-CN"/>
        </w:rPr>
      </w:pPr>
    </w:p>
    <w:p w14:paraId="7FC366A5">
      <w:pPr>
        <w:pStyle w:val="5"/>
        <w:rPr>
          <w:rFonts w:hint="default" w:ascii="Times New Roman" w:hAnsi="Times New Roman" w:eastAsia="仿宋_GB2312" w:cs="Times New Roman"/>
          <w:color w:val="auto"/>
          <w:sz w:val="32"/>
          <w:szCs w:val="32"/>
          <w:highlight w:val="none"/>
          <w:lang w:val="en-US" w:eastAsia="zh-CN"/>
        </w:rPr>
      </w:pPr>
    </w:p>
    <w:p w14:paraId="6CCED49F">
      <w:pPr>
        <w:pStyle w:val="5"/>
        <w:rPr>
          <w:rFonts w:hint="default" w:ascii="Times New Roman" w:hAnsi="Times New Roman" w:eastAsia="仿宋_GB2312" w:cs="Times New Roman"/>
          <w:color w:val="auto"/>
          <w:sz w:val="32"/>
          <w:szCs w:val="32"/>
          <w:highlight w:val="none"/>
          <w:lang w:val="en-US" w:eastAsia="zh-CN"/>
        </w:rPr>
      </w:pPr>
    </w:p>
    <w:p w14:paraId="51CF878C">
      <w:pPr>
        <w:spacing w:line="600" w:lineRule="exact"/>
        <w:ind w:firstLine="960" w:firstLineChars="3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14:paraId="472A2A75">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36" w:name="_Toc24439"/>
      <w:bookmarkStart w:id="37" w:name="_Toc15396607"/>
      <w:bookmarkStart w:id="38" w:name="_Toc15377209"/>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36"/>
      <w:bookmarkEnd w:id="37"/>
      <w:bookmarkEnd w:id="38"/>
    </w:p>
    <w:p w14:paraId="28B1AD04">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39"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39"/>
    </w:p>
    <w:p w14:paraId="6348435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169.03</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89.41</w:t>
      </w:r>
      <w:r>
        <w:rPr>
          <w:rFonts w:hint="default" w:ascii="Times New Roman" w:hAnsi="Times New Roman" w:eastAsia="仿宋_GB2312" w:cs="Times New Roman"/>
          <w:color w:val="auto"/>
          <w:kern w:val="2"/>
          <w:sz w:val="32"/>
          <w:szCs w:val="32"/>
          <w:highlight w:val="none"/>
          <w:lang w:val="en-US" w:eastAsia="zh-CN" w:bidi="ar-SA"/>
        </w:rPr>
        <w:t>%。与2023年度相比，一般公共预算财政拨款支出增加22.69万元，增长15.5%。主要变动原因是单位职工退休，社会保障和就业支出增加。</w:t>
      </w:r>
    </w:p>
    <w:p w14:paraId="35179AA9">
      <w:pPr>
        <w:pStyle w:val="5"/>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3360" behindDoc="1" locked="0" layoutInCell="1" allowOverlap="1">
            <wp:simplePos x="0" y="0"/>
            <wp:positionH relativeFrom="column">
              <wp:posOffset>568325</wp:posOffset>
            </wp:positionH>
            <wp:positionV relativeFrom="paragraph">
              <wp:posOffset>93980</wp:posOffset>
            </wp:positionV>
            <wp:extent cx="4083685" cy="2439670"/>
            <wp:effectExtent l="4445" t="4445" r="7620" b="13335"/>
            <wp:wrapTight wrapText="bothSides">
              <wp:wrapPolygon>
                <wp:start x="-24" y="-39"/>
                <wp:lineTo x="-24" y="21549"/>
                <wp:lineTo x="21540" y="21549"/>
                <wp:lineTo x="21540" y="-39"/>
                <wp:lineTo x="-24" y="-39"/>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C7CFD2B">
      <w:pPr>
        <w:pStyle w:val="5"/>
        <w:rPr>
          <w:rFonts w:hint="default" w:ascii="Times New Roman" w:hAnsi="Times New Roman" w:eastAsia="仿宋_GB2312" w:cs="Times New Roman"/>
          <w:color w:val="auto"/>
          <w:kern w:val="2"/>
          <w:sz w:val="32"/>
          <w:szCs w:val="32"/>
          <w:highlight w:val="none"/>
          <w:lang w:val="en-US" w:eastAsia="zh-CN" w:bidi="ar-SA"/>
        </w:rPr>
      </w:pPr>
    </w:p>
    <w:p w14:paraId="085A7BC2">
      <w:pPr>
        <w:pStyle w:val="5"/>
        <w:rPr>
          <w:rFonts w:hint="default" w:ascii="Times New Roman" w:hAnsi="Times New Roman" w:eastAsia="仿宋_GB2312" w:cs="Times New Roman"/>
          <w:color w:val="auto"/>
          <w:kern w:val="2"/>
          <w:sz w:val="32"/>
          <w:szCs w:val="32"/>
          <w:highlight w:val="none"/>
          <w:lang w:val="en-US" w:eastAsia="zh-CN" w:bidi="ar-SA"/>
        </w:rPr>
      </w:pPr>
    </w:p>
    <w:p w14:paraId="4AC24BF2">
      <w:pPr>
        <w:pStyle w:val="5"/>
        <w:rPr>
          <w:rFonts w:hint="default" w:ascii="Times New Roman" w:hAnsi="Times New Roman" w:eastAsia="仿宋_GB2312" w:cs="Times New Roman"/>
          <w:color w:val="auto"/>
          <w:kern w:val="2"/>
          <w:sz w:val="32"/>
          <w:szCs w:val="32"/>
          <w:highlight w:val="none"/>
          <w:lang w:val="en-US" w:eastAsia="zh-CN" w:bidi="ar-SA"/>
        </w:rPr>
      </w:pPr>
    </w:p>
    <w:p w14:paraId="1DB28933">
      <w:pPr>
        <w:pStyle w:val="5"/>
        <w:rPr>
          <w:rFonts w:hint="default" w:ascii="Times New Roman" w:hAnsi="Times New Roman" w:eastAsia="仿宋_GB2312" w:cs="Times New Roman"/>
          <w:color w:val="auto"/>
          <w:kern w:val="2"/>
          <w:sz w:val="32"/>
          <w:szCs w:val="32"/>
          <w:highlight w:val="none"/>
          <w:lang w:val="en-US" w:eastAsia="zh-CN" w:bidi="ar-SA"/>
        </w:rPr>
      </w:pPr>
    </w:p>
    <w:p w14:paraId="2B9471E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6F248805">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0"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40"/>
    </w:p>
    <w:p w14:paraId="1E96E373">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169.03</w:t>
      </w:r>
      <w:r>
        <w:rPr>
          <w:rFonts w:hint="default" w:ascii="Times New Roman" w:hAnsi="Times New Roman" w:eastAsia="仿宋_GB2312" w:cs="Times New Roman"/>
          <w:color w:val="auto"/>
          <w:kern w:val="2"/>
          <w:sz w:val="32"/>
          <w:szCs w:val="32"/>
          <w:highlight w:val="none"/>
          <w:lang w:val="en-US" w:eastAsia="zh-CN" w:bidi="ar-SA"/>
        </w:rPr>
        <w:t>万元，主要用于以下方面：</w:t>
      </w:r>
      <w:r>
        <w:rPr>
          <w:rFonts w:hint="default" w:ascii="Times New Roman" w:hAnsi="Times New Roman" w:eastAsia="仿宋_GB2312" w:cs="Times New Roman"/>
          <w:b/>
          <w:bCs/>
          <w:color w:val="auto"/>
          <w:kern w:val="2"/>
          <w:sz w:val="32"/>
          <w:szCs w:val="32"/>
          <w:highlight w:val="none"/>
          <w:lang w:val="en-US" w:eastAsia="zh-CN" w:bidi="ar-SA"/>
        </w:rPr>
        <w:t>一般公共服务支出</w:t>
      </w:r>
      <w:r>
        <w:rPr>
          <w:rFonts w:hint="default" w:ascii="Times New Roman" w:hAnsi="Times New Roman" w:eastAsia="仿宋_GB2312" w:cs="Times New Roman"/>
          <w:color w:val="auto"/>
          <w:kern w:val="2"/>
          <w:sz w:val="32"/>
          <w:szCs w:val="32"/>
          <w:highlight w:val="none"/>
          <w:lang w:val="en-US" w:eastAsia="zh-CN" w:bidi="ar-SA"/>
        </w:rPr>
        <w:t>118.69万元，占70.22%；</w:t>
      </w:r>
      <w:r>
        <w:rPr>
          <w:rFonts w:hint="default" w:ascii="Times New Roman" w:hAnsi="Times New Roman" w:eastAsia="仿宋" w:cs="Times New Roman"/>
          <w:b/>
          <w:sz w:val="32"/>
          <w:szCs w:val="32"/>
        </w:rPr>
        <w:t>社会保障和就业</w:t>
      </w:r>
      <w:r>
        <w:rPr>
          <w:rFonts w:hint="default" w:ascii="Times New Roman" w:hAnsi="Times New Roman" w:eastAsia="仿宋" w:cs="Times New Roman"/>
          <w:b/>
          <w:bCs/>
          <w:sz w:val="32"/>
          <w:szCs w:val="32"/>
        </w:rPr>
        <w:t>支出</w:t>
      </w:r>
      <w:r>
        <w:rPr>
          <w:rFonts w:hint="default" w:ascii="Times New Roman" w:hAnsi="Times New Roman" w:eastAsia="仿宋" w:cs="Times New Roman"/>
          <w:sz w:val="32"/>
          <w:szCs w:val="32"/>
          <w:lang w:val="en-US" w:eastAsia="zh-CN"/>
        </w:rPr>
        <w:t>27.69</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16.38</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卫生健康支出</w:t>
      </w:r>
      <w:r>
        <w:rPr>
          <w:rFonts w:hint="default" w:ascii="Times New Roman" w:hAnsi="Times New Roman" w:eastAsia="仿宋" w:cs="Times New Roman"/>
          <w:sz w:val="32"/>
          <w:szCs w:val="32"/>
          <w:lang w:val="en-US" w:eastAsia="zh-CN"/>
        </w:rPr>
        <w:t>12.68</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7.5</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住房保障支出</w:t>
      </w:r>
      <w:r>
        <w:rPr>
          <w:rFonts w:hint="default" w:ascii="Times New Roman" w:hAnsi="Times New Roman" w:eastAsia="仿宋" w:cs="Times New Roman"/>
          <w:sz w:val="32"/>
          <w:szCs w:val="32"/>
          <w:lang w:val="en-US" w:eastAsia="zh-CN"/>
        </w:rPr>
        <w:t>9.97</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5.9</w:t>
      </w:r>
      <w:r>
        <w:rPr>
          <w:rFonts w:hint="default" w:ascii="Times New Roman" w:hAnsi="Times New Roman" w:eastAsia="仿宋" w:cs="Times New Roman"/>
          <w:sz w:val="32"/>
          <w:szCs w:val="32"/>
        </w:rPr>
        <w:t>%</w:t>
      </w:r>
    </w:p>
    <w:p w14:paraId="462EB50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CDFE8C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CA7011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4AE30B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4384" behindDoc="1" locked="0" layoutInCell="1" allowOverlap="1">
            <wp:simplePos x="0" y="0"/>
            <wp:positionH relativeFrom="column">
              <wp:posOffset>631190</wp:posOffset>
            </wp:positionH>
            <wp:positionV relativeFrom="paragraph">
              <wp:posOffset>-206375</wp:posOffset>
            </wp:positionV>
            <wp:extent cx="3768725" cy="2975610"/>
            <wp:effectExtent l="4445" t="4445" r="17780" b="67945"/>
            <wp:wrapTight wrapText="bothSides">
              <wp:wrapPolygon>
                <wp:start x="-25" y="-32"/>
                <wp:lineTo x="-25" y="21540"/>
                <wp:lineTo x="21484" y="21540"/>
                <wp:lineTo x="21484" y="-32"/>
                <wp:lineTo x="-25" y="-32"/>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5F76533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5F38373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7BAF8C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35FA88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C9F706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p>
    <w:p w14:paraId="25728072">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1"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41"/>
    </w:p>
    <w:p w14:paraId="018CB17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42" w:name="_Toc15378460"/>
      <w:bookmarkStart w:id="43" w:name="_Toc15377213"/>
      <w:bookmarkStart w:id="44" w:name="_Toc15377444"/>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169.03</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42"/>
      <w:bookmarkEnd w:id="43"/>
      <w:bookmarkEnd w:id="44"/>
    </w:p>
    <w:p w14:paraId="1ACF3103">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1</w:t>
      </w:r>
      <w:r>
        <w:rPr>
          <w:rStyle w:val="17"/>
          <w:rFonts w:hint="default" w:ascii="Times New Roman" w:hAnsi="Times New Roman" w:eastAsia="仿宋" w:cs="Times New Roman"/>
          <w:bCs/>
          <w:sz w:val="32"/>
          <w:szCs w:val="32"/>
        </w:rPr>
        <w:t>. 一般公共服务支出（类）档案事务（款）行政运行（项）: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108.46</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21878549">
      <w:pPr>
        <w:spacing w:line="600" w:lineRule="exact"/>
        <w:ind w:firstLine="643" w:firstLineChars="200"/>
        <w:rPr>
          <w:rStyle w:val="17"/>
          <w:rFonts w:hint="default" w:ascii="Times New Roman" w:hAnsi="Times New Roman" w:eastAsia="仿宋" w:cs="Times New Roman"/>
          <w:bCs/>
          <w:sz w:val="32"/>
          <w:szCs w:val="32"/>
          <w:lang w:val="en-US" w:eastAsia="zh-CN"/>
        </w:rPr>
      </w:pPr>
      <w:r>
        <w:rPr>
          <w:rStyle w:val="17"/>
          <w:rFonts w:hint="default" w:ascii="Times New Roman" w:hAnsi="Times New Roman" w:eastAsia="仿宋" w:cs="Times New Roman"/>
          <w:bCs/>
          <w:sz w:val="32"/>
          <w:szCs w:val="32"/>
          <w:lang w:val="en-US" w:eastAsia="zh-CN"/>
        </w:rPr>
        <w:t>2</w:t>
      </w:r>
      <w:r>
        <w:rPr>
          <w:rStyle w:val="17"/>
          <w:rFonts w:hint="default" w:ascii="Times New Roman" w:hAnsi="Times New Roman" w:eastAsia="仿宋" w:cs="Times New Roman"/>
          <w:bCs/>
          <w:sz w:val="32"/>
          <w:szCs w:val="32"/>
        </w:rPr>
        <w:t>. 一般公共服务支出（类）档案事务（款）</w:t>
      </w:r>
      <w:r>
        <w:rPr>
          <w:rStyle w:val="17"/>
          <w:rFonts w:hint="default" w:ascii="Times New Roman" w:hAnsi="Times New Roman" w:eastAsia="仿宋" w:cs="Times New Roman"/>
          <w:bCs/>
          <w:sz w:val="32"/>
          <w:szCs w:val="32"/>
          <w:lang w:val="en-US" w:eastAsia="zh-CN"/>
        </w:rPr>
        <w:t>档案馆</w:t>
      </w:r>
      <w:r>
        <w:rPr>
          <w:rStyle w:val="17"/>
          <w:rFonts w:hint="default" w:ascii="Times New Roman" w:hAnsi="Times New Roman" w:eastAsia="仿宋" w:cs="Times New Roman"/>
          <w:bCs/>
          <w:sz w:val="32"/>
          <w:szCs w:val="32"/>
        </w:rPr>
        <w:t>（项）: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10.23</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7FCBCA04">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3</w:t>
      </w:r>
      <w:r>
        <w:rPr>
          <w:rStyle w:val="17"/>
          <w:rFonts w:hint="default" w:ascii="Times New Roman" w:hAnsi="Times New Roman" w:eastAsia="仿宋" w:cs="Times New Roman"/>
          <w:bCs/>
          <w:sz w:val="32"/>
          <w:szCs w:val="32"/>
        </w:rPr>
        <w:t>.</w:t>
      </w:r>
      <w:r>
        <w:rPr>
          <w:rFonts w:hint="default" w:ascii="Times New Roman" w:hAnsi="Times New Roman" w:cs="Times New Roman"/>
        </w:rPr>
        <w:t xml:space="preserve"> </w:t>
      </w:r>
      <w:r>
        <w:rPr>
          <w:rStyle w:val="17"/>
          <w:rFonts w:hint="default" w:ascii="Times New Roman" w:hAnsi="Times New Roman" w:eastAsia="仿宋" w:cs="Times New Roman"/>
          <w:bCs/>
          <w:sz w:val="32"/>
          <w:szCs w:val="32"/>
        </w:rPr>
        <w:t>社会保障和就业支出（类）行政事业单位养老支出（款）行政单位离退休项）: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7.99</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05D62F4A">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4</w:t>
      </w:r>
      <w:r>
        <w:rPr>
          <w:rStyle w:val="17"/>
          <w:rFonts w:hint="default" w:ascii="Times New Roman" w:hAnsi="Times New Roman" w:eastAsia="仿宋" w:cs="Times New Roman"/>
          <w:bCs/>
          <w:sz w:val="32"/>
          <w:szCs w:val="32"/>
        </w:rPr>
        <w:t>. 社会保障和就业支出（类）行政事业单位养老支出（款）机关事业单位基本养老保险缴费支出（项）: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12.45</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00FFBC83">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5</w:t>
      </w:r>
      <w:r>
        <w:rPr>
          <w:rStyle w:val="17"/>
          <w:rFonts w:hint="default" w:ascii="Times New Roman" w:hAnsi="Times New Roman" w:eastAsia="仿宋" w:cs="Times New Roman"/>
          <w:bCs/>
          <w:sz w:val="32"/>
          <w:szCs w:val="32"/>
        </w:rPr>
        <w:t>. 社会保障和就业支出（类）行政事业单位养老支出（款）机关事业单位职业年金缴费支出（项）: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7.25</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25D88BDD">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4</w:t>
      </w:r>
      <w:r>
        <w:rPr>
          <w:rStyle w:val="17"/>
          <w:rFonts w:hint="default" w:ascii="Times New Roman" w:hAnsi="Times New Roman" w:eastAsia="仿宋" w:cs="Times New Roman"/>
          <w:bCs/>
          <w:sz w:val="32"/>
          <w:szCs w:val="32"/>
        </w:rPr>
        <w:t>.</w:t>
      </w:r>
      <w:r>
        <w:rPr>
          <w:rFonts w:hint="default" w:ascii="Times New Roman" w:hAnsi="Times New Roman" w:cs="Times New Roman"/>
        </w:rPr>
        <w:t xml:space="preserve"> </w:t>
      </w:r>
      <w:r>
        <w:rPr>
          <w:rStyle w:val="17"/>
          <w:rFonts w:hint="default" w:ascii="Times New Roman" w:hAnsi="Times New Roman" w:eastAsia="仿宋" w:cs="Times New Roman"/>
          <w:bCs/>
          <w:sz w:val="32"/>
          <w:szCs w:val="32"/>
        </w:rPr>
        <w:t>卫生健康支出（类）行政事业单位医疗（款）行政单位医疗（项）: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6.89</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543B5137">
      <w:pPr>
        <w:spacing w:line="600"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5</w:t>
      </w:r>
      <w:r>
        <w:rPr>
          <w:rStyle w:val="17"/>
          <w:rFonts w:hint="default" w:ascii="Times New Roman" w:hAnsi="Times New Roman" w:eastAsia="仿宋" w:cs="Times New Roman"/>
          <w:bCs/>
          <w:sz w:val="32"/>
          <w:szCs w:val="32"/>
        </w:rPr>
        <w:t>. 卫生健康支出（类）行政事业单位医疗（款）公务员医疗补助（项）: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5.79</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3D77E188">
      <w:pPr>
        <w:spacing w:line="600" w:lineRule="exact"/>
        <w:ind w:firstLine="643" w:firstLineChars="200"/>
        <w:rPr>
          <w:rFonts w:hint="default" w:ascii="Times New Roman" w:hAnsi="Times New Roman" w:eastAsia="仿宋_GB2312" w:cs="Times New Roman"/>
          <w:color w:val="auto"/>
          <w:kern w:val="2"/>
          <w:sz w:val="32"/>
          <w:szCs w:val="32"/>
          <w:highlight w:val="none"/>
          <w:lang w:val="en-US" w:eastAsia="zh-CN" w:bidi="ar-SA"/>
        </w:rPr>
      </w:pPr>
      <w:r>
        <w:rPr>
          <w:rStyle w:val="17"/>
          <w:rFonts w:hint="default" w:ascii="Times New Roman" w:hAnsi="Times New Roman" w:eastAsia="仿宋" w:cs="Times New Roman"/>
          <w:bCs/>
          <w:sz w:val="32"/>
          <w:szCs w:val="32"/>
          <w:lang w:val="en-US" w:eastAsia="zh-CN"/>
        </w:rPr>
        <w:t>6</w:t>
      </w:r>
      <w:r>
        <w:rPr>
          <w:rStyle w:val="17"/>
          <w:rFonts w:hint="default" w:ascii="Times New Roman" w:hAnsi="Times New Roman" w:eastAsia="仿宋" w:cs="Times New Roman"/>
          <w:bCs/>
          <w:sz w:val="32"/>
          <w:szCs w:val="32"/>
        </w:rPr>
        <w:t>.</w:t>
      </w:r>
      <w:r>
        <w:rPr>
          <w:rFonts w:hint="default" w:ascii="Times New Roman" w:hAnsi="Times New Roman" w:cs="Times New Roman"/>
        </w:rPr>
        <w:t xml:space="preserve"> </w:t>
      </w:r>
      <w:r>
        <w:rPr>
          <w:rFonts w:hint="default" w:ascii="Times New Roman" w:hAnsi="Times New Roman" w:eastAsia="仿宋" w:cs="Times New Roman"/>
          <w:b/>
          <w:bCs/>
          <w:sz w:val="32"/>
          <w:szCs w:val="32"/>
        </w:rPr>
        <w:t>住房保障支出</w:t>
      </w:r>
      <w:r>
        <w:rPr>
          <w:rStyle w:val="17"/>
          <w:rFonts w:hint="default" w:ascii="Times New Roman" w:hAnsi="Times New Roman" w:eastAsia="仿宋" w:cs="Times New Roman"/>
          <w:bCs/>
          <w:sz w:val="32"/>
          <w:szCs w:val="32"/>
        </w:rPr>
        <w:t>（类）住房改革支出（款）住房公积金（项）:</w:t>
      </w:r>
      <w:r>
        <w:rPr>
          <w:rStyle w:val="17"/>
          <w:rFonts w:hint="default" w:ascii="Times New Roman" w:hAnsi="Times New Roman" w:eastAsia="仿宋" w:cs="Times New Roman"/>
          <w:b w:val="0"/>
          <w:bCs/>
          <w:sz w:val="32"/>
          <w:szCs w:val="32"/>
        </w:rPr>
        <w:t>支出决算为</w:t>
      </w:r>
      <w:r>
        <w:rPr>
          <w:rStyle w:val="17"/>
          <w:rFonts w:hint="default" w:ascii="Times New Roman" w:hAnsi="Times New Roman" w:eastAsia="仿宋" w:cs="Times New Roman"/>
          <w:b w:val="0"/>
          <w:bCs/>
          <w:sz w:val="32"/>
          <w:szCs w:val="32"/>
          <w:lang w:val="en-US" w:eastAsia="zh-CN"/>
        </w:rPr>
        <w:t>9.97</w:t>
      </w:r>
      <w:r>
        <w:rPr>
          <w:rStyle w:val="17"/>
          <w:rFonts w:hint="default" w:ascii="Times New Roman" w:hAnsi="Times New Roman" w:eastAsia="仿宋" w:cs="Times New Roman"/>
          <w:b w:val="0"/>
          <w:bCs/>
          <w:sz w:val="32"/>
          <w:szCs w:val="32"/>
        </w:rPr>
        <w:t>万元，完成预算100%，决算数</w:t>
      </w:r>
      <w:r>
        <w:rPr>
          <w:rStyle w:val="17"/>
          <w:rFonts w:hint="default" w:ascii="Times New Roman" w:hAnsi="Times New Roman" w:eastAsia="仿宋" w:cs="Times New Roman"/>
          <w:b w:val="0"/>
          <w:bCs/>
          <w:sz w:val="32"/>
          <w:szCs w:val="32"/>
          <w:lang w:val="en-US" w:eastAsia="zh-CN"/>
        </w:rPr>
        <w:t>与</w:t>
      </w:r>
      <w:r>
        <w:rPr>
          <w:rStyle w:val="17"/>
          <w:rFonts w:hint="default" w:ascii="Times New Roman" w:hAnsi="Times New Roman" w:eastAsia="仿宋" w:cs="Times New Roman"/>
          <w:b w:val="0"/>
          <w:bCs/>
          <w:sz w:val="32"/>
          <w:szCs w:val="32"/>
        </w:rPr>
        <w:t>预算数</w:t>
      </w:r>
      <w:r>
        <w:rPr>
          <w:rStyle w:val="17"/>
          <w:rFonts w:hint="default" w:ascii="Times New Roman" w:hAnsi="Times New Roman" w:eastAsia="仿宋" w:cs="Times New Roman"/>
          <w:b w:val="0"/>
          <w:bCs/>
          <w:sz w:val="32"/>
          <w:szCs w:val="32"/>
          <w:lang w:val="en-US" w:eastAsia="zh-CN"/>
        </w:rPr>
        <w:t>持平</w:t>
      </w:r>
      <w:r>
        <w:rPr>
          <w:rStyle w:val="17"/>
          <w:rFonts w:hint="default" w:ascii="Times New Roman" w:hAnsi="Times New Roman" w:eastAsia="仿宋" w:cs="Times New Roman"/>
          <w:b w:val="0"/>
          <w:bCs/>
          <w:sz w:val="32"/>
          <w:szCs w:val="32"/>
        </w:rPr>
        <w:t>。</w:t>
      </w:r>
    </w:p>
    <w:p w14:paraId="29670546">
      <w:pPr>
        <w:tabs>
          <w:tab w:val="right" w:pos="8306"/>
        </w:tabs>
        <w:spacing w:line="600" w:lineRule="exact"/>
        <w:ind w:firstLine="640"/>
        <w:outlineLvl w:val="1"/>
        <w:rPr>
          <w:rStyle w:val="29"/>
          <w:rFonts w:hint="default" w:ascii="Times New Roman" w:hAnsi="Times New Roman" w:cs="Times New Roman"/>
          <w:color w:val="auto"/>
          <w:highlight w:val="none"/>
        </w:rPr>
      </w:pPr>
      <w:bookmarkStart w:id="45" w:name="_Toc15377214"/>
      <w:bookmarkStart w:id="46" w:name="_Toc3450"/>
      <w:bookmarkStart w:id="47"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45"/>
      <w:bookmarkEnd w:id="46"/>
      <w:bookmarkEnd w:id="47"/>
      <w:r>
        <w:rPr>
          <w:rStyle w:val="29"/>
          <w:rFonts w:hint="default" w:ascii="Times New Roman" w:hAnsi="Times New Roman" w:eastAsia="黑体" w:cs="Times New Roman"/>
          <w:b w:val="0"/>
          <w:color w:val="auto"/>
          <w:highlight w:val="none"/>
        </w:rPr>
        <w:tab/>
      </w:r>
    </w:p>
    <w:p w14:paraId="29FDD7D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lang w:val="en-US" w:eastAsia="zh-CN"/>
        </w:rPr>
        <w:t>150.81</w:t>
      </w:r>
      <w:r>
        <w:rPr>
          <w:rFonts w:hint="default" w:ascii="Times New Roman" w:hAnsi="Times New Roman" w:eastAsia="仿宋_GB2312" w:cs="Times New Roman"/>
          <w:color w:val="auto"/>
          <w:kern w:val="2"/>
          <w:sz w:val="32"/>
          <w:szCs w:val="32"/>
          <w:highlight w:val="none"/>
          <w:lang w:val="en-US" w:eastAsia="zh-CN" w:bidi="ar-SA"/>
        </w:rPr>
        <w:t>万元，其中：</w:t>
      </w:r>
    </w:p>
    <w:p w14:paraId="2F4969D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lang w:val="en-US" w:eastAsia="zh-CN"/>
        </w:rPr>
        <w:t>138.57</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万元，主要包括：基本工资、津贴补贴、奖金、绩效工资、机关事业单位基本养老保险缴费、职业年金缴费、其他社会保障缴费、其他工资福利支出、退休费、医疗费补助、奖励金、住房公积金等。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12.24</w:t>
      </w:r>
      <w:r>
        <w:rPr>
          <w:rFonts w:hint="default" w:ascii="Times New Roman" w:hAnsi="Times New Roman" w:eastAsia="仿宋_GB2312" w:cs="Times New Roman"/>
          <w:color w:val="auto"/>
          <w:kern w:val="2"/>
          <w:sz w:val="32"/>
          <w:szCs w:val="32"/>
          <w:highlight w:val="none"/>
          <w:lang w:val="en-US" w:eastAsia="zh-CN" w:bidi="ar-SA"/>
        </w:rPr>
        <w:t>万元，主要包括：办公费、邮电费、差旅费、劳务费、工会经费、福利费、其他交通费等。</w:t>
      </w:r>
    </w:p>
    <w:p w14:paraId="135AD7A9">
      <w:pPr>
        <w:spacing w:line="600" w:lineRule="exact"/>
        <w:ind w:firstLine="640"/>
        <w:outlineLvl w:val="1"/>
        <w:rPr>
          <w:rStyle w:val="29"/>
          <w:rFonts w:hint="default" w:ascii="Times New Roman" w:hAnsi="Times New Roman" w:eastAsia="黑体" w:cs="Times New Roman"/>
          <w:b w:val="0"/>
          <w:color w:val="auto"/>
          <w:highlight w:val="none"/>
        </w:rPr>
      </w:pPr>
      <w:bookmarkStart w:id="48" w:name="_Toc15377215"/>
      <w:bookmarkStart w:id="49" w:name="_Toc20634"/>
      <w:bookmarkStart w:id="50" w:name="_Toc15396609"/>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48"/>
      <w:bookmarkEnd w:id="49"/>
      <w:bookmarkEnd w:id="50"/>
    </w:p>
    <w:p w14:paraId="7623F385">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1"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51"/>
    </w:p>
    <w:p w14:paraId="2A80AD4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%，较上年度减少0.1万元，下降100%。决算数小于预算数的主要原因是上级部门未开展检查调研，未开展公务接待。</w:t>
      </w:r>
    </w:p>
    <w:p w14:paraId="6942ECD7">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2"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52"/>
    </w:p>
    <w:p w14:paraId="1B2108C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万元，占100%；公务用车购置及运行维护费支出决算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万元，占100%；公务接待费支出决算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万元，占0%。具体情况如下：</w:t>
      </w:r>
    </w:p>
    <w:p w14:paraId="104324E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1.因公出国（境）经费支出0万元，完成预算100%。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人。因公出国（境）支出决算与2023年持平。</w:t>
      </w:r>
    </w:p>
    <w:p w14:paraId="54B62CB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2.公务用车购置及运行维护费支出0万元，完成预算100%。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公务用车购置及运行维护费支出决算与2023年度持平。</w:t>
      </w:r>
    </w:p>
    <w:p w14:paraId="7DF2DBB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14:paraId="79F37EB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14:paraId="0FEB985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公务接待费支出决算比2023年度减少0.1万元，下降100%。主要原因是上级部门未开展检查调研。其中：</w:t>
      </w:r>
    </w:p>
    <w:p w14:paraId="18C8B36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14:paraId="22763D8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bookmarkStart w:id="53" w:name="_Toc15377218"/>
      <w:bookmarkStart w:id="54" w:name="_Toc15396610"/>
    </w:p>
    <w:p w14:paraId="40BA733C">
      <w:pPr>
        <w:spacing w:line="600" w:lineRule="exact"/>
        <w:ind w:firstLine="640"/>
        <w:outlineLvl w:val="1"/>
        <w:rPr>
          <w:rStyle w:val="29"/>
          <w:rFonts w:hint="default" w:ascii="Times New Roman" w:hAnsi="Times New Roman" w:eastAsia="黑体" w:cs="Times New Roman"/>
          <w:color w:val="auto"/>
          <w:highlight w:val="none"/>
        </w:rPr>
      </w:pPr>
      <w:bookmarkStart w:id="55" w:name="_Toc4974"/>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53"/>
      <w:bookmarkEnd w:id="54"/>
      <w:bookmarkEnd w:id="55"/>
    </w:p>
    <w:p w14:paraId="67DD9A3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%。与2023年度相比，政府性基金预算财政拨款支出减少1.19万元，下降100%。主要变动原因是未安排政府性基金预算支出。</w:t>
      </w:r>
    </w:p>
    <w:p w14:paraId="08C9F8F7">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56" w:name="_Toc15377219"/>
      <w:bookmarkStart w:id="57" w:name="_Toc2885"/>
      <w:bookmarkStart w:id="58" w:name="_Toc15396611"/>
      <w:r>
        <w:rPr>
          <w:rStyle w:val="29"/>
          <w:rFonts w:hint="default" w:ascii="Times New Roman" w:hAnsi="Times New Roman" w:eastAsia="黑体" w:cs="Times New Roman"/>
          <w:b w:val="0"/>
          <w:color w:val="auto"/>
          <w:highlight w:val="none"/>
          <w:lang w:eastAsia="zh-CN"/>
        </w:rPr>
        <w:t>九、</w:t>
      </w:r>
      <w:r>
        <w:rPr>
          <w:rStyle w:val="29"/>
          <w:rFonts w:hint="default" w:ascii="Times New Roman" w:hAnsi="Times New Roman" w:eastAsia="黑体" w:cs="Times New Roman"/>
          <w:b w:val="0"/>
          <w:color w:val="auto"/>
          <w:highlight w:val="none"/>
        </w:rPr>
        <w:t>国有资本经营预算支出决算情况说明</w:t>
      </w:r>
      <w:bookmarkEnd w:id="56"/>
      <w:bookmarkEnd w:id="57"/>
      <w:bookmarkEnd w:id="58"/>
    </w:p>
    <w:p w14:paraId="122D304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20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10.58</w:t>
      </w:r>
      <w:r>
        <w:rPr>
          <w:rFonts w:hint="default" w:ascii="Times New Roman" w:hAnsi="Times New Roman" w:eastAsia="仿宋_GB2312" w:cs="Times New Roman"/>
          <w:color w:val="auto"/>
          <w:kern w:val="2"/>
          <w:sz w:val="32"/>
          <w:szCs w:val="32"/>
          <w:highlight w:val="none"/>
          <w:lang w:val="en-US" w:eastAsia="zh-CN" w:bidi="ar-SA"/>
        </w:rPr>
        <w:t>%。与2023年度相比，国有资本经营预算财政拨款支出增加20万元，增长100%。主要变动原因是</w:t>
      </w:r>
      <w:r>
        <w:rPr>
          <w:rFonts w:hint="default" w:ascii="Times New Roman" w:hAnsi="Times New Roman" w:eastAsia="仿宋_GB2312" w:cs="Times New Roman"/>
          <w:color w:val="auto"/>
          <w:sz w:val="32"/>
          <w:szCs w:val="32"/>
          <w:highlight w:val="none"/>
          <w:lang w:val="en-US" w:eastAsia="zh-CN"/>
        </w:rPr>
        <w:t>安排国有资金经营预算支出，用于支付档案数字化加工服务费用。</w:t>
      </w:r>
    </w:p>
    <w:p w14:paraId="671EFA41">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59" w:name="_Toc15377221"/>
      <w:bookmarkStart w:id="60" w:name="_Toc15396612"/>
      <w:bookmarkStart w:id="61" w:name="_Toc29689"/>
      <w:r>
        <w:rPr>
          <w:rStyle w:val="29"/>
          <w:rFonts w:hint="default" w:ascii="Times New Roman" w:hAnsi="Times New Roman" w:eastAsia="黑体" w:cs="Times New Roman"/>
          <w:b w:val="0"/>
          <w:color w:val="auto"/>
          <w:highlight w:val="none"/>
          <w:lang w:eastAsia="zh-CN"/>
        </w:rPr>
        <w:t>十、</w:t>
      </w:r>
      <w:r>
        <w:rPr>
          <w:rStyle w:val="29"/>
          <w:rFonts w:hint="default" w:ascii="Times New Roman" w:hAnsi="Times New Roman" w:eastAsia="黑体" w:cs="Times New Roman"/>
          <w:b w:val="0"/>
          <w:color w:val="auto"/>
          <w:highlight w:val="none"/>
        </w:rPr>
        <w:t>其他重要事项的情况说明</w:t>
      </w:r>
      <w:bookmarkEnd w:id="59"/>
      <w:bookmarkEnd w:id="60"/>
      <w:bookmarkEnd w:id="61"/>
    </w:p>
    <w:p w14:paraId="539B9D2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2" w:name="_Toc15377222"/>
      <w:r>
        <w:rPr>
          <w:rFonts w:hint="default" w:ascii="Times New Roman" w:hAnsi="Times New Roman" w:eastAsia="楷体_GB2312" w:cs="Times New Roman"/>
          <w:b/>
          <w:color w:val="auto"/>
          <w:sz w:val="32"/>
          <w:szCs w:val="32"/>
          <w:highlight w:val="none"/>
        </w:rPr>
        <w:t>（一）机关运行经费支出情况</w:t>
      </w:r>
      <w:bookmarkEnd w:id="62"/>
    </w:p>
    <w:p w14:paraId="40FE52F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攀枝花市西区档案馆</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12.24</w:t>
      </w:r>
      <w:r>
        <w:rPr>
          <w:rFonts w:hint="default" w:ascii="Times New Roman" w:hAnsi="Times New Roman" w:eastAsia="仿宋_GB2312" w:cs="Times New Roman"/>
          <w:color w:val="auto"/>
          <w:kern w:val="2"/>
          <w:sz w:val="32"/>
          <w:szCs w:val="32"/>
          <w:highlight w:val="none"/>
          <w:lang w:val="en-US" w:eastAsia="zh-CN" w:bidi="ar-SA"/>
        </w:rPr>
        <w:t>万元，与2023年度决算数持平。</w:t>
      </w:r>
    </w:p>
    <w:p w14:paraId="5D8D7981">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3" w:name="_Toc15377223"/>
      <w:r>
        <w:rPr>
          <w:rFonts w:hint="default" w:ascii="Times New Roman" w:hAnsi="Times New Roman" w:eastAsia="楷体_GB2312" w:cs="Times New Roman"/>
          <w:b/>
          <w:color w:val="auto"/>
          <w:sz w:val="32"/>
          <w:szCs w:val="32"/>
          <w:highlight w:val="none"/>
        </w:rPr>
        <w:t>（二）政府采购支出情况</w:t>
      </w:r>
      <w:bookmarkEnd w:id="63"/>
    </w:p>
    <w:p w14:paraId="084C4D2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攀枝花市西区档案馆</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万元。授予中小企业合同金额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w:t>
      </w:r>
    </w:p>
    <w:p w14:paraId="3163AE55">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4" w:name="_Toc15377224"/>
      <w:r>
        <w:rPr>
          <w:rFonts w:hint="default" w:ascii="Times New Roman" w:hAnsi="Times New Roman" w:eastAsia="楷体_GB2312" w:cs="Times New Roman"/>
          <w:b/>
          <w:color w:val="auto"/>
          <w:sz w:val="32"/>
          <w:szCs w:val="32"/>
          <w:highlight w:val="none"/>
        </w:rPr>
        <w:t>（三）国有资产占有使用情况</w:t>
      </w:r>
      <w:bookmarkEnd w:id="64"/>
    </w:p>
    <w:p w14:paraId="4CAB02F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攀枝花市西区档案馆</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315B2A4E">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6B61225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根据预算绩效管理要求，本</w:t>
      </w:r>
      <w:r>
        <w:rPr>
          <w:rFonts w:hint="eastAsia" w:eastAsia="仿宋_GB2312" w:cs="Times New Roman"/>
          <w:color w:val="auto"/>
          <w:kern w:val="2"/>
          <w:sz w:val="32"/>
          <w:szCs w:val="32"/>
          <w:highlight w:val="none"/>
          <w:lang w:val="en-US" w:eastAsia="zh-CN" w:bidi="ar-SA"/>
        </w:rPr>
        <w:t>单位</w:t>
      </w:r>
      <w:r>
        <w:rPr>
          <w:rFonts w:hint="default" w:ascii="Times New Roman" w:hAnsi="Times New Roman" w:eastAsia="仿宋_GB2312" w:cs="Times New Roman"/>
          <w:color w:val="auto"/>
          <w:kern w:val="2"/>
          <w:sz w:val="32"/>
          <w:szCs w:val="32"/>
          <w:highlight w:val="none"/>
          <w:lang w:val="en-US" w:eastAsia="zh-CN" w:bidi="ar-SA"/>
        </w:rPr>
        <w:t>在2024年度预算编制阶段，组织对档案安全保管及设施设备维护等</w:t>
      </w:r>
      <w:r>
        <w:rPr>
          <w:rFonts w:hint="eastAsia"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个项目开展了预算事前绩效评估，对</w:t>
      </w:r>
      <w:r>
        <w:rPr>
          <w:rFonts w:hint="eastAsia"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个项目编制了绩效目标，预算执行过程中，选取</w:t>
      </w:r>
      <w:r>
        <w:rPr>
          <w:rFonts w:hint="eastAsia"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个项目开展绩效监控。</w:t>
      </w:r>
    </w:p>
    <w:p w14:paraId="48ACAAB3">
      <w:pPr>
        <w:ind w:firstLine="640" w:firstLineChars="200"/>
        <w:rPr>
          <w:rFonts w:hint="eastAsia" w:eastAsia="方正仿宋_GBK"/>
          <w:sz w:val="33"/>
          <w:szCs w:val="33"/>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组织对2024年度一般公共预算、政府性基金预算、国有资本经营预算、社会保险基金预算以及资本资产、债券资金等全面开展绩效自评，形成西区档案馆</w:t>
      </w:r>
      <w:r>
        <w:rPr>
          <w:rFonts w:hint="eastAsia" w:eastAsia="仿宋_GB2312" w:cs="Times New Roman"/>
          <w:color w:val="auto"/>
          <w:kern w:val="2"/>
          <w:sz w:val="32"/>
          <w:szCs w:val="32"/>
          <w:highlight w:val="none"/>
          <w:lang w:val="en-US" w:eastAsia="zh-CN" w:bidi="ar-SA"/>
        </w:rPr>
        <w:t>部门</w:t>
      </w:r>
      <w:r>
        <w:rPr>
          <w:rFonts w:hint="default" w:ascii="Times New Roman" w:hAnsi="Times New Roman" w:eastAsia="仿宋_GB2312" w:cs="Times New Roman"/>
          <w:color w:val="auto"/>
          <w:kern w:val="2"/>
          <w:sz w:val="32"/>
          <w:szCs w:val="32"/>
          <w:highlight w:val="none"/>
          <w:lang w:val="en-US" w:eastAsia="zh-CN" w:bidi="ar-SA"/>
        </w:rPr>
        <w:t>整体（含</w:t>
      </w:r>
      <w:r>
        <w:rPr>
          <w:rFonts w:hint="eastAsia" w:eastAsia="仿宋_GB2312" w:cs="Times New Roman"/>
          <w:color w:val="auto"/>
          <w:kern w:val="2"/>
          <w:sz w:val="32"/>
          <w:szCs w:val="32"/>
          <w:highlight w:val="none"/>
          <w:lang w:val="en-US" w:eastAsia="zh-CN" w:bidi="ar-SA"/>
        </w:rPr>
        <w:t>部门</w:t>
      </w:r>
      <w:r>
        <w:rPr>
          <w:rFonts w:hint="default" w:ascii="Times New Roman" w:hAnsi="Times New Roman" w:eastAsia="仿宋_GB2312" w:cs="Times New Roman"/>
          <w:color w:val="auto"/>
          <w:kern w:val="2"/>
          <w:sz w:val="32"/>
          <w:szCs w:val="32"/>
          <w:highlight w:val="none"/>
          <w:lang w:val="en-US" w:eastAsia="zh-CN" w:bidi="ar-SA"/>
        </w:rPr>
        <w:t>预算项目）绩效自评报告</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其中，西区档案馆</w:t>
      </w:r>
      <w:r>
        <w:rPr>
          <w:rFonts w:hint="eastAsia" w:eastAsia="仿宋_GB2312" w:cs="Times New Roman"/>
          <w:color w:val="auto"/>
          <w:kern w:val="2"/>
          <w:sz w:val="32"/>
          <w:szCs w:val="32"/>
          <w:highlight w:val="none"/>
          <w:lang w:val="en-US" w:eastAsia="zh-CN" w:bidi="ar-SA"/>
        </w:rPr>
        <w:t>部门</w:t>
      </w:r>
      <w:r>
        <w:rPr>
          <w:rFonts w:hint="default" w:ascii="Times New Roman" w:hAnsi="Times New Roman" w:eastAsia="仿宋_GB2312" w:cs="Times New Roman"/>
          <w:color w:val="auto"/>
          <w:kern w:val="2"/>
          <w:sz w:val="32"/>
          <w:szCs w:val="32"/>
          <w:highlight w:val="none"/>
          <w:lang w:val="en-US" w:eastAsia="zh-CN" w:bidi="ar-SA"/>
        </w:rPr>
        <w:t>整体（含</w:t>
      </w:r>
      <w:r>
        <w:rPr>
          <w:rFonts w:hint="eastAsia" w:eastAsia="仿宋_GB2312" w:cs="Times New Roman"/>
          <w:color w:val="auto"/>
          <w:kern w:val="2"/>
          <w:sz w:val="32"/>
          <w:szCs w:val="32"/>
          <w:highlight w:val="none"/>
          <w:lang w:val="en-US" w:eastAsia="zh-CN" w:bidi="ar-SA"/>
        </w:rPr>
        <w:t>部门</w:t>
      </w:r>
      <w:r>
        <w:rPr>
          <w:rFonts w:hint="default" w:ascii="Times New Roman" w:hAnsi="Times New Roman" w:eastAsia="仿宋_GB2312" w:cs="Times New Roman"/>
          <w:color w:val="auto"/>
          <w:kern w:val="2"/>
          <w:sz w:val="32"/>
          <w:szCs w:val="32"/>
          <w:highlight w:val="none"/>
          <w:lang w:val="en-US" w:eastAsia="zh-CN" w:bidi="ar-SA"/>
        </w:rPr>
        <w:t>预算项目）绩效自评得分为</w:t>
      </w:r>
      <w:r>
        <w:rPr>
          <w:rFonts w:hint="eastAsia" w:eastAsia="仿宋_GB2312" w:cs="Times New Roman"/>
          <w:color w:val="auto"/>
          <w:kern w:val="2"/>
          <w:sz w:val="32"/>
          <w:szCs w:val="32"/>
          <w:highlight w:val="none"/>
          <w:lang w:val="en-US" w:eastAsia="zh-CN" w:bidi="ar-SA"/>
        </w:rPr>
        <w:t>93</w:t>
      </w:r>
      <w:r>
        <w:rPr>
          <w:rFonts w:hint="default" w:ascii="Times New Roman" w:hAnsi="Times New Roman" w:eastAsia="仿宋_GB2312" w:cs="Times New Roman"/>
          <w:color w:val="auto"/>
          <w:kern w:val="2"/>
          <w:sz w:val="32"/>
          <w:szCs w:val="32"/>
          <w:highlight w:val="none"/>
          <w:lang w:val="en-US" w:eastAsia="zh-CN" w:bidi="ar-SA"/>
        </w:rPr>
        <w:t>分，绩效自评</w:t>
      </w:r>
      <w:r>
        <w:rPr>
          <w:rFonts w:hint="default" w:ascii="Times New Roman" w:hAnsi="Times New Roman" w:eastAsia="仿宋_GB2312" w:cs="Times New Roman"/>
          <w:color w:val="auto"/>
          <w:sz w:val="32"/>
          <w:szCs w:val="32"/>
          <w:highlight w:val="none"/>
          <w:lang w:val="en-US" w:eastAsia="zh-CN"/>
        </w:rPr>
        <w:t>自评综述：</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年，我单位对财政资金的使用本着量入为出的原则，合理使用财政资金</w:t>
      </w:r>
      <w:r>
        <w:rPr>
          <w:rFonts w:hint="default" w:ascii="Times New Roman" w:hAnsi="Times New Roman" w:eastAsia="仿宋" w:cs="Times New Roman"/>
          <w:b w:val="0"/>
          <w:bCs w:val="0"/>
          <w:sz w:val="32"/>
          <w:szCs w:val="32"/>
        </w:rPr>
        <w:t>，保人员、保重点工作急需支出</w:t>
      </w:r>
      <w:r>
        <w:rPr>
          <w:rFonts w:hint="eastAsia" w:eastAsia="仿宋" w:cs="Times New Roman"/>
          <w:b w:val="0"/>
          <w:bCs w:val="0"/>
          <w:sz w:val="32"/>
          <w:szCs w:val="32"/>
          <w:lang w:eastAsia="zh-CN"/>
        </w:rPr>
        <w:t>。</w:t>
      </w:r>
      <w:r>
        <w:rPr>
          <w:rFonts w:hint="eastAsia" w:eastAsia="仿宋" w:cs="Times New Roman"/>
          <w:b w:val="0"/>
          <w:bCs w:val="0"/>
          <w:sz w:val="32"/>
          <w:szCs w:val="32"/>
          <w:lang w:val="en-US" w:eastAsia="zh-CN"/>
        </w:rPr>
        <w:t>一是</w:t>
      </w:r>
      <w:r>
        <w:rPr>
          <w:rFonts w:hint="eastAsia" w:eastAsia="方正仿宋_GBK"/>
          <w:b/>
          <w:bCs/>
          <w:sz w:val="33"/>
          <w:szCs w:val="33"/>
          <w:lang w:val="en-US" w:eastAsia="zh-CN"/>
        </w:rPr>
        <w:t>扎实做好重点档案接收工作</w:t>
      </w:r>
      <w:r>
        <w:rPr>
          <w:rFonts w:hint="eastAsia" w:ascii="方正仿宋_GBK" w:hAnsi="方正仿宋_GBK" w:eastAsia="方正仿宋_GBK" w:cs="方正仿宋_GBK"/>
          <w:b/>
          <w:bCs/>
          <w:sz w:val="33"/>
          <w:szCs w:val="33"/>
        </w:rPr>
        <w:t>。</w:t>
      </w:r>
      <w:r>
        <w:rPr>
          <w:rFonts w:hint="eastAsia" w:ascii="方正仿宋_GBK" w:hAnsi="方正仿宋_GBK" w:eastAsia="方正仿宋_GBK" w:cs="方正仿宋_GBK"/>
          <w:sz w:val="33"/>
          <w:szCs w:val="33"/>
        </w:rPr>
        <w:t>科学合理制定《西区档案</w:t>
      </w:r>
      <w:r>
        <w:rPr>
          <w:rFonts w:eastAsia="方正仿宋_GBK"/>
          <w:sz w:val="33"/>
          <w:szCs w:val="33"/>
        </w:rPr>
        <w:t>馆2024年度档案移交接收工作计划》，完成主题教育</w:t>
      </w:r>
      <w:r>
        <w:rPr>
          <w:rFonts w:hint="eastAsia" w:eastAsia="方正仿宋_GBK"/>
          <w:sz w:val="33"/>
          <w:szCs w:val="33"/>
        </w:rPr>
        <w:t>档案、共同富裕档案、</w:t>
      </w:r>
      <w:r>
        <w:rPr>
          <w:rFonts w:hint="eastAsia" w:eastAsia="方正仿宋_GBK"/>
          <w:sz w:val="33"/>
          <w:szCs w:val="33"/>
          <w:lang w:val="en-US" w:eastAsia="zh-CN"/>
        </w:rPr>
        <w:t>新冠疫情</w:t>
      </w:r>
      <w:r>
        <w:rPr>
          <w:rFonts w:hint="eastAsia" w:eastAsia="方正仿宋_GBK"/>
          <w:sz w:val="33"/>
          <w:szCs w:val="33"/>
        </w:rPr>
        <w:t>档案、</w:t>
      </w:r>
      <w:r>
        <w:rPr>
          <w:rFonts w:eastAsia="方正仿宋_GBK"/>
          <w:sz w:val="33"/>
          <w:szCs w:val="33"/>
        </w:rPr>
        <w:t>婚姻档案</w:t>
      </w:r>
      <w:r>
        <w:rPr>
          <w:rFonts w:hint="eastAsia" w:eastAsia="方正仿宋_GBK"/>
          <w:sz w:val="33"/>
          <w:szCs w:val="33"/>
        </w:rPr>
        <w:t>44599件，照片49件接收工作</w:t>
      </w:r>
      <w:r>
        <w:rPr>
          <w:rFonts w:hint="eastAsia" w:ascii="方正仿宋_GBK" w:eastAsia="方正仿宋_GBK"/>
          <w:sz w:val="33"/>
          <w:szCs w:val="33"/>
        </w:rPr>
        <w:t>。</w:t>
      </w:r>
      <w:r>
        <w:rPr>
          <w:rFonts w:hint="eastAsia" w:ascii="方正仿宋_GBK" w:eastAsia="方正仿宋_GBK"/>
          <w:sz w:val="33"/>
          <w:szCs w:val="33"/>
          <w:lang w:eastAsia="zh-CN"/>
        </w:rPr>
        <w:t>重视</w:t>
      </w:r>
      <w:r>
        <w:rPr>
          <w:rFonts w:hint="eastAsia" w:ascii="方正仿宋_GBK" w:eastAsia="方正仿宋_GBK"/>
          <w:sz w:val="33"/>
          <w:szCs w:val="33"/>
        </w:rPr>
        <w:t>地区特色档案的征集工作，征集到三线建设时期重点建设项目</w:t>
      </w:r>
      <w:r>
        <w:rPr>
          <w:rFonts w:eastAsia="方正仿宋_GBK"/>
          <w:sz w:val="33"/>
          <w:szCs w:val="33"/>
        </w:rPr>
        <w:t>的老照片</w:t>
      </w:r>
      <w:r>
        <w:rPr>
          <w:rFonts w:hint="eastAsia" w:eastAsia="方正仿宋_GBK"/>
          <w:sz w:val="33"/>
          <w:szCs w:val="33"/>
        </w:rPr>
        <w:t>、宣传画册等20余件</w:t>
      </w:r>
      <w:r>
        <w:rPr>
          <w:rFonts w:hint="eastAsia" w:eastAsia="方正仿宋_GBK"/>
          <w:sz w:val="33"/>
          <w:szCs w:val="33"/>
          <w:lang w:eastAsia="zh-CN"/>
        </w:rPr>
        <w:t>，</w:t>
      </w:r>
      <w:r>
        <w:rPr>
          <w:rFonts w:hint="eastAsia" w:eastAsia="方正仿宋_GBK"/>
          <w:sz w:val="33"/>
          <w:szCs w:val="33"/>
          <w:lang w:val="en-US" w:eastAsia="zh-CN"/>
        </w:rPr>
        <w:t>征集到</w:t>
      </w:r>
      <w:r>
        <w:rPr>
          <w:rFonts w:hint="eastAsia" w:eastAsia="方正仿宋_GBK"/>
          <w:sz w:val="33"/>
          <w:szCs w:val="33"/>
        </w:rPr>
        <w:t>区文广旅局获省级文创产品大赛金奖“有礼”系列产品</w:t>
      </w:r>
      <w:r>
        <w:rPr>
          <w:rFonts w:hint="eastAsia" w:eastAsia="方正仿宋_GBK"/>
          <w:sz w:val="33"/>
          <w:szCs w:val="33"/>
          <w:lang w:val="en-US" w:eastAsia="zh-CN"/>
        </w:rPr>
        <w:t>特色档案</w:t>
      </w:r>
      <w:r>
        <w:rPr>
          <w:rFonts w:hint="eastAsia" w:eastAsia="方正仿宋_GBK"/>
          <w:sz w:val="33"/>
          <w:szCs w:val="33"/>
        </w:rPr>
        <w:t>18件</w:t>
      </w:r>
      <w:r>
        <w:rPr>
          <w:rFonts w:hint="eastAsia" w:ascii="方正仿宋_GBK" w:hAnsi="方正仿宋_GBK" w:eastAsia="方正仿宋_GBK" w:cs="方正仿宋_GBK"/>
          <w:sz w:val="33"/>
          <w:szCs w:val="33"/>
        </w:rPr>
        <w:t>。</w:t>
      </w:r>
      <w:r>
        <w:rPr>
          <w:rFonts w:hint="eastAsia" w:ascii="方正仿宋_GBK" w:hAnsi="方正仿宋_GBK" w:eastAsia="方正仿宋_GBK" w:cs="方正仿宋_GBK"/>
          <w:sz w:val="33"/>
          <w:szCs w:val="33"/>
          <w:lang w:val="en-US" w:eastAsia="zh-CN"/>
        </w:rPr>
        <w:t>二是</w:t>
      </w:r>
      <w:r>
        <w:rPr>
          <w:rFonts w:hint="eastAsia" w:ascii="方正仿宋_GBK" w:eastAsia="方正仿宋_GBK"/>
          <w:b/>
          <w:bCs/>
          <w:sz w:val="33"/>
          <w:szCs w:val="33"/>
        </w:rPr>
        <w:t>主动融入区域协调发展战略。</w:t>
      </w:r>
      <w:r>
        <w:rPr>
          <w:rFonts w:hint="eastAsia" w:ascii="方正仿宋_GBK" w:eastAsia="方正仿宋_GBK"/>
          <w:sz w:val="33"/>
          <w:szCs w:val="33"/>
        </w:rPr>
        <w:t>与云南省华坪县档案馆签订我区首份</w:t>
      </w:r>
      <w:r>
        <w:rPr>
          <w:rFonts w:hint="eastAsia" w:ascii="方正仿宋_GBK" w:hAnsi="方正仿宋_GBK" w:eastAsia="方正仿宋_GBK" w:cs="方正仿宋_GBK"/>
          <w:sz w:val="33"/>
          <w:szCs w:val="33"/>
        </w:rPr>
        <w:t>省际民生档案跨馆利用服务协议，从局馆协作、档案服务利用等方面进行深入交流，并建立档案利用工作联动机制，通过“当地受理、异地协办、及时反馈”的方式，实现民生档案的跨省利用</w:t>
      </w:r>
      <w:r>
        <w:rPr>
          <w:rFonts w:hint="eastAsia" w:ascii="方正仿宋_GBK" w:hAnsi="方正仿宋_GBK" w:eastAsia="方正仿宋_GBK" w:cs="方正仿宋_GBK"/>
          <w:sz w:val="33"/>
          <w:szCs w:val="33"/>
          <w:lang w:eastAsia="zh-CN"/>
        </w:rPr>
        <w:t>。</w:t>
      </w:r>
      <w:r>
        <w:rPr>
          <w:rFonts w:hint="eastAsia" w:ascii="方正仿宋_GBK" w:hAnsi="方正仿宋_GBK" w:eastAsia="方正仿宋_GBK" w:cs="方正仿宋_GBK"/>
          <w:sz w:val="33"/>
          <w:szCs w:val="33"/>
          <w:lang w:val="en-US" w:eastAsia="zh-CN"/>
        </w:rPr>
        <w:t>三是</w:t>
      </w:r>
      <w:r>
        <w:rPr>
          <w:rFonts w:hint="eastAsia" w:eastAsia="方正仿宋_GBK"/>
          <w:b/>
          <w:bCs/>
          <w:sz w:val="33"/>
          <w:szCs w:val="33"/>
        </w:rPr>
        <w:t>档案查阅更加便捷</w:t>
      </w:r>
      <w:r>
        <w:rPr>
          <w:rFonts w:eastAsia="方正仿宋_GBK"/>
          <w:b/>
          <w:bCs/>
          <w:sz w:val="33"/>
          <w:szCs w:val="33"/>
        </w:rPr>
        <w:t>。</w:t>
      </w:r>
      <w:r>
        <w:rPr>
          <w:rFonts w:eastAsia="方正仿宋_GBK"/>
          <w:sz w:val="33"/>
          <w:szCs w:val="33"/>
        </w:rPr>
        <w:t>坚持人民至上，</w:t>
      </w:r>
      <w:r>
        <w:rPr>
          <w:rFonts w:hint="eastAsia" w:eastAsia="方正仿宋_GBK"/>
          <w:sz w:val="33"/>
          <w:szCs w:val="33"/>
        </w:rPr>
        <w:t>采取电话查询、异地查档等方式，解决了党组织关系转移、房屋过户、确认党龄等困扰群众的“愁心事”“烦心事”，共接待查档利用者877人，查阅利用档案1000卷次、2311件次，其中异地查档143人。</w:t>
      </w:r>
      <w:r>
        <w:rPr>
          <w:rFonts w:hint="eastAsia" w:eastAsia="方正仿宋_GBK"/>
          <w:sz w:val="33"/>
          <w:szCs w:val="33"/>
          <w:lang w:val="en-US" w:eastAsia="zh-CN"/>
        </w:rPr>
        <w:t>四是</w:t>
      </w:r>
      <w:r>
        <w:rPr>
          <w:rFonts w:hint="eastAsia" w:eastAsia="方正仿宋_GBK"/>
          <w:b/>
          <w:bCs/>
          <w:sz w:val="33"/>
          <w:szCs w:val="33"/>
        </w:rPr>
        <w:t>开放审核逐年推进</w:t>
      </w:r>
      <w:r>
        <w:rPr>
          <w:rFonts w:eastAsia="方正仿宋_GBK"/>
          <w:b/>
          <w:bCs/>
          <w:sz w:val="33"/>
          <w:szCs w:val="33"/>
        </w:rPr>
        <w:t>。</w:t>
      </w:r>
      <w:r>
        <w:rPr>
          <w:rFonts w:hint="eastAsia" w:eastAsia="方正仿宋_GBK"/>
          <w:sz w:val="33"/>
          <w:szCs w:val="33"/>
        </w:rPr>
        <w:t>制定《攀枝花市西区档案馆馆藏档案开放审核中长期计划》，按照《攀枝花市西区档案馆档案开放审核工作方案》，结合前期调研的基础，完成格里坪镇政府等</w:t>
      </w:r>
      <w:r>
        <w:rPr>
          <w:rFonts w:hint="eastAsia" w:eastAsia="方正仿宋_GBK"/>
          <w:sz w:val="33"/>
          <w:szCs w:val="33"/>
          <w:lang w:val="en-US" w:eastAsia="zh-CN"/>
        </w:rPr>
        <w:t>3</w:t>
      </w:r>
      <w:r>
        <w:rPr>
          <w:rFonts w:hint="eastAsia" w:eastAsia="方正仿宋_GBK"/>
          <w:sz w:val="33"/>
          <w:szCs w:val="33"/>
        </w:rPr>
        <w:t>个全宗的开放审核工作，共审核馆藏档案692卷，确定开放档案2371件，延期开放档案11710件。</w:t>
      </w:r>
      <w:r>
        <w:rPr>
          <w:rFonts w:hint="eastAsia" w:eastAsia="方正仿宋_GBK"/>
          <w:sz w:val="33"/>
          <w:szCs w:val="33"/>
          <w:lang w:val="en-US" w:eastAsia="zh-CN"/>
        </w:rPr>
        <w:t>五是</w:t>
      </w:r>
      <w:r>
        <w:rPr>
          <w:rFonts w:hint="eastAsia" w:eastAsia="方正仿宋_GBK"/>
          <w:b/>
          <w:bCs/>
          <w:sz w:val="33"/>
          <w:szCs w:val="33"/>
        </w:rPr>
        <w:t>统筹推进“高效办成一件事”。</w:t>
      </w:r>
      <w:r>
        <w:rPr>
          <w:rFonts w:hint="eastAsia" w:eastAsia="方正仿宋_GBK"/>
          <w:sz w:val="33"/>
          <w:szCs w:val="33"/>
        </w:rPr>
        <w:t>协同区行政审批局、区民政局制发《攀枝花市西区婚姻登记档案查询、补领结婚证（攀枝花市户籍）一件事实施方案（试行）》，推行“一次告知、一图解读、一表申请、一套材料、一窗（端）受理、一网办理、统一出件”，强化跨部门政策、业务、系统协同和数据共享，进一步优化政务服务、提升行政效能。</w:t>
      </w:r>
    </w:p>
    <w:p w14:paraId="68892A60">
      <w:pPr>
        <w:spacing w:line="600" w:lineRule="exact"/>
        <w:ind w:firstLine="640"/>
        <w:rPr>
          <w:rFonts w:hint="default" w:ascii="Times New Roman" w:hAnsi="Times New Roman" w:eastAsia="方正仿宋_GBK" w:cs="Times New Roman"/>
          <w:b/>
          <w:bCs/>
          <w:color w:val="auto"/>
          <w:kern w:val="2"/>
          <w:sz w:val="32"/>
          <w:szCs w:val="32"/>
          <w:highlight w:val="none"/>
          <w:lang w:val="en-US" w:eastAsia="zh-CN" w:bidi="ar-SA"/>
        </w:rPr>
      </w:pPr>
    </w:p>
    <w:p w14:paraId="72CCE66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1638C2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C039C5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3CA7FA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75E134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038F60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B32503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69D15A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6FFEC96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3EABD7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8F3A93C">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81AEAE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3502016">
      <w:pPr>
        <w:spacing w:line="600" w:lineRule="exact"/>
        <w:rPr>
          <w:rFonts w:hint="default" w:ascii="Times New Roman" w:hAnsi="Times New Roman" w:eastAsia="仿宋_GB2312" w:cs="Times New Roman"/>
          <w:color w:val="auto"/>
          <w:kern w:val="2"/>
          <w:sz w:val="32"/>
          <w:szCs w:val="32"/>
          <w:highlight w:val="none"/>
          <w:lang w:val="en-US" w:eastAsia="zh-CN" w:bidi="ar-SA"/>
        </w:rPr>
      </w:pPr>
    </w:p>
    <w:p w14:paraId="05E5B67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525EE760">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65" w:name="_Toc21923"/>
      <w:bookmarkStart w:id="66" w:name="_Toc15377225"/>
      <w:bookmarkStart w:id="67" w:name="_Toc15396613"/>
    </w:p>
    <w:p w14:paraId="7BED835E">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p>
    <w:p w14:paraId="7597888C">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65"/>
      <w:bookmarkEnd w:id="66"/>
      <w:bookmarkEnd w:id="67"/>
    </w:p>
    <w:p w14:paraId="6963ED0E">
      <w:pPr>
        <w:spacing w:line="600" w:lineRule="exact"/>
        <w:jc w:val="left"/>
        <w:rPr>
          <w:rFonts w:hint="default" w:ascii="Times New Roman" w:hAnsi="Times New Roman" w:cs="Times New Roman"/>
          <w:b/>
          <w:color w:val="auto"/>
          <w:sz w:val="44"/>
          <w:szCs w:val="44"/>
          <w:highlight w:val="none"/>
        </w:rPr>
      </w:pPr>
    </w:p>
    <w:p w14:paraId="151CE73F">
      <w:pPr>
        <w:spacing w:line="600" w:lineRule="exact"/>
        <w:ind w:firstLine="640"/>
        <w:outlineLvl w:val="1"/>
        <w:rPr>
          <w:rFonts w:hint="default" w:ascii="Times New Roman" w:hAnsi="Times New Roman" w:eastAsia="仿宋_GB2312" w:cs="Times New Roman"/>
          <w:color w:val="auto"/>
          <w:kern w:val="2"/>
          <w:sz w:val="32"/>
          <w:szCs w:val="32"/>
          <w:highlight w:val="none"/>
          <w:lang w:val="en-US" w:eastAsia="zh-CN" w:bidi="ar-SA"/>
        </w:rPr>
      </w:pPr>
      <w:bookmarkStart w:id="68" w:name="_Toc13304"/>
      <w:bookmarkStart w:id="69" w:name="_Toc30722"/>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bookmarkEnd w:id="68"/>
      <w:bookmarkEnd w:id="69"/>
    </w:p>
    <w:p w14:paraId="0ADA99E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623B285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1A18844F">
      <w:pPr>
        <w:spacing w:line="600" w:lineRule="exact"/>
        <w:ind w:firstLine="640"/>
        <w:outlineLvl w:val="1"/>
        <w:rPr>
          <w:rFonts w:hint="default" w:ascii="Times New Roman" w:hAnsi="Times New Roman" w:eastAsia="仿宋_GB2312" w:cs="Times New Roman"/>
          <w:color w:val="auto"/>
          <w:kern w:val="2"/>
          <w:sz w:val="32"/>
          <w:szCs w:val="32"/>
          <w:highlight w:val="none"/>
          <w:lang w:val="en-US" w:eastAsia="zh-CN" w:bidi="ar-SA"/>
        </w:rPr>
      </w:pPr>
      <w:bookmarkStart w:id="70" w:name="_Toc10946"/>
      <w:bookmarkStart w:id="71" w:name="_Toc27975"/>
      <w:r>
        <w:rPr>
          <w:rFonts w:hint="default" w:ascii="Times New Roman" w:hAnsi="Times New Roman" w:eastAsia="仿宋_GB2312" w:cs="Times New Roman"/>
          <w:color w:val="auto"/>
          <w:kern w:val="2"/>
          <w:sz w:val="32"/>
          <w:szCs w:val="32"/>
          <w:highlight w:val="none"/>
          <w:lang w:val="en-US" w:eastAsia="zh-CN" w:bidi="ar-SA"/>
        </w:rPr>
        <w:t>4.其他收入：指单位取得的除上述收入以外的各项收入。</w:t>
      </w:r>
      <w:bookmarkEnd w:id="70"/>
      <w:bookmarkEnd w:id="71"/>
      <w:r>
        <w:rPr>
          <w:rFonts w:hint="default" w:ascii="Times New Roman" w:hAnsi="Times New Roman" w:eastAsia="仿宋_GB2312" w:cs="Times New Roman"/>
          <w:color w:val="auto"/>
          <w:kern w:val="2"/>
          <w:sz w:val="32"/>
          <w:szCs w:val="32"/>
          <w:highlight w:val="none"/>
          <w:lang w:val="en-US" w:eastAsia="zh-CN" w:bidi="ar-SA"/>
        </w:rPr>
        <w:t xml:space="preserve"> </w:t>
      </w:r>
    </w:p>
    <w:p w14:paraId="7E488F2F">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093AAC5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6.年初结转和结余：指以前年度尚未完成、结转到本年按有关规定继续使用的资金。 </w:t>
      </w:r>
    </w:p>
    <w:p w14:paraId="51ED44E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0519A38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14:paraId="0AE99416">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9.一般公共服务支出（类）民族事务（款）行政运行（项）：指反映行政单位（包括实行公务员管理的事业单位）的基本支出。</w:t>
      </w:r>
    </w:p>
    <w:p w14:paraId="2242BC7C">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w:t>
      </w:r>
      <w:r>
        <w:rPr>
          <w:rFonts w:hint="default" w:ascii="Times New Roman" w:hAnsi="Times New Roman" w:cs="Times New Roman"/>
        </w:rPr>
        <w:t xml:space="preserve"> </w:t>
      </w:r>
      <w:r>
        <w:rPr>
          <w:rFonts w:hint="default" w:ascii="Times New Roman" w:hAnsi="Times New Roman" w:eastAsia="仿宋" w:cs="Times New Roman"/>
          <w:sz w:val="32"/>
          <w:szCs w:val="32"/>
        </w:rPr>
        <w:t>一般公共服务支出（类）档案事务（款）行政运行（项）：指反映行政单位（包括实行公务员管理的事业单位）的基本支出。</w:t>
      </w:r>
    </w:p>
    <w:p w14:paraId="6F68EB23">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11.社会保障和就业支出（类）行政事业单位养老支出（款）行政单位离退休（项）：指指行政单位（包括实行公务员管理的事业单位）开支的离退休支出。</w:t>
      </w:r>
    </w:p>
    <w:p w14:paraId="5EDC4ADE">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12. 社会保障和就业支出（类）行政事业单位养老支出（款）机关事业单位基本养老保险缴费支出（项）：指机关事业单位实施养老保险制度有单位缴纳的基本养老保险费支出。</w:t>
      </w:r>
    </w:p>
    <w:p w14:paraId="6EE971E7">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13.卫生健康支出（类）行政事业单位医疗（款）行政单位医疗（项）：指财政部门安排的行政单位（包括实行公务员管理的事业单位、下同）基本医疗保险缴费经费，未参加医疗保险的行政单位的公费医疗经费，按国家规定享受离休人员、红军老战士待遇人员的医疗经费。</w:t>
      </w:r>
    </w:p>
    <w:p w14:paraId="30C0CB37">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14.卫生健康支出支出（类）行政事业单位医疗支出（款）公务员医疗补助：反映财政部门安排的公务员医疗补助经费。</w:t>
      </w:r>
    </w:p>
    <w:p w14:paraId="5EC6BBB1">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15.城乡社区支出（类）国有土地使用权出让收入安排的支出（款）土地开发支出（项）：指反映新疆生产建设兵团和地方政府用于前期土地开发性支出以及与前期土地开发相关的费用等支出。</w:t>
      </w:r>
    </w:p>
    <w:p w14:paraId="74999E11">
      <w:pPr>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 w:cs="Times New Roman"/>
          <w:sz w:val="32"/>
          <w:szCs w:val="32"/>
        </w:rPr>
        <w:t>16.住房保障支出（类）住房改革支出（款）住房公积金（项）：指行政事业单位按人力资源和社会保障部、财政部规定的基本工资和津贴补贴以及规定比例为职工缴纳的住房公积金。</w:t>
      </w:r>
    </w:p>
    <w:p w14:paraId="1DED380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17</w:t>
      </w:r>
      <w:r>
        <w:rPr>
          <w:rFonts w:hint="default" w:ascii="Times New Roman" w:hAnsi="Times New Roman" w:eastAsia="仿宋_GB2312" w:cs="Times New Roman"/>
          <w:color w:val="auto"/>
          <w:kern w:val="2"/>
          <w:sz w:val="32"/>
          <w:szCs w:val="32"/>
          <w:highlight w:val="none"/>
          <w:lang w:val="en-US" w:eastAsia="zh-CN" w:bidi="ar-SA"/>
        </w:rPr>
        <w:t>.基本支出：指为保障机构正常运转、完成日常工作任务而发生的人员支出和公用支出。</w:t>
      </w:r>
    </w:p>
    <w:p w14:paraId="68B783C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18</w:t>
      </w:r>
      <w:r>
        <w:rPr>
          <w:rFonts w:hint="default" w:ascii="Times New Roman" w:hAnsi="Times New Roman" w:eastAsia="仿宋_GB2312" w:cs="Times New Roman"/>
          <w:color w:val="auto"/>
          <w:kern w:val="2"/>
          <w:sz w:val="32"/>
          <w:szCs w:val="32"/>
          <w:highlight w:val="none"/>
          <w:lang w:val="en-US" w:eastAsia="zh-CN" w:bidi="ar-SA"/>
        </w:rPr>
        <w:t xml:space="preserve">.项目支出：指在基本支出之外为完成特定行政任务和事业发展目标所发生的支出。 </w:t>
      </w:r>
    </w:p>
    <w:p w14:paraId="55ABC05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19</w:t>
      </w:r>
      <w:r>
        <w:rPr>
          <w:rFonts w:hint="default" w:ascii="Times New Roman" w:hAnsi="Times New Roman" w:eastAsia="仿宋_GB2312" w:cs="Times New Roman"/>
          <w:color w:val="auto"/>
          <w:kern w:val="2"/>
          <w:sz w:val="32"/>
          <w:szCs w:val="32"/>
          <w:highlight w:val="none"/>
          <w:lang w:val="en-US" w:eastAsia="zh-CN" w:bidi="ar-SA"/>
        </w:rPr>
        <w:t>.经营支出：指事业单位在专业业务活动及其辅助活动之外开展非独立核算经营活动发生的支出。</w:t>
      </w:r>
    </w:p>
    <w:p w14:paraId="26D4C9B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20</w:t>
      </w:r>
      <w:r>
        <w:rPr>
          <w:rFonts w:hint="default" w:ascii="Times New Roman" w:hAnsi="Times New Roman" w:eastAsia="仿宋_GB2312" w:cs="Times New Roman"/>
          <w:color w:val="auto"/>
          <w:kern w:val="2"/>
          <w:sz w:val="32"/>
          <w:szCs w:val="32"/>
          <w:highlight w:val="none"/>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DE3B8D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21</w:t>
      </w:r>
      <w:r>
        <w:rPr>
          <w:rFonts w:hint="default" w:ascii="Times New Roman" w:hAnsi="Times New Roman" w:eastAsia="仿宋_GB2312" w:cs="Times New Roman"/>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1A49A5">
      <w:pPr>
        <w:ind w:firstLine="640" w:firstLineChars="200"/>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_GB2312" w:cs="Times New Roman"/>
          <w:color w:val="auto"/>
          <w:sz w:val="32"/>
          <w:szCs w:val="32"/>
          <w:highlight w:val="none"/>
          <w:lang w:val="en-US" w:eastAsia="zh-CN"/>
        </w:rPr>
        <w:t>22.异地查档</w:t>
      </w:r>
      <w:r>
        <w:rPr>
          <w:rFonts w:hint="default" w:ascii="Times New Roman" w:hAnsi="Times New Roman" w:eastAsia="仿宋" w:cs="Times New Roman"/>
          <w:color w:val="auto"/>
          <w:kern w:val="2"/>
          <w:sz w:val="32"/>
          <w:szCs w:val="32"/>
          <w:lang w:val="en-US" w:eastAsia="zh-CN" w:bidi="ar-SA"/>
        </w:rPr>
        <w:t>：各级国家档案馆根据馆藏档案资源，通过建立馆际联动工作机制，开展的档案异地跨馆查询利用服务。</w:t>
      </w:r>
    </w:p>
    <w:p w14:paraId="1BEFDC11">
      <w:pPr>
        <w:ind w:firstLine="640" w:firstLineChars="200"/>
        <w:rPr>
          <w:rFonts w:hint="eastAsia"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23.开放审核：‌档案开放审核是指对档案进行审核，决定档案能否向社会开放的工作</w:t>
      </w:r>
      <w:r>
        <w:rPr>
          <w:rFonts w:hint="eastAsia" w:ascii="Times New Roman" w:hAnsi="Times New Roman" w:eastAsia="仿宋" w:cs="Times New Roman"/>
          <w:color w:val="auto"/>
          <w:kern w:val="2"/>
          <w:sz w:val="32"/>
          <w:szCs w:val="32"/>
          <w:lang w:val="en-US" w:eastAsia="zh-CN" w:bidi="ar-SA"/>
        </w:rPr>
        <w:t>。</w:t>
      </w:r>
    </w:p>
    <w:p w14:paraId="5DD2F1F1">
      <w:pPr>
        <w:pStyle w:val="5"/>
        <w:ind w:firstLine="640" w:firstLineChars="200"/>
        <w:rPr>
          <w:rFonts w:hint="default"/>
          <w:lang w:val="en-US" w:eastAsia="zh-CN"/>
        </w:rPr>
      </w:pPr>
      <w:r>
        <w:rPr>
          <w:rFonts w:hint="eastAsia" w:ascii="Times New Roman" w:eastAsia="仿宋" w:cs="Times New Roman"/>
          <w:color w:val="auto"/>
          <w:kern w:val="2"/>
          <w:sz w:val="32"/>
          <w:szCs w:val="32"/>
          <w:lang w:val="en-US" w:eastAsia="zh-CN" w:bidi="ar-SA"/>
        </w:rPr>
        <w:t>24.档案保管“九防”措施：防火、防盗、防水、防潮、防尘、防光、防紫外线、防有害气体、防有害生物。</w:t>
      </w:r>
    </w:p>
    <w:p w14:paraId="1A2D7729">
      <w:pPr>
        <w:spacing w:line="600" w:lineRule="exact"/>
        <w:jc w:val="center"/>
        <w:outlineLvl w:val="0"/>
        <w:rPr>
          <w:rStyle w:val="28"/>
          <w:rFonts w:hint="default" w:ascii="Times New Roman" w:hAnsi="Times New Roman" w:eastAsia="黑体" w:cs="Times New Roman"/>
          <w:b w:val="0"/>
          <w:color w:val="auto"/>
          <w:highlight w:val="none"/>
          <w:lang w:eastAsia="zh-CN"/>
        </w:rPr>
      </w:pPr>
      <w:bookmarkStart w:id="72"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73" w:name="_Toc15396614"/>
      <w:bookmarkStart w:id="74" w:name="_Toc13591"/>
      <w:r>
        <w:rPr>
          <w:rFonts w:hint="default" w:ascii="Times New Roman" w:hAnsi="Times New Roman" w:eastAsia="黑体" w:cs="Times New Roman"/>
          <w:color w:val="auto"/>
          <w:sz w:val="44"/>
          <w:szCs w:val="44"/>
          <w:highlight w:val="none"/>
        </w:rPr>
        <w:t>第四部分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 xml:space="preserve"> 附件</w:t>
      </w:r>
      <w:bookmarkEnd w:id="73"/>
      <w:bookmarkEnd w:id="74"/>
    </w:p>
    <w:p w14:paraId="6C92EBC6">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FED49E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val="en-US" w:eastAsia="zh-CN"/>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default"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5B5C71B4">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037BE08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黑体" w:cs="Times New Roman"/>
          <w:color w:val="000000"/>
          <w:kern w:val="0"/>
          <w:sz w:val="32"/>
          <w:szCs w:val="32"/>
          <w:highlight w:val="none"/>
          <w:shd w:val="clear" w:color="auto" w:fill="FFFFFF"/>
          <w:lang w:val="zh-CN"/>
        </w:rPr>
      </w:pPr>
      <w:bookmarkStart w:id="75" w:name="_Toc7625"/>
      <w:bookmarkStart w:id="76" w:name="_Toc21744"/>
      <w:r>
        <w:rPr>
          <w:rFonts w:hint="default" w:ascii="Times New Roman" w:hAnsi="Times New Roman" w:eastAsia="黑体" w:cs="Times New Roman"/>
          <w:color w:val="000000"/>
          <w:kern w:val="0"/>
          <w:sz w:val="32"/>
          <w:szCs w:val="32"/>
          <w:highlight w:val="none"/>
          <w:shd w:val="clear" w:color="auto" w:fill="FFFFFF"/>
          <w:lang w:val="zh-CN"/>
        </w:rPr>
        <w:t>一、</w:t>
      </w:r>
      <w:r>
        <w:rPr>
          <w:rFonts w:hint="eastAsia" w:eastAsia="黑体" w:cs="Times New Roman"/>
          <w:color w:val="000000"/>
          <w:kern w:val="0"/>
          <w:sz w:val="32"/>
          <w:szCs w:val="32"/>
          <w:highlight w:val="none"/>
          <w:shd w:val="clear" w:color="auto" w:fill="FFFFFF"/>
          <w:lang w:val="en-US" w:eastAsia="zh-CN"/>
        </w:rPr>
        <w:t>部门</w:t>
      </w:r>
      <w:r>
        <w:rPr>
          <w:rFonts w:hint="default" w:ascii="Times New Roman" w:hAnsi="Times New Roman" w:eastAsia="黑体" w:cs="Times New Roman"/>
          <w:color w:val="000000"/>
          <w:kern w:val="0"/>
          <w:sz w:val="32"/>
          <w:szCs w:val="32"/>
          <w:highlight w:val="none"/>
          <w:shd w:val="clear" w:color="auto" w:fill="FFFFFF"/>
          <w:lang w:val="zh-CN"/>
        </w:rPr>
        <w:t>基本情况</w:t>
      </w:r>
      <w:bookmarkEnd w:id="75"/>
      <w:bookmarkEnd w:id="76"/>
    </w:p>
    <w:p w14:paraId="1BC02541">
      <w:pPr>
        <w:widowControl/>
        <w:adjustRightInd w:val="0"/>
        <w:snapToGrid w:val="0"/>
        <w:spacing w:line="560" w:lineRule="exact"/>
        <w:ind w:firstLine="643" w:firstLineChars="200"/>
        <w:contextualSpacing/>
        <w:jc w:val="left"/>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（一）机构组成</w:t>
      </w:r>
    </w:p>
    <w:p w14:paraId="59599321">
      <w:pPr>
        <w:keepNext w:val="0"/>
        <w:keepLines w:val="0"/>
        <w:pageBreakBefore w:val="0"/>
        <w:kinsoku/>
        <w:wordWrap/>
        <w:overflowPunct/>
        <w:topLinePunct w:val="0"/>
        <w:autoSpaceDE/>
        <w:autoSpaceDN/>
        <w:bidi w:val="0"/>
        <w:ind w:firstLine="640" w:firstLineChars="200"/>
        <w:jc w:val="both"/>
        <w:textAlignment w:val="auto"/>
        <w:rPr>
          <w:rFonts w:hint="default" w:ascii="Times New Roman" w:hAnsi="Times New Roman" w:eastAsia="仿宋" w:cs="Times New Roman"/>
          <w:color w:val="000000"/>
          <w:sz w:val="32"/>
          <w:szCs w:val="32"/>
          <w:lang w:val="zh-CN"/>
        </w:rPr>
      </w:pPr>
      <w:r>
        <w:rPr>
          <w:rFonts w:hint="default" w:ascii="Times New Roman" w:hAnsi="Times New Roman" w:eastAsia="仿宋" w:cs="Times New Roman"/>
          <w:color w:val="000000"/>
          <w:sz w:val="32"/>
          <w:szCs w:val="32"/>
        </w:rPr>
        <w:t>西区档案馆内设3个股室，一是档案管理股、二是接收征集信息股、三是办公室。</w:t>
      </w:r>
    </w:p>
    <w:p w14:paraId="047580CF">
      <w:pPr>
        <w:keepNext w:val="0"/>
        <w:keepLines w:val="0"/>
        <w:pageBreakBefore w:val="0"/>
        <w:kinsoku/>
        <w:wordWrap/>
        <w:overflowPunct/>
        <w:topLinePunct w:val="0"/>
        <w:autoSpaceDE/>
        <w:autoSpaceDN/>
        <w:bidi w:val="0"/>
        <w:ind w:firstLine="643" w:firstLineChars="200"/>
        <w:jc w:val="both"/>
        <w:textAlignment w:val="auto"/>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（二）机构职能</w:t>
      </w:r>
    </w:p>
    <w:p w14:paraId="79E2B78A">
      <w:pPr>
        <w:keepNext w:val="0"/>
        <w:keepLines w:val="0"/>
        <w:pageBreakBefore w:val="0"/>
        <w:kinsoku/>
        <w:wordWrap/>
        <w:overflowPunct/>
        <w:topLinePunct w:val="0"/>
        <w:autoSpaceDE/>
        <w:autoSpaceDN/>
        <w:bidi w:val="0"/>
        <w:ind w:firstLine="640" w:firstLineChars="200"/>
        <w:jc w:val="both"/>
        <w:textAlignment w:val="auto"/>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仿宋" w:cs="Times New Roman"/>
          <w:color w:val="000000"/>
          <w:sz w:val="32"/>
          <w:szCs w:val="32"/>
        </w:rPr>
        <w:t>收集和接收西区保管范围内对国家和社会有保存价值的档案；对所保存的档案严格按照规定整理和保管；采取各种形式开发档案资源，为社会利用档案资源提供服务。</w:t>
      </w:r>
    </w:p>
    <w:p w14:paraId="27FE9587">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w:t>
      </w:r>
      <w:r>
        <w:rPr>
          <w:rFonts w:hint="default" w:ascii="Times New Roman" w:hAnsi="Times New Roman" w:eastAsia="楷体_GB2312" w:cs="Times New Roman"/>
          <w:b/>
          <w:bCs/>
          <w:kern w:val="0"/>
          <w:sz w:val="32"/>
          <w:szCs w:val="32"/>
          <w:shd w:val="clear" w:color="auto" w:fill="FFFFFF"/>
          <w:lang w:val="en-US" w:eastAsia="zh-CN"/>
        </w:rPr>
        <w:t>三）</w:t>
      </w:r>
      <w:r>
        <w:rPr>
          <w:rFonts w:hint="default" w:ascii="Times New Roman" w:hAnsi="Times New Roman" w:eastAsia="楷体_GB2312" w:cs="Times New Roman"/>
          <w:b/>
          <w:bCs/>
          <w:kern w:val="0"/>
          <w:sz w:val="32"/>
          <w:szCs w:val="32"/>
          <w:shd w:val="clear" w:color="auto" w:fill="FFFFFF"/>
          <w:lang w:val="zh-CN"/>
        </w:rPr>
        <w:t>人员概况</w:t>
      </w:r>
    </w:p>
    <w:p w14:paraId="0E9060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本单位有参公编制7人，临聘</w:t>
      </w:r>
      <w:r>
        <w:rPr>
          <w:rFonts w:hint="eastAsia" w:eastAsia="仿宋" w:cs="Times New Roman"/>
          <w:color w:val="000000"/>
          <w:sz w:val="32"/>
          <w:szCs w:val="32"/>
          <w:lang w:val="en-US" w:eastAsia="zh-CN"/>
        </w:rPr>
        <w:t>控制数</w:t>
      </w:r>
      <w:r>
        <w:rPr>
          <w:rFonts w:hint="default" w:ascii="Times New Roman" w:hAnsi="Times New Roman" w:eastAsia="仿宋" w:cs="Times New Roman"/>
          <w:color w:val="000000"/>
          <w:sz w:val="32"/>
          <w:szCs w:val="32"/>
        </w:rPr>
        <w:t>2人。202</w:t>
      </w:r>
      <w:r>
        <w:rPr>
          <w:rFonts w:hint="eastAsia" w:eastAsia="仿宋" w:cs="Times New Roman"/>
          <w:color w:val="000000"/>
          <w:sz w:val="32"/>
          <w:szCs w:val="32"/>
          <w:lang w:val="en-US" w:eastAsia="zh-CN"/>
        </w:rPr>
        <w:t>4</w:t>
      </w:r>
      <w:r>
        <w:rPr>
          <w:rFonts w:hint="default" w:ascii="Times New Roman" w:hAnsi="Times New Roman" w:eastAsia="仿宋" w:cs="Times New Roman"/>
          <w:color w:val="000000"/>
          <w:sz w:val="32"/>
          <w:szCs w:val="32"/>
        </w:rPr>
        <w:t>年末实际在岗参公</w:t>
      </w:r>
      <w:r>
        <w:rPr>
          <w:rFonts w:hint="eastAsia" w:eastAsia="仿宋" w:cs="Times New Roman"/>
          <w:color w:val="000000"/>
          <w:sz w:val="32"/>
          <w:szCs w:val="32"/>
          <w:lang w:val="en-US" w:eastAsia="zh-CN"/>
        </w:rPr>
        <w:t>6</w:t>
      </w:r>
      <w:r>
        <w:rPr>
          <w:rFonts w:hint="default" w:ascii="Times New Roman" w:hAnsi="Times New Roman" w:eastAsia="仿宋" w:cs="Times New Roman"/>
          <w:color w:val="000000"/>
          <w:sz w:val="32"/>
          <w:szCs w:val="32"/>
        </w:rPr>
        <w:t>人，临聘在编</w:t>
      </w:r>
      <w:r>
        <w:rPr>
          <w:rFonts w:hint="eastAsia" w:eastAsia="仿宋" w:cs="Times New Roman"/>
          <w:color w:val="000000"/>
          <w:sz w:val="32"/>
          <w:szCs w:val="32"/>
          <w:lang w:val="en-US" w:eastAsia="zh-CN"/>
        </w:rPr>
        <w:t>2</w:t>
      </w:r>
      <w:r>
        <w:rPr>
          <w:rFonts w:hint="default" w:ascii="Times New Roman" w:hAnsi="Times New Roman" w:eastAsia="仿宋" w:cs="Times New Roman"/>
          <w:color w:val="000000"/>
          <w:sz w:val="32"/>
          <w:szCs w:val="32"/>
        </w:rPr>
        <w:t>人，退休</w:t>
      </w:r>
      <w:r>
        <w:rPr>
          <w:rFonts w:hint="eastAsia" w:eastAsia="仿宋" w:cs="Times New Roman"/>
          <w:color w:val="000000"/>
          <w:sz w:val="32"/>
          <w:szCs w:val="32"/>
          <w:lang w:val="en-US" w:eastAsia="zh-CN"/>
        </w:rPr>
        <w:t>3</w:t>
      </w:r>
      <w:r>
        <w:rPr>
          <w:rFonts w:hint="default" w:ascii="Times New Roman" w:hAnsi="Times New Roman" w:eastAsia="仿宋" w:cs="Times New Roman"/>
          <w:color w:val="000000"/>
          <w:sz w:val="32"/>
          <w:szCs w:val="32"/>
        </w:rPr>
        <w:t>人。</w:t>
      </w:r>
    </w:p>
    <w:p w14:paraId="5938719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黑体" w:cs="Times New Roman"/>
          <w:color w:val="000000"/>
          <w:kern w:val="0"/>
          <w:sz w:val="32"/>
          <w:szCs w:val="32"/>
          <w:highlight w:val="none"/>
          <w:shd w:val="clear" w:color="auto" w:fill="FFFFFF"/>
          <w:lang w:val="zh-CN" w:eastAsia="zh-CN"/>
        </w:rPr>
      </w:pPr>
      <w:bookmarkStart w:id="77" w:name="_Toc15954"/>
      <w:r>
        <w:rPr>
          <w:rFonts w:hint="default" w:ascii="Times New Roman" w:hAnsi="Times New Roman" w:eastAsia="黑体" w:cs="Times New Roman"/>
          <w:color w:val="000000"/>
          <w:kern w:val="0"/>
          <w:sz w:val="32"/>
          <w:szCs w:val="32"/>
          <w:highlight w:val="none"/>
          <w:shd w:val="clear" w:color="auto" w:fill="FFFFFF"/>
          <w:lang w:val="zh-CN" w:eastAsia="zh-CN"/>
        </w:rPr>
        <w:t>二、</w:t>
      </w:r>
      <w:r>
        <w:rPr>
          <w:rFonts w:hint="eastAsia" w:eastAsia="黑体" w:cs="Times New Roman"/>
          <w:color w:val="000000"/>
          <w:kern w:val="0"/>
          <w:sz w:val="32"/>
          <w:szCs w:val="32"/>
          <w:highlight w:val="none"/>
          <w:shd w:val="clear" w:color="auto" w:fill="FFFFFF"/>
          <w:lang w:val="en-US"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资金收支情况</w:t>
      </w:r>
      <w:bookmarkEnd w:id="77"/>
    </w:p>
    <w:p w14:paraId="75A59D5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（一）收入情况。</w:t>
      </w:r>
      <w:r>
        <w:rPr>
          <w:rFonts w:hint="eastAsia" w:eastAsia="仿宋_GB2312" w:cs="Times New Roman"/>
          <w:color w:val="auto"/>
          <w:kern w:val="2"/>
          <w:sz w:val="32"/>
          <w:szCs w:val="32"/>
          <w:highlight w:val="none"/>
          <w:lang w:val="en-US" w:eastAsia="zh-CN" w:bidi="ar-SA"/>
        </w:rPr>
        <w:t>攀枝花市西区档案馆</w:t>
      </w:r>
      <w:r>
        <w:rPr>
          <w:rFonts w:hint="default" w:ascii="Times New Roman" w:hAnsi="Times New Roman" w:eastAsia="仿宋_GB2312" w:cs="Times New Roman"/>
          <w:sz w:val="32"/>
          <w:szCs w:val="32"/>
          <w:lang w:val="en-US" w:eastAsia="zh-CN"/>
        </w:rPr>
        <w:t>2024年年初</w:t>
      </w:r>
      <w:r>
        <w:rPr>
          <w:rFonts w:ascii="Times New Roman" w:hAnsi="Times New Roman" w:eastAsia="仿宋_GB2312" w:cs="Times New Roman"/>
          <w:sz w:val="32"/>
          <w:szCs w:val="32"/>
        </w:rPr>
        <w:t>收入预算</w:t>
      </w:r>
      <w:r>
        <w:rPr>
          <w:rFonts w:hint="eastAsia" w:ascii="Times New Roman" w:hAnsi="Times New Roman" w:eastAsia="仿宋_GB2312" w:cs="Times New Roman"/>
          <w:sz w:val="32"/>
          <w:szCs w:val="32"/>
        </w:rPr>
        <w:t>155.1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决算报表收入189.03万元。</w:t>
      </w:r>
    </w:p>
    <w:p w14:paraId="2644858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（二）支出情况。</w:t>
      </w:r>
      <w:r>
        <w:rPr>
          <w:rFonts w:hint="eastAsia" w:eastAsia="仿宋_GB2312" w:cs="Times New Roman"/>
          <w:color w:val="auto"/>
          <w:kern w:val="2"/>
          <w:sz w:val="32"/>
          <w:szCs w:val="32"/>
          <w:highlight w:val="none"/>
          <w:lang w:val="en-US" w:eastAsia="zh-CN" w:bidi="ar-SA"/>
        </w:rPr>
        <w:t>攀枝花市西区档案馆</w:t>
      </w:r>
      <w:r>
        <w:rPr>
          <w:rFonts w:hint="default" w:ascii="Times New Roman" w:hAnsi="Times New Roman" w:eastAsia="仿宋_GB2312" w:cs="Times New Roman"/>
          <w:sz w:val="32"/>
          <w:szCs w:val="32"/>
          <w:lang w:val="en-US" w:eastAsia="zh-CN"/>
        </w:rPr>
        <w:t>2024年年初预算支出</w:t>
      </w:r>
      <w:r>
        <w:rPr>
          <w:rFonts w:hint="eastAsia" w:eastAsia="仿宋_GB2312" w:cs="Times New Roman"/>
          <w:sz w:val="32"/>
          <w:szCs w:val="32"/>
          <w:lang w:val="en-US" w:eastAsia="zh-CN"/>
        </w:rPr>
        <w:t>155.1万元</w:t>
      </w:r>
      <w:r>
        <w:rPr>
          <w:rFonts w:hint="default" w:ascii="Times New Roman" w:hAnsi="Times New Roman" w:eastAsia="仿宋_GB2312" w:cs="Times New Roman"/>
          <w:sz w:val="32"/>
          <w:szCs w:val="32"/>
          <w:lang w:val="en-US" w:eastAsia="zh-CN"/>
        </w:rPr>
        <w:t>、决算报表支出</w:t>
      </w:r>
      <w:r>
        <w:rPr>
          <w:rFonts w:hint="eastAsia" w:eastAsia="仿宋_GB2312" w:cs="Times New Roman"/>
          <w:sz w:val="32"/>
          <w:szCs w:val="32"/>
          <w:lang w:val="en-US" w:eastAsia="zh-CN"/>
        </w:rPr>
        <w:t>189.03万元</w:t>
      </w:r>
      <w:r>
        <w:rPr>
          <w:rFonts w:hint="default" w:ascii="Times New Roman" w:hAnsi="Times New Roman" w:eastAsia="仿宋_GB2312" w:cs="Times New Roman"/>
          <w:sz w:val="32"/>
          <w:szCs w:val="32"/>
          <w:lang w:val="en-US" w:eastAsia="zh-CN"/>
        </w:rPr>
        <w:t>。</w:t>
      </w:r>
    </w:p>
    <w:p w14:paraId="4A0DCE6B">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（三）结余分配和结转结余情况</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Times New Roman"/>
          <w:color w:val="auto"/>
          <w:kern w:val="2"/>
          <w:sz w:val="32"/>
          <w:szCs w:val="32"/>
          <w:highlight w:val="none"/>
          <w:lang w:val="en-US" w:eastAsia="zh-CN" w:bidi="ar-SA"/>
        </w:rPr>
        <w:t>攀枝花市西区档案馆</w:t>
      </w:r>
      <w:r>
        <w:rPr>
          <w:rFonts w:hint="default"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p>
    <w:p w14:paraId="5CC45D4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黑体" w:cs="Times New Roman"/>
          <w:color w:val="000000"/>
          <w:kern w:val="0"/>
          <w:sz w:val="32"/>
          <w:szCs w:val="32"/>
          <w:highlight w:val="none"/>
          <w:shd w:val="clear" w:color="auto" w:fill="FFFFFF"/>
          <w:lang w:val="zh-CN" w:eastAsia="zh-CN"/>
        </w:rPr>
      </w:pPr>
      <w:bookmarkStart w:id="78" w:name="_Toc14285"/>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en-US"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bookmarkEnd w:id="78"/>
    </w:p>
    <w:p w14:paraId="6D38E4C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en-US" w:eastAsia="zh-CN"/>
        </w:rPr>
        <w:t>部门</w:t>
      </w:r>
      <w:r>
        <w:rPr>
          <w:rFonts w:hint="default" w:ascii="Times New Roman" w:hAnsi="Times New Roman" w:eastAsia="楷体_GB2312" w:cs="Times New Roman"/>
          <w:b/>
          <w:bCs/>
          <w:color w:val="000000"/>
          <w:kern w:val="0"/>
          <w:sz w:val="32"/>
          <w:szCs w:val="32"/>
          <w:highlight w:val="none"/>
          <w:shd w:val="clear" w:color="auto" w:fill="FFFFFF"/>
          <w:lang w:val="zh-CN"/>
        </w:rPr>
        <w:t>预算总体绩效分析。</w:t>
      </w:r>
      <w:r>
        <w:rPr>
          <w:rFonts w:hint="default" w:ascii="Times New Roman" w:hAnsi="Times New Roman" w:eastAsia="仿宋" w:cs="Times New Roman"/>
          <w:sz w:val="32"/>
          <w:szCs w:val="32"/>
        </w:rPr>
        <w:t>根据绩效目标及指标值逐项分析，202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w:t>
      </w:r>
      <w:r>
        <w:rPr>
          <w:rFonts w:hint="eastAsia" w:eastAsia="仿宋" w:cs="Times New Roman"/>
          <w:sz w:val="32"/>
          <w:szCs w:val="32"/>
          <w:lang w:val="en-US" w:eastAsia="zh-CN"/>
        </w:rPr>
        <w:t>单位</w:t>
      </w:r>
      <w:r>
        <w:rPr>
          <w:rFonts w:hint="default" w:ascii="Times New Roman" w:hAnsi="Times New Roman" w:eastAsia="仿宋" w:cs="Times New Roman"/>
          <w:sz w:val="32"/>
          <w:szCs w:val="32"/>
        </w:rPr>
        <w:t>整体支出绩效自评结果显示，我单位绩效管理情况较为理想，达到了年初设定的各项绩效目标。所有资金使用严格按审批程序办理、操作规范，会计核算结果真实、准确，各项支出严格按照各项制度执行。具体目标实现情况如下：</w:t>
      </w:r>
    </w:p>
    <w:p w14:paraId="2353854B">
      <w:pPr>
        <w:pStyle w:val="5"/>
        <w:ind w:firstLine="640" w:firstLineChars="200"/>
        <w:rPr>
          <w:rFonts w:hint="eastAsia" w:ascii="Times New Roman" w:eastAsia="仿宋" w:cs="Times New Roman"/>
          <w:sz w:val="32"/>
          <w:szCs w:val="32"/>
          <w:lang w:val="en-US" w:eastAsia="zh-CN"/>
        </w:rPr>
      </w:pPr>
      <w:r>
        <w:rPr>
          <w:rFonts w:hint="eastAsia" w:ascii="Times New Roman" w:eastAsia="仿宋" w:cs="Times New Roman"/>
          <w:sz w:val="32"/>
          <w:szCs w:val="32"/>
          <w:lang w:val="en-US" w:eastAsia="zh-CN"/>
        </w:rPr>
        <w:t>1.履职效能。一是本年度支出人员经费138.57万元，及时发放了单位职工工资、缴纳了社保及公积金，有效保障了单位职工的合法权益。二是本年度支出单位运行经费12.24万元，保障了单位正常运转。三是通过及时开展档案保管保护设施设备运行维护、消防设备维保，有效落实了档案安全保管“九防”措施，保障了档案安全，未发生档案失泄密和安全事故。</w:t>
      </w:r>
    </w:p>
    <w:p w14:paraId="1D1327BE">
      <w:pPr>
        <w:pStyle w:val="5"/>
        <w:ind w:firstLine="640" w:firstLineChars="200"/>
        <w:rPr>
          <w:rFonts w:hint="eastAsia" w:ascii="Times New Roman" w:eastAsia="仿宋" w:cs="Times New Roman"/>
          <w:sz w:val="32"/>
          <w:szCs w:val="32"/>
          <w:lang w:val="en-US" w:eastAsia="zh-CN"/>
        </w:rPr>
      </w:pPr>
      <w:r>
        <w:rPr>
          <w:rFonts w:hint="eastAsia" w:ascii="Times New Roman" w:eastAsia="仿宋" w:cs="Times New Roman"/>
          <w:sz w:val="32"/>
          <w:szCs w:val="32"/>
          <w:lang w:val="en-US" w:eastAsia="zh-CN"/>
        </w:rPr>
        <w:t>2.预算管理。一是严管预算编制，本单位预算编制以当年度工作任务为基础，结合单位职能职责分析预算支出的必要性和紧迫性，通过比较往年支出情况、开展调研等方式确定本年度项目预算。二是严控大额支出，严格落实单位“三重一大”支出，凡是涉及到大额支出，都必须通过馆务会议讨论通过后执行，确保了大额支出的必要性和合理性。三是及时统筹收支，及时关注单位项目经费支出情况，统筹安排支出。</w:t>
      </w:r>
    </w:p>
    <w:p w14:paraId="579110EF">
      <w:pPr>
        <w:pStyle w:val="5"/>
        <w:ind w:firstLine="640" w:firstLineChars="200"/>
        <w:rPr>
          <w:rFonts w:hint="eastAsia" w:ascii="Times New Roman" w:eastAsia="仿宋" w:cs="Times New Roman"/>
          <w:sz w:val="32"/>
          <w:szCs w:val="32"/>
          <w:lang w:val="en-US" w:eastAsia="zh-CN"/>
        </w:rPr>
      </w:pPr>
      <w:r>
        <w:rPr>
          <w:rFonts w:hint="eastAsia" w:ascii="Times New Roman" w:eastAsia="仿宋" w:cs="Times New Roman"/>
          <w:sz w:val="32"/>
          <w:szCs w:val="32"/>
          <w:lang w:val="en-US" w:eastAsia="zh-CN"/>
        </w:rPr>
        <w:t>3.财务管理。单位全面建立了财务管理、报销等财务制度，实行了出纳、会计分立，单位资金使用严格落实制度要求，大额资金支出均通过馆务会议讨论后执行，有效保障了财务工作规范性和资金支出的安全性。</w:t>
      </w:r>
    </w:p>
    <w:p w14:paraId="2B55EF5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eastAsia" w:eastAsia="楷体_GB2312" w:cs="Times New Roman"/>
          <w:b/>
          <w:bCs/>
          <w:color w:val="000000"/>
          <w:kern w:val="0"/>
          <w:sz w:val="32"/>
          <w:szCs w:val="32"/>
          <w:highlight w:val="none"/>
          <w:shd w:val="clear" w:color="auto" w:fill="FFFFFF"/>
          <w:lang w:val="en-US" w:eastAsia="zh-CN"/>
        </w:rPr>
        <w:t>部门</w:t>
      </w:r>
      <w:r>
        <w:rPr>
          <w:rFonts w:hint="default" w:ascii="Times New Roman" w:hAnsi="Times New Roman" w:eastAsia="楷体_GB2312" w:cs="Times New Roman"/>
          <w:b/>
          <w:bCs/>
          <w:color w:val="000000"/>
          <w:kern w:val="0"/>
          <w:sz w:val="32"/>
          <w:szCs w:val="32"/>
          <w:highlight w:val="none"/>
          <w:shd w:val="clear" w:color="auto" w:fill="FFFFFF"/>
          <w:lang w:val="zh-CN"/>
        </w:rPr>
        <w:t>预算项目绩效分析。</w:t>
      </w:r>
      <w:r>
        <w:rPr>
          <w:rFonts w:hint="default" w:ascii="Times New Roman" w:hAnsi="Times New Roman" w:eastAsia="仿宋_GB2312" w:cs="Times New Roman"/>
          <w:color w:val="auto"/>
          <w:kern w:val="2"/>
          <w:sz w:val="32"/>
          <w:szCs w:val="32"/>
          <w:highlight w:val="none"/>
          <w:lang w:val="zh-CN" w:eastAsia="zh-CN" w:bidi="ar-SA"/>
        </w:rPr>
        <w:t>填报以下数据，并根据</w:t>
      </w:r>
      <w:r>
        <w:rPr>
          <w:rFonts w:hint="eastAsia" w:eastAsia="仿宋_GB2312" w:cs="Times New Roman"/>
          <w:color w:val="auto"/>
          <w:kern w:val="2"/>
          <w:sz w:val="32"/>
          <w:szCs w:val="32"/>
          <w:highlight w:val="none"/>
          <w:lang w:val="en-US" w:eastAsia="zh-CN" w:bidi="ar-SA"/>
        </w:rPr>
        <w:t>单位</w:t>
      </w:r>
      <w:r>
        <w:rPr>
          <w:rFonts w:hint="default" w:ascii="Times New Roman" w:hAnsi="Times New Roman" w:eastAsia="仿宋_GB2312" w:cs="Times New Roman"/>
          <w:color w:val="auto"/>
          <w:kern w:val="2"/>
          <w:sz w:val="32"/>
          <w:szCs w:val="32"/>
          <w:highlight w:val="none"/>
          <w:lang w:val="zh-CN" w:eastAsia="zh-CN" w:bidi="ar-SA"/>
        </w:rPr>
        <w:t>预算绩效评价指标体系“项目绩效”涉及二、三级指标进行逐项绩效分析并评分，依次包括项目</w:t>
      </w:r>
      <w:r>
        <w:rPr>
          <w:rFonts w:hint="default" w:ascii="Times New Roman" w:hAnsi="Times New Roman" w:eastAsia="仿宋_GB2312" w:cs="Times New Roman"/>
          <w:color w:val="auto"/>
          <w:kern w:val="2"/>
          <w:sz w:val="32"/>
          <w:szCs w:val="32"/>
          <w:highlight w:val="none"/>
          <w:lang w:val="en-US" w:eastAsia="zh-CN" w:bidi="ar-SA"/>
        </w:rPr>
        <w:t>决策、项目执行、目标实现等情况。</w:t>
      </w:r>
    </w:p>
    <w:p w14:paraId="708F9DF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常年项目绩效分析。</w:t>
      </w:r>
      <w:r>
        <w:rPr>
          <w:rFonts w:hint="default" w:ascii="Times New Roman" w:hAnsi="Times New Roman" w:eastAsia="仿宋_GB2312" w:cs="Times New Roman"/>
          <w:color w:val="auto"/>
          <w:kern w:val="2"/>
          <w:sz w:val="32"/>
          <w:szCs w:val="32"/>
          <w:highlight w:val="none"/>
          <w:lang w:val="zh-CN" w:eastAsia="zh-CN" w:bidi="ar-SA"/>
        </w:rPr>
        <w:t>该类项目总数</w:t>
      </w:r>
      <w:r>
        <w:rPr>
          <w:rFonts w:hint="eastAsia"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个，涉及预算总金额</w:t>
      </w:r>
      <w:r>
        <w:rPr>
          <w:rFonts w:hint="eastAsia"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zh-CN" w:eastAsia="zh-CN" w:bidi="ar-SA"/>
        </w:rPr>
        <w:t>万元，1—1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月预算执行总体进度为</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zh-CN" w:eastAsia="zh-CN" w:bidi="ar-SA"/>
        </w:rPr>
        <w:t>%，其中：预算结余率大于</w:t>
      </w:r>
      <w:r>
        <w:rPr>
          <w:rFonts w:hint="default"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zh-CN" w:eastAsia="zh-CN" w:bidi="ar-SA"/>
        </w:rPr>
        <w:t>的项目共计</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w:t>
      </w:r>
    </w:p>
    <w:p w14:paraId="3C095D1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Times New Roman"/>
          <w:color w:val="auto"/>
          <w:kern w:val="2"/>
          <w:sz w:val="32"/>
          <w:szCs w:val="32"/>
          <w:highlight w:val="none"/>
          <w:lang w:val="zh-CN" w:eastAsia="zh-CN" w:bidi="ar-SA"/>
        </w:rPr>
      </w:pPr>
      <w:r>
        <w:rPr>
          <w:rFonts w:hint="default" w:ascii="Times New Roman" w:hAnsi="Times New Roman" w:eastAsia="仿宋_GB2312" w:cs="Times New Roman"/>
          <w:color w:val="auto"/>
          <w:kern w:val="2"/>
          <w:sz w:val="32"/>
          <w:szCs w:val="32"/>
          <w:highlight w:val="none"/>
          <w:lang w:val="en-US" w:eastAsia="zh-CN" w:bidi="ar-SA"/>
        </w:rPr>
        <w:t>阶段（一次性）项目绩效分析。</w:t>
      </w:r>
      <w:r>
        <w:rPr>
          <w:rFonts w:hint="default" w:ascii="Times New Roman" w:hAnsi="Times New Roman" w:eastAsia="仿宋_GB2312" w:cs="Times New Roman"/>
          <w:color w:val="auto"/>
          <w:kern w:val="2"/>
          <w:sz w:val="32"/>
          <w:szCs w:val="32"/>
          <w:highlight w:val="none"/>
          <w:lang w:val="zh-CN" w:eastAsia="zh-CN" w:bidi="ar-SA"/>
        </w:rPr>
        <w:t>该类项目总数</w:t>
      </w:r>
      <w:r>
        <w:rPr>
          <w:rFonts w:hint="eastAsia"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个，涉及预算总金额</w:t>
      </w:r>
      <w:r>
        <w:rPr>
          <w:rFonts w:hint="eastAsia" w:eastAsia="仿宋_GB2312" w:cs="Times New Roman"/>
          <w:color w:val="auto"/>
          <w:kern w:val="2"/>
          <w:sz w:val="32"/>
          <w:szCs w:val="32"/>
          <w:highlight w:val="none"/>
          <w:lang w:val="en-US" w:eastAsia="zh-CN" w:bidi="ar-SA"/>
        </w:rPr>
        <w:t>27.23</w:t>
      </w:r>
      <w:r>
        <w:rPr>
          <w:rFonts w:hint="default" w:ascii="Times New Roman" w:hAnsi="Times New Roman" w:eastAsia="仿宋_GB2312" w:cs="Times New Roman"/>
          <w:color w:val="auto"/>
          <w:kern w:val="2"/>
          <w:sz w:val="32"/>
          <w:szCs w:val="32"/>
          <w:highlight w:val="none"/>
          <w:lang w:val="zh-CN" w:eastAsia="zh-CN" w:bidi="ar-SA"/>
        </w:rPr>
        <w:t>万元，1—1</w:t>
      </w:r>
      <w:r>
        <w:rPr>
          <w:rFonts w:hint="default"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zh-CN" w:eastAsia="zh-CN" w:bidi="ar-SA"/>
        </w:rPr>
        <w:t>月预算执行总体进度为</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zh-CN" w:eastAsia="zh-CN" w:bidi="ar-SA"/>
        </w:rPr>
        <w:t>%，其中：预算结余率大于</w:t>
      </w:r>
      <w:r>
        <w:rPr>
          <w:rFonts w:hint="default"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zh-CN" w:eastAsia="zh-CN" w:bidi="ar-SA"/>
        </w:rPr>
        <w:t>的项目共计</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zh-CN" w:eastAsia="zh-CN" w:bidi="ar-SA"/>
        </w:rPr>
        <w:t>个。</w:t>
      </w:r>
    </w:p>
    <w:p w14:paraId="6C2CDB9A">
      <w:pPr>
        <w:widowControl/>
        <w:adjustRightInd w:val="0"/>
        <w:snapToGrid w:val="0"/>
        <w:spacing w:line="576" w:lineRule="exact"/>
        <w:ind w:firstLine="640" w:firstLineChars="200"/>
        <w:contextualSpacing/>
        <w:jc w:val="left"/>
        <w:rPr>
          <w:rFonts w:hint="default" w:ascii="Times New Roman" w:hAnsi="Times New Roman" w:eastAsia="仿宋"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 w:cs="Times New Roman"/>
          <w:sz w:val="32"/>
          <w:szCs w:val="32"/>
        </w:rPr>
        <w:t>档案数据安全维护保障经费</w:t>
      </w:r>
      <w:r>
        <w:rPr>
          <w:rFonts w:hint="eastAsia" w:eastAsia="仿宋" w:cs="Times New Roman"/>
          <w:sz w:val="32"/>
          <w:szCs w:val="32"/>
          <w:lang w:val="en-US" w:eastAsia="zh-CN"/>
        </w:rPr>
        <w:t>1</w:t>
      </w:r>
      <w:r>
        <w:rPr>
          <w:rFonts w:hint="default" w:ascii="Times New Roman" w:hAnsi="Times New Roman" w:eastAsia="仿宋" w:cs="Times New Roman"/>
          <w:sz w:val="32"/>
          <w:szCs w:val="32"/>
        </w:rPr>
        <w:t>万元。</w:t>
      </w:r>
      <w:r>
        <w:rPr>
          <w:rFonts w:hint="eastAsia" w:ascii="Times New Roman" w:hAnsi="Times New Roman" w:eastAsia="仿宋" w:cs="Times New Roman"/>
          <w:sz w:val="32"/>
          <w:szCs w:val="32"/>
          <w:lang w:val="en-US" w:eastAsia="zh-CN"/>
        </w:rPr>
        <w:t>主要用于</w:t>
      </w:r>
      <w:r>
        <w:rPr>
          <w:rFonts w:hint="default" w:ascii="Times New Roman" w:hAnsi="Times New Roman" w:eastAsia="仿宋" w:cs="Times New Roman"/>
          <w:sz w:val="32"/>
          <w:szCs w:val="32"/>
        </w:rPr>
        <w:t>及时对档案数据机房及库房消防设施进行维护保养，确保档案数据绝对安全，及时弥补西区档案数据安全的漏洞。</w:t>
      </w:r>
      <w:r>
        <w:rPr>
          <w:rFonts w:hint="eastAsia" w:ascii="Times New Roman" w:hAnsi="Times New Roman" w:eastAsia="仿宋" w:cs="Times New Roman"/>
          <w:sz w:val="32"/>
          <w:szCs w:val="32"/>
          <w:lang w:val="en-US" w:eastAsia="zh-CN"/>
        </w:rPr>
        <w:t>完成情况为开展了12次</w:t>
      </w:r>
      <w:r>
        <w:rPr>
          <w:rFonts w:hint="default" w:ascii="Times New Roman" w:hAnsi="Times New Roman" w:eastAsia="仿宋" w:cs="Times New Roman"/>
          <w:sz w:val="32"/>
          <w:szCs w:val="32"/>
        </w:rPr>
        <w:t>数据机房及库房消防设施进行维护保养</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每月定期开展数据备份工作，针对安全隐患及时进行了排查整治，切实保障了档案数据安全稳定，全年未发生档案数据泄漏、数据崩溃等安全事故。</w:t>
      </w:r>
    </w:p>
    <w:p w14:paraId="28966C3A">
      <w:pPr>
        <w:widowControl/>
        <w:adjustRightInd w:val="0"/>
        <w:snapToGrid w:val="0"/>
        <w:spacing w:line="576" w:lineRule="exact"/>
        <w:ind w:firstLine="640" w:firstLineChars="200"/>
        <w:contextualSpacing/>
        <w:jc w:val="left"/>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档案安全保管利用</w:t>
      </w:r>
      <w:r>
        <w:rPr>
          <w:rFonts w:hint="eastAsia" w:ascii="Times New Roman" w:hAnsi="Times New Roman" w:eastAsia="仿宋" w:cs="Times New Roman"/>
          <w:sz w:val="32"/>
          <w:szCs w:val="32"/>
          <w:lang w:val="en-US" w:eastAsia="zh-CN"/>
        </w:rPr>
        <w:t>及</w:t>
      </w:r>
      <w:r>
        <w:rPr>
          <w:rFonts w:hint="default" w:ascii="Times New Roman" w:hAnsi="Times New Roman" w:eastAsia="仿宋" w:cs="Times New Roman"/>
          <w:sz w:val="32"/>
          <w:szCs w:val="32"/>
        </w:rPr>
        <w:t>设施设备维护</w:t>
      </w:r>
      <w:r>
        <w:rPr>
          <w:rFonts w:hint="eastAsia" w:eastAsia="仿宋" w:cs="Times New Roman"/>
          <w:sz w:val="32"/>
          <w:szCs w:val="32"/>
          <w:lang w:val="en-US" w:eastAsia="zh-CN"/>
        </w:rPr>
        <w:t>2</w:t>
      </w:r>
      <w:r>
        <w:rPr>
          <w:rFonts w:hint="default" w:ascii="Times New Roman" w:hAnsi="Times New Roman" w:eastAsia="仿宋" w:cs="Times New Roman"/>
          <w:sz w:val="32"/>
          <w:szCs w:val="32"/>
        </w:rPr>
        <w:t>万元，主要用于档案库房保管保护设备更新维护、档案查阅及办公设备更新维护、药品更换等工作，确保档案绝对安全。</w:t>
      </w:r>
      <w:r>
        <w:rPr>
          <w:rFonts w:hint="eastAsia" w:ascii="Times New Roman" w:hAnsi="Times New Roman" w:eastAsia="仿宋" w:cs="Times New Roman"/>
          <w:sz w:val="32"/>
          <w:szCs w:val="32"/>
          <w:lang w:val="en-US" w:eastAsia="zh-CN"/>
        </w:rPr>
        <w:t>完成情况为对一号、二号库房空调进行了维修，每月对档案保管设备进行了检查，全年安全检查12次，不断优化了档案查阅利用程序，建立了“异地查档、跨馆室服务”机制，为人民政府和社会公众提供了便捷的查档服务，全年档案查阅利用服务满意度100%，无任何群众投诉情况。</w:t>
      </w:r>
    </w:p>
    <w:p w14:paraId="3AA74443">
      <w:pPr>
        <w:pStyle w:val="5"/>
        <w:ind w:firstLine="640" w:firstLineChars="200"/>
        <w:rPr>
          <w:rFonts w:hint="eastAsia" w:ascii="Times New Roman" w:eastAsia="仿宋" w:cs="Times New Roman"/>
          <w:sz w:val="32"/>
          <w:szCs w:val="32"/>
          <w:lang w:val="en-US" w:eastAsia="zh-CN"/>
        </w:rPr>
      </w:pPr>
      <w:r>
        <w:rPr>
          <w:rFonts w:hint="eastAsia" w:ascii="Times New Roman" w:eastAsia="仿宋" w:cs="Times New Roman"/>
          <w:sz w:val="32"/>
          <w:szCs w:val="32"/>
          <w:lang w:val="en-US" w:eastAsia="zh-CN"/>
        </w:rPr>
        <w:t>3.数字化存储设备采购7.23万元，累计采购采购机械硬盘18块、NAS存储服务器1台，用于存储馆藏档案数字化加工数据，有效保障数字化加工数据安全存储数据存储长期稳定，不发生数据丢失情况。</w:t>
      </w:r>
    </w:p>
    <w:p w14:paraId="30D0FE2D">
      <w:pPr>
        <w:pStyle w:val="5"/>
        <w:ind w:firstLine="640" w:firstLineChars="200"/>
        <w:rPr>
          <w:rFonts w:hint="default" w:ascii="Times New Roman" w:eastAsia="仿宋" w:cs="Times New Roman"/>
          <w:sz w:val="32"/>
          <w:szCs w:val="32"/>
          <w:lang w:val="en-US" w:eastAsia="zh-CN"/>
        </w:rPr>
      </w:pPr>
      <w:r>
        <w:rPr>
          <w:rFonts w:hint="eastAsia" w:ascii="Times New Roman" w:eastAsia="仿宋" w:cs="Times New Roman"/>
          <w:sz w:val="32"/>
          <w:szCs w:val="32"/>
          <w:lang w:val="en-US" w:eastAsia="zh-CN"/>
        </w:rPr>
        <w:t>4.国有企业退休人员人事档案数字化加工20万元，用于支付2.8万卷国有企业退休人员人事档案数字化加工服务费用，通过数字化加工，不仅提升了档案查阅利用效率，减少群众等待时间，而且保护了实体档案免受档案查阅利用翻阅损害，有效发挥档案存史资政育人实效。</w:t>
      </w:r>
    </w:p>
    <w:p w14:paraId="61ED2C36">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lang w:val="en-US" w:bidi="ar"/>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default" w:ascii="Times New Roman" w:hAnsi="Times New Roman"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eastAsia="仿宋_GB2312" w:cs="Times New Roman"/>
          <w:sz w:val="32"/>
          <w:szCs w:val="32"/>
          <w:highlight w:val="none"/>
          <w:u w:val="none"/>
          <w:lang w:val="en-US" w:eastAsia="zh-CN" w:bidi="ar"/>
        </w:rPr>
        <w:t>我单位按时在攀枝花市西区人民政府网站完成了预算、决算信息公开。</w:t>
      </w:r>
    </w:p>
    <w:p w14:paraId="6A4BD3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1"/>
        <w:rPr>
          <w:rFonts w:hint="default" w:ascii="Times New Roman" w:hAnsi="Times New Roman" w:eastAsia="黑体" w:cs="Times New Roman"/>
          <w:color w:val="000000"/>
          <w:kern w:val="0"/>
          <w:sz w:val="32"/>
          <w:szCs w:val="32"/>
          <w:highlight w:val="none"/>
          <w:shd w:val="clear" w:color="auto" w:fill="FFFFFF"/>
          <w:lang w:val="zh-CN"/>
        </w:rPr>
      </w:pPr>
      <w:bookmarkStart w:id="79" w:name="_Toc14664"/>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bookmarkEnd w:id="79"/>
    </w:p>
    <w:p w14:paraId="719F6386">
      <w:pPr>
        <w:widowControl/>
        <w:adjustRightInd w:val="0"/>
        <w:snapToGrid w:val="0"/>
        <w:spacing w:line="560" w:lineRule="exact"/>
        <w:ind w:firstLine="640" w:firstLineChars="200"/>
        <w:contextualSpacing/>
        <w:jc w:val="left"/>
        <w:rPr>
          <w:rFonts w:hint="default" w:ascii="Times New Roman" w:hAnsi="Times New Roman" w:eastAsia="仿宋_GB2312" w:cs="Times New Roman"/>
          <w:sz w:val="32"/>
          <w:szCs w:val="32"/>
          <w:u w:val="none"/>
          <w:lang w:val="en-US" w:eastAsia="zh-CN" w:bidi="ar"/>
        </w:rPr>
      </w:pP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年，我馆</w:t>
      </w:r>
      <w:r>
        <w:rPr>
          <w:rFonts w:hint="eastAsia" w:ascii="Times New Roman" w:hAnsi="Times New Roman" w:eastAsia="仿宋" w:cs="Times New Roman"/>
          <w:sz w:val="32"/>
          <w:szCs w:val="32"/>
          <w:lang w:val="en-US" w:eastAsia="zh-CN"/>
        </w:rPr>
        <w:t>自评得分</w:t>
      </w:r>
      <w:r>
        <w:rPr>
          <w:rFonts w:hint="eastAsia" w:eastAsia="仿宋" w:cs="Times New Roman"/>
          <w:sz w:val="32"/>
          <w:szCs w:val="32"/>
          <w:lang w:val="en-US" w:eastAsia="zh-CN"/>
        </w:rPr>
        <w:t>93</w:t>
      </w:r>
      <w:r>
        <w:rPr>
          <w:rFonts w:hint="eastAsia" w:ascii="Times New Roman" w:hAnsi="Times New Roman" w:eastAsia="仿宋" w:cs="Times New Roman"/>
          <w:sz w:val="32"/>
          <w:szCs w:val="32"/>
          <w:lang w:val="en-US" w:eastAsia="zh-CN"/>
        </w:rPr>
        <w:t>分，</w:t>
      </w:r>
      <w:r>
        <w:rPr>
          <w:rFonts w:hint="default" w:ascii="Times New Roman" w:hAnsi="Times New Roman" w:eastAsia="仿宋" w:cs="Times New Roman"/>
          <w:sz w:val="32"/>
          <w:szCs w:val="32"/>
        </w:rPr>
        <w:t>通过资料收集、绩效评价、工作总结及撰写报告等几个阶段，认真、准确填写自评数据表，形成详实的自评报告</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并在202</w:t>
      </w:r>
      <w:r>
        <w:rPr>
          <w:rFonts w:hint="eastAsia" w:eastAsia="仿宋" w:cs="Times New Roman"/>
          <w:sz w:val="32"/>
          <w:szCs w:val="32"/>
          <w:lang w:val="en-US" w:eastAsia="zh-CN"/>
        </w:rPr>
        <w:t>5</w:t>
      </w:r>
      <w:r>
        <w:rPr>
          <w:rFonts w:hint="default" w:ascii="Times New Roman" w:hAnsi="Times New Roman" w:eastAsia="仿宋" w:cs="Times New Roman"/>
          <w:sz w:val="32"/>
          <w:szCs w:val="32"/>
        </w:rPr>
        <w:t>年5月按时完成自评工作</w:t>
      </w:r>
      <w:r>
        <w:rPr>
          <w:rFonts w:hint="eastAsia" w:eastAsia="仿宋" w:cs="Times New Roman"/>
          <w:sz w:val="32"/>
          <w:szCs w:val="32"/>
          <w:lang w:eastAsia="zh-CN"/>
        </w:rPr>
        <w:t>，</w:t>
      </w:r>
      <w:r>
        <w:rPr>
          <w:rFonts w:hint="eastAsia" w:ascii="Times New Roman" w:hAnsi="Times New Roman" w:eastAsia="仿宋" w:cs="Times New Roman"/>
          <w:sz w:val="32"/>
          <w:szCs w:val="32"/>
          <w:lang w:val="en-US" w:eastAsia="zh-CN"/>
        </w:rPr>
        <w:t>全年</w:t>
      </w:r>
      <w:r>
        <w:rPr>
          <w:rFonts w:hint="default" w:ascii="Times New Roman" w:hAnsi="Times New Roman" w:eastAsia="仿宋" w:cs="Times New Roman"/>
          <w:sz w:val="32"/>
          <w:szCs w:val="32"/>
        </w:rPr>
        <w:t>支出</w:t>
      </w:r>
      <w:r>
        <w:rPr>
          <w:rFonts w:hint="eastAsia" w:eastAsia="仿宋" w:cs="Times New Roman"/>
          <w:sz w:val="32"/>
          <w:szCs w:val="32"/>
          <w:lang w:val="en-US" w:eastAsia="zh-CN"/>
        </w:rPr>
        <w:t>189.03</w:t>
      </w:r>
      <w:r>
        <w:rPr>
          <w:rFonts w:hint="default" w:ascii="Times New Roman" w:hAnsi="Times New Roman" w:eastAsia="仿宋" w:cs="Times New Roman"/>
          <w:sz w:val="32"/>
          <w:szCs w:val="32"/>
        </w:rPr>
        <w:t>万元，保障了我馆的日常运转及相关项目开展。通过绩效评价与分析，增强了全馆资金绩效观念，加强了财政支出管理，使得公共资</w:t>
      </w:r>
      <w:bookmarkStart w:id="96" w:name="_GoBack"/>
      <w:bookmarkEnd w:id="96"/>
      <w:r>
        <w:rPr>
          <w:rFonts w:hint="default" w:ascii="Times New Roman" w:hAnsi="Times New Roman" w:eastAsia="仿宋" w:cs="Times New Roman"/>
          <w:sz w:val="32"/>
          <w:szCs w:val="32"/>
        </w:rPr>
        <w:t>源得以合理配置，财政支出结构得以优化，提高了资金管理水平和使用效益。</w:t>
      </w:r>
      <w:r>
        <w:rPr>
          <w:rFonts w:hint="eastAsia" w:ascii="Times New Roman" w:hAnsi="Times New Roman" w:eastAsia="仿宋" w:cs="Times New Roman"/>
          <w:sz w:val="32"/>
          <w:szCs w:val="32"/>
          <w:lang w:val="en-US" w:eastAsia="zh-CN"/>
        </w:rPr>
        <w:t>同时，还有力推动了</w:t>
      </w:r>
      <w:r>
        <w:rPr>
          <w:rFonts w:hint="default" w:ascii="Times New Roman" w:hAnsi="Times New Roman" w:eastAsia="仿宋" w:cs="Times New Roman"/>
          <w:sz w:val="32"/>
          <w:szCs w:val="32"/>
        </w:rPr>
        <w:t>档案业务建设</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保障了档案查阅、利用、开发工作高质高效</w:t>
      </w:r>
      <w:r>
        <w:rPr>
          <w:rFonts w:hint="default" w:ascii="Times New Roman" w:hAnsi="Times New Roman" w:eastAsia="仿宋" w:cs="Times New Roman"/>
          <w:sz w:val="32"/>
          <w:szCs w:val="32"/>
        </w:rPr>
        <w:t>，进一步</w:t>
      </w:r>
      <w:r>
        <w:rPr>
          <w:rFonts w:hint="eastAsia" w:ascii="Times New Roman" w:hAnsi="Times New Roman" w:eastAsia="仿宋" w:cs="Times New Roman"/>
          <w:sz w:val="32"/>
          <w:szCs w:val="32"/>
          <w:lang w:val="en-US" w:eastAsia="zh-CN"/>
        </w:rPr>
        <w:t>提升</w:t>
      </w:r>
      <w:r>
        <w:rPr>
          <w:rFonts w:hint="default" w:ascii="Times New Roman" w:hAnsi="Times New Roman" w:eastAsia="仿宋" w:cs="Times New Roman"/>
          <w:sz w:val="32"/>
          <w:szCs w:val="32"/>
        </w:rPr>
        <w:t>档案</w:t>
      </w:r>
      <w:r>
        <w:rPr>
          <w:rFonts w:hint="eastAsia" w:ascii="Times New Roman" w:hAnsi="Times New Roman" w:eastAsia="仿宋" w:cs="Times New Roman"/>
          <w:sz w:val="32"/>
          <w:szCs w:val="32"/>
          <w:lang w:val="en-US" w:eastAsia="zh-CN"/>
        </w:rPr>
        <w:t>法治</w:t>
      </w:r>
      <w:r>
        <w:rPr>
          <w:rFonts w:hint="default" w:ascii="Times New Roman" w:hAnsi="Times New Roman" w:eastAsia="仿宋" w:cs="Times New Roman"/>
          <w:sz w:val="32"/>
          <w:szCs w:val="32"/>
        </w:rPr>
        <w:t>建设、基础设施建设、档案信息化建设、</w:t>
      </w:r>
      <w:r>
        <w:rPr>
          <w:rFonts w:hint="eastAsia" w:ascii="Times New Roman" w:hAnsi="Times New Roman" w:eastAsia="仿宋" w:cs="Times New Roman"/>
          <w:sz w:val="32"/>
          <w:szCs w:val="32"/>
          <w:lang w:val="en-US" w:eastAsia="zh-CN"/>
        </w:rPr>
        <w:t>数字档案馆</w:t>
      </w:r>
      <w:r>
        <w:rPr>
          <w:rFonts w:hint="default" w:ascii="Times New Roman" w:hAnsi="Times New Roman" w:eastAsia="仿宋" w:cs="Times New Roman"/>
          <w:sz w:val="32"/>
          <w:szCs w:val="32"/>
        </w:rPr>
        <w:t>档案建设和干部队伍建设</w:t>
      </w:r>
      <w:r>
        <w:rPr>
          <w:rFonts w:hint="eastAsia" w:ascii="Times New Roman" w:hAnsi="Times New Roman" w:eastAsia="仿宋" w:cs="Times New Roman"/>
          <w:sz w:val="32"/>
          <w:szCs w:val="32"/>
          <w:lang w:val="en-US" w:eastAsia="zh-CN"/>
        </w:rPr>
        <w:t>水平</w:t>
      </w:r>
      <w:r>
        <w:rPr>
          <w:rFonts w:hint="default" w:ascii="Times New Roman" w:hAnsi="Times New Roman" w:eastAsia="仿宋_GB2312" w:cs="Times New Roman"/>
          <w:sz w:val="32"/>
          <w:szCs w:val="32"/>
          <w:u w:val="none"/>
          <w:lang w:val="en-US" w:eastAsia="zh-CN" w:bidi="ar"/>
        </w:rPr>
        <w:t>。</w:t>
      </w:r>
    </w:p>
    <w:p w14:paraId="26665545">
      <w:pPr>
        <w:widowControl/>
        <w:adjustRightInd w:val="0"/>
        <w:snapToGrid w:val="0"/>
        <w:spacing w:line="576" w:lineRule="exact"/>
        <w:ind w:firstLine="643" w:firstLineChars="200"/>
        <w:contextualSpacing/>
        <w:jc w:val="left"/>
        <w:rPr>
          <w:rFonts w:hint="default" w:ascii="Times New Roman" w:hAnsi="Times New Roman" w:eastAsia="仿宋"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我馆严格按照预算资金绩效管理办法，及时开展项目落实工作，为全年工作的开展提供了保障，但还存在预算编制不够科学、绩效制度不够健全、绩效管理质量不够高等问题，一是预算</w:t>
      </w:r>
      <w:r>
        <w:rPr>
          <w:rFonts w:hint="eastAsia" w:ascii="Times New Roman" w:hAnsi="Times New Roman" w:eastAsia="仿宋" w:cs="Times New Roman"/>
          <w:sz w:val="32"/>
          <w:szCs w:val="32"/>
          <w:lang w:val="en-US" w:eastAsia="zh-CN"/>
        </w:rPr>
        <w:t>编制不够科学</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预算编制前的调研工作不足、各股室协同</w:t>
      </w:r>
      <w:r>
        <w:rPr>
          <w:rFonts w:hint="eastAsia" w:eastAsia="仿宋" w:cs="Times New Roman"/>
          <w:sz w:val="32"/>
          <w:szCs w:val="32"/>
          <w:lang w:val="en-US" w:eastAsia="zh-CN"/>
        </w:rPr>
        <w:t>性</w:t>
      </w:r>
      <w:r>
        <w:rPr>
          <w:rFonts w:hint="eastAsia" w:ascii="Times New Roman" w:hAnsi="Times New Roman" w:eastAsia="仿宋" w:cs="Times New Roman"/>
          <w:sz w:val="32"/>
          <w:szCs w:val="32"/>
          <w:lang w:val="en-US" w:eastAsia="zh-CN"/>
        </w:rPr>
        <w:t>不足，</w:t>
      </w:r>
      <w:r>
        <w:rPr>
          <w:rFonts w:hint="default" w:ascii="Times New Roman" w:hAnsi="Times New Roman" w:eastAsia="仿宋" w:cs="Times New Roman"/>
          <w:sz w:val="32"/>
          <w:szCs w:val="32"/>
        </w:rPr>
        <w:t>仍旧认为预算绩效是财务部门的事情，重视程度不够。二是绩效考核的宣传力度不够，</w:t>
      </w:r>
      <w:r>
        <w:rPr>
          <w:rFonts w:hint="eastAsia" w:ascii="Times New Roman" w:hAnsi="Times New Roman" w:eastAsia="仿宋" w:cs="Times New Roman"/>
          <w:sz w:val="32"/>
          <w:szCs w:val="32"/>
          <w:lang w:val="en-US" w:eastAsia="zh-CN"/>
        </w:rPr>
        <w:t>区</w:t>
      </w:r>
      <w:r>
        <w:rPr>
          <w:rFonts w:hint="default" w:ascii="Times New Roman" w:hAnsi="Times New Roman" w:eastAsia="仿宋" w:cs="Times New Roman"/>
          <w:sz w:val="32"/>
          <w:szCs w:val="32"/>
        </w:rPr>
        <w:t>财政局下发的绩效</w:t>
      </w:r>
      <w:r>
        <w:rPr>
          <w:rFonts w:hint="eastAsia" w:ascii="Times New Roman" w:hAnsi="Times New Roman" w:eastAsia="仿宋" w:cs="Times New Roman"/>
          <w:sz w:val="32"/>
          <w:szCs w:val="32"/>
          <w:lang w:val="en-US" w:eastAsia="zh-CN"/>
        </w:rPr>
        <w:t>相关</w:t>
      </w:r>
      <w:r>
        <w:rPr>
          <w:rFonts w:hint="default" w:ascii="Times New Roman" w:hAnsi="Times New Roman" w:eastAsia="仿宋" w:cs="Times New Roman"/>
          <w:sz w:val="32"/>
          <w:szCs w:val="32"/>
        </w:rPr>
        <w:t>文件，</w:t>
      </w:r>
      <w:r>
        <w:rPr>
          <w:rFonts w:hint="eastAsia" w:ascii="Times New Roman" w:hAnsi="Times New Roman" w:eastAsia="仿宋" w:cs="Times New Roman"/>
          <w:sz w:val="32"/>
          <w:szCs w:val="32"/>
          <w:lang w:val="en-US" w:eastAsia="zh-CN"/>
        </w:rPr>
        <w:t>一般直接由财务人员办理，其他股室人员</w:t>
      </w:r>
      <w:r>
        <w:rPr>
          <w:rFonts w:hint="default" w:ascii="Times New Roman" w:hAnsi="Times New Roman" w:eastAsia="仿宋" w:cs="Times New Roman"/>
          <w:sz w:val="32"/>
          <w:szCs w:val="32"/>
        </w:rPr>
        <w:t>不了解文件内容，</w:t>
      </w:r>
      <w:r>
        <w:rPr>
          <w:rFonts w:hint="eastAsia" w:ascii="Times New Roman" w:hAnsi="Times New Roman" w:eastAsia="仿宋" w:cs="Times New Roman"/>
          <w:sz w:val="32"/>
          <w:szCs w:val="32"/>
          <w:lang w:val="en-US" w:eastAsia="zh-CN"/>
        </w:rPr>
        <w:t>难以起到良好的绩效督促作用</w:t>
      </w:r>
      <w:r>
        <w:rPr>
          <w:rFonts w:hint="default" w:ascii="Times New Roman" w:hAnsi="Times New Roman" w:eastAsia="仿宋" w:cs="Times New Roman"/>
          <w:sz w:val="32"/>
          <w:szCs w:val="32"/>
        </w:rPr>
        <w:t>。三是绩效考核结果的运用不够。绩效考核结果在促进预算执行进度方面的效果不够明显。</w:t>
      </w:r>
    </w:p>
    <w:p w14:paraId="73AEFC2D">
      <w:pPr>
        <w:widowControl/>
        <w:adjustRightInd w:val="0"/>
        <w:snapToGrid w:val="0"/>
        <w:spacing w:line="576" w:lineRule="exact"/>
        <w:ind w:firstLine="643" w:firstLineChars="200"/>
        <w:contextualSpacing/>
        <w:jc w:val="left"/>
        <w:rPr>
          <w:rFonts w:hint="default" w:ascii="Times New Roman" w:hAnsi="Times New Roman" w:eastAsia="仿宋" w:cs="Times New Roman"/>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80" w:name="_Hlk110546638"/>
      <w:r>
        <w:rPr>
          <w:rFonts w:hint="default" w:ascii="Times New Roman" w:hAnsi="Times New Roman" w:eastAsia="仿宋" w:cs="Times New Roman"/>
          <w:sz w:val="32"/>
          <w:szCs w:val="32"/>
        </w:rPr>
        <w:t>我馆将严格按照预算资金绩效管理办法，及时开展项目落实工作，为全年工作的开展提供保障。对存在的问题将在今后的工作中加以改进：一是加强绩效</w:t>
      </w:r>
      <w:r>
        <w:rPr>
          <w:rFonts w:hint="eastAsia" w:ascii="Times New Roman" w:hAnsi="Times New Roman" w:eastAsia="仿宋" w:cs="Times New Roman"/>
          <w:sz w:val="32"/>
          <w:szCs w:val="32"/>
          <w:lang w:val="en-US" w:eastAsia="zh-CN"/>
        </w:rPr>
        <w:t>编制</w:t>
      </w:r>
      <w:r>
        <w:rPr>
          <w:rFonts w:hint="default" w:ascii="Times New Roman" w:hAnsi="Times New Roman" w:eastAsia="仿宋" w:cs="Times New Roman"/>
          <w:sz w:val="32"/>
          <w:szCs w:val="32"/>
        </w:rPr>
        <w:t>管理。加强预算编制的前瞻性，按照《</w:t>
      </w:r>
      <w:r>
        <w:rPr>
          <w:rFonts w:hint="eastAsia" w:ascii="Times New Roman" w:hAnsi="Times New Roman" w:eastAsia="仿宋" w:cs="Times New Roman"/>
          <w:sz w:val="32"/>
          <w:szCs w:val="32"/>
          <w:lang w:val="en-US" w:eastAsia="zh-CN"/>
        </w:rPr>
        <w:t>中华人民共和国</w:t>
      </w:r>
      <w:r>
        <w:rPr>
          <w:rFonts w:hint="default" w:ascii="Times New Roman" w:hAnsi="Times New Roman" w:eastAsia="仿宋" w:cs="Times New Roman"/>
          <w:sz w:val="32"/>
          <w:szCs w:val="32"/>
        </w:rPr>
        <w:t>预算法》的相关规定，结合本部门的工作计划以及上一年度预算执行情况等因素，科学、合理地编制本年度预算。二是强化绩效目标管理。把绩效目标作为项目实施的前置条件，提高预算资金使用的合理性和科学性。三是加强项目的事前、事中、事后的监督管理，将资金同项目绩效挂钩，提升资金的使用效能。</w:t>
      </w:r>
    </w:p>
    <w:bookmarkEnd w:id="80"/>
    <w:p w14:paraId="6D390B4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zh-CN" w:eastAsia="zh-CN" w:bidi="ar"/>
        </w:rPr>
      </w:pPr>
    </w:p>
    <w:p w14:paraId="2212EA6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2"/>
          <w:sz w:val="32"/>
          <w:szCs w:val="32"/>
          <w:u w:val="none"/>
          <w:lang w:val="zh-CN" w:eastAsia="zh-CN" w:bidi="ar"/>
        </w:rPr>
      </w:pPr>
      <w:r>
        <w:rPr>
          <w:rFonts w:hint="default"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部门</w:t>
      </w:r>
      <w:r>
        <w:rPr>
          <w:rFonts w:hint="default" w:ascii="Times New Roman" w:hAnsi="Times New Roman" w:eastAsia="仿宋_GB2312" w:cs="Times New Roman"/>
          <w:kern w:val="2"/>
          <w:sz w:val="32"/>
          <w:szCs w:val="32"/>
          <w:u w:val="none"/>
          <w:lang w:val="en-US" w:eastAsia="zh-CN" w:bidi="ar"/>
        </w:rPr>
        <w:t>预算项目支出绩效自评表（2024年度）</w:t>
      </w:r>
    </w:p>
    <w:p w14:paraId="4E1D510B">
      <w:pPr>
        <w:pStyle w:val="7"/>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sz w:val="32"/>
          <w:szCs w:val="32"/>
          <w:highlight w:val="yellow"/>
          <w:lang w:val="zh-CN" w:eastAsia="zh-CN"/>
        </w:rPr>
      </w:pPr>
    </w:p>
    <w:p w14:paraId="2BF7C132">
      <w:pPr>
        <w:pStyle w:val="5"/>
        <w:rPr>
          <w:rFonts w:hint="default" w:ascii="Times New Roman" w:hAnsi="Times New Roman" w:cs="Times New Roman"/>
          <w:color w:val="FF0000"/>
          <w:kern w:val="0"/>
          <w:sz w:val="32"/>
          <w:szCs w:val="32"/>
          <w:highlight w:val="yellow"/>
          <w:shd w:val="clear" w:color="auto" w:fill="FFFFFF"/>
          <w:lang w:val="zh-CN"/>
        </w:rPr>
      </w:pPr>
    </w:p>
    <w:p w14:paraId="47FE5702">
      <w:pPr>
        <w:rPr>
          <w:rFonts w:hint="default" w:ascii="Times New Roman" w:hAnsi="Times New Roman" w:eastAsia="黑体" w:cs="Times New Roman"/>
          <w:color w:val="auto"/>
          <w:kern w:val="0"/>
          <w:sz w:val="32"/>
          <w:szCs w:val="32"/>
          <w:highlight w:val="none"/>
          <w:shd w:val="clear" w:color="auto" w:fill="FFFFFF"/>
          <w:lang w:val="zh-CN"/>
        </w:rPr>
      </w:pPr>
      <w:r>
        <w:rPr>
          <w:rFonts w:hint="default" w:ascii="Times New Roman" w:hAnsi="Times New Roman" w:eastAsia="黑体" w:cs="Times New Roman"/>
          <w:color w:val="auto"/>
          <w:kern w:val="0"/>
          <w:sz w:val="32"/>
          <w:szCs w:val="32"/>
          <w:highlight w:val="none"/>
          <w:shd w:val="clear" w:color="auto" w:fill="FFFFFF"/>
          <w:lang w:val="zh-CN"/>
        </w:rPr>
        <w:br w:type="page"/>
      </w:r>
    </w:p>
    <w:p w14:paraId="1EB8121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81" w:name="_Toc15396618"/>
    </w:p>
    <w:p w14:paraId="76B8B204">
      <w:pPr>
        <w:widowControl/>
        <w:jc w:val="center"/>
        <w:outlineLvl w:val="0"/>
        <w:rPr>
          <w:rFonts w:hint="default" w:ascii="Times New Roman" w:hAnsi="Times New Roman" w:eastAsia="仿宋" w:cs="Times New Roman"/>
          <w:b w:val="0"/>
          <w:color w:val="auto"/>
          <w:highlight w:val="none"/>
        </w:rPr>
      </w:pPr>
      <w:bookmarkStart w:id="82" w:name="_Toc11645"/>
      <w:r>
        <w:rPr>
          <w:rFonts w:hint="default" w:ascii="Times New Roman" w:hAnsi="Times New Roman" w:eastAsia="黑体" w:cs="Times New Roman"/>
          <w:color w:val="auto"/>
          <w:sz w:val="44"/>
          <w:szCs w:val="44"/>
          <w:highlight w:val="none"/>
        </w:rPr>
        <w:t>第</w:t>
      </w:r>
      <w:r>
        <w:rPr>
          <w:rStyle w:val="28"/>
          <w:rFonts w:hint="default" w:ascii="Times New Roman" w:hAnsi="Times New Roman" w:eastAsia="黑体" w:cs="Times New Roman"/>
          <w:b w:val="0"/>
          <w:color w:val="auto"/>
          <w:highlight w:val="none"/>
        </w:rPr>
        <w:t>五部分 附表</w:t>
      </w:r>
      <w:bookmarkEnd w:id="72"/>
      <w:bookmarkEnd w:id="81"/>
      <w:bookmarkEnd w:id="82"/>
      <w:bookmarkStart w:id="83" w:name="_Toc15396619"/>
    </w:p>
    <w:p w14:paraId="0436153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2E219FC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83"/>
    </w:p>
    <w:p w14:paraId="5D2060E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4" w:name="_Toc15396620"/>
      <w:r>
        <w:rPr>
          <w:rFonts w:hint="default" w:ascii="Times New Roman" w:hAnsi="Times New Roman" w:eastAsia="仿宋_GB2312" w:cs="Times New Roman"/>
          <w:color w:val="auto"/>
          <w:sz w:val="32"/>
          <w:szCs w:val="32"/>
          <w:highlight w:val="none"/>
        </w:rPr>
        <w:t>二、收入决算表</w:t>
      </w:r>
      <w:bookmarkEnd w:id="84"/>
    </w:p>
    <w:p w14:paraId="796141A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5" w:name="_Toc15396621"/>
      <w:r>
        <w:rPr>
          <w:rFonts w:hint="default" w:ascii="Times New Roman" w:hAnsi="Times New Roman" w:eastAsia="仿宋_GB2312" w:cs="Times New Roman"/>
          <w:color w:val="auto"/>
          <w:sz w:val="32"/>
          <w:szCs w:val="32"/>
          <w:highlight w:val="none"/>
        </w:rPr>
        <w:t>三、支出决算表</w:t>
      </w:r>
      <w:bookmarkEnd w:id="85"/>
    </w:p>
    <w:p w14:paraId="229B285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6" w:name="_Toc15396622"/>
      <w:r>
        <w:rPr>
          <w:rFonts w:hint="default" w:ascii="Times New Roman" w:hAnsi="Times New Roman" w:eastAsia="仿宋_GB2312" w:cs="Times New Roman"/>
          <w:color w:val="auto"/>
          <w:sz w:val="32"/>
          <w:szCs w:val="32"/>
          <w:highlight w:val="none"/>
        </w:rPr>
        <w:t>四、财政拨款收入支出决算总表</w:t>
      </w:r>
      <w:bookmarkEnd w:id="86"/>
    </w:p>
    <w:p w14:paraId="7D47E0B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7" w:name="_Toc15396623"/>
      <w:r>
        <w:rPr>
          <w:rFonts w:hint="default" w:ascii="Times New Roman" w:hAnsi="Times New Roman" w:eastAsia="仿宋_GB2312" w:cs="Times New Roman"/>
          <w:color w:val="auto"/>
          <w:sz w:val="32"/>
          <w:szCs w:val="32"/>
          <w:highlight w:val="none"/>
        </w:rPr>
        <w:t>五、财政拨款支出决算明细表</w:t>
      </w:r>
      <w:bookmarkEnd w:id="87"/>
      <w:bookmarkStart w:id="88" w:name="_Toc15396624"/>
    </w:p>
    <w:p w14:paraId="767F7FF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88"/>
    </w:p>
    <w:p w14:paraId="58C8E2C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89" w:name="_Toc15396625"/>
      <w:r>
        <w:rPr>
          <w:rFonts w:hint="default" w:ascii="Times New Roman" w:hAnsi="Times New Roman" w:eastAsia="仿宋_GB2312" w:cs="Times New Roman"/>
          <w:color w:val="auto"/>
          <w:sz w:val="32"/>
          <w:szCs w:val="32"/>
          <w:highlight w:val="none"/>
        </w:rPr>
        <w:t>七、一般公共预算财政拨款支出决算明细表</w:t>
      </w:r>
      <w:bookmarkEnd w:id="89"/>
    </w:p>
    <w:p w14:paraId="5E7D6F8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0" w:name="_Toc15396626"/>
      <w:r>
        <w:rPr>
          <w:rFonts w:hint="default" w:ascii="Times New Roman" w:hAnsi="Times New Roman" w:eastAsia="仿宋_GB2312" w:cs="Times New Roman"/>
          <w:color w:val="auto"/>
          <w:sz w:val="32"/>
          <w:szCs w:val="32"/>
          <w:highlight w:val="none"/>
        </w:rPr>
        <w:t>八、一般公共预算财政拨款基本支出决算表</w:t>
      </w:r>
      <w:bookmarkEnd w:id="90"/>
    </w:p>
    <w:p w14:paraId="54A770A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1" w:name="_Toc15396627"/>
      <w:r>
        <w:rPr>
          <w:rFonts w:hint="default" w:ascii="Times New Roman" w:hAnsi="Times New Roman" w:eastAsia="仿宋_GB2312" w:cs="Times New Roman"/>
          <w:color w:val="auto"/>
          <w:sz w:val="32"/>
          <w:szCs w:val="32"/>
          <w:highlight w:val="none"/>
        </w:rPr>
        <w:t>九、一般公共预算财政拨款项目支出决算表</w:t>
      </w:r>
      <w:bookmarkEnd w:id="91"/>
    </w:p>
    <w:p w14:paraId="206DA5D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2" w:name="_Toc15396628"/>
      <w:r>
        <w:rPr>
          <w:rFonts w:hint="default" w:ascii="Times New Roman" w:hAnsi="Times New Roman" w:eastAsia="仿宋_GB2312" w:cs="Times New Roman"/>
          <w:color w:val="auto"/>
          <w:sz w:val="32"/>
          <w:szCs w:val="32"/>
          <w:highlight w:val="none"/>
        </w:rPr>
        <w:t>十、</w:t>
      </w:r>
      <w:bookmarkEnd w:id="92"/>
      <w:r>
        <w:rPr>
          <w:rFonts w:hint="default" w:ascii="Times New Roman" w:hAnsi="Times New Roman" w:eastAsia="仿宋_GB2312" w:cs="Times New Roman"/>
          <w:color w:val="auto"/>
          <w:sz w:val="32"/>
          <w:szCs w:val="32"/>
          <w:highlight w:val="none"/>
        </w:rPr>
        <w:t>政府性基金预算财政拨款收入支出决算表</w:t>
      </w:r>
    </w:p>
    <w:p w14:paraId="5BD6384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3" w:name="_Toc15396629"/>
      <w:r>
        <w:rPr>
          <w:rFonts w:hint="default" w:ascii="Times New Roman" w:hAnsi="Times New Roman" w:eastAsia="仿宋_GB2312" w:cs="Times New Roman"/>
          <w:color w:val="auto"/>
          <w:sz w:val="32"/>
          <w:szCs w:val="32"/>
          <w:highlight w:val="none"/>
        </w:rPr>
        <w:t>十一、</w:t>
      </w:r>
      <w:bookmarkEnd w:id="93"/>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3D6F2FC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94" w:name="_Toc15396630"/>
      <w:r>
        <w:rPr>
          <w:rFonts w:hint="default" w:ascii="Times New Roman" w:hAnsi="Times New Roman" w:eastAsia="仿宋_GB2312" w:cs="Times New Roman"/>
          <w:color w:val="auto"/>
          <w:sz w:val="32"/>
          <w:szCs w:val="32"/>
          <w:highlight w:val="none"/>
        </w:rPr>
        <w:t>十二、</w:t>
      </w:r>
      <w:bookmarkEnd w:id="94"/>
      <w:r>
        <w:rPr>
          <w:rFonts w:hint="default" w:ascii="Times New Roman" w:hAnsi="Times New Roman" w:eastAsia="仿宋_GB2312" w:cs="Times New Roman"/>
          <w:color w:val="auto"/>
          <w:sz w:val="32"/>
          <w:szCs w:val="32"/>
          <w:highlight w:val="none"/>
          <w:lang w:eastAsia="zh-CN"/>
        </w:rPr>
        <w:t>国有资本经营预算财政拨款支出决算表</w:t>
      </w:r>
    </w:p>
    <w:p w14:paraId="3EBF5F5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95" w:name="_Toc15396631"/>
      <w:r>
        <w:rPr>
          <w:rFonts w:hint="default" w:ascii="Times New Roman" w:hAnsi="Times New Roman" w:eastAsia="仿宋_GB2312" w:cs="Times New Roman"/>
          <w:color w:val="auto"/>
          <w:sz w:val="32"/>
          <w:szCs w:val="32"/>
          <w:highlight w:val="none"/>
        </w:rPr>
        <w:t>十三、</w:t>
      </w:r>
      <w:bookmarkEnd w:id="95"/>
      <w:r>
        <w:rPr>
          <w:rFonts w:hint="default" w:ascii="Times New Roman" w:hAnsi="Times New Roman" w:eastAsia="仿宋_GB2312" w:cs="Times New Roman"/>
          <w:color w:val="auto"/>
          <w:sz w:val="32"/>
          <w:szCs w:val="32"/>
          <w:highlight w:val="none"/>
          <w:lang w:eastAsia="zh-CN"/>
        </w:rPr>
        <w:t>财政拨款“三公”经费支出决算表</w:t>
      </w:r>
    </w:p>
    <w:p w14:paraId="349287A9">
      <w:pPr>
        <w:rPr>
          <w:rFonts w:hint="default" w:ascii="Times New Roman" w:hAnsi="Times New Roman" w:cs="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8074F">
    <w:pPr>
      <w:pStyle w:val="10"/>
      <w:jc w:val="center"/>
    </w:pPr>
  </w:p>
  <w:p w14:paraId="79E2437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F260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091E5">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2ZhYTJmNjZhZGJlNTk0ODA2MTUwNzU3NWY5Yz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2A2E82"/>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AF13963"/>
    <w:rsid w:val="1BE8440E"/>
    <w:rsid w:val="1C9E2A40"/>
    <w:rsid w:val="1CF54DF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8B05368"/>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0E2ED9"/>
    <w:rsid w:val="33A773CB"/>
    <w:rsid w:val="349D6851"/>
    <w:rsid w:val="359A3136"/>
    <w:rsid w:val="36AA5135"/>
    <w:rsid w:val="36BE0DA7"/>
    <w:rsid w:val="376B6AA6"/>
    <w:rsid w:val="376D39B2"/>
    <w:rsid w:val="37E16F03"/>
    <w:rsid w:val="37F53A3B"/>
    <w:rsid w:val="389B6C89"/>
    <w:rsid w:val="38D469F0"/>
    <w:rsid w:val="39627CCD"/>
    <w:rsid w:val="397BAF1F"/>
    <w:rsid w:val="3A301A8B"/>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0D851CA"/>
    <w:rsid w:val="537E6D0A"/>
    <w:rsid w:val="53F74C96"/>
    <w:rsid w:val="55170BA8"/>
    <w:rsid w:val="553218C9"/>
    <w:rsid w:val="567E1AA5"/>
    <w:rsid w:val="56E47B74"/>
    <w:rsid w:val="57175D52"/>
    <w:rsid w:val="57BD3DD4"/>
    <w:rsid w:val="5AF92295"/>
    <w:rsid w:val="5B250254"/>
    <w:rsid w:val="5BDD79E6"/>
    <w:rsid w:val="5BF561CA"/>
    <w:rsid w:val="5BFF5DFC"/>
    <w:rsid w:val="5C1B255E"/>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693DA2"/>
    <w:rsid w:val="67277B67"/>
    <w:rsid w:val="67AA3209"/>
    <w:rsid w:val="698D0931"/>
    <w:rsid w:val="6A7FE5F3"/>
    <w:rsid w:val="6B053271"/>
    <w:rsid w:val="6BDD78B3"/>
    <w:rsid w:val="6C4A05C8"/>
    <w:rsid w:val="6C8742B8"/>
    <w:rsid w:val="6C927B67"/>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E83A71"/>
    <w:rsid w:val="72233669"/>
    <w:rsid w:val="72734D90"/>
    <w:rsid w:val="73160E6D"/>
    <w:rsid w:val="7332FE48"/>
    <w:rsid w:val="73AB61DA"/>
    <w:rsid w:val="73AD73D5"/>
    <w:rsid w:val="73B6EB34"/>
    <w:rsid w:val="73DF7FCD"/>
    <w:rsid w:val="73FA497D"/>
    <w:rsid w:val="744731E5"/>
    <w:rsid w:val="74BBD01D"/>
    <w:rsid w:val="74ED5379"/>
    <w:rsid w:val="75DEEEC2"/>
    <w:rsid w:val="75E32345"/>
    <w:rsid w:val="76E3355F"/>
    <w:rsid w:val="76FF5125"/>
    <w:rsid w:val="776F6FFA"/>
    <w:rsid w:val="77843EF8"/>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6A32F6"/>
    <w:rsid w:val="7E8ADEBF"/>
    <w:rsid w:val="7E9130E2"/>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2023年度</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147.53</c:v>
                </c:pt>
                <c:pt idx="1">
                  <c:v>147.53</c:v>
                </c:pt>
              </c:numCache>
            </c:numRef>
          </c:val>
        </c:ser>
        <c:ser>
          <c:idx val="1"/>
          <c:order val="1"/>
          <c:tx>
            <c:strRef>
              <c:f>Sheet1!$C$1</c:f>
              <c:strCache>
                <c:ptCount val="1"/>
                <c:pt idx="0">
                  <c:v>2024年度</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189.03</c:v>
                </c:pt>
                <c:pt idx="1">
                  <c:v>189.03</c:v>
                </c:pt>
              </c:numCache>
            </c:numRef>
          </c:val>
        </c:ser>
        <c:dLbls>
          <c:showLegendKey val="0"/>
          <c:showVal val="0"/>
          <c:showCatName val="0"/>
          <c:showSerName val="0"/>
          <c:showPercent val="0"/>
          <c:showBubbleSize val="0"/>
        </c:dLbls>
        <c:gapWidth val="219"/>
        <c:overlap val="-27"/>
        <c:axId val="678455100"/>
        <c:axId val="265711634"/>
      </c:barChart>
      <c:catAx>
        <c:axId val="67845510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5711634"/>
        <c:crosses val="autoZero"/>
        <c:auto val="1"/>
        <c:lblAlgn val="ctr"/>
        <c:lblOffset val="100"/>
        <c:noMultiLvlLbl val="0"/>
      </c:catAx>
      <c:valAx>
        <c:axId val="2657116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84551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2024年度收入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国有资本经营预算财政拨款收入</c:v>
                </c:pt>
              </c:strCache>
            </c:strRef>
          </c:cat>
          <c:val>
            <c:numRef>
              <c:f>Sheet1!$B$2:$B$3</c:f>
              <c:numCache>
                <c:formatCode>General</c:formatCode>
                <c:ptCount val="2"/>
                <c:pt idx="0">
                  <c:v>169.03</c:v>
                </c:pt>
                <c:pt idx="1">
                  <c:v>20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Sheet1!#REF!</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基本支出</c:v>
                </c:pt>
                <c:pt idx="1">
                  <c:v>项目支出</c:v>
                </c:pt>
              </c:strCache>
            </c:strRef>
          </c:cat>
          <c:val>
            <c:numRef>
              <c:f>Sheet1!$B$2:$B$3</c:f>
              <c:numCache>
                <c:formatCode>General</c:formatCode>
                <c:ptCount val="2"/>
                <c:pt idx="0">
                  <c:v>158.8</c:v>
                </c:pt>
                <c:pt idx="1">
                  <c:v>30.23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147.53</c:v>
                </c:pt>
                <c:pt idx="1">
                  <c:v>147.53</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189.03</c:v>
                </c:pt>
                <c:pt idx="1">
                  <c:v>189.03</c:v>
                </c:pt>
              </c:numCache>
            </c:numRef>
          </c:val>
        </c:ser>
        <c:dLbls>
          <c:showLegendKey val="0"/>
          <c:showVal val="0"/>
          <c:showCatName val="0"/>
          <c:showSerName val="0"/>
          <c:showPercent val="0"/>
          <c:showBubbleSize val="0"/>
        </c:dLbls>
        <c:gapWidth val="219"/>
        <c:overlap val="-27"/>
        <c:axId val="809845731"/>
        <c:axId val="305738030"/>
      </c:barChart>
      <c:catAx>
        <c:axId val="8098457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5738030"/>
        <c:crosses val="autoZero"/>
        <c:auto val="1"/>
        <c:lblAlgn val="ctr"/>
        <c:lblOffset val="100"/>
        <c:noMultiLvlLbl val="0"/>
      </c:catAx>
      <c:valAx>
        <c:axId val="30573803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98457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一般公共预算财政拨款支出</c:v>
                </c:pt>
              </c:strCache>
            </c:strRef>
          </c:cat>
          <c:val>
            <c:numRef>
              <c:f>Sheet1!$B$2</c:f>
              <c:numCache>
                <c:formatCode>General</c:formatCode>
                <c:ptCount val="1"/>
                <c:pt idx="0">
                  <c:v>146.34</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一般公共预算财政拨款支出</c:v>
                </c:pt>
              </c:strCache>
            </c:strRef>
          </c:cat>
          <c:val>
            <c:numRef>
              <c:f>Sheet1!$C$2</c:f>
              <c:numCache>
                <c:formatCode>General</c:formatCode>
                <c:ptCount val="1"/>
                <c:pt idx="0">
                  <c:v>169.03</c:v>
                </c:pt>
              </c:numCache>
            </c:numRef>
          </c:val>
        </c:ser>
        <c:dLbls>
          <c:showLegendKey val="0"/>
          <c:showVal val="0"/>
          <c:showCatName val="0"/>
          <c:showSerName val="0"/>
          <c:showPercent val="0"/>
          <c:showBubbleSize val="0"/>
        </c:dLbls>
        <c:gapWidth val="219"/>
        <c:overlap val="-27"/>
        <c:axId val="481430508"/>
        <c:axId val="644809944"/>
      </c:barChart>
      <c:catAx>
        <c:axId val="4814305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4809944"/>
        <c:crosses val="autoZero"/>
        <c:auto val="1"/>
        <c:lblAlgn val="ctr"/>
        <c:lblOffset val="100"/>
        <c:noMultiLvlLbl val="0"/>
      </c:catAx>
      <c:valAx>
        <c:axId val="644809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14305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118.69</c:v>
                </c:pt>
                <c:pt idx="1">
                  <c:v>27.69</c:v>
                </c:pt>
                <c:pt idx="2">
                  <c:v>12.68</c:v>
                </c:pt>
                <c:pt idx="3">
                  <c:v>9.97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8039</Words>
  <Characters>8577</Characters>
  <Lines>61</Lines>
  <Paragraphs>17</Paragraphs>
  <TotalTime>20</TotalTime>
  <ScaleCrop>false</ScaleCrop>
  <LinksUpToDate>false</LinksUpToDate>
  <CharactersWithSpaces>8717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虞浩</cp:lastModifiedBy>
  <cp:lastPrinted>2025-08-06T17:34:00Z</cp:lastPrinted>
  <dcterms:modified xsi:type="dcterms:W3CDTF">2025-10-30T09:55:39Z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04787F2533EB45DC91BCDE4AB213247F</vt:lpwstr>
  </property>
</Properties>
</file>