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B87E4">
      <w:pPr>
        <w:pStyle w:val="7"/>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193"/>
      <w:bookmarkStart w:id="1" w:name="_Toc15396475"/>
      <w:bookmarkStart w:id="2" w:name="_Toc15377425"/>
      <w:bookmarkStart w:id="3" w:name="_Toc15378441"/>
      <w:bookmarkStart w:id="4" w:name="_Toc15396597"/>
      <w:bookmarkStart w:id="5" w:name="_Toc15306267"/>
    </w:p>
    <w:p w14:paraId="2AC61979">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44AF8651">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1DC0D842">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4E890614">
      <w:pPr>
        <w:pStyle w:val="7"/>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201772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olor w:val="auto"/>
          <w:sz w:val="48"/>
          <w:szCs w:val="48"/>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6" w:name="_Toc15396476"/>
      <w:bookmarkStart w:id="7" w:name="_Toc15378442"/>
      <w:bookmarkStart w:id="8" w:name="_Toc15377194"/>
      <w:bookmarkStart w:id="9" w:name="_Toc15377426"/>
      <w:bookmarkStart w:id="10" w:name="_Toc15396598"/>
      <w:r>
        <w:rPr>
          <w:rFonts w:hint="eastAsia" w:ascii="方正小标宋_GBK" w:hAnsi="方正小标宋_GBK" w:eastAsia="方正小标宋_GBK" w:cs="方正小标宋_GBK"/>
          <w:sz w:val="44"/>
          <w:szCs w:val="44"/>
          <w:lang w:val="en-US" w:eastAsia="zh-CN"/>
        </w:rPr>
        <w:t>2024年度</w:t>
      </w:r>
      <w:bookmarkEnd w:id="5"/>
      <w:bookmarkStart w:id="11" w:name="_Toc15306268"/>
      <w:r>
        <w:rPr>
          <w:rFonts w:hint="eastAsia" w:ascii="方正小标宋_GBK" w:hAnsi="方正小标宋_GBK" w:eastAsia="方正小标宋_GBK" w:cs="方正小标宋_GBK"/>
          <w:sz w:val="44"/>
          <w:szCs w:val="44"/>
        </w:rPr>
        <w:t>中国共产党攀枝花市西区委员会办公室</w:t>
      </w:r>
      <w:bookmarkEnd w:id="6"/>
      <w:bookmarkEnd w:id="7"/>
      <w:bookmarkEnd w:id="8"/>
      <w:bookmarkEnd w:id="9"/>
      <w:bookmarkEnd w:id="10"/>
      <w:bookmarkEnd w:id="11"/>
      <w:r>
        <w:rPr>
          <w:rFonts w:hint="eastAsia" w:ascii="方正小标宋_GBK" w:hAnsi="方正小标宋_GBK" w:eastAsia="方正小标宋_GBK" w:cs="方正小标宋_GBK"/>
          <w:sz w:val="44"/>
          <w:szCs w:val="44"/>
          <w:lang w:eastAsia="zh-CN"/>
        </w:rPr>
        <w:t>部门决算</w:t>
      </w:r>
    </w:p>
    <w:sdt>
      <w:sdtPr>
        <w:rPr>
          <w:rFonts w:ascii="宋体" w:hAnsi="宋体" w:eastAsia="宋体" w:cs="Times New Roman"/>
          <w:kern w:val="2"/>
          <w:sz w:val="21"/>
          <w:szCs w:val="24"/>
          <w:lang w:val="en-US" w:eastAsia="zh-CN" w:bidi="ar-SA"/>
        </w:rPr>
        <w:id w:val="136887425"/>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69ED320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D4B636E">
          <w:pPr>
            <w:pStyle w:val="39"/>
            <w:tabs>
              <w:tab w:val="right" w:leader="dot" w:pos="8306"/>
            </w:tabs>
            <w:rPr>
              <w:b/>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TOC \o "1-2" \h \u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b/>
              <w:kern w:val="2"/>
              <w:szCs w:val="24"/>
              <w:lang w:val="en-US" w:eastAsia="zh-CN" w:bidi="ar-SA"/>
            </w:rPr>
            <w:fldChar w:fldCharType="begin"/>
          </w:r>
          <w:r>
            <w:rPr>
              <w:rFonts w:ascii="Times New Roman" w:hAnsi="Times New Roman" w:eastAsia="宋体" w:cs="Times New Roman"/>
              <w:b/>
              <w:kern w:val="2"/>
              <w:szCs w:val="24"/>
              <w:lang w:val="en-US" w:eastAsia="zh-CN" w:bidi="ar-SA"/>
            </w:rPr>
            <w:instrText xml:space="preserve"> HYPERLINK \l _Toc2093895585 </w:instrText>
          </w:r>
          <w:r>
            <w:rPr>
              <w:rFonts w:ascii="Times New Roman" w:hAnsi="Times New Roman" w:eastAsia="宋体" w:cs="Times New Roman"/>
              <w:b/>
              <w:kern w:val="2"/>
              <w:szCs w:val="24"/>
              <w:lang w:val="en-US" w:eastAsia="zh-CN" w:bidi="ar-SA"/>
            </w:rPr>
            <w:fldChar w:fldCharType="separate"/>
          </w:r>
          <w:r>
            <w:rPr>
              <w:rFonts w:hint="eastAsia" w:ascii="方正小标宋_GBK" w:hAnsi="方正小标宋_GBK" w:eastAsia="方正小标宋_GBK" w:cs="方正小标宋_GBK"/>
              <w:b/>
              <w:bCs/>
              <w:szCs w:val="44"/>
              <w:lang w:eastAsia="zh-CN"/>
            </w:rPr>
            <w:t>第一部分</w:t>
          </w:r>
          <w:r>
            <w:rPr>
              <w:rFonts w:hint="eastAsia" w:ascii="方正小标宋_GBK" w:hAnsi="方正小标宋_GBK" w:eastAsia="方正小标宋_GBK" w:cs="方正小标宋_GBK"/>
              <w:b/>
              <w:bCs/>
              <w:szCs w:val="44"/>
            </w:rPr>
            <w:t xml:space="preserve"> </w:t>
          </w:r>
          <w:r>
            <w:rPr>
              <w:rFonts w:hint="eastAsia" w:ascii="方正小标宋_GBK" w:hAnsi="方正小标宋_GBK" w:eastAsia="方正小标宋_GBK" w:cs="方正小标宋_GBK"/>
              <w:b/>
              <w:bCs/>
              <w:szCs w:val="44"/>
              <w:lang w:val="en-US" w:eastAsia="zh-CN"/>
            </w:rPr>
            <w:t xml:space="preserve"> </w:t>
          </w:r>
          <w:r>
            <w:rPr>
              <w:rFonts w:hint="eastAsia" w:ascii="方正小标宋_GBK" w:hAnsi="方正小标宋_GBK" w:eastAsia="方正小标宋_GBK" w:cs="方正小标宋_GBK"/>
              <w:b/>
              <w:bCs/>
              <w:szCs w:val="44"/>
            </w:rPr>
            <w:t>部门概况</w:t>
          </w:r>
          <w:r>
            <w:rPr>
              <w:b/>
            </w:rPr>
            <w:tab/>
          </w:r>
          <w:r>
            <w:rPr>
              <w:b/>
            </w:rPr>
            <w:fldChar w:fldCharType="begin"/>
          </w:r>
          <w:r>
            <w:rPr>
              <w:b/>
            </w:rPr>
            <w:instrText xml:space="preserve"> PAGEREF _Toc2093895585 \h </w:instrText>
          </w:r>
          <w:r>
            <w:rPr>
              <w:b/>
            </w:rPr>
            <w:fldChar w:fldCharType="separate"/>
          </w:r>
          <w:r>
            <w:rPr>
              <w:b/>
            </w:rPr>
            <w:t>1</w:t>
          </w:r>
          <w:r>
            <w:rPr>
              <w:b/>
            </w:rPr>
            <w:fldChar w:fldCharType="end"/>
          </w:r>
          <w:r>
            <w:rPr>
              <w:rFonts w:ascii="Times New Roman" w:hAnsi="Times New Roman" w:eastAsia="宋体" w:cs="Times New Roman"/>
              <w:b/>
              <w:kern w:val="2"/>
              <w:szCs w:val="24"/>
              <w:lang w:val="en-US" w:eastAsia="zh-CN" w:bidi="ar-SA"/>
            </w:rPr>
            <w:fldChar w:fldCharType="end"/>
          </w:r>
        </w:p>
        <w:p w14:paraId="61BC21E1">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_Toc2040907344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一、部门职责</w:t>
          </w:r>
          <w:r>
            <w:tab/>
          </w:r>
          <w:r>
            <w:fldChar w:fldCharType="begin"/>
          </w:r>
          <w:r>
            <w:instrText xml:space="preserve"> PAGEREF _Toc2040907344 \h </w:instrText>
          </w:r>
          <w:r>
            <w:fldChar w:fldCharType="separate"/>
          </w:r>
          <w:r>
            <w:t>1</w:t>
          </w:r>
          <w:r>
            <w:fldChar w:fldCharType="end"/>
          </w:r>
          <w:r>
            <w:rPr>
              <w:rFonts w:ascii="Times New Roman" w:hAnsi="Times New Roman" w:eastAsia="宋体" w:cs="Times New Roman"/>
              <w:kern w:val="2"/>
              <w:szCs w:val="24"/>
              <w:lang w:val="en-US" w:eastAsia="zh-CN" w:bidi="ar-SA"/>
            </w:rPr>
            <w:fldChar w:fldCharType="end"/>
          </w:r>
        </w:p>
        <w:p w14:paraId="423452F0">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_Toc764186973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二、机构设置</w:t>
          </w:r>
          <w:r>
            <w:tab/>
          </w:r>
          <w:r>
            <w:fldChar w:fldCharType="begin"/>
          </w:r>
          <w:r>
            <w:instrText xml:space="preserve"> PAGEREF _Toc764186973 \h </w:instrText>
          </w:r>
          <w:r>
            <w:fldChar w:fldCharType="separate"/>
          </w:r>
          <w:r>
            <w:t>2</w:t>
          </w:r>
          <w:r>
            <w:fldChar w:fldCharType="end"/>
          </w:r>
          <w:r>
            <w:rPr>
              <w:rFonts w:ascii="Times New Roman" w:hAnsi="Times New Roman" w:eastAsia="宋体" w:cs="Times New Roman"/>
              <w:kern w:val="2"/>
              <w:szCs w:val="24"/>
              <w:lang w:val="en-US" w:eastAsia="zh-CN" w:bidi="ar-SA"/>
            </w:rPr>
            <w:fldChar w:fldCharType="end"/>
          </w:r>
        </w:p>
        <w:p w14:paraId="5AD1C048">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_Toc417348836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一、收入支出决算总体情况说明</w:t>
          </w:r>
          <w:r>
            <w:tab/>
          </w:r>
          <w:r>
            <w:fldChar w:fldCharType="begin"/>
          </w:r>
          <w:r>
            <w:instrText xml:space="preserve"> PAGEREF _Toc417348836 \h </w:instrText>
          </w:r>
          <w:r>
            <w:fldChar w:fldCharType="separate"/>
          </w:r>
          <w:r>
            <w:t>3</w:t>
          </w:r>
          <w:r>
            <w:fldChar w:fldCharType="end"/>
          </w:r>
          <w:r>
            <w:rPr>
              <w:rFonts w:ascii="Times New Roman" w:hAnsi="Times New Roman" w:eastAsia="宋体" w:cs="Times New Roman"/>
              <w:kern w:val="2"/>
              <w:szCs w:val="24"/>
              <w:lang w:val="en-US" w:eastAsia="zh-CN" w:bidi="ar-SA"/>
            </w:rPr>
            <w:fldChar w:fldCharType="end"/>
          </w:r>
        </w:p>
        <w:p w14:paraId="31D5CF47">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_Toc1229280168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二、收入决算情况说明</w:t>
          </w:r>
          <w:r>
            <w:tab/>
          </w:r>
          <w:r>
            <w:fldChar w:fldCharType="begin"/>
          </w:r>
          <w:r>
            <w:instrText xml:space="preserve"> PAGEREF _Toc1229280168 \h </w:instrText>
          </w:r>
          <w:r>
            <w:fldChar w:fldCharType="separate"/>
          </w:r>
          <w:r>
            <w:t>4</w:t>
          </w:r>
          <w:r>
            <w:fldChar w:fldCharType="end"/>
          </w:r>
          <w:r>
            <w:rPr>
              <w:rFonts w:ascii="Times New Roman" w:hAnsi="Times New Roman" w:eastAsia="宋体" w:cs="Times New Roman"/>
              <w:kern w:val="2"/>
              <w:szCs w:val="24"/>
              <w:lang w:val="en-US" w:eastAsia="zh-CN" w:bidi="ar-SA"/>
            </w:rPr>
            <w:fldChar w:fldCharType="end"/>
          </w:r>
        </w:p>
        <w:p w14:paraId="595456CA">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_Toc1011353965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三支出决算情况说明</w:t>
          </w:r>
          <w:r>
            <w:tab/>
          </w:r>
          <w:r>
            <w:fldChar w:fldCharType="begin"/>
          </w:r>
          <w:r>
            <w:instrText xml:space="preserve"> PAGEREF _Toc1011353965 \h </w:instrText>
          </w:r>
          <w:r>
            <w:fldChar w:fldCharType="separate"/>
          </w:r>
          <w:r>
            <w:t>4</w:t>
          </w:r>
          <w:r>
            <w:fldChar w:fldCharType="end"/>
          </w:r>
          <w:r>
            <w:rPr>
              <w:rFonts w:ascii="Times New Roman" w:hAnsi="Times New Roman" w:eastAsia="宋体" w:cs="Times New Roman"/>
              <w:kern w:val="2"/>
              <w:szCs w:val="24"/>
              <w:lang w:val="en-US" w:eastAsia="zh-CN" w:bidi="ar-SA"/>
            </w:rPr>
            <w:fldChar w:fldCharType="end"/>
          </w:r>
        </w:p>
        <w:p w14:paraId="6A89F5E2">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_Toc262312181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四、财政拨款收入支出决算总体情况说明</w:t>
          </w:r>
          <w:r>
            <w:tab/>
          </w:r>
          <w:r>
            <w:fldChar w:fldCharType="begin"/>
          </w:r>
          <w:r>
            <w:instrText xml:space="preserve"> PAGEREF _Toc262312181 \h </w:instrText>
          </w:r>
          <w:r>
            <w:fldChar w:fldCharType="separate"/>
          </w:r>
          <w:r>
            <w:t>5</w:t>
          </w:r>
          <w:r>
            <w:fldChar w:fldCharType="end"/>
          </w:r>
          <w:r>
            <w:rPr>
              <w:rFonts w:ascii="Times New Roman" w:hAnsi="Times New Roman" w:eastAsia="宋体" w:cs="Times New Roman"/>
              <w:kern w:val="2"/>
              <w:szCs w:val="24"/>
              <w:lang w:val="en-US" w:eastAsia="zh-CN" w:bidi="ar-SA"/>
            </w:rPr>
            <w:fldChar w:fldCharType="end"/>
          </w:r>
        </w:p>
        <w:p w14:paraId="4712007F">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_Toc815367212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五、一般公共预算财政拨款支出决算情况说明</w:t>
          </w:r>
          <w:r>
            <w:tab/>
          </w:r>
          <w:r>
            <w:fldChar w:fldCharType="begin"/>
          </w:r>
          <w:r>
            <w:instrText xml:space="preserve"> PAGEREF _Toc815367212 \h </w:instrText>
          </w:r>
          <w:r>
            <w:fldChar w:fldCharType="separate"/>
          </w:r>
          <w:r>
            <w:t>5</w:t>
          </w:r>
          <w:r>
            <w:fldChar w:fldCharType="end"/>
          </w:r>
          <w:r>
            <w:rPr>
              <w:rFonts w:ascii="Times New Roman" w:hAnsi="Times New Roman" w:eastAsia="宋体" w:cs="Times New Roman"/>
              <w:kern w:val="2"/>
              <w:szCs w:val="24"/>
              <w:lang w:val="en-US" w:eastAsia="zh-CN" w:bidi="ar-SA"/>
            </w:rPr>
            <w:fldChar w:fldCharType="end"/>
          </w:r>
        </w:p>
        <w:p w14:paraId="628A07AD">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_Toc1312885657 </w:instrText>
          </w:r>
          <w:r>
            <w:rPr>
              <w:rFonts w:ascii="Times New Roman" w:hAnsi="Times New Roman" w:eastAsia="宋体" w:cs="Times New Roman"/>
              <w:kern w:val="2"/>
              <w:szCs w:val="24"/>
              <w:lang w:val="en-US" w:eastAsia="zh-CN" w:bidi="ar-SA"/>
            </w:rPr>
            <w:fldChar w:fldCharType="separate"/>
          </w:r>
          <w:r>
            <w:rPr>
              <w:rFonts w:hint="default" w:ascii="Times New Roman" w:hAnsi="Times New Roman" w:eastAsia="方正黑体_GBK" w:cs="Times New Roman"/>
              <w:bCs/>
              <w:kern w:val="2"/>
              <w:szCs w:val="32"/>
              <w:lang w:val="en-US" w:eastAsia="zh-CN" w:bidi="ar-SA"/>
            </w:rPr>
            <w:t>六、一般公共预算财政拨款基本支出决算情况说明</w:t>
          </w:r>
          <w:r>
            <w:tab/>
          </w:r>
          <w:r>
            <w:fldChar w:fldCharType="begin"/>
          </w:r>
          <w:r>
            <w:instrText xml:space="preserve"> PAGEREF _Toc1312885657 \h </w:instrText>
          </w:r>
          <w:r>
            <w:fldChar w:fldCharType="separate"/>
          </w:r>
          <w:r>
            <w:t>8</w:t>
          </w:r>
          <w:r>
            <w:fldChar w:fldCharType="end"/>
          </w:r>
          <w:r>
            <w:rPr>
              <w:rFonts w:ascii="Times New Roman" w:hAnsi="Times New Roman" w:eastAsia="宋体" w:cs="Times New Roman"/>
              <w:kern w:val="2"/>
              <w:szCs w:val="24"/>
              <w:lang w:val="en-US" w:eastAsia="zh-CN" w:bidi="ar-SA"/>
            </w:rPr>
            <w:fldChar w:fldCharType="end"/>
          </w:r>
        </w:p>
        <w:p w14:paraId="214F4C8D">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_Toc1158524008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七、财政拨款“三公”经费支出决算情况说明</w:t>
          </w:r>
          <w:r>
            <w:tab/>
          </w:r>
          <w:r>
            <w:fldChar w:fldCharType="begin"/>
          </w:r>
          <w:r>
            <w:instrText xml:space="preserve"> PAGEREF _Toc1158524008 \h </w:instrText>
          </w:r>
          <w:r>
            <w:fldChar w:fldCharType="separate"/>
          </w:r>
          <w:r>
            <w:t>9</w:t>
          </w:r>
          <w:r>
            <w:fldChar w:fldCharType="end"/>
          </w:r>
          <w:r>
            <w:rPr>
              <w:rFonts w:ascii="Times New Roman" w:hAnsi="Times New Roman" w:eastAsia="宋体" w:cs="Times New Roman"/>
              <w:kern w:val="2"/>
              <w:szCs w:val="24"/>
              <w:lang w:val="en-US" w:eastAsia="zh-CN" w:bidi="ar-SA"/>
            </w:rPr>
            <w:fldChar w:fldCharType="end"/>
          </w:r>
        </w:p>
        <w:p w14:paraId="5444070E">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_Toc1756853173 </w:instrText>
          </w:r>
          <w:r>
            <w:rPr>
              <w:rFonts w:ascii="Times New Roman" w:hAnsi="Times New Roman" w:eastAsia="宋体" w:cs="Times New Roman"/>
              <w:kern w:val="2"/>
              <w:szCs w:val="24"/>
              <w:lang w:val="en-US" w:eastAsia="zh-CN" w:bidi="ar-SA"/>
            </w:rPr>
            <w:fldChar w:fldCharType="separate"/>
          </w:r>
          <w:r>
            <w:rPr>
              <w:rFonts w:hint="default" w:ascii="Times New Roman" w:hAnsi="Times New Roman" w:eastAsia="方正黑体_GBK" w:cs="Times New Roman"/>
              <w:bCs/>
              <w:kern w:val="2"/>
              <w:szCs w:val="32"/>
              <w:lang w:val="en-US" w:eastAsia="zh-CN" w:bidi="ar-SA"/>
            </w:rPr>
            <w:t>八、政府性基金预算支出决算情况说明</w:t>
          </w:r>
          <w:r>
            <w:tab/>
          </w:r>
          <w:r>
            <w:fldChar w:fldCharType="begin"/>
          </w:r>
          <w:r>
            <w:instrText xml:space="preserve"> PAGEREF _Toc1756853173 \h </w:instrText>
          </w:r>
          <w:r>
            <w:fldChar w:fldCharType="separate"/>
          </w:r>
          <w:r>
            <w:t>10</w:t>
          </w:r>
          <w:r>
            <w:fldChar w:fldCharType="end"/>
          </w:r>
          <w:r>
            <w:rPr>
              <w:rFonts w:ascii="Times New Roman" w:hAnsi="Times New Roman" w:eastAsia="宋体" w:cs="Times New Roman"/>
              <w:kern w:val="2"/>
              <w:szCs w:val="24"/>
              <w:lang w:val="en-US" w:eastAsia="zh-CN" w:bidi="ar-SA"/>
            </w:rPr>
            <w:fldChar w:fldCharType="end"/>
          </w:r>
        </w:p>
        <w:p w14:paraId="4FFA4EE0">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_Toc678321659 </w:instrText>
          </w:r>
          <w:r>
            <w:rPr>
              <w:rFonts w:ascii="Times New Roman" w:hAnsi="Times New Roman" w:eastAsia="宋体" w:cs="Times New Roman"/>
              <w:kern w:val="2"/>
              <w:szCs w:val="24"/>
              <w:lang w:val="en-US" w:eastAsia="zh-CN" w:bidi="ar-SA"/>
            </w:rPr>
            <w:fldChar w:fldCharType="separate"/>
          </w:r>
          <w:r>
            <w:rPr>
              <w:rFonts w:hint="default" w:ascii="Times New Roman" w:hAnsi="Times New Roman" w:eastAsia="方正黑体_GBK" w:cs="Times New Roman"/>
              <w:bCs/>
              <w:kern w:val="2"/>
              <w:szCs w:val="32"/>
              <w:lang w:val="en-US" w:eastAsia="zh-CN" w:bidi="ar-SA"/>
            </w:rPr>
            <w:t>九、国有资本经营预算支出决算情况说明</w:t>
          </w:r>
          <w:r>
            <w:tab/>
          </w:r>
          <w:r>
            <w:fldChar w:fldCharType="begin"/>
          </w:r>
          <w:r>
            <w:instrText xml:space="preserve"> PAGEREF _Toc678321659 \h </w:instrText>
          </w:r>
          <w:r>
            <w:fldChar w:fldCharType="separate"/>
          </w:r>
          <w:r>
            <w:t>11</w:t>
          </w:r>
          <w:r>
            <w:fldChar w:fldCharType="end"/>
          </w:r>
          <w:r>
            <w:rPr>
              <w:rFonts w:ascii="Times New Roman" w:hAnsi="Times New Roman" w:eastAsia="宋体" w:cs="Times New Roman"/>
              <w:kern w:val="2"/>
              <w:szCs w:val="24"/>
              <w:lang w:val="en-US" w:eastAsia="zh-CN" w:bidi="ar-SA"/>
            </w:rPr>
            <w:fldChar w:fldCharType="end"/>
          </w:r>
        </w:p>
        <w:p w14:paraId="237C831E">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_Toc1904906018 </w:instrText>
          </w:r>
          <w:r>
            <w:rPr>
              <w:rFonts w:ascii="Times New Roman" w:hAnsi="Times New Roman" w:eastAsia="宋体" w:cs="Times New Roman"/>
              <w:kern w:val="2"/>
              <w:szCs w:val="24"/>
              <w:lang w:val="en-US" w:eastAsia="zh-CN" w:bidi="ar-SA"/>
            </w:rPr>
            <w:fldChar w:fldCharType="separate"/>
          </w:r>
          <w:r>
            <w:rPr>
              <w:rFonts w:hint="default" w:ascii="Times New Roman" w:hAnsi="Times New Roman" w:eastAsia="方正黑体_GBK" w:cs="Times New Roman"/>
              <w:bCs/>
              <w:kern w:val="2"/>
              <w:szCs w:val="32"/>
              <w:lang w:val="en-US" w:eastAsia="zh-CN" w:bidi="ar-SA"/>
            </w:rPr>
            <w:t>十、其他重要事项的情况说明</w:t>
          </w:r>
          <w:r>
            <w:tab/>
          </w:r>
          <w:r>
            <w:fldChar w:fldCharType="begin"/>
          </w:r>
          <w:r>
            <w:instrText xml:space="preserve"> PAGEREF _Toc1904906018 \h </w:instrText>
          </w:r>
          <w:r>
            <w:fldChar w:fldCharType="separate"/>
          </w:r>
          <w:r>
            <w:t>11</w:t>
          </w:r>
          <w:r>
            <w:fldChar w:fldCharType="end"/>
          </w:r>
          <w:r>
            <w:rPr>
              <w:rFonts w:ascii="Times New Roman" w:hAnsi="Times New Roman" w:eastAsia="宋体" w:cs="Times New Roman"/>
              <w:kern w:val="2"/>
              <w:szCs w:val="24"/>
              <w:lang w:val="en-US" w:eastAsia="zh-CN" w:bidi="ar-SA"/>
            </w:rPr>
            <w:fldChar w:fldCharType="end"/>
          </w:r>
        </w:p>
        <w:p w14:paraId="6A936BB6">
          <w:pPr>
            <w:pStyle w:val="39"/>
            <w:tabs>
              <w:tab w:val="right" w:leader="dot" w:pos="8306"/>
            </w:tabs>
            <w:rPr>
              <w:b/>
            </w:rPr>
          </w:pPr>
          <w:r>
            <w:rPr>
              <w:rFonts w:ascii="Times New Roman" w:hAnsi="Times New Roman" w:eastAsia="宋体" w:cs="Times New Roman"/>
              <w:b/>
              <w:kern w:val="2"/>
              <w:szCs w:val="24"/>
              <w:lang w:val="en-US" w:eastAsia="zh-CN" w:bidi="ar-SA"/>
            </w:rPr>
            <w:fldChar w:fldCharType="begin"/>
          </w:r>
          <w:r>
            <w:rPr>
              <w:rFonts w:ascii="Times New Roman" w:hAnsi="Times New Roman" w:eastAsia="宋体" w:cs="Times New Roman"/>
              <w:b/>
              <w:kern w:val="2"/>
              <w:szCs w:val="24"/>
              <w:lang w:val="en-US" w:eastAsia="zh-CN" w:bidi="ar-SA"/>
            </w:rPr>
            <w:instrText xml:space="preserve"> HYPERLINK \l _Toc775734768 </w:instrText>
          </w:r>
          <w:r>
            <w:rPr>
              <w:rFonts w:ascii="Times New Roman" w:hAnsi="Times New Roman" w:eastAsia="宋体" w:cs="Times New Roman"/>
              <w:b/>
              <w:kern w:val="2"/>
              <w:szCs w:val="24"/>
              <w:lang w:val="en-US" w:eastAsia="zh-CN" w:bidi="ar-SA"/>
            </w:rPr>
            <w:fldChar w:fldCharType="separate"/>
          </w:r>
          <w:r>
            <w:rPr>
              <w:rFonts w:hint="eastAsia" w:ascii="方正小标宋_GBK" w:hAnsi="方正小标宋_GBK" w:eastAsia="方正小标宋_GBK" w:cs="方正小标宋_GBK"/>
              <w:b/>
              <w:bCs/>
              <w:kern w:val="2"/>
              <w:szCs w:val="44"/>
              <w:lang w:val="en-US" w:eastAsia="zh-CN" w:bidi="ar-SA"/>
            </w:rPr>
            <w:t>第三部分  名词解释</w:t>
          </w:r>
          <w:r>
            <w:rPr>
              <w:b/>
            </w:rPr>
            <w:tab/>
          </w:r>
          <w:r>
            <w:rPr>
              <w:b/>
            </w:rPr>
            <w:fldChar w:fldCharType="begin"/>
          </w:r>
          <w:r>
            <w:rPr>
              <w:b/>
            </w:rPr>
            <w:instrText xml:space="preserve"> PAGEREF _Toc775734768 \h </w:instrText>
          </w:r>
          <w:r>
            <w:rPr>
              <w:b/>
            </w:rPr>
            <w:fldChar w:fldCharType="separate"/>
          </w:r>
          <w:r>
            <w:rPr>
              <w:b/>
            </w:rPr>
            <w:t>13</w:t>
          </w:r>
          <w:r>
            <w:rPr>
              <w:b/>
            </w:rPr>
            <w:fldChar w:fldCharType="end"/>
          </w:r>
          <w:r>
            <w:rPr>
              <w:rFonts w:ascii="Times New Roman" w:hAnsi="Times New Roman" w:eastAsia="宋体" w:cs="Times New Roman"/>
              <w:b/>
              <w:kern w:val="2"/>
              <w:szCs w:val="24"/>
              <w:lang w:val="en-US" w:eastAsia="zh-CN" w:bidi="ar-SA"/>
            </w:rPr>
            <w:fldChar w:fldCharType="end"/>
          </w:r>
        </w:p>
        <w:p w14:paraId="10D66281">
          <w:pPr>
            <w:pStyle w:val="39"/>
            <w:tabs>
              <w:tab w:val="right" w:leader="dot" w:pos="8306"/>
            </w:tabs>
            <w:rPr>
              <w:b/>
            </w:rPr>
          </w:pPr>
          <w:r>
            <w:rPr>
              <w:rFonts w:ascii="Times New Roman" w:hAnsi="Times New Roman" w:eastAsia="宋体" w:cs="Times New Roman"/>
              <w:b/>
              <w:kern w:val="2"/>
              <w:szCs w:val="24"/>
              <w:lang w:val="en-US" w:eastAsia="zh-CN" w:bidi="ar-SA"/>
            </w:rPr>
            <w:fldChar w:fldCharType="begin"/>
          </w:r>
          <w:r>
            <w:rPr>
              <w:rFonts w:ascii="Times New Roman" w:hAnsi="Times New Roman" w:eastAsia="宋体" w:cs="Times New Roman"/>
              <w:b/>
              <w:kern w:val="2"/>
              <w:szCs w:val="24"/>
              <w:lang w:val="en-US" w:eastAsia="zh-CN" w:bidi="ar-SA"/>
            </w:rPr>
            <w:instrText xml:space="preserve"> HYPERLINK \l _Toc2023679837 </w:instrText>
          </w:r>
          <w:r>
            <w:rPr>
              <w:rFonts w:ascii="Times New Roman" w:hAnsi="Times New Roman" w:eastAsia="宋体" w:cs="Times New Roman"/>
              <w:b/>
              <w:kern w:val="2"/>
              <w:szCs w:val="24"/>
              <w:lang w:val="en-US" w:eastAsia="zh-CN" w:bidi="ar-SA"/>
            </w:rPr>
            <w:fldChar w:fldCharType="separate"/>
          </w:r>
          <w:r>
            <w:rPr>
              <w:rFonts w:hint="eastAsia" w:ascii="方正小标宋_GBK" w:hAnsi="方正小标宋_GBK" w:eastAsia="方正小标宋_GBK" w:cs="方正小标宋_GBK"/>
              <w:b/>
              <w:bCs/>
              <w:kern w:val="2"/>
              <w:szCs w:val="44"/>
              <w:lang w:val="en-US" w:eastAsia="zh-CN" w:bidi="ar-SA"/>
            </w:rPr>
            <w:t>第四部分  附件</w:t>
          </w:r>
          <w:r>
            <w:rPr>
              <w:b/>
            </w:rPr>
            <w:tab/>
          </w:r>
          <w:r>
            <w:rPr>
              <w:b/>
            </w:rPr>
            <w:fldChar w:fldCharType="begin"/>
          </w:r>
          <w:r>
            <w:rPr>
              <w:b/>
            </w:rPr>
            <w:instrText xml:space="preserve"> PAGEREF _Toc2023679837 \h </w:instrText>
          </w:r>
          <w:r>
            <w:rPr>
              <w:b/>
            </w:rPr>
            <w:fldChar w:fldCharType="separate"/>
          </w:r>
          <w:r>
            <w:rPr>
              <w:b/>
            </w:rPr>
            <w:t>16</w:t>
          </w:r>
          <w:r>
            <w:rPr>
              <w:b/>
            </w:rPr>
            <w:fldChar w:fldCharType="end"/>
          </w:r>
          <w:r>
            <w:rPr>
              <w:rFonts w:ascii="Times New Roman" w:hAnsi="Times New Roman" w:eastAsia="宋体" w:cs="Times New Roman"/>
              <w:b/>
              <w:kern w:val="2"/>
              <w:szCs w:val="24"/>
              <w:lang w:val="en-US" w:eastAsia="zh-CN" w:bidi="ar-SA"/>
            </w:rPr>
            <w:fldChar w:fldCharType="end"/>
          </w:r>
        </w:p>
        <w:p w14:paraId="309EA114">
          <w:pPr>
            <w:pStyle w:val="39"/>
            <w:tabs>
              <w:tab w:val="right" w:leader="dot" w:pos="8306"/>
            </w:tabs>
            <w:rPr>
              <w:b/>
            </w:rPr>
          </w:pPr>
          <w:r>
            <w:rPr>
              <w:rFonts w:ascii="Times New Roman" w:hAnsi="Times New Roman" w:eastAsia="宋体" w:cs="Times New Roman"/>
              <w:b/>
              <w:kern w:val="2"/>
              <w:szCs w:val="24"/>
              <w:lang w:val="en-US" w:eastAsia="zh-CN" w:bidi="ar-SA"/>
            </w:rPr>
            <w:fldChar w:fldCharType="begin"/>
          </w:r>
          <w:r>
            <w:rPr>
              <w:rFonts w:ascii="Times New Roman" w:hAnsi="Times New Roman" w:eastAsia="宋体" w:cs="Times New Roman"/>
              <w:b/>
              <w:kern w:val="2"/>
              <w:szCs w:val="24"/>
              <w:lang w:val="en-US" w:eastAsia="zh-CN" w:bidi="ar-SA"/>
            </w:rPr>
            <w:instrText xml:space="preserve"> HYPERLINK \l _Toc958062883 </w:instrText>
          </w:r>
          <w:r>
            <w:rPr>
              <w:rFonts w:ascii="Times New Roman" w:hAnsi="Times New Roman" w:eastAsia="宋体" w:cs="Times New Roman"/>
              <w:b/>
              <w:kern w:val="2"/>
              <w:szCs w:val="24"/>
              <w:lang w:val="en-US" w:eastAsia="zh-CN" w:bidi="ar-SA"/>
            </w:rPr>
            <w:fldChar w:fldCharType="separate"/>
          </w:r>
          <w:r>
            <w:rPr>
              <w:rFonts w:hint="eastAsia" w:ascii="方正小标宋_GBK" w:hAnsi="方正小标宋_GBK" w:eastAsia="方正小标宋_GBK" w:cs="方正小标宋_GBK"/>
              <w:b/>
              <w:bCs/>
              <w:kern w:val="2"/>
              <w:szCs w:val="44"/>
              <w:lang w:val="en-US" w:eastAsia="zh-CN" w:bidi="ar-SA"/>
            </w:rPr>
            <w:t>第五部分  附表</w:t>
          </w:r>
          <w:r>
            <w:rPr>
              <w:b/>
            </w:rPr>
            <w:tab/>
          </w:r>
          <w:r>
            <w:rPr>
              <w:b/>
            </w:rPr>
            <w:fldChar w:fldCharType="begin"/>
          </w:r>
          <w:r>
            <w:rPr>
              <w:b/>
            </w:rPr>
            <w:instrText xml:space="preserve"> PAGEREF _Toc958062883 \h </w:instrText>
          </w:r>
          <w:r>
            <w:rPr>
              <w:b/>
            </w:rPr>
            <w:fldChar w:fldCharType="separate"/>
          </w:r>
          <w:r>
            <w:rPr>
              <w:b/>
            </w:rPr>
            <w:t>23</w:t>
          </w:r>
          <w:r>
            <w:rPr>
              <w:b/>
            </w:rPr>
            <w:fldChar w:fldCharType="end"/>
          </w:r>
          <w:r>
            <w:rPr>
              <w:rFonts w:ascii="Times New Roman" w:hAnsi="Times New Roman" w:eastAsia="宋体" w:cs="Times New Roman"/>
              <w:b/>
              <w:kern w:val="2"/>
              <w:szCs w:val="24"/>
              <w:lang w:val="en-US" w:eastAsia="zh-CN" w:bidi="ar-SA"/>
            </w:rPr>
            <w:fldChar w:fldCharType="end"/>
          </w:r>
        </w:p>
        <w:p w14:paraId="54925DB3">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_Toc574039923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一、收入支出决算总表</w:t>
          </w:r>
          <w:r>
            <w:tab/>
          </w:r>
          <w:r>
            <w:fldChar w:fldCharType="begin"/>
          </w:r>
          <w:r>
            <w:instrText xml:space="preserve"> PAGEREF _Toc574039923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244588D6">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_Toc925972795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二、收入决算表</w:t>
          </w:r>
          <w:r>
            <w:tab/>
          </w:r>
          <w:r>
            <w:fldChar w:fldCharType="begin"/>
          </w:r>
          <w:r>
            <w:instrText xml:space="preserve"> PAGEREF _Toc925972795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3D569CD6">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_Toc182944008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三、支出决算表</w:t>
          </w:r>
          <w:r>
            <w:tab/>
          </w:r>
          <w:r>
            <w:fldChar w:fldCharType="begin"/>
          </w:r>
          <w:r>
            <w:instrText xml:space="preserve"> PAGEREF _Toc182944008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1004EBEA">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_Toc1656620959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四、财政拨款收入支出决算总表</w:t>
          </w:r>
          <w:r>
            <w:tab/>
          </w:r>
          <w:r>
            <w:fldChar w:fldCharType="begin"/>
          </w:r>
          <w:r>
            <w:instrText xml:space="preserve"> PAGEREF _Toc1656620959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3A7580B2">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_Toc837210355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五、财政拨款支出决算明细表</w:t>
          </w:r>
          <w:r>
            <w:tab/>
          </w:r>
          <w:r>
            <w:fldChar w:fldCharType="begin"/>
          </w:r>
          <w:r>
            <w:instrText xml:space="preserve"> PAGEREF _Toc837210355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008B97DA">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_Toc1469456008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六、一般公共预算财政拨款支出决算表</w:t>
          </w:r>
          <w:r>
            <w:tab/>
          </w:r>
          <w:r>
            <w:fldChar w:fldCharType="begin"/>
          </w:r>
          <w:r>
            <w:instrText xml:space="preserve"> PAGEREF _Toc1469456008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614A491F">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_Toc136724487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七、一般公共预算财政拨款支出决算明细表</w:t>
          </w:r>
          <w:r>
            <w:tab/>
          </w:r>
          <w:r>
            <w:fldChar w:fldCharType="begin"/>
          </w:r>
          <w:r>
            <w:instrText xml:space="preserve"> PAGEREF _Toc136724487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4B073CC5">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_Toc1897885901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八、一般公共预算财政拨款基本支出决算表</w:t>
          </w:r>
          <w:r>
            <w:tab/>
          </w:r>
          <w:r>
            <w:fldChar w:fldCharType="begin"/>
          </w:r>
          <w:r>
            <w:instrText xml:space="preserve"> PAGEREF _Toc1897885901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1055D5F4">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_Toc297616260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九、一般公共预算财政拨款项目支出决算表</w:t>
          </w:r>
          <w:r>
            <w:tab/>
          </w:r>
          <w:r>
            <w:fldChar w:fldCharType="begin"/>
          </w:r>
          <w:r>
            <w:instrText xml:space="preserve"> PAGEREF _Toc297616260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024864E4">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_Toc942001388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十、政府性基金预算财政拨款收入支出决算表</w:t>
          </w:r>
          <w:r>
            <w:tab/>
          </w:r>
          <w:r>
            <w:fldChar w:fldCharType="begin"/>
          </w:r>
          <w:r>
            <w:instrText xml:space="preserve"> PAGEREF _Toc942001388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2BCE74BC">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_Toc242068465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十一、国有资本经营预算财政拨款收入支出决算表</w:t>
          </w:r>
          <w:r>
            <w:tab/>
          </w:r>
          <w:r>
            <w:fldChar w:fldCharType="begin"/>
          </w:r>
          <w:r>
            <w:instrText xml:space="preserve"> PAGEREF _Toc242068465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3FA089B0">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_Toc244028197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十二、国有资本经营预算财政拨款支出决算表</w:t>
          </w:r>
          <w:r>
            <w:tab/>
          </w:r>
          <w:r>
            <w:fldChar w:fldCharType="begin"/>
          </w:r>
          <w:r>
            <w:instrText xml:space="preserve"> PAGEREF _Toc244028197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2BAEF635">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_Toc835425084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十三、财政拨款“三公”经费支出决算表</w:t>
          </w:r>
          <w:r>
            <w:tab/>
          </w:r>
          <w:r>
            <w:fldChar w:fldCharType="begin"/>
          </w:r>
          <w:r>
            <w:instrText xml:space="preserve"> PAGEREF _Toc835425084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754427BA">
          <w:pPr>
            <w:bidi w:val="0"/>
            <w:rPr>
              <w:rFonts w:hint="eastAsia"/>
              <w:lang w:val="en-US" w:eastAsia="zh-CN"/>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ascii="Times New Roman" w:hAnsi="Times New Roman" w:eastAsia="宋体" w:cs="Times New Roman"/>
              <w:b/>
              <w:kern w:val="2"/>
              <w:szCs w:val="24"/>
              <w:lang w:val="en-US" w:eastAsia="zh-CN" w:bidi="ar-SA"/>
            </w:rPr>
            <w:fldChar w:fldCharType="end"/>
          </w:r>
        </w:p>
      </w:sdtContent>
    </w:sdt>
    <w:p w14:paraId="0ABC413B">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0"/>
        <w:rPr>
          <w:rFonts w:hint="eastAsia"/>
          <w:sz w:val="32"/>
          <w:szCs w:val="32"/>
        </w:rPr>
      </w:pPr>
      <w:bookmarkStart w:id="12" w:name="_Toc2093895585"/>
      <w:bookmarkStart w:id="13" w:name="_Toc1617691418"/>
      <w:bookmarkStart w:id="14" w:name="_Toc1093543502"/>
      <w:bookmarkStart w:id="15" w:name="_Toc1041031526"/>
      <w:bookmarkStart w:id="16" w:name="_Toc1472182344"/>
      <w:bookmarkStart w:id="17" w:name="_Toc1330855833"/>
      <w:r>
        <w:rPr>
          <w:rFonts w:hint="eastAsia" w:ascii="方正小标宋_GBK" w:hAnsi="方正小标宋_GBK" w:eastAsia="方正小标宋_GBK" w:cs="方正小标宋_GBK"/>
          <w:b w:val="0"/>
          <w:bCs/>
          <w:sz w:val="44"/>
          <w:szCs w:val="44"/>
          <w:lang w:eastAsia="zh-CN"/>
        </w:rPr>
        <w:t>第一部分</w:t>
      </w:r>
      <w:r>
        <w:rPr>
          <w:rFonts w:hint="eastAsia" w:ascii="方正小标宋_GBK" w:hAnsi="方正小标宋_GBK" w:eastAsia="方正小标宋_GBK" w:cs="方正小标宋_GBK"/>
          <w:b w:val="0"/>
          <w:bCs/>
          <w:sz w:val="44"/>
          <w:szCs w:val="44"/>
        </w:rPr>
        <w:t xml:space="preserve"> </w:t>
      </w:r>
      <w:bookmarkStart w:id="18" w:name="_Toc648551447"/>
      <w:bookmarkStart w:id="19" w:name="_Toc2051004463"/>
      <w:bookmarkStart w:id="20" w:name="_Toc1005565844"/>
      <w:bookmarkStart w:id="21" w:name="_Toc229413912"/>
      <w:r>
        <w:rPr>
          <w:rFonts w:hint="eastAsia" w:ascii="方正小标宋_GBK" w:hAnsi="方正小标宋_GBK" w:eastAsia="方正小标宋_GBK" w:cs="方正小标宋_GBK"/>
          <w:b w:val="0"/>
          <w:bCs/>
          <w:sz w:val="44"/>
          <w:szCs w:val="44"/>
          <w:lang w:val="en-US" w:eastAsia="zh-CN"/>
        </w:rPr>
        <w:t xml:space="preserve"> </w:t>
      </w:r>
      <w:r>
        <w:rPr>
          <w:rFonts w:hint="eastAsia" w:ascii="方正小标宋_GBK" w:hAnsi="方正小标宋_GBK" w:eastAsia="方正小标宋_GBK" w:cs="方正小标宋_GBK"/>
          <w:b w:val="0"/>
          <w:bCs/>
          <w:sz w:val="44"/>
          <w:szCs w:val="44"/>
        </w:rPr>
        <w:t>部门概况</w:t>
      </w:r>
      <w:bookmarkEnd w:id="12"/>
      <w:bookmarkEnd w:id="13"/>
      <w:bookmarkEnd w:id="14"/>
      <w:bookmarkEnd w:id="15"/>
      <w:bookmarkEnd w:id="16"/>
      <w:bookmarkEnd w:id="17"/>
      <w:bookmarkEnd w:id="18"/>
      <w:bookmarkEnd w:id="19"/>
      <w:bookmarkEnd w:id="20"/>
      <w:bookmarkEnd w:id="21"/>
    </w:p>
    <w:p w14:paraId="657021D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outlineLvl w:val="9"/>
        <w:rPr>
          <w:rFonts w:hint="eastAsia" w:ascii="方正楷体_GBK" w:hAnsi="方正楷体_GBK" w:eastAsia="方正楷体_GBK" w:cs="方正楷体_GBK"/>
          <w:bCs w:val="0"/>
          <w:kern w:val="0"/>
          <w:sz w:val="32"/>
          <w:szCs w:val="32"/>
          <w:lang w:val="en-US" w:eastAsia="zh-CN" w:bidi="ar"/>
        </w:rPr>
      </w:pPr>
      <w:bookmarkStart w:id="22" w:name="_Toc1888352820"/>
      <w:bookmarkStart w:id="23" w:name="_Toc1345516156"/>
      <w:bookmarkStart w:id="24" w:name="_Toc337909287"/>
      <w:bookmarkStart w:id="25" w:name="_Toc800799062"/>
    </w:p>
    <w:p w14:paraId="131A706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26" w:name="_Toc1276855019"/>
      <w:bookmarkStart w:id="27" w:name="_Toc125130000"/>
      <w:bookmarkStart w:id="28" w:name="_Toc578341710"/>
      <w:bookmarkStart w:id="29" w:name="_Toc1802932369"/>
      <w:bookmarkStart w:id="30" w:name="_Toc468833961"/>
      <w:bookmarkStart w:id="31" w:name="_Toc2040907344"/>
      <w:r>
        <w:rPr>
          <w:rFonts w:hint="eastAsia" w:ascii="方正黑体_GBK" w:hAnsi="方正黑体_GBK" w:eastAsia="方正黑体_GBK" w:cs="方正黑体_GBK"/>
          <w:b w:val="0"/>
          <w:bCs/>
          <w:kern w:val="2"/>
          <w:sz w:val="33"/>
          <w:szCs w:val="33"/>
          <w:lang w:val="en-US" w:eastAsia="zh-CN" w:bidi="ar-SA"/>
        </w:rPr>
        <w:t>一、部门职责</w:t>
      </w:r>
      <w:bookmarkEnd w:id="22"/>
      <w:bookmarkEnd w:id="23"/>
      <w:bookmarkEnd w:id="24"/>
      <w:bookmarkEnd w:id="25"/>
      <w:bookmarkEnd w:id="26"/>
      <w:bookmarkEnd w:id="27"/>
      <w:bookmarkEnd w:id="28"/>
      <w:bookmarkEnd w:id="29"/>
      <w:bookmarkEnd w:id="30"/>
      <w:bookmarkEnd w:id="31"/>
    </w:p>
    <w:p w14:paraId="6CA9C53E">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eastAsia="方正仿宋_GBK" w:cs="Times New Roman"/>
          <w:b w:val="0"/>
          <w:bCs w:val="0"/>
          <w:color w:val="000000"/>
          <w:kern w:val="2"/>
          <w:sz w:val="33"/>
          <w:szCs w:val="33"/>
          <w:highlight w:val="none"/>
          <w:lang w:val="en-US" w:eastAsia="zh-CN" w:bidi="ar-SA"/>
        </w:rPr>
        <w:t xml:space="preserve">    </w:t>
      </w:r>
      <w:r>
        <w:rPr>
          <w:rFonts w:hint="eastAsia" w:ascii="Times New Roman" w:hAnsi="Times New Roman" w:eastAsia="方正仿宋_GBK" w:cs="Times New Roman"/>
          <w:color w:val="000000"/>
          <w:spacing w:val="0"/>
          <w:kern w:val="2"/>
          <w:sz w:val="32"/>
          <w:szCs w:val="32"/>
          <w:highlight w:val="none"/>
          <w:lang w:val="en-US" w:eastAsia="zh-CN" w:bidi="ar-SA"/>
        </w:rPr>
        <w:t>（一）</w:t>
      </w:r>
      <w:r>
        <w:rPr>
          <w:rFonts w:hint="default" w:ascii="Times New Roman" w:hAnsi="Times New Roman" w:eastAsia="方正仿宋_GBK" w:cs="Times New Roman"/>
          <w:color w:val="000000"/>
          <w:spacing w:val="0"/>
          <w:kern w:val="2"/>
          <w:sz w:val="32"/>
          <w:szCs w:val="32"/>
          <w:highlight w:val="none"/>
          <w:lang w:val="en-US" w:eastAsia="zh-CN" w:bidi="ar-SA"/>
        </w:rPr>
        <w:t>负责区委日常文书的处理，督促检查市委和区委重要工作部署的贯彻落实情况，负责区委领导批示的转达和催办落实</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28196197">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（二）</w:t>
      </w:r>
      <w:r>
        <w:rPr>
          <w:rFonts w:hint="default" w:ascii="Times New Roman" w:hAnsi="Times New Roman" w:eastAsia="方正仿宋_GBK" w:cs="Times New Roman"/>
          <w:color w:val="000000"/>
          <w:spacing w:val="0"/>
          <w:kern w:val="2"/>
          <w:sz w:val="32"/>
          <w:szCs w:val="32"/>
          <w:highlight w:val="none"/>
          <w:lang w:val="en-US" w:eastAsia="zh-CN" w:bidi="ar-SA"/>
        </w:rPr>
        <w:t>围绕市委和区委工作部署，收集信息、反映动态、综合调研；承担区委文件、文稿的起草、修改和校正工作；负责区委和区委办公室文件的印制、分发、管理等工作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17495C46">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（三）</w:t>
      </w:r>
      <w:r>
        <w:rPr>
          <w:rFonts w:hint="default" w:ascii="Times New Roman" w:hAnsi="Times New Roman" w:eastAsia="方正仿宋_GBK" w:cs="Times New Roman"/>
          <w:color w:val="000000"/>
          <w:spacing w:val="0"/>
          <w:kern w:val="2"/>
          <w:sz w:val="32"/>
          <w:szCs w:val="32"/>
          <w:highlight w:val="none"/>
          <w:lang w:val="en-US" w:eastAsia="zh-CN" w:bidi="ar-SA"/>
        </w:rPr>
        <w:t>负责区委重要会议事务工作和区委领导参加重大活动的组织安排；负责区委的有关接待工作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78AC1B3A">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（四）负责共同富裕试验区建设重大政策、重大规划、重大改革，研究、计划、编制并组织实施。</w:t>
      </w:r>
    </w:p>
    <w:p w14:paraId="54085D94">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（五）</w:t>
      </w:r>
      <w:r>
        <w:rPr>
          <w:rFonts w:hint="default" w:ascii="Times New Roman" w:hAnsi="Times New Roman" w:eastAsia="方正仿宋_GBK" w:cs="Times New Roman"/>
          <w:color w:val="000000"/>
          <w:spacing w:val="0"/>
          <w:kern w:val="2"/>
          <w:sz w:val="32"/>
          <w:szCs w:val="32"/>
          <w:highlight w:val="none"/>
          <w:lang w:val="en-US" w:eastAsia="zh-CN" w:bidi="ar-SA"/>
        </w:rPr>
        <w:t>负责信息、</w:t>
      </w:r>
      <w:r>
        <w:rPr>
          <w:rFonts w:hint="eastAsia" w:eastAsia="方正仿宋_GBK" w:cs="Times New Roman"/>
          <w:color w:val="000000"/>
          <w:spacing w:val="0"/>
          <w:kern w:val="2"/>
          <w:sz w:val="32"/>
          <w:szCs w:val="32"/>
          <w:highlight w:val="none"/>
          <w:lang w:val="en-US" w:eastAsia="zh-CN" w:bidi="ar-SA"/>
        </w:rPr>
        <w:t>政策研究</w:t>
      </w:r>
      <w:r>
        <w:rPr>
          <w:rFonts w:hint="default" w:ascii="Times New Roman" w:hAnsi="Times New Roman" w:eastAsia="方正仿宋_GBK" w:cs="Times New Roman"/>
          <w:color w:val="000000"/>
          <w:spacing w:val="0"/>
          <w:kern w:val="2"/>
          <w:sz w:val="32"/>
          <w:szCs w:val="32"/>
          <w:highlight w:val="none"/>
          <w:lang w:val="en-US" w:eastAsia="zh-CN" w:bidi="ar-SA"/>
        </w:rPr>
        <w:t>、督查工作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72FD286E">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（六）</w:t>
      </w:r>
      <w:r>
        <w:rPr>
          <w:rFonts w:hint="default" w:ascii="Times New Roman" w:hAnsi="Times New Roman" w:eastAsia="方正仿宋_GBK" w:cs="Times New Roman"/>
          <w:color w:val="000000"/>
          <w:spacing w:val="0"/>
          <w:kern w:val="2"/>
          <w:sz w:val="32"/>
          <w:szCs w:val="32"/>
          <w:highlight w:val="none"/>
          <w:lang w:val="en-US" w:eastAsia="zh-CN" w:bidi="ar-SA"/>
        </w:rPr>
        <w:t>负责安全防范、保密和综合治理工作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131E3033">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（七）</w:t>
      </w:r>
      <w:r>
        <w:rPr>
          <w:rFonts w:hint="default" w:ascii="Times New Roman" w:hAnsi="Times New Roman" w:eastAsia="方正仿宋_GBK" w:cs="Times New Roman"/>
          <w:color w:val="000000"/>
          <w:spacing w:val="0"/>
          <w:kern w:val="2"/>
          <w:sz w:val="32"/>
          <w:szCs w:val="32"/>
          <w:highlight w:val="none"/>
          <w:lang w:val="en-US" w:eastAsia="zh-CN" w:bidi="ar-SA"/>
        </w:rPr>
        <w:t>负责区委领导的服务工作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504D7F4B">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（八）</w:t>
      </w:r>
      <w:r>
        <w:rPr>
          <w:rFonts w:hint="default" w:ascii="Times New Roman" w:hAnsi="Times New Roman" w:eastAsia="方正仿宋_GBK" w:cs="Times New Roman"/>
          <w:color w:val="000000"/>
          <w:spacing w:val="0"/>
          <w:kern w:val="2"/>
          <w:sz w:val="32"/>
          <w:szCs w:val="32"/>
          <w:highlight w:val="none"/>
          <w:lang w:val="en-US" w:eastAsia="zh-CN" w:bidi="ar-SA"/>
        </w:rPr>
        <w:t>协调各部门工作关系</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52172E7D">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（九）</w:t>
      </w:r>
      <w:r>
        <w:rPr>
          <w:rFonts w:hint="default" w:ascii="Times New Roman" w:hAnsi="Times New Roman" w:eastAsia="方正仿宋_GBK" w:cs="Times New Roman"/>
          <w:color w:val="000000"/>
          <w:spacing w:val="0"/>
          <w:kern w:val="2"/>
          <w:sz w:val="32"/>
          <w:szCs w:val="32"/>
          <w:highlight w:val="none"/>
          <w:lang w:val="en-US" w:eastAsia="zh-CN" w:bidi="ar-SA"/>
        </w:rPr>
        <w:t>负责</w:t>
      </w:r>
      <w:r>
        <w:rPr>
          <w:rFonts w:hint="eastAsia" w:eastAsia="方正仿宋_GBK" w:cs="Times New Roman"/>
          <w:color w:val="000000"/>
          <w:spacing w:val="0"/>
          <w:kern w:val="2"/>
          <w:sz w:val="32"/>
          <w:szCs w:val="32"/>
          <w:highlight w:val="none"/>
          <w:lang w:val="en-US" w:eastAsia="zh-CN" w:bidi="ar-SA"/>
        </w:rPr>
        <w:t>区委</w:t>
      </w:r>
      <w:r>
        <w:rPr>
          <w:rFonts w:hint="default" w:ascii="Times New Roman" w:hAnsi="Times New Roman" w:eastAsia="方正仿宋_GBK" w:cs="Times New Roman"/>
          <w:color w:val="000000"/>
          <w:spacing w:val="0"/>
          <w:kern w:val="2"/>
          <w:sz w:val="32"/>
          <w:szCs w:val="32"/>
          <w:highlight w:val="none"/>
          <w:lang w:val="en-US" w:eastAsia="zh-CN" w:bidi="ar-SA"/>
        </w:rPr>
        <w:t>办公室机关党的思想、组织、作风建设和社会主义精神文明建设</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45E59936">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（十）</w:t>
      </w:r>
      <w:r>
        <w:rPr>
          <w:rFonts w:hint="default" w:ascii="Times New Roman" w:hAnsi="Times New Roman" w:eastAsia="方正仿宋_GBK" w:cs="Times New Roman"/>
          <w:color w:val="000000"/>
          <w:spacing w:val="0"/>
          <w:kern w:val="2"/>
          <w:sz w:val="32"/>
          <w:szCs w:val="32"/>
          <w:highlight w:val="none"/>
          <w:lang w:val="en-US" w:eastAsia="zh-CN" w:bidi="ar-SA"/>
        </w:rPr>
        <w:t>承办区委交办的其它工作。</w:t>
      </w:r>
    </w:p>
    <w:p w14:paraId="2284634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default" w:ascii="方正黑体_GBK" w:hAnsi="方正黑体_GBK" w:eastAsia="方正黑体_GBK" w:cs="方正黑体_GBK"/>
          <w:b w:val="0"/>
          <w:bCs/>
          <w:kern w:val="2"/>
          <w:sz w:val="33"/>
          <w:szCs w:val="33"/>
          <w:lang w:val="en-US" w:eastAsia="zh-CN" w:bidi="ar-SA"/>
        </w:rPr>
      </w:pPr>
      <w:bookmarkStart w:id="32" w:name="_Toc1092668306"/>
      <w:bookmarkStart w:id="33" w:name="_Toc736626260"/>
      <w:bookmarkStart w:id="34" w:name="_Toc229579975"/>
      <w:bookmarkStart w:id="35" w:name="_Toc150837252"/>
      <w:bookmarkStart w:id="36" w:name="_Toc15377200"/>
      <w:bookmarkStart w:id="37" w:name="_Toc841145384"/>
      <w:bookmarkStart w:id="38" w:name="_Toc764186973"/>
      <w:bookmarkStart w:id="39" w:name="_Toc1442725386"/>
      <w:bookmarkStart w:id="40" w:name="_Toc654515805"/>
      <w:bookmarkStart w:id="41" w:name="_Toc505865911"/>
      <w:bookmarkStart w:id="42" w:name="_Toc310098507"/>
      <w:bookmarkStart w:id="43" w:name="_Toc15396601"/>
      <w:r>
        <w:rPr>
          <w:rFonts w:hint="eastAsia" w:ascii="方正黑体_GBK" w:hAnsi="方正黑体_GBK" w:eastAsia="方正黑体_GBK" w:cs="方正黑体_GBK"/>
          <w:b w:val="0"/>
          <w:bCs/>
          <w:kern w:val="2"/>
          <w:sz w:val="33"/>
          <w:szCs w:val="33"/>
          <w:lang w:val="en-US" w:eastAsia="zh-CN" w:bidi="ar-SA"/>
        </w:rPr>
        <w:t>二、机构设置</w:t>
      </w:r>
      <w:bookmarkEnd w:id="32"/>
      <w:bookmarkEnd w:id="33"/>
      <w:bookmarkEnd w:id="34"/>
      <w:bookmarkEnd w:id="35"/>
      <w:bookmarkEnd w:id="36"/>
      <w:bookmarkEnd w:id="37"/>
      <w:bookmarkEnd w:id="38"/>
      <w:bookmarkEnd w:id="39"/>
      <w:bookmarkEnd w:id="40"/>
      <w:bookmarkEnd w:id="41"/>
      <w:bookmarkEnd w:id="42"/>
      <w:bookmarkEnd w:id="43"/>
    </w:p>
    <w:p w14:paraId="756ED2CE">
      <w:pPr>
        <w:bidi w:val="0"/>
        <w:ind w:firstLine="660" w:firstLineChars="200"/>
        <w:jc w:val="left"/>
        <w:rPr>
          <w:rFonts w:hint="eastAsia" w:ascii="Times New Roman" w:hAnsi="Times New Roman" w:eastAsia="方正仿宋_GBK" w:cs="Times New Roman"/>
          <w:color w:val="auto"/>
          <w:spacing w:val="0"/>
          <w:kern w:val="2"/>
          <w:sz w:val="33"/>
          <w:szCs w:val="33"/>
          <w:highlight w:val="none"/>
          <w:lang w:val="en-US" w:eastAsia="zh-CN" w:bidi="ar-SA"/>
        </w:rPr>
      </w:pPr>
      <w:r>
        <w:rPr>
          <w:rFonts w:hint="default" w:ascii="Times New Roman" w:hAnsi="Times New Roman" w:eastAsia="方正仿宋_GBK" w:cs="Times New Roman"/>
          <w:color w:val="auto"/>
          <w:spacing w:val="0"/>
          <w:kern w:val="2"/>
          <w:sz w:val="33"/>
          <w:szCs w:val="33"/>
          <w:highlight w:val="none"/>
          <w:lang w:val="en-US" w:eastAsia="zh-CN" w:bidi="ar-SA"/>
        </w:rPr>
        <w:t>西区区委办公室无下属二级预算单位，单位内设机构包括</w:t>
      </w:r>
      <w:r>
        <w:rPr>
          <w:rFonts w:hint="eastAsia" w:ascii="Times New Roman" w:hAnsi="Times New Roman" w:eastAsia="方正仿宋_GBK" w:cs="Times New Roman"/>
          <w:color w:val="auto"/>
          <w:spacing w:val="0"/>
          <w:kern w:val="2"/>
          <w:sz w:val="33"/>
          <w:szCs w:val="33"/>
          <w:highlight w:val="none"/>
          <w:lang w:val="en-US" w:eastAsia="zh-CN" w:bidi="ar-SA"/>
        </w:rPr>
        <w:t>常委办公室</w:t>
      </w:r>
      <w:r>
        <w:rPr>
          <w:rFonts w:hint="default" w:ascii="Times New Roman" w:hAnsi="Times New Roman" w:eastAsia="方正仿宋_GBK" w:cs="Times New Roman"/>
          <w:color w:val="auto"/>
          <w:spacing w:val="0"/>
          <w:kern w:val="2"/>
          <w:sz w:val="33"/>
          <w:szCs w:val="33"/>
          <w:highlight w:val="none"/>
          <w:lang w:val="en-US" w:eastAsia="zh-CN" w:bidi="ar-SA"/>
        </w:rPr>
        <w:t>、政策研究室</w:t>
      </w:r>
      <w:r>
        <w:rPr>
          <w:rFonts w:hint="eastAsia" w:ascii="Times New Roman" w:hAnsi="Times New Roman" w:eastAsia="方正仿宋_GBK" w:cs="Times New Roman"/>
          <w:color w:val="auto"/>
          <w:spacing w:val="0"/>
          <w:kern w:val="2"/>
          <w:sz w:val="33"/>
          <w:szCs w:val="33"/>
          <w:highlight w:val="none"/>
          <w:lang w:val="en-US" w:eastAsia="zh-CN" w:bidi="ar-SA"/>
        </w:rPr>
        <w:t>、</w:t>
      </w:r>
      <w:r>
        <w:rPr>
          <w:rFonts w:hint="default" w:ascii="Times New Roman" w:hAnsi="Times New Roman" w:eastAsia="方正仿宋_GBK" w:cs="Times New Roman"/>
          <w:color w:val="auto"/>
          <w:spacing w:val="0"/>
          <w:kern w:val="2"/>
          <w:sz w:val="33"/>
          <w:szCs w:val="33"/>
          <w:highlight w:val="none"/>
          <w:lang w:val="en-US" w:eastAsia="zh-CN" w:bidi="ar-SA"/>
        </w:rPr>
        <w:t>综合一股</w:t>
      </w:r>
      <w:r>
        <w:rPr>
          <w:rFonts w:hint="eastAsia" w:ascii="Times New Roman" w:hAnsi="Times New Roman" w:eastAsia="方正仿宋_GBK" w:cs="Times New Roman"/>
          <w:color w:val="auto"/>
          <w:spacing w:val="0"/>
          <w:kern w:val="2"/>
          <w:sz w:val="33"/>
          <w:szCs w:val="33"/>
          <w:highlight w:val="none"/>
          <w:lang w:val="en-US" w:eastAsia="zh-CN" w:bidi="ar-SA"/>
        </w:rPr>
        <w:t>、</w:t>
      </w:r>
      <w:r>
        <w:rPr>
          <w:rFonts w:hint="default" w:ascii="Times New Roman" w:hAnsi="Times New Roman" w:eastAsia="方正仿宋_GBK" w:cs="Times New Roman"/>
          <w:color w:val="auto"/>
          <w:spacing w:val="0"/>
          <w:kern w:val="2"/>
          <w:sz w:val="33"/>
          <w:szCs w:val="33"/>
          <w:highlight w:val="none"/>
          <w:lang w:val="en-US" w:eastAsia="zh-CN" w:bidi="ar-SA"/>
        </w:rPr>
        <w:t>信息股</w:t>
      </w:r>
      <w:r>
        <w:rPr>
          <w:rFonts w:hint="eastAsia" w:eastAsia="方正仿宋_GBK" w:cs="Times New Roman"/>
          <w:color w:val="auto"/>
          <w:spacing w:val="0"/>
          <w:kern w:val="2"/>
          <w:sz w:val="33"/>
          <w:szCs w:val="33"/>
          <w:highlight w:val="none"/>
          <w:lang w:val="en-US" w:eastAsia="zh-CN" w:bidi="ar-SA"/>
        </w:rPr>
        <w:t>、</w:t>
      </w:r>
      <w:r>
        <w:rPr>
          <w:rFonts w:hint="default" w:ascii="Times New Roman" w:hAnsi="Times New Roman" w:eastAsia="方正仿宋_GBK" w:cs="Times New Roman"/>
          <w:color w:val="auto"/>
          <w:spacing w:val="0"/>
          <w:kern w:val="2"/>
          <w:sz w:val="33"/>
          <w:szCs w:val="33"/>
          <w:highlight w:val="none"/>
          <w:lang w:val="en-US" w:eastAsia="zh-CN" w:bidi="ar-SA"/>
        </w:rPr>
        <w:t>综合</w:t>
      </w:r>
      <w:r>
        <w:rPr>
          <w:rFonts w:hint="eastAsia" w:ascii="Times New Roman" w:hAnsi="Times New Roman" w:eastAsia="方正仿宋_GBK" w:cs="Times New Roman"/>
          <w:color w:val="auto"/>
          <w:spacing w:val="0"/>
          <w:kern w:val="2"/>
          <w:sz w:val="33"/>
          <w:szCs w:val="33"/>
          <w:highlight w:val="none"/>
          <w:lang w:val="en-US" w:eastAsia="zh-CN" w:bidi="ar-SA"/>
        </w:rPr>
        <w:t>二</w:t>
      </w:r>
      <w:r>
        <w:rPr>
          <w:rFonts w:hint="default" w:ascii="Times New Roman" w:hAnsi="Times New Roman" w:eastAsia="方正仿宋_GBK" w:cs="Times New Roman"/>
          <w:color w:val="auto"/>
          <w:spacing w:val="0"/>
          <w:kern w:val="2"/>
          <w:sz w:val="33"/>
          <w:szCs w:val="33"/>
          <w:highlight w:val="none"/>
          <w:lang w:val="en-US" w:eastAsia="zh-CN" w:bidi="ar-SA"/>
        </w:rPr>
        <w:t>股、人事后勤股、保密机要局（股）、区委总值班室、</w:t>
      </w:r>
      <w:r>
        <w:rPr>
          <w:rFonts w:hint="eastAsia" w:ascii="Times New Roman" w:hAnsi="Times New Roman" w:eastAsia="方正仿宋_GBK" w:cs="Times New Roman"/>
          <w:color w:val="auto"/>
          <w:spacing w:val="0"/>
          <w:kern w:val="2"/>
          <w:sz w:val="33"/>
          <w:szCs w:val="33"/>
          <w:highlight w:val="none"/>
          <w:lang w:val="en-US" w:eastAsia="zh-CN" w:bidi="ar-SA"/>
        </w:rPr>
        <w:t>区电子政务建设服务中心</w:t>
      </w:r>
      <w:r>
        <w:rPr>
          <w:rFonts w:hint="default" w:ascii="Times New Roman" w:hAnsi="Times New Roman" w:eastAsia="方正仿宋_GBK" w:cs="Times New Roman"/>
          <w:color w:val="auto"/>
          <w:spacing w:val="0"/>
          <w:kern w:val="2"/>
          <w:sz w:val="33"/>
          <w:szCs w:val="33"/>
          <w:highlight w:val="none"/>
          <w:lang w:val="en-US" w:eastAsia="zh-CN" w:bidi="ar-SA"/>
        </w:rPr>
        <w:t>（</w:t>
      </w:r>
      <w:r>
        <w:rPr>
          <w:rFonts w:hint="eastAsia" w:ascii="Times New Roman" w:hAnsi="Times New Roman" w:eastAsia="方正仿宋_GBK" w:cs="Times New Roman"/>
          <w:color w:val="auto"/>
          <w:spacing w:val="0"/>
          <w:kern w:val="2"/>
          <w:sz w:val="33"/>
          <w:szCs w:val="33"/>
          <w:highlight w:val="none"/>
          <w:lang w:val="en-US" w:eastAsia="zh-CN" w:bidi="ar-SA"/>
        </w:rPr>
        <w:t>区</w:t>
      </w:r>
      <w:r>
        <w:rPr>
          <w:rFonts w:hint="default" w:ascii="Times New Roman" w:hAnsi="Times New Roman" w:eastAsia="方正仿宋_GBK" w:cs="Times New Roman"/>
          <w:color w:val="auto"/>
          <w:spacing w:val="0"/>
          <w:kern w:val="2"/>
          <w:sz w:val="33"/>
          <w:szCs w:val="33"/>
          <w:highlight w:val="none"/>
          <w:lang w:val="en-US" w:eastAsia="zh-CN" w:bidi="ar-SA"/>
        </w:rPr>
        <w:t>党政内网服务中心、</w:t>
      </w:r>
      <w:r>
        <w:rPr>
          <w:rFonts w:hint="eastAsia" w:ascii="Times New Roman" w:hAnsi="Times New Roman" w:eastAsia="方正仿宋_GBK" w:cs="Times New Roman"/>
          <w:color w:val="auto"/>
          <w:spacing w:val="0"/>
          <w:kern w:val="2"/>
          <w:sz w:val="33"/>
          <w:szCs w:val="33"/>
          <w:highlight w:val="none"/>
          <w:lang w:val="en-US" w:eastAsia="zh-CN" w:bidi="ar-SA"/>
        </w:rPr>
        <w:t>区</w:t>
      </w:r>
      <w:r>
        <w:rPr>
          <w:rFonts w:hint="default" w:ascii="Times New Roman" w:hAnsi="Times New Roman" w:eastAsia="方正仿宋_GBK" w:cs="Times New Roman"/>
          <w:color w:val="auto"/>
          <w:spacing w:val="0"/>
          <w:kern w:val="2"/>
          <w:sz w:val="33"/>
          <w:szCs w:val="33"/>
          <w:highlight w:val="none"/>
          <w:lang w:val="en-US" w:eastAsia="zh-CN" w:bidi="ar-SA"/>
        </w:rPr>
        <w:t>专用通</w:t>
      </w:r>
      <w:r>
        <w:rPr>
          <w:rFonts w:hint="eastAsia" w:ascii="Times New Roman" w:hAnsi="Times New Roman" w:eastAsia="方正仿宋_GBK" w:cs="Times New Roman"/>
          <w:color w:val="auto"/>
          <w:spacing w:val="0"/>
          <w:kern w:val="2"/>
          <w:sz w:val="33"/>
          <w:szCs w:val="33"/>
          <w:highlight w:val="none"/>
          <w:lang w:val="en-US" w:eastAsia="zh-CN" w:bidi="ar-SA"/>
        </w:rPr>
        <w:t>信</w:t>
      </w:r>
      <w:r>
        <w:rPr>
          <w:rFonts w:hint="default" w:ascii="Times New Roman" w:hAnsi="Times New Roman" w:eastAsia="方正仿宋_GBK" w:cs="Times New Roman"/>
          <w:color w:val="auto"/>
          <w:spacing w:val="0"/>
          <w:kern w:val="2"/>
          <w:sz w:val="33"/>
          <w:szCs w:val="33"/>
          <w:highlight w:val="none"/>
          <w:lang w:val="en-US" w:eastAsia="zh-CN" w:bidi="ar-SA"/>
        </w:rPr>
        <w:t>服务中心）</w:t>
      </w:r>
      <w:r>
        <w:rPr>
          <w:rFonts w:hint="eastAsia" w:ascii="Times New Roman" w:hAnsi="Times New Roman" w:eastAsia="方正仿宋_GBK" w:cs="Times New Roman"/>
          <w:color w:val="auto"/>
          <w:spacing w:val="0"/>
          <w:kern w:val="2"/>
          <w:sz w:val="33"/>
          <w:szCs w:val="33"/>
          <w:highlight w:val="none"/>
          <w:lang w:val="en-US" w:eastAsia="zh-CN" w:bidi="ar-SA"/>
        </w:rPr>
        <w:t>、共同富裕建设一股、共同富裕建设二股、</w:t>
      </w:r>
      <w:r>
        <w:rPr>
          <w:rFonts w:hint="default" w:ascii="Times New Roman" w:hAnsi="Times New Roman" w:eastAsia="方正仿宋_GBK" w:cs="Times New Roman"/>
          <w:color w:val="auto"/>
          <w:spacing w:val="0"/>
          <w:kern w:val="2"/>
          <w:sz w:val="33"/>
          <w:szCs w:val="33"/>
          <w:highlight w:val="none"/>
          <w:lang w:val="en-US" w:eastAsia="zh-CN" w:bidi="ar-SA"/>
        </w:rPr>
        <w:t>综合督查股</w:t>
      </w:r>
      <w:r>
        <w:rPr>
          <w:rFonts w:hint="eastAsia" w:ascii="Times New Roman" w:hAnsi="Times New Roman" w:eastAsia="方正仿宋_GBK" w:cs="Times New Roman"/>
          <w:color w:val="auto"/>
          <w:spacing w:val="0"/>
          <w:kern w:val="2"/>
          <w:sz w:val="33"/>
          <w:szCs w:val="33"/>
          <w:highlight w:val="none"/>
          <w:lang w:val="en-US" w:eastAsia="zh-CN" w:bidi="ar-SA"/>
        </w:rPr>
        <w:t>、绩效管理股。</w:t>
      </w:r>
    </w:p>
    <w:p w14:paraId="664476CD">
      <w:pPr>
        <w:bidi w:val="0"/>
        <w:jc w:val="left"/>
        <w:rPr>
          <w:rFonts w:hint="eastAsia" w:ascii="Times New Roman" w:hAnsi="Times New Roman" w:eastAsia="方正仿宋_GBK" w:cs="Times New Roman"/>
          <w:color w:val="auto"/>
          <w:spacing w:val="0"/>
          <w:kern w:val="2"/>
          <w:sz w:val="33"/>
          <w:szCs w:val="33"/>
          <w:highlight w:val="none"/>
          <w:lang w:val="en-US" w:eastAsia="zh-CN" w:bidi="ar-SA"/>
        </w:rPr>
      </w:pPr>
    </w:p>
    <w:p w14:paraId="68A051F5">
      <w:pPr>
        <w:bidi w:val="0"/>
        <w:jc w:val="left"/>
        <w:rPr>
          <w:rFonts w:hint="eastAsia" w:ascii="Times New Roman" w:hAnsi="Times New Roman" w:eastAsia="方正仿宋_GBK" w:cs="Times New Roman"/>
          <w:color w:val="auto"/>
          <w:spacing w:val="0"/>
          <w:kern w:val="2"/>
          <w:sz w:val="33"/>
          <w:szCs w:val="33"/>
          <w:highlight w:val="none"/>
          <w:lang w:val="en-US" w:eastAsia="zh-CN" w:bidi="ar-SA"/>
        </w:rPr>
      </w:pPr>
    </w:p>
    <w:p w14:paraId="5FFE0FEB">
      <w:pPr>
        <w:bidi w:val="0"/>
        <w:jc w:val="center"/>
        <w:rPr>
          <w:rFonts w:hint="eastAsia" w:ascii="方正小标宋_GBK" w:hAnsi="方正小标宋_GBK" w:eastAsia="方正小标宋_GBK" w:cs="方正小标宋_GBK"/>
          <w:b w:val="0"/>
          <w:bCs/>
          <w:kern w:val="2"/>
          <w:sz w:val="44"/>
          <w:szCs w:val="44"/>
          <w:lang w:val="en-US" w:eastAsia="zh-CN" w:bidi="ar-SA"/>
        </w:rPr>
      </w:pPr>
      <w:r>
        <w:rPr>
          <w:rFonts w:ascii="Times New Roman" w:hAnsi="Times New Roman" w:eastAsia="仿宋"/>
          <w:color w:val="auto"/>
          <w:sz w:val="32"/>
          <w:szCs w:val="32"/>
          <w:highlight w:val="none"/>
        </w:rPr>
        <w:br w:type="page"/>
      </w:r>
      <w:bookmarkStart w:id="44" w:name="_Toc15377204"/>
      <w:bookmarkStart w:id="45" w:name="_Toc15396602"/>
      <w:r>
        <w:rPr>
          <w:rFonts w:hint="eastAsia" w:ascii="方正小标宋_GBK" w:hAnsi="方正小标宋_GBK" w:eastAsia="方正小标宋_GBK" w:cs="方正小标宋_GBK"/>
          <w:b w:val="0"/>
          <w:bCs/>
          <w:kern w:val="2"/>
          <w:sz w:val="44"/>
          <w:szCs w:val="44"/>
          <w:lang w:val="en-US" w:eastAsia="zh-CN" w:bidi="ar-SA"/>
        </w:rPr>
        <w:t xml:space="preserve">第二部分  </w:t>
      </w:r>
      <w:bookmarkStart w:id="46" w:name="_Toc975343300"/>
      <w:bookmarkStart w:id="47" w:name="_Toc921744982"/>
      <w:bookmarkStart w:id="48" w:name="_Toc1772584200"/>
      <w:bookmarkStart w:id="49" w:name="_Toc1570064513"/>
      <w:r>
        <w:rPr>
          <w:rFonts w:hint="eastAsia" w:ascii="方正小标宋_GBK" w:hAnsi="方正小标宋_GBK" w:eastAsia="方正小标宋_GBK" w:cs="方正小标宋_GBK"/>
          <w:b w:val="0"/>
          <w:bCs/>
          <w:kern w:val="2"/>
          <w:sz w:val="44"/>
          <w:szCs w:val="44"/>
          <w:lang w:val="en-US" w:eastAsia="zh-CN" w:bidi="ar-SA"/>
        </w:rPr>
        <w:t>2024年度部门决算情况说明</w:t>
      </w:r>
      <w:bookmarkEnd w:id="44"/>
      <w:bookmarkEnd w:id="45"/>
      <w:bookmarkEnd w:id="46"/>
      <w:bookmarkEnd w:id="47"/>
      <w:bookmarkEnd w:id="48"/>
      <w:bookmarkEnd w:id="49"/>
      <w:bookmarkStart w:id="50" w:name="_Toc52116864"/>
      <w:bookmarkStart w:id="51" w:name="_Toc15396603"/>
      <w:bookmarkStart w:id="52" w:name="_Toc220412893"/>
      <w:bookmarkStart w:id="53" w:name="_Toc243861396"/>
      <w:bookmarkStart w:id="54" w:name="_Toc15377205"/>
    </w:p>
    <w:p w14:paraId="76B36D2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60" w:firstLineChars="200"/>
        <w:jc w:val="left"/>
        <w:textAlignment w:val="auto"/>
        <w:outlineLvl w:val="9"/>
        <w:rPr>
          <w:rFonts w:hint="eastAsia" w:ascii="方正黑体_GBK" w:hAnsi="方正黑体_GBK" w:eastAsia="方正黑体_GBK" w:cs="方正黑体_GBK"/>
          <w:b w:val="0"/>
          <w:bCs/>
          <w:kern w:val="2"/>
          <w:sz w:val="33"/>
          <w:szCs w:val="33"/>
          <w:lang w:val="en-US" w:eastAsia="zh-CN" w:bidi="ar-SA"/>
        </w:rPr>
      </w:pPr>
      <w:bookmarkStart w:id="55" w:name="_Toc269389742"/>
      <w:bookmarkStart w:id="56" w:name="_Toc411567355"/>
    </w:p>
    <w:p w14:paraId="252FB498">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57" w:name="_Toc490399862"/>
      <w:bookmarkStart w:id="58" w:name="_Toc1730276625"/>
      <w:bookmarkStart w:id="59" w:name="_Toc425082535"/>
      <w:bookmarkStart w:id="60" w:name="_Toc686861202"/>
      <w:bookmarkStart w:id="61" w:name="_Toc417348836"/>
      <w:r>
        <w:rPr>
          <w:rFonts w:hint="eastAsia" w:ascii="方正黑体_GBK" w:hAnsi="方正黑体_GBK" w:eastAsia="方正黑体_GBK" w:cs="方正黑体_GBK"/>
          <w:b w:val="0"/>
          <w:bCs/>
          <w:kern w:val="2"/>
          <w:sz w:val="33"/>
          <w:szCs w:val="33"/>
          <w:lang w:val="en-US" w:eastAsia="zh-CN" w:bidi="ar-SA"/>
        </w:rPr>
        <w:t>一、收入支出决算总体情况说明</w:t>
      </w:r>
      <w:bookmarkEnd w:id="50"/>
      <w:bookmarkEnd w:id="51"/>
      <w:bookmarkEnd w:id="52"/>
      <w:bookmarkEnd w:id="53"/>
      <w:bookmarkEnd w:id="54"/>
      <w:bookmarkEnd w:id="55"/>
      <w:bookmarkEnd w:id="56"/>
      <w:bookmarkEnd w:id="57"/>
      <w:bookmarkEnd w:id="58"/>
      <w:bookmarkEnd w:id="59"/>
      <w:bookmarkEnd w:id="60"/>
      <w:bookmarkEnd w:id="61"/>
      <w:bookmarkStart w:id="62" w:name="_Toc551780921"/>
      <w:bookmarkStart w:id="63" w:name="_Toc1633587458"/>
      <w:bookmarkStart w:id="64" w:name="_Toc1364801892"/>
      <w:bookmarkStart w:id="65" w:name="_Toc220815543"/>
      <w:bookmarkStart w:id="413" w:name="_GoBack"/>
      <w:bookmarkEnd w:id="413"/>
    </w:p>
    <w:p w14:paraId="01200E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000000"/>
          <w:spacing w:val="0"/>
          <w:kern w:val="2"/>
          <w:sz w:val="32"/>
          <w:szCs w:val="32"/>
          <w:highlight w:val="none"/>
          <w:lang w:val="en-US" w:eastAsia="zh-CN" w:bidi="ar-SA"/>
        </w:rPr>
      </w:pPr>
      <w:r>
        <w:rPr>
          <w:rFonts w:hint="default" w:ascii="Times New Roman" w:hAnsi="Times New Roman" w:eastAsia="方正仿宋_GBK" w:cs="Times New Roman"/>
          <w:b w:val="0"/>
          <w:bCs w:val="0"/>
          <w:color w:val="000000"/>
          <w:spacing w:val="0"/>
          <w:kern w:val="2"/>
          <w:sz w:val="32"/>
          <w:szCs w:val="32"/>
          <w:highlight w:val="none"/>
          <w:lang w:val="en-US" w:eastAsia="zh-CN" w:bidi="ar-SA"/>
        </w:rPr>
        <w:t>2024年度收入、支出总计均为926.12万元。与2023年度相比，收入、支出总计各增加64.97万元，增长7.</w:t>
      </w:r>
      <w:r>
        <w:rPr>
          <w:rFonts w:hint="default" w:eastAsia="方正仿宋_GBK" w:cs="Times New Roman"/>
          <w:b w:val="0"/>
          <w:bCs w:val="0"/>
          <w:color w:val="000000"/>
          <w:spacing w:val="0"/>
          <w:kern w:val="2"/>
          <w:sz w:val="32"/>
          <w:szCs w:val="32"/>
          <w:highlight w:val="none"/>
          <w:lang w:val="en-US" w:eastAsia="zh-CN" w:bidi="ar-SA"/>
        </w:rPr>
        <w:t>54</w:t>
      </w:r>
      <w:r>
        <w:rPr>
          <w:rFonts w:hint="default" w:ascii="Times New Roman" w:hAnsi="Times New Roman" w:eastAsia="方正仿宋_GBK" w:cs="Times New Roman"/>
          <w:b w:val="0"/>
          <w:bCs w:val="0"/>
          <w:color w:val="000000"/>
          <w:spacing w:val="0"/>
          <w:kern w:val="2"/>
          <w:sz w:val="32"/>
          <w:szCs w:val="32"/>
          <w:highlight w:val="none"/>
          <w:lang w:val="en-US" w:eastAsia="zh-CN" w:bidi="ar-SA"/>
        </w:rPr>
        <w:t>%。主要变动原因为：一般公共预算财政拨款收入：2024年度为750.17万元，较2023年度的679.31万元增加70.86万元，增长10.43%；政府性基金预算财政拨款收入：2024年度为105.35万元，较2023年度的48.33万元增加57.02万元，增长11</w:t>
      </w:r>
      <w:r>
        <w:rPr>
          <w:rFonts w:hint="default" w:eastAsia="方正仿宋_GBK" w:cs="Times New Roman"/>
          <w:b w:val="0"/>
          <w:bCs w:val="0"/>
          <w:color w:val="000000"/>
          <w:spacing w:val="0"/>
          <w:kern w:val="2"/>
          <w:sz w:val="32"/>
          <w:szCs w:val="32"/>
          <w:highlight w:val="none"/>
          <w:lang w:val="en-US" w:eastAsia="zh-CN" w:bidi="ar-SA"/>
        </w:rPr>
        <w:t>7.98</w:t>
      </w:r>
      <w:r>
        <w:rPr>
          <w:rFonts w:hint="default" w:ascii="Times New Roman" w:hAnsi="Times New Roman" w:eastAsia="方正仿宋_GBK" w:cs="Times New Roman"/>
          <w:b w:val="0"/>
          <w:bCs w:val="0"/>
          <w:color w:val="000000"/>
          <w:spacing w:val="0"/>
          <w:kern w:val="2"/>
          <w:sz w:val="32"/>
          <w:szCs w:val="32"/>
          <w:highlight w:val="none"/>
          <w:lang w:val="en-US" w:eastAsia="zh-CN" w:bidi="ar-SA"/>
        </w:rPr>
        <w:t>%</w:t>
      </w:r>
      <w:r>
        <w:rPr>
          <w:rFonts w:hint="eastAsia" w:ascii="Times New Roman" w:hAnsi="Times New Roman" w:eastAsia="方正仿宋_GBK" w:cs="Times New Roman"/>
          <w:b w:val="0"/>
          <w:bCs w:val="0"/>
          <w:color w:val="000000"/>
          <w:spacing w:val="0"/>
          <w:kern w:val="2"/>
          <w:sz w:val="32"/>
          <w:szCs w:val="32"/>
          <w:highlight w:val="none"/>
          <w:lang w:val="en-US" w:eastAsia="zh-CN" w:bidi="ar-SA"/>
        </w:rPr>
        <w:t>。</w:t>
      </w:r>
    </w:p>
    <w:bookmarkEnd w:id="62"/>
    <w:bookmarkEnd w:id="63"/>
    <w:bookmarkEnd w:id="64"/>
    <w:bookmarkEnd w:id="65"/>
    <w:p w14:paraId="183F6F80">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（图1：收入、支出决算总计变动情况图）</w:t>
      </w:r>
    </w:p>
    <w:p w14:paraId="4581E4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bookmarkStart w:id="66" w:name="_Toc15377206"/>
      <w:bookmarkStart w:id="67" w:name="_Toc15396604"/>
      <w:r>
        <w:rPr>
          <w:rFonts w:hint="default" w:eastAsiaTheme="minorEastAsia"/>
          <w:vertAlign w:val="baseline"/>
          <w:lang w:val="en-US" w:eastAsia="zh-CN"/>
        </w:rPr>
        <w:drawing>
          <wp:inline distT="0" distB="0" distL="114300" distR="114300">
            <wp:extent cx="4116705" cy="3589020"/>
            <wp:effectExtent l="4445" t="4445" r="1270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C93508">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68" w:name="_Toc993278753"/>
      <w:bookmarkStart w:id="69" w:name="_Toc1267154548"/>
      <w:bookmarkStart w:id="70" w:name="_Toc1157501185"/>
      <w:bookmarkStart w:id="71" w:name="_Toc2005196519"/>
      <w:bookmarkStart w:id="72" w:name="_Toc1734749660"/>
      <w:bookmarkStart w:id="73" w:name="_Toc1934864421"/>
      <w:bookmarkStart w:id="74" w:name="_Toc1298763908"/>
      <w:bookmarkStart w:id="75" w:name="_Toc529544857"/>
      <w:bookmarkStart w:id="76" w:name="_Toc1229280168"/>
      <w:bookmarkStart w:id="77" w:name="_Toc951349868"/>
      <w:r>
        <w:rPr>
          <w:rFonts w:hint="eastAsia" w:ascii="方正黑体_GBK" w:hAnsi="方正黑体_GBK" w:eastAsia="方正黑体_GBK" w:cs="方正黑体_GBK"/>
          <w:b w:val="0"/>
          <w:bCs/>
          <w:kern w:val="2"/>
          <w:sz w:val="33"/>
          <w:szCs w:val="33"/>
          <w:lang w:val="en-US" w:eastAsia="zh-CN" w:bidi="ar-SA"/>
        </w:rPr>
        <w:t>二、收入决算情况说明</w:t>
      </w:r>
      <w:bookmarkEnd w:id="66"/>
      <w:bookmarkEnd w:id="67"/>
      <w:bookmarkEnd w:id="68"/>
      <w:bookmarkEnd w:id="69"/>
      <w:bookmarkEnd w:id="70"/>
      <w:bookmarkEnd w:id="71"/>
      <w:bookmarkEnd w:id="72"/>
      <w:bookmarkEnd w:id="73"/>
      <w:bookmarkEnd w:id="74"/>
      <w:bookmarkEnd w:id="75"/>
      <w:bookmarkEnd w:id="76"/>
      <w:bookmarkEnd w:id="77"/>
      <w:bookmarkStart w:id="78" w:name="_Toc1647644164"/>
      <w:bookmarkStart w:id="79" w:name="_Toc1138747856"/>
      <w:bookmarkStart w:id="80" w:name="_Toc629597282"/>
      <w:bookmarkStart w:id="81" w:name="_Toc549480824"/>
      <w:bookmarkStart w:id="82" w:name="_Toc1770169816"/>
      <w:bookmarkStart w:id="83" w:name="_Toc952819984"/>
    </w:p>
    <w:p w14:paraId="0650B6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000000"/>
          <w:spacing w:val="0"/>
          <w:kern w:val="2"/>
          <w:sz w:val="32"/>
          <w:szCs w:val="32"/>
          <w:highlight w:val="none"/>
          <w:lang w:val="en-US" w:eastAsia="zh-CN" w:bidi="ar-SA"/>
        </w:rPr>
      </w:pPr>
      <w:bookmarkStart w:id="84" w:name="_Toc134773915"/>
      <w:bookmarkStart w:id="85" w:name="_Toc1683525431"/>
      <w:r>
        <w:rPr>
          <w:rFonts w:hint="eastAsia" w:ascii="Times New Roman" w:hAnsi="Times New Roman" w:eastAsia="方正仿宋_GBK" w:cs="Times New Roman"/>
          <w:b w:val="0"/>
          <w:bCs w:val="0"/>
          <w:color w:val="000000"/>
          <w:spacing w:val="0"/>
          <w:kern w:val="2"/>
          <w:sz w:val="32"/>
          <w:szCs w:val="32"/>
          <w:highlight w:val="none"/>
          <w:lang w:val="en-US" w:eastAsia="zh-CN" w:bidi="ar-SA"/>
        </w:rPr>
        <w:t>2024年度本年收入合计855.51万元，其中：一般公共预算财政拨款收入750.17万元，占87.6</w:t>
      </w:r>
      <w:r>
        <w:rPr>
          <w:rFonts w:hint="default" w:eastAsia="方正仿宋_GBK" w:cs="Times New Roman"/>
          <w:b w:val="0"/>
          <w:bCs w:val="0"/>
          <w:color w:val="000000"/>
          <w:spacing w:val="0"/>
          <w:kern w:val="2"/>
          <w:sz w:val="32"/>
          <w:szCs w:val="32"/>
          <w:highlight w:val="none"/>
          <w:lang w:val="en-US" w:eastAsia="zh-CN" w:bidi="ar-SA"/>
        </w:rPr>
        <w:t>9</w:t>
      </w:r>
      <w:r>
        <w:rPr>
          <w:rFonts w:hint="eastAsia" w:ascii="Times New Roman" w:hAnsi="Times New Roman" w:eastAsia="方正仿宋_GBK" w:cs="Times New Roman"/>
          <w:b w:val="0"/>
          <w:bCs w:val="0"/>
          <w:color w:val="000000"/>
          <w:spacing w:val="0"/>
          <w:kern w:val="2"/>
          <w:sz w:val="32"/>
          <w:szCs w:val="32"/>
          <w:highlight w:val="none"/>
          <w:lang w:val="en-US" w:eastAsia="zh-CN" w:bidi="ar-SA"/>
        </w:rPr>
        <w:t>%；政府性基金预算财政拨款收入105.35万元，占12.31%%；国有资本经营预算财政拨款收入0万元，占0%；上级补助收入0万元，占0%；事业收入0万元，占0%；经营收入0万元，占0%；附属单位上缴收入0万元，占0%；其他收入0万元，占0%。</w:t>
      </w:r>
      <w:bookmarkEnd w:id="78"/>
      <w:bookmarkEnd w:id="79"/>
      <w:bookmarkEnd w:id="80"/>
      <w:bookmarkEnd w:id="81"/>
      <w:bookmarkEnd w:id="82"/>
      <w:bookmarkEnd w:id="83"/>
      <w:bookmarkEnd w:id="84"/>
      <w:bookmarkEnd w:id="85"/>
    </w:p>
    <w:p w14:paraId="491B2BB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（图2：收入决算结构图）</w:t>
      </w:r>
    </w:p>
    <w:p w14:paraId="7B4FD9B9">
      <w:pPr>
        <w:pStyle w:val="22"/>
        <w:rPr>
          <w:rFonts w:hint="eastAsia" w:ascii="方正楷体_GBK" w:hAnsi="方正楷体_GBK" w:eastAsia="方正楷体_GBK" w:cs="方正楷体_GBK"/>
          <w:b/>
          <w:bCs w:val="0"/>
          <w:kern w:val="0"/>
          <w:sz w:val="32"/>
          <w:szCs w:val="32"/>
          <w:lang w:val="en-US" w:eastAsia="zh-CN" w:bidi="ar"/>
        </w:rPr>
      </w:pPr>
      <w:r>
        <w:rPr>
          <w:rFonts w:hint="default"/>
          <w:lang w:val="en-US"/>
        </w:rPr>
        <w:drawing>
          <wp:inline distT="0" distB="0" distL="114300" distR="114300">
            <wp:extent cx="4904740" cy="2237105"/>
            <wp:effectExtent l="5080" t="4445" r="5080" b="63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741526">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86" w:name="_Toc1618438587"/>
      <w:bookmarkStart w:id="87" w:name="_Toc134979465"/>
      <w:bookmarkStart w:id="88" w:name="_Toc844968935"/>
      <w:bookmarkStart w:id="89" w:name="_Toc315568947"/>
      <w:bookmarkStart w:id="90" w:name="_Toc459858373"/>
      <w:bookmarkStart w:id="91" w:name="_Toc15396605"/>
      <w:bookmarkStart w:id="92" w:name="_Toc1834498299"/>
      <w:bookmarkStart w:id="93" w:name="_Toc15377207"/>
      <w:bookmarkStart w:id="94" w:name="_Toc1011353965"/>
      <w:bookmarkStart w:id="95" w:name="_Toc1966164966"/>
      <w:bookmarkStart w:id="96" w:name="_Toc1610592087"/>
      <w:bookmarkStart w:id="97" w:name="_Toc907898838"/>
      <w:r>
        <w:rPr>
          <w:rFonts w:hint="eastAsia" w:ascii="方正黑体_GBK" w:hAnsi="方正黑体_GBK" w:eastAsia="方正黑体_GBK" w:cs="方正黑体_GBK"/>
          <w:b w:val="0"/>
          <w:bCs/>
          <w:kern w:val="2"/>
          <w:sz w:val="33"/>
          <w:szCs w:val="33"/>
          <w:lang w:val="en-US" w:eastAsia="zh-CN" w:bidi="ar-SA"/>
        </w:rPr>
        <w:t>三、支出决算情况说明</w:t>
      </w:r>
      <w:bookmarkEnd w:id="86"/>
      <w:bookmarkEnd w:id="87"/>
      <w:bookmarkEnd w:id="88"/>
      <w:bookmarkEnd w:id="89"/>
      <w:bookmarkEnd w:id="90"/>
      <w:bookmarkEnd w:id="91"/>
      <w:bookmarkEnd w:id="92"/>
      <w:bookmarkEnd w:id="93"/>
      <w:bookmarkEnd w:id="94"/>
      <w:bookmarkEnd w:id="95"/>
      <w:bookmarkEnd w:id="96"/>
      <w:bookmarkEnd w:id="97"/>
      <w:bookmarkStart w:id="98" w:name="_Toc244516633"/>
      <w:bookmarkStart w:id="99" w:name="_Toc1203495653"/>
      <w:bookmarkStart w:id="100" w:name="_Toc116573577"/>
      <w:bookmarkStart w:id="101" w:name="_Toc1063758192"/>
      <w:bookmarkStart w:id="102" w:name="_Toc2102689216"/>
      <w:bookmarkStart w:id="103" w:name="_Toc825810341"/>
    </w:p>
    <w:p w14:paraId="0E260E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000000"/>
          <w:spacing w:val="0"/>
          <w:kern w:val="2"/>
          <w:sz w:val="32"/>
          <w:szCs w:val="32"/>
          <w:highlight w:val="none"/>
          <w:lang w:val="en-US" w:eastAsia="zh-CN" w:bidi="ar-SA"/>
        </w:rPr>
      </w:pPr>
      <w:bookmarkStart w:id="104" w:name="_Toc1070829118"/>
      <w:bookmarkStart w:id="105" w:name="_Toc847396967"/>
      <w:r>
        <w:rPr>
          <w:rFonts w:hint="eastAsia" w:ascii="Times New Roman" w:hAnsi="Times New Roman" w:eastAsia="方正仿宋_GBK" w:cs="Times New Roman"/>
          <w:b w:val="0"/>
          <w:bCs w:val="0"/>
          <w:color w:val="000000"/>
          <w:spacing w:val="0"/>
          <w:kern w:val="2"/>
          <w:sz w:val="32"/>
          <w:szCs w:val="32"/>
          <w:highlight w:val="none"/>
          <w:lang w:val="en-US" w:eastAsia="zh-CN" w:bidi="ar-SA"/>
        </w:rPr>
        <w:t>2024年度本年支出合计926.12万元，其中：基本支出602.97万元，占65.1</w:t>
      </w:r>
      <w:r>
        <w:rPr>
          <w:rFonts w:hint="default" w:eastAsia="方正仿宋_GBK" w:cs="Times New Roman"/>
          <w:b w:val="0"/>
          <w:bCs w:val="0"/>
          <w:color w:val="000000"/>
          <w:spacing w:val="0"/>
          <w:kern w:val="2"/>
          <w:sz w:val="32"/>
          <w:szCs w:val="32"/>
          <w:highlight w:val="none"/>
          <w:lang w:val="en-US" w:eastAsia="zh-CN" w:bidi="ar-SA"/>
        </w:rPr>
        <w:t>1</w:t>
      </w:r>
      <w:r>
        <w:rPr>
          <w:rFonts w:hint="eastAsia" w:ascii="Times New Roman" w:hAnsi="Times New Roman" w:eastAsia="方正仿宋_GBK" w:cs="Times New Roman"/>
          <w:b w:val="0"/>
          <w:bCs w:val="0"/>
          <w:color w:val="000000"/>
          <w:spacing w:val="0"/>
          <w:kern w:val="2"/>
          <w:sz w:val="32"/>
          <w:szCs w:val="32"/>
          <w:highlight w:val="none"/>
          <w:lang w:val="en-US" w:eastAsia="zh-CN" w:bidi="ar-SA"/>
        </w:rPr>
        <w:t>%；项目支出323.15万元，占34.89%；上缴上级支出0万元，占0%；经营支出0万元，占0%；对附属单位补助支出0万元，占0%。</w:t>
      </w:r>
      <w:bookmarkEnd w:id="98"/>
      <w:bookmarkEnd w:id="99"/>
      <w:bookmarkEnd w:id="100"/>
      <w:bookmarkEnd w:id="101"/>
      <w:bookmarkEnd w:id="102"/>
      <w:bookmarkEnd w:id="103"/>
      <w:bookmarkEnd w:id="104"/>
      <w:bookmarkEnd w:id="105"/>
    </w:p>
    <w:p w14:paraId="36EF4997">
      <w:pPr>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eastAsia="仿宋_GB2312" w:cs="仿宋_GB2312"/>
          <w:color w:val="auto"/>
          <w:sz w:val="32"/>
          <w:szCs w:val="32"/>
          <w:highlight w:val="none"/>
          <w:lang w:val="en-US" w:eastAsia="zh-CN"/>
        </w:rPr>
        <w:t xml:space="preserve">    </w:t>
      </w:r>
      <w:r>
        <w:rPr>
          <w:rFonts w:hint="eastAsia" w:ascii="Times New Roman" w:hAnsi="Times New Roman" w:eastAsia="方正仿宋_GBK" w:cs="Times New Roman"/>
          <w:color w:val="000000"/>
          <w:spacing w:val="0"/>
          <w:kern w:val="2"/>
          <w:sz w:val="33"/>
          <w:szCs w:val="33"/>
          <w:highlight w:val="none"/>
          <w:lang w:val="en-US" w:eastAsia="zh-CN" w:bidi="ar-SA"/>
        </w:rPr>
        <w:t>（图3：支出决算结构图）（饼状图）</w:t>
      </w:r>
    </w:p>
    <w:p w14:paraId="78BF5177">
      <w:pPr>
        <w:pStyle w:val="22"/>
        <w:rPr>
          <w:rFonts w:hint="eastAsia"/>
          <w:lang w:eastAsia="zh-CN"/>
        </w:rPr>
      </w:pPr>
      <w:r>
        <w:rPr>
          <w:rFonts w:hint="eastAsia" w:eastAsiaTheme="minorEastAsia"/>
          <w:color w:val="8EB4E3" w:themeColor="text2" w:themeTint="66"/>
          <w:lang w:val="en-US" w:eastAsia="zh-CN"/>
          <w14:textFill>
            <w14:solidFill>
              <w14:schemeClr w14:val="tx2">
                <w14:lumMod w14:val="40000"/>
                <w14:lumOff w14:val="60000"/>
              </w14:schemeClr>
            </w14:solidFill>
          </w14:textFill>
        </w:rPr>
        <w:drawing>
          <wp:inline distT="0" distB="0" distL="114300" distR="114300">
            <wp:extent cx="4780280" cy="1917065"/>
            <wp:effectExtent l="4445" t="5080" r="15875" b="209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2F61FF">
      <w:pPr>
        <w:keepNext w:val="0"/>
        <w:keepLines w:val="0"/>
        <w:pageBreakBefore w:val="0"/>
        <w:kinsoku/>
        <w:wordWrap/>
        <w:overflowPunct/>
        <w:topLinePunct w:val="0"/>
        <w:autoSpaceDE/>
        <w:autoSpaceDN/>
        <w:bidi w:val="0"/>
        <w:adjustRightInd/>
        <w:snapToGrid/>
        <w:spacing w:line="240" w:lineRule="auto"/>
        <w:textAlignment w:val="auto"/>
        <w:outlineLvl w:val="1"/>
        <w:rPr>
          <w:rFonts w:hint="eastAsia" w:ascii="方正黑体_GBK" w:hAnsi="方正黑体_GBK" w:eastAsia="方正黑体_GBK" w:cs="方正黑体_GBK"/>
          <w:b w:val="0"/>
          <w:bCs/>
          <w:kern w:val="2"/>
          <w:sz w:val="33"/>
          <w:szCs w:val="33"/>
          <w:lang w:val="en-US" w:eastAsia="zh-CN" w:bidi="ar-SA"/>
        </w:rPr>
      </w:pPr>
      <w:bookmarkStart w:id="106" w:name="_Toc15377208"/>
      <w:bookmarkStart w:id="107" w:name="_Toc58478556"/>
      <w:bookmarkStart w:id="108" w:name="_Toc15396606"/>
      <w:bookmarkStart w:id="109" w:name="_Toc723850631"/>
      <w:bookmarkStart w:id="110" w:name="_Toc541696434"/>
      <w:bookmarkStart w:id="111" w:name="_Toc119596166"/>
      <w:r>
        <w:rPr>
          <w:rFonts w:hint="eastAsia" w:ascii="方正楷体_GBK" w:hAnsi="方正楷体_GBK" w:eastAsia="方正楷体_GBK" w:cs="方正楷体_GBK"/>
          <w:b/>
          <w:bCs w:val="0"/>
          <w:kern w:val="0"/>
          <w:sz w:val="32"/>
          <w:szCs w:val="32"/>
          <w:lang w:val="en-US" w:eastAsia="zh-CN" w:bidi="ar"/>
        </w:rPr>
        <w:t xml:space="preserve">   </w:t>
      </w:r>
      <w:r>
        <w:rPr>
          <w:rFonts w:hint="eastAsia" w:ascii="方正黑体_GBK" w:hAnsi="方正黑体_GBK" w:eastAsia="方正黑体_GBK" w:cs="方正黑体_GBK"/>
          <w:b w:val="0"/>
          <w:bCs/>
          <w:kern w:val="2"/>
          <w:sz w:val="33"/>
          <w:szCs w:val="33"/>
          <w:lang w:val="en-US" w:eastAsia="zh-CN" w:bidi="ar-SA"/>
        </w:rPr>
        <w:t xml:space="preserve"> </w:t>
      </w:r>
      <w:bookmarkStart w:id="112" w:name="_Toc90404535"/>
      <w:bookmarkStart w:id="113" w:name="_Toc262312181"/>
      <w:bookmarkStart w:id="114" w:name="_Toc348478210"/>
      <w:bookmarkStart w:id="115" w:name="_Toc497823926"/>
      <w:bookmarkStart w:id="116" w:name="_Toc1658261677"/>
      <w:bookmarkStart w:id="117" w:name="_Toc1397605228"/>
      <w:r>
        <w:rPr>
          <w:rFonts w:hint="eastAsia" w:ascii="方正黑体_GBK" w:hAnsi="方正黑体_GBK" w:eastAsia="方正黑体_GBK" w:cs="方正黑体_GBK"/>
          <w:b w:val="0"/>
          <w:bCs/>
          <w:kern w:val="2"/>
          <w:sz w:val="33"/>
          <w:szCs w:val="33"/>
          <w:lang w:val="en-US" w:eastAsia="zh-CN" w:bidi="ar-SA"/>
        </w:rPr>
        <w:t>四、财政拨款收入支出决算总体情况说明</w:t>
      </w:r>
      <w:bookmarkEnd w:id="106"/>
      <w:bookmarkEnd w:id="107"/>
      <w:bookmarkEnd w:id="108"/>
      <w:bookmarkEnd w:id="109"/>
      <w:bookmarkEnd w:id="110"/>
      <w:bookmarkEnd w:id="111"/>
      <w:bookmarkEnd w:id="112"/>
      <w:bookmarkEnd w:id="113"/>
      <w:bookmarkEnd w:id="114"/>
      <w:bookmarkEnd w:id="115"/>
      <w:bookmarkEnd w:id="116"/>
      <w:bookmarkEnd w:id="117"/>
      <w:bookmarkStart w:id="118" w:name="_Toc915953446"/>
      <w:bookmarkStart w:id="119" w:name="_Toc79637697"/>
    </w:p>
    <w:bookmarkEnd w:id="118"/>
    <w:bookmarkEnd w:id="119"/>
    <w:p w14:paraId="3D1259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000000"/>
          <w:spacing w:val="0"/>
          <w:kern w:val="2"/>
          <w:sz w:val="32"/>
          <w:szCs w:val="32"/>
          <w:highlight w:val="none"/>
          <w:lang w:val="en-US" w:eastAsia="zh-CN" w:bidi="ar-SA"/>
        </w:rPr>
      </w:pPr>
      <w:r>
        <w:rPr>
          <w:rFonts w:hint="eastAsia" w:ascii="Times New Roman" w:hAnsi="Times New Roman" w:eastAsia="方正仿宋_GBK" w:cs="Times New Roman"/>
          <w:b w:val="0"/>
          <w:bCs w:val="0"/>
          <w:color w:val="000000"/>
          <w:spacing w:val="0"/>
          <w:kern w:val="2"/>
          <w:sz w:val="32"/>
          <w:szCs w:val="32"/>
          <w:highlight w:val="none"/>
          <w:lang w:val="en-US" w:eastAsia="zh-CN" w:bidi="ar-SA"/>
        </w:rPr>
        <w:t>2024年度财政拨款收入、支出总计均为926.12万元。与2023年度相比，财政拨款收入总计增加64.97万元，增长7.54%，主要变动原因是2024年新增政府性基金预算财政拨款收入105.35万元，以及年初结转和结余减少至70.61万元；支出总计增加64.97万元，增长7.54%。主要变动原因是项目支出同比增长77.64%，其中城乡社区支出（土地开发）增加13.24万元，其他支出（项目类）新增101.20万元</w:t>
      </w:r>
      <w:r>
        <w:rPr>
          <w:rFonts w:hint="eastAsia" w:eastAsia="方正仿宋_GBK" w:cs="Times New Roman"/>
          <w:b w:val="0"/>
          <w:bCs w:val="0"/>
          <w:color w:val="000000"/>
          <w:spacing w:val="0"/>
          <w:kern w:val="2"/>
          <w:sz w:val="32"/>
          <w:szCs w:val="32"/>
          <w:highlight w:val="none"/>
          <w:lang w:val="en-US" w:eastAsia="zh-CN" w:bidi="ar-SA"/>
        </w:rPr>
        <w:t>。</w:t>
      </w:r>
    </w:p>
    <w:p w14:paraId="73DF7685">
      <w:pPr>
        <w:spacing w:line="600" w:lineRule="exact"/>
        <w:ind w:firstLine="660" w:firstLineChars="200"/>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（图4：财政拨款收、支决算总计变动情况）（柱状图）</w:t>
      </w:r>
    </w:p>
    <w:p w14:paraId="75F8D923">
      <w:pPr>
        <w:pStyle w:val="22"/>
        <w:rPr>
          <w:rFonts w:hint="eastAsia"/>
          <w:lang w:val="en-US" w:eastAsia="zh-CN"/>
        </w:rPr>
      </w:pPr>
      <w:r>
        <w:rPr>
          <w:rFonts w:hint="eastAsia"/>
          <w:lang w:val="en-US" w:eastAsia="zh-CN"/>
        </w:rPr>
        <w:drawing>
          <wp:inline distT="0" distB="0" distL="114300" distR="114300">
            <wp:extent cx="4935220" cy="1726565"/>
            <wp:effectExtent l="5080" t="4445" r="12700" b="215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F8734E">
      <w:pPr>
        <w:keepNext w:val="0"/>
        <w:keepLines w:val="0"/>
        <w:pageBreakBefore w:val="0"/>
        <w:kinsoku/>
        <w:wordWrap/>
        <w:overflowPunct/>
        <w:topLinePunct w:val="0"/>
        <w:autoSpaceDE/>
        <w:autoSpaceDN/>
        <w:bidi w:val="0"/>
        <w:adjustRightInd/>
        <w:snapToGrid/>
        <w:spacing w:line="240" w:lineRule="auto"/>
        <w:textAlignment w:val="auto"/>
        <w:outlineLvl w:val="1"/>
        <w:rPr>
          <w:rFonts w:hint="eastAsia" w:ascii="方正黑体_GBK" w:hAnsi="方正黑体_GBK" w:eastAsia="方正黑体_GBK" w:cs="方正黑体_GBK"/>
          <w:b w:val="0"/>
          <w:bCs/>
          <w:kern w:val="2"/>
          <w:sz w:val="33"/>
          <w:szCs w:val="33"/>
          <w:lang w:val="en-US" w:eastAsia="zh-CN" w:bidi="ar-SA"/>
        </w:rPr>
      </w:pPr>
      <w:bookmarkStart w:id="120" w:name="_Toc15396607"/>
      <w:bookmarkStart w:id="121" w:name="_Toc15377209"/>
      <w:r>
        <w:rPr>
          <w:rFonts w:hint="eastAsia" w:ascii="方正楷体_GBK" w:hAnsi="方正楷体_GBK" w:eastAsia="方正楷体_GBK" w:cs="方正楷体_GBK"/>
          <w:b/>
          <w:bCs w:val="0"/>
          <w:kern w:val="0"/>
          <w:sz w:val="33"/>
          <w:szCs w:val="33"/>
          <w:lang w:val="en-US" w:eastAsia="zh-CN" w:bidi="ar"/>
        </w:rPr>
        <w:t xml:space="preserve">   </w:t>
      </w:r>
      <w:r>
        <w:rPr>
          <w:rFonts w:hint="eastAsia" w:ascii="方正楷体_GBK" w:hAnsi="方正楷体_GBK" w:eastAsia="方正楷体_GBK" w:cs="方正楷体_GBK"/>
          <w:b/>
          <w:bCs w:val="0"/>
          <w:kern w:val="0"/>
          <w:sz w:val="32"/>
          <w:szCs w:val="32"/>
          <w:lang w:val="en-US" w:eastAsia="zh-CN" w:bidi="ar"/>
        </w:rPr>
        <w:t xml:space="preserve"> </w:t>
      </w:r>
      <w:bookmarkStart w:id="122" w:name="_Toc1626802097"/>
      <w:bookmarkStart w:id="123" w:name="_Toc1078491894"/>
      <w:bookmarkStart w:id="124" w:name="_Toc279462252"/>
      <w:bookmarkStart w:id="125" w:name="_Toc1123136707"/>
      <w:bookmarkStart w:id="126" w:name="_Toc5933622"/>
      <w:bookmarkStart w:id="127" w:name="_Toc731261732"/>
      <w:bookmarkStart w:id="128" w:name="_Toc1734454015"/>
      <w:bookmarkStart w:id="129" w:name="_Toc23348059"/>
      <w:bookmarkStart w:id="130" w:name="_Toc140695269"/>
      <w:bookmarkStart w:id="131" w:name="_Toc815367212"/>
      <w:r>
        <w:rPr>
          <w:rFonts w:hint="eastAsia" w:ascii="方正黑体_GBK" w:hAnsi="方正黑体_GBK" w:eastAsia="方正黑体_GBK" w:cs="方正黑体_GBK"/>
          <w:b w:val="0"/>
          <w:bCs/>
          <w:kern w:val="2"/>
          <w:sz w:val="33"/>
          <w:szCs w:val="33"/>
          <w:lang w:val="en-US" w:eastAsia="zh-CN" w:bidi="ar-SA"/>
        </w:rPr>
        <w:t>五、一般公共预算财政拨款支出决算情况说明</w:t>
      </w:r>
      <w:bookmarkEnd w:id="120"/>
      <w:bookmarkEnd w:id="121"/>
      <w:bookmarkEnd w:id="122"/>
      <w:bookmarkEnd w:id="123"/>
      <w:bookmarkEnd w:id="124"/>
      <w:bookmarkEnd w:id="125"/>
      <w:bookmarkEnd w:id="126"/>
      <w:bookmarkEnd w:id="127"/>
      <w:bookmarkEnd w:id="128"/>
      <w:bookmarkEnd w:id="129"/>
      <w:bookmarkEnd w:id="130"/>
      <w:bookmarkEnd w:id="131"/>
    </w:p>
    <w:p w14:paraId="304E4B6E">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bCs/>
          <w:caps w:val="0"/>
          <w:color w:val="auto"/>
          <w:kern w:val="2"/>
          <w:sz w:val="33"/>
          <w:szCs w:val="33"/>
          <w:lang w:val="en-US" w:eastAsia="zh-CN" w:bidi="ar-SA"/>
        </w:rPr>
      </w:pPr>
      <w:bookmarkStart w:id="132" w:name="_Toc15377210"/>
      <w:r>
        <w:rPr>
          <w:rFonts w:hint="eastAsia" w:ascii="Times New Roman" w:hAnsi="Times New Roman" w:eastAsia="方正仿宋_GBK" w:cs="Times New Roman"/>
          <w:b/>
          <w:bCs/>
          <w:caps w:val="0"/>
          <w:color w:val="auto"/>
          <w:kern w:val="2"/>
          <w:sz w:val="33"/>
          <w:szCs w:val="33"/>
          <w:lang w:val="en-US" w:eastAsia="zh-CN" w:bidi="ar-SA"/>
        </w:rPr>
        <w:t xml:space="preserve">    </w:t>
      </w:r>
      <w:r>
        <w:rPr>
          <w:rFonts w:hint="eastAsia" w:ascii="方正楷体_GBK" w:hAnsi="方正楷体_GBK" w:eastAsia="方正楷体_GBK" w:cs="方正楷体_GBK"/>
          <w:b/>
          <w:bCs/>
          <w:caps w:val="0"/>
          <w:color w:val="auto"/>
          <w:kern w:val="2"/>
          <w:sz w:val="32"/>
          <w:szCs w:val="32"/>
          <w:lang w:val="en-US" w:eastAsia="zh-CN" w:bidi="ar-SA"/>
        </w:rPr>
        <w:t>（一）一般公共预算财政拨款支出决算总体情况</w:t>
      </w:r>
      <w:bookmarkEnd w:id="132"/>
    </w:p>
    <w:p w14:paraId="2FE8001B">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color w:val="000000"/>
          <w:spacing w:val="0"/>
          <w:sz w:val="32"/>
          <w:szCs w:val="32"/>
          <w:highlight w:val="none"/>
          <w:lang w:val="en-US" w:eastAsia="zh-CN"/>
        </w:rPr>
      </w:pPr>
      <w:r>
        <w:rPr>
          <w:rFonts w:hint="eastAsia" w:eastAsia="方正仿宋_GBK" w:cs="Times New Roman"/>
          <w:color w:val="000000"/>
          <w:spacing w:val="0"/>
          <w:kern w:val="2"/>
          <w:sz w:val="33"/>
          <w:szCs w:val="33"/>
          <w:highlight w:val="none"/>
          <w:lang w:val="en-US" w:eastAsia="zh-CN" w:bidi="ar-SA"/>
        </w:rPr>
        <w:t xml:space="preserve">    2024年度一般公共预算财政拨款支出820.77万元，占本年支出合计的88.62%。与2023年度相比，一般公共预算财政拨款支出增加51.74万元，增长6.73%。主要变动原因是：社会保障和就业支出同比增加11.23万元，其他支出（项目类）新增101.20万元。</w:t>
      </w:r>
    </w:p>
    <w:p w14:paraId="058E950F">
      <w:pPr>
        <w:spacing w:line="600" w:lineRule="exact"/>
        <w:ind w:firstLine="660" w:firstLineChars="200"/>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（图5：一般公共预算财政拨款支出决算变动情况）（柱状图）</w:t>
      </w:r>
    </w:p>
    <w:p w14:paraId="4CC21B5C">
      <w:pPr>
        <w:pStyle w:val="22"/>
        <w:rPr>
          <w:rFonts w:hint="eastAsia"/>
          <w:lang w:val="en-US" w:eastAsia="zh-CN"/>
        </w:rPr>
      </w:pPr>
      <w:r>
        <w:rPr>
          <w:rFonts w:hint="eastAsia"/>
          <w:lang w:val="en-US" w:eastAsia="zh-CN"/>
        </w:rPr>
        <w:drawing>
          <wp:inline distT="0" distB="0" distL="114300" distR="114300">
            <wp:extent cx="5304155" cy="1905635"/>
            <wp:effectExtent l="5080" t="4445" r="5715"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1ADD9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方正楷体_GBK" w:hAnsi="方正楷体_GBK" w:eastAsia="方正楷体_GBK" w:cs="方正楷体_GBK"/>
          <w:b/>
          <w:bCs/>
          <w:caps w:val="0"/>
          <w:color w:val="auto"/>
          <w:kern w:val="2"/>
          <w:sz w:val="32"/>
          <w:szCs w:val="32"/>
          <w:lang w:val="en-US" w:eastAsia="zh-CN" w:bidi="ar-SA"/>
        </w:rPr>
      </w:pPr>
      <w:bookmarkStart w:id="133" w:name="_Toc15377211"/>
      <w:r>
        <w:rPr>
          <w:rFonts w:hint="eastAsia" w:ascii="方正楷体_GBK" w:hAnsi="方正楷体_GBK" w:eastAsia="方正楷体_GBK" w:cs="方正楷体_GBK"/>
          <w:b/>
          <w:bCs/>
          <w:caps w:val="0"/>
          <w:color w:val="auto"/>
          <w:kern w:val="2"/>
          <w:sz w:val="32"/>
          <w:szCs w:val="32"/>
          <w:lang w:val="en-US" w:eastAsia="zh-CN" w:bidi="ar-SA"/>
        </w:rPr>
        <w:t>（二）一般公共预算财政拨款支出决算结构情况</w:t>
      </w:r>
      <w:bookmarkEnd w:id="133"/>
    </w:p>
    <w:p w14:paraId="0D5FB9AF">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方正仿宋_GBK" w:cs="Times New Roman"/>
          <w:color w:val="000000"/>
          <w:spacing w:val="0"/>
          <w:kern w:val="2"/>
          <w:sz w:val="33"/>
          <w:szCs w:val="33"/>
          <w:highlight w:val="none"/>
          <w:lang w:val="en-US" w:eastAsia="zh-CN" w:bidi="ar-SA"/>
        </w:rPr>
        <w:t>2024年度一般公共预算财政拨款支出820.77万元，主要用于以下方面：一般公共服务支出545.53万元，占66.46%；社会保障和就业支出80.39万元，占9.80%；卫生健康支出50.02万元，占6.09%；住房保障支出43.64万元，占5.32%；城乡社区支出0万元，占0%；其他支出101.20万元，占12.33%。</w:t>
      </w:r>
    </w:p>
    <w:p w14:paraId="68FA07F6">
      <w:pPr>
        <w:spacing w:line="600" w:lineRule="exact"/>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eastAsia="方正仿宋_GBK" w:cs="Times New Roman"/>
          <w:color w:val="000000"/>
          <w:spacing w:val="0"/>
          <w:kern w:val="2"/>
          <w:sz w:val="33"/>
          <w:szCs w:val="33"/>
          <w:highlight w:val="none"/>
          <w:lang w:val="en-US" w:eastAsia="zh-CN" w:bidi="ar-SA"/>
        </w:rPr>
        <w:t xml:space="preserve">    </w:t>
      </w:r>
      <w:r>
        <w:rPr>
          <w:rFonts w:hint="eastAsia" w:ascii="Times New Roman" w:hAnsi="Times New Roman" w:eastAsia="方正仿宋_GBK" w:cs="Times New Roman"/>
          <w:color w:val="000000"/>
          <w:spacing w:val="0"/>
          <w:kern w:val="2"/>
          <w:sz w:val="33"/>
          <w:szCs w:val="33"/>
          <w:highlight w:val="none"/>
          <w:lang w:val="en-US" w:eastAsia="zh-CN" w:bidi="ar-SA"/>
        </w:rPr>
        <w:t>（图6：一般公共预算财政拨款支出决算结构）（饼状图）</w:t>
      </w:r>
    </w:p>
    <w:p w14:paraId="155ECDDF">
      <w:pPr>
        <w:pStyle w:val="12"/>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466080" cy="1774190"/>
            <wp:effectExtent l="5080" t="4445" r="15240"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134" w:name="_Toc15377212"/>
    </w:p>
    <w:p w14:paraId="2AEE6E7B">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方正楷体_GBK" w:hAnsi="方正楷体_GBK" w:eastAsia="方正楷体_GBK" w:cs="方正楷体_GBK"/>
          <w:b/>
          <w:bCs/>
          <w:caps w:val="0"/>
          <w:color w:val="auto"/>
          <w:kern w:val="2"/>
          <w:sz w:val="32"/>
          <w:szCs w:val="32"/>
          <w:lang w:val="en-US" w:eastAsia="zh-CN" w:bidi="ar-SA"/>
        </w:rPr>
      </w:pPr>
      <w:r>
        <w:rPr>
          <w:rFonts w:hint="eastAsia" w:eastAsia="方正仿宋_GBK" w:cs="Times New Roman"/>
          <w:b/>
          <w:bCs/>
          <w:caps w:val="0"/>
          <w:color w:val="auto"/>
          <w:kern w:val="2"/>
          <w:sz w:val="33"/>
          <w:szCs w:val="33"/>
          <w:lang w:val="en-US" w:eastAsia="zh-CN" w:bidi="ar-SA"/>
        </w:rPr>
        <w:t xml:space="preserve">   </w:t>
      </w:r>
      <w:r>
        <w:rPr>
          <w:rFonts w:hint="eastAsia" w:eastAsia="方正仿宋_GBK" w:cs="Times New Roman"/>
          <w:b/>
          <w:bCs/>
          <w:caps w:val="0"/>
          <w:color w:val="auto"/>
          <w:kern w:val="2"/>
          <w:sz w:val="32"/>
          <w:szCs w:val="32"/>
          <w:lang w:val="en-US" w:eastAsia="zh-CN" w:bidi="ar-SA"/>
        </w:rPr>
        <w:t xml:space="preserve"> </w:t>
      </w:r>
      <w:r>
        <w:rPr>
          <w:rFonts w:hint="eastAsia" w:ascii="方正楷体_GBK" w:hAnsi="方正楷体_GBK" w:eastAsia="方正楷体_GBK" w:cs="方正楷体_GBK"/>
          <w:b/>
          <w:bCs/>
          <w:caps w:val="0"/>
          <w:color w:val="auto"/>
          <w:kern w:val="2"/>
          <w:sz w:val="32"/>
          <w:szCs w:val="32"/>
          <w:lang w:val="en-US" w:eastAsia="zh-CN" w:bidi="ar-SA"/>
        </w:rPr>
        <w:t>（三）一般公共预算财政拨款支出决算具体情况</w:t>
      </w:r>
      <w:bookmarkEnd w:id="134"/>
    </w:p>
    <w:p w14:paraId="5EC3B15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bookmarkStart w:id="135" w:name="_Toc15378460"/>
      <w:bookmarkStart w:id="136" w:name="_Toc15377213"/>
      <w:bookmarkStart w:id="137" w:name="_Toc15377444"/>
      <w:r>
        <w:rPr>
          <w:rFonts w:hint="eastAsia" w:eastAsia="仿宋_GB2312" w:cs="仿宋_GB2312"/>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 xml:space="preserve"> 2024年度一般公共预算支出决算数为820.77万元，完成预算100%。其中：</w:t>
      </w:r>
    </w:p>
    <w:p w14:paraId="0DC399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1.一般公共服务（类）党委办公厅（室）及相关机构事务（款）：行政运行（项）支出决算346.97万元，完成预算100%；一般行政管理事务（项）支出决算70.61万元，完成预算100%；事业运行（项）支出决算81.95万元，完成预算100%；其他党委办公厅（室）及相关机构事务支出（项）支出决算46.00万元，完成预算100%。</w:t>
      </w:r>
    </w:p>
    <w:p w14:paraId="6F148F1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2.社会保障和就业（类）行政事业单位养老支出（款）：行政单位离退休（项）支出决算2.03万元，完成预算100%；事业单位离退休（项）支出决算2.03万元，完成预算100%；机关事业单位基本养老保险缴费支出（项）支出决算50.09万元，完成预算100%；机关事业单位职业年金缴费支出（项）支出决算26.24万元，完成预算100%。</w:t>
      </w:r>
    </w:p>
    <w:p w14:paraId="7753715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3.卫生健康（类）行政事业单位医疗（款）：行政单位医疗（项）支出决算23.68万元，完成预算100%；事业单位医疗（项）支出决算6.02万元，完成预算100%；公务员医疗补助（项）支出决算16.41万元，完成预算100%；其他行政事业单位医疗支出（项）支出决算3.92万元，完成预算100%。</w:t>
      </w:r>
    </w:p>
    <w:p w14:paraId="62DA39D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4.住房保障（类）住房改革支出（款）住房公积金（项）：支出决算43.64万元，完成预算100%。</w:t>
      </w:r>
    </w:p>
    <w:p w14:paraId="6DB447C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5.其他支出（类）其他支出（款）其他支出（项）：支出决算101.20万元，完成预算100%。</w:t>
      </w:r>
      <w:bookmarkEnd w:id="135"/>
      <w:bookmarkEnd w:id="136"/>
      <w:bookmarkEnd w:id="137"/>
    </w:p>
    <w:p w14:paraId="0EC32432">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textAlignment w:val="auto"/>
        <w:outlineLvl w:val="1"/>
        <w:rPr>
          <w:rStyle w:val="32"/>
          <w:rFonts w:hint="default" w:ascii="Times New Roman" w:hAnsi="Times New Roman" w:cs="Times New Roman"/>
          <w:color w:val="auto"/>
          <w:sz w:val="32"/>
          <w:szCs w:val="32"/>
          <w:highlight w:val="none"/>
        </w:rPr>
      </w:pPr>
      <w:bookmarkStart w:id="138" w:name="_Toc69932986"/>
      <w:bookmarkStart w:id="139" w:name="_Toc15396608"/>
      <w:bookmarkStart w:id="140" w:name="_Toc1549147067"/>
      <w:bookmarkStart w:id="141" w:name="_Toc1331832444"/>
      <w:bookmarkStart w:id="142" w:name="_Toc2071238700"/>
      <w:bookmarkStart w:id="143" w:name="_Toc15377214"/>
      <w:bookmarkStart w:id="144" w:name="_Toc1216688739"/>
      <w:bookmarkStart w:id="145" w:name="_Toc364633523"/>
      <w:bookmarkStart w:id="146" w:name="_Toc2033398073"/>
      <w:bookmarkStart w:id="147" w:name="_Toc1312885657"/>
      <w:bookmarkStart w:id="148" w:name="_Toc259494969"/>
      <w:bookmarkStart w:id="149" w:name="_Toc243365584"/>
      <w:r>
        <w:rPr>
          <w:rFonts w:hint="default" w:ascii="Times New Roman" w:hAnsi="Times New Roman" w:eastAsia="方正黑体_GBK" w:cs="Times New Roman"/>
          <w:b w:val="0"/>
          <w:bCs/>
          <w:kern w:val="2"/>
          <w:sz w:val="32"/>
          <w:szCs w:val="32"/>
          <w:lang w:val="en-US" w:eastAsia="zh-CN" w:bidi="ar-SA"/>
        </w:rPr>
        <w:t>六、一般公共预算财政拨款基本支出决算情况说明</w:t>
      </w:r>
      <w:bookmarkEnd w:id="138"/>
      <w:bookmarkEnd w:id="139"/>
      <w:bookmarkEnd w:id="140"/>
      <w:bookmarkEnd w:id="141"/>
      <w:bookmarkEnd w:id="142"/>
      <w:bookmarkEnd w:id="143"/>
      <w:bookmarkEnd w:id="144"/>
      <w:bookmarkEnd w:id="145"/>
      <w:bookmarkEnd w:id="146"/>
      <w:bookmarkEnd w:id="147"/>
      <w:bookmarkEnd w:id="148"/>
      <w:bookmarkEnd w:id="149"/>
      <w:r>
        <w:rPr>
          <w:rStyle w:val="32"/>
          <w:rFonts w:hint="default" w:ascii="Times New Roman" w:hAnsi="Times New Roman" w:eastAsia="黑体" w:cs="Times New Roman"/>
          <w:b w:val="0"/>
          <w:color w:val="auto"/>
          <w:sz w:val="32"/>
          <w:szCs w:val="32"/>
          <w:highlight w:val="none"/>
        </w:rPr>
        <w:tab/>
      </w:r>
    </w:p>
    <w:p w14:paraId="4E82B0F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2</w:t>
      </w:r>
      <w:r>
        <w:rPr>
          <w:rFonts w:hint="default" w:ascii="Times New Roman" w:hAnsi="Times New Roman" w:eastAsia="方正仿宋_GBK" w:cs="Times New Roman"/>
          <w:color w:val="000000"/>
          <w:spacing w:val="0"/>
          <w:kern w:val="2"/>
          <w:sz w:val="32"/>
          <w:szCs w:val="32"/>
          <w:highlight w:val="none"/>
          <w:lang w:val="en-US" w:eastAsia="zh-CN" w:bidi="ar-SA"/>
        </w:rPr>
        <w:t>024年度一般公共预算财政拨款基本支出602.97万元，其中：</w:t>
      </w:r>
    </w:p>
    <w:p w14:paraId="319102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人员经费550.91万元，主要包括：基本工资110.32万元、津贴补贴89.66万元、奖金118.60万元、绩效工资50.02万元、机关事业单位基本养老保险缴费50.09万元、职业年金缴费26.24万元、职工基本医疗保险缴费29.70万元、公务员医疗补助缴费17.44万元、其他社会保障缴费3.78万元、住房公积金43.64万元、其他工资福利支出7.34万元、生活补助4.06万元、奖励金0.03万元。</w:t>
      </w:r>
    </w:p>
    <w:p w14:paraId="6AB55BE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公用经费52.06万元，主要包括：办公费20.30万元、差旅费5.69万元、工会经费5.49万元、公务用车运行维护费1.83万元、其他交通费用18.18万元、其他商品和服务支出0.57万元。</w:t>
      </w:r>
    </w:p>
    <w:p w14:paraId="2EFAC50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150" w:name="_Toc689076202"/>
      <w:bookmarkStart w:id="151" w:name="_Toc15377215"/>
      <w:bookmarkStart w:id="152" w:name="_Toc1158524008"/>
      <w:bookmarkStart w:id="153" w:name="_Toc1780129865"/>
      <w:bookmarkStart w:id="154" w:name="_Toc1829732118"/>
      <w:bookmarkStart w:id="155" w:name="_Toc1280992374"/>
      <w:bookmarkStart w:id="156" w:name="_Toc15396609"/>
      <w:bookmarkStart w:id="157" w:name="_Toc1959966826"/>
      <w:bookmarkStart w:id="158" w:name="_Toc793632814"/>
      <w:bookmarkStart w:id="159" w:name="_Toc527646599"/>
      <w:bookmarkStart w:id="160" w:name="_Toc654761370"/>
      <w:bookmarkStart w:id="161" w:name="_Toc499843166"/>
      <w:r>
        <w:rPr>
          <w:rFonts w:hint="eastAsia" w:ascii="方正黑体_GBK" w:hAnsi="方正黑体_GBK" w:eastAsia="方正黑体_GBK" w:cs="方正黑体_GBK"/>
          <w:b w:val="0"/>
          <w:bCs/>
          <w:kern w:val="2"/>
          <w:sz w:val="33"/>
          <w:szCs w:val="33"/>
          <w:lang w:val="en-US" w:eastAsia="zh-CN" w:bidi="ar-SA"/>
        </w:rPr>
        <w:t>七、财政拨款“三公”经费支出决算情况说明</w:t>
      </w:r>
      <w:bookmarkEnd w:id="150"/>
      <w:bookmarkEnd w:id="151"/>
      <w:bookmarkEnd w:id="152"/>
      <w:bookmarkEnd w:id="153"/>
      <w:bookmarkEnd w:id="154"/>
      <w:bookmarkEnd w:id="155"/>
      <w:bookmarkEnd w:id="156"/>
      <w:bookmarkEnd w:id="157"/>
      <w:bookmarkEnd w:id="158"/>
      <w:bookmarkEnd w:id="159"/>
      <w:bookmarkEnd w:id="160"/>
      <w:bookmarkEnd w:id="161"/>
    </w:p>
    <w:p w14:paraId="4B701608">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bookmarkStart w:id="162" w:name="_Toc15377216"/>
      <w:r>
        <w:rPr>
          <w:rFonts w:hint="eastAsia" w:eastAsia="方正仿宋_GBK" w:cs="Times New Roman"/>
          <w:b/>
          <w:bCs/>
          <w:caps w:val="0"/>
          <w:color w:val="auto"/>
          <w:kern w:val="2"/>
          <w:sz w:val="33"/>
          <w:szCs w:val="33"/>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（一）“三公”经费财政拨款支出决算总体情况说明</w:t>
      </w:r>
      <w:bookmarkEnd w:id="162"/>
    </w:p>
    <w:p w14:paraId="2BBB1AE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三公”经费财政拨款支出决算1.83万元，完成预算100%，较上年减少0.31万元，下降14.5%。决算数与预算数持平，主要原因是：当年无因公出国（境）和公务接待支出，通过加强日常管理、压减非必要出行，节约公车运维费。</w:t>
      </w:r>
    </w:p>
    <w:p w14:paraId="05B1BA1C">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bookmarkStart w:id="163" w:name="_Toc15377217"/>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（二）“三公”经费财政拨款支出决算具体情况说明</w:t>
      </w:r>
      <w:bookmarkEnd w:id="163"/>
    </w:p>
    <w:p w14:paraId="47E423C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2024年度“三公”经费财政拨款支出决算中，因公出国（境）费支出决算0万元，占0%；公务用车购置及运行维护费支出决算1.83万元，占100%；公务接待费支出决算0万元，占0%。具体情况如下：</w:t>
      </w:r>
    </w:p>
    <w:p w14:paraId="01CE8B65">
      <w:pPr>
        <w:spacing w:line="600" w:lineRule="exact"/>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eastAsia="方正仿宋_GBK" w:cs="Times New Roman"/>
          <w:color w:val="000000"/>
          <w:spacing w:val="0"/>
          <w:kern w:val="2"/>
          <w:sz w:val="33"/>
          <w:szCs w:val="33"/>
          <w:highlight w:val="none"/>
          <w:lang w:val="en-US" w:eastAsia="zh-CN" w:bidi="ar-SA"/>
        </w:rPr>
        <w:t xml:space="preserve">    </w:t>
      </w:r>
      <w:r>
        <w:rPr>
          <w:rFonts w:hint="eastAsia" w:ascii="Times New Roman" w:hAnsi="Times New Roman" w:eastAsia="方正仿宋_GBK" w:cs="Times New Roman"/>
          <w:color w:val="000000"/>
          <w:spacing w:val="0"/>
          <w:kern w:val="2"/>
          <w:sz w:val="33"/>
          <w:szCs w:val="33"/>
          <w:highlight w:val="none"/>
          <w:lang w:val="en-US" w:eastAsia="zh-CN" w:bidi="ar-SA"/>
        </w:rPr>
        <w:t>（图7：“三公”经费财政拨款支出结构）（饼状图）</w:t>
      </w:r>
    </w:p>
    <w:p w14:paraId="23769B4C">
      <w:pPr>
        <w:pStyle w:val="2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495290" cy="2000250"/>
            <wp:effectExtent l="5080" t="4445" r="5080"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7C99FD">
      <w:pPr>
        <w:pStyle w:val="12"/>
        <w:rPr>
          <w:rFonts w:hint="eastAsia"/>
          <w:lang w:val="en-US" w:eastAsia="zh-CN"/>
        </w:rPr>
      </w:pPr>
    </w:p>
    <w:p w14:paraId="384A3ED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eastAsia" w:eastAsia="方正仿宋_GBK" w:cs="Times New Roman"/>
          <w:color w:val="000000"/>
          <w:spacing w:val="0"/>
          <w:kern w:val="2"/>
          <w:sz w:val="33"/>
          <w:szCs w:val="33"/>
          <w:highlight w:val="none"/>
          <w:lang w:val="en-US" w:eastAsia="zh-CN" w:bidi="ar-SA"/>
        </w:rPr>
        <w:t xml:space="preserve">    </w:t>
      </w:r>
      <w:r>
        <w:rPr>
          <w:rFonts w:hint="default" w:ascii="Times New Roman" w:hAnsi="Times New Roman" w:eastAsia="方正仿宋_GBK" w:cs="Times New Roman"/>
          <w:b w:val="0"/>
          <w:bCs w:val="0"/>
          <w:color w:val="000000"/>
          <w:spacing w:val="0"/>
          <w:kern w:val="2"/>
          <w:sz w:val="32"/>
          <w:szCs w:val="32"/>
          <w:highlight w:val="none"/>
          <w:lang w:val="en-US" w:eastAsia="zh-CN" w:bidi="ar-SA"/>
        </w:rPr>
        <w:t>1.因公出国（境）经费支出0万元</w:t>
      </w:r>
      <w:r>
        <w:rPr>
          <w:rFonts w:hint="default" w:ascii="Times New Roman" w:hAnsi="Times New Roman" w:eastAsia="方正仿宋_GBK" w:cs="Times New Roman"/>
          <w:b/>
          <w:bCs/>
          <w:color w:val="000000"/>
          <w:spacing w:val="0"/>
          <w:kern w:val="2"/>
          <w:sz w:val="32"/>
          <w:szCs w:val="32"/>
          <w:highlight w:val="none"/>
          <w:lang w:val="en-US" w:eastAsia="zh-CN" w:bidi="ar-SA"/>
        </w:rPr>
        <w:t>。</w:t>
      </w:r>
      <w:r>
        <w:rPr>
          <w:rFonts w:hint="default" w:ascii="Times New Roman" w:hAnsi="Times New Roman" w:eastAsia="方正仿宋_GBK" w:cs="Times New Roman"/>
          <w:color w:val="000000"/>
          <w:spacing w:val="0"/>
          <w:kern w:val="2"/>
          <w:sz w:val="32"/>
          <w:szCs w:val="32"/>
          <w:highlight w:val="none"/>
          <w:lang w:val="en-US" w:eastAsia="zh-CN" w:bidi="ar-SA"/>
        </w:rPr>
        <w:t>全年安排因公出国（境）团组0次，出国（境）0人。因公出国（境）支出决算与2023年度持平，无增减变动。</w:t>
      </w:r>
    </w:p>
    <w:p w14:paraId="56FE04F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2.公务用车购置及运行维护费支出1.83万元，完成预算</w:t>
      </w:r>
      <w:r>
        <w:rPr>
          <w:rFonts w:hint="eastAsia" w:eastAsia="方正仿宋_GBK" w:cs="Times New Roman"/>
          <w:color w:val="000000"/>
          <w:spacing w:val="0"/>
          <w:kern w:val="2"/>
          <w:sz w:val="32"/>
          <w:szCs w:val="32"/>
          <w:highlight w:val="none"/>
          <w:lang w:val="en-US" w:eastAsia="zh-CN" w:bidi="ar-SA"/>
        </w:rPr>
        <w:t>100</w:t>
      </w:r>
      <w:r>
        <w:rPr>
          <w:rFonts w:hint="default" w:ascii="Times New Roman" w:hAnsi="Times New Roman" w:eastAsia="方正仿宋_GBK" w:cs="Times New Roman"/>
          <w:color w:val="000000"/>
          <w:spacing w:val="0"/>
          <w:kern w:val="2"/>
          <w:sz w:val="32"/>
          <w:szCs w:val="32"/>
          <w:highlight w:val="none"/>
          <w:lang w:val="en-US" w:eastAsia="zh-CN" w:bidi="ar-SA"/>
        </w:rPr>
        <w:t>%。公务用车购置及运行维护费支出决算比2023年度减少0.31万元，下降14.5%。主要原因是通过加强日常管理、压减非必要出行，节约公车运维费。</w:t>
      </w:r>
    </w:p>
    <w:p w14:paraId="6DA9D27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其中：公务用车购置支出0万元。全年按规定更新购置公务用车0辆，其中：轿车0辆、金额0万元，越野车0辆、金额0万元，载客汽车0辆、金额0万元。</w:t>
      </w:r>
    </w:p>
    <w:p w14:paraId="245DDBB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截至2024年12月31日，单位共有公务用车1辆，其中：轿车0辆、越野车1辆、载客汽车0辆。</w:t>
      </w:r>
    </w:p>
    <w:p w14:paraId="2888301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公务用车运行维护费支出1.83万元。主要用于区委办公室机要通讯所需的公务用车燃料费、维修费、过路过桥费、保险费等支出。</w:t>
      </w:r>
    </w:p>
    <w:p w14:paraId="7E1AF80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b w:val="0"/>
          <w:bCs w:val="0"/>
          <w:color w:val="000000"/>
          <w:spacing w:val="0"/>
          <w:kern w:val="2"/>
          <w:sz w:val="32"/>
          <w:szCs w:val="32"/>
          <w:highlight w:val="none"/>
          <w:lang w:val="en-US" w:eastAsia="zh-CN" w:bidi="ar-SA"/>
        </w:rPr>
      </w:pPr>
      <w:r>
        <w:rPr>
          <w:rFonts w:hint="default" w:ascii="Times New Roman" w:hAnsi="Times New Roman" w:eastAsia="方正仿宋_GBK" w:cs="Times New Roman"/>
          <w:b w:val="0"/>
          <w:bCs w:val="0"/>
          <w:color w:val="000000"/>
          <w:spacing w:val="0"/>
          <w:kern w:val="2"/>
          <w:sz w:val="32"/>
          <w:szCs w:val="32"/>
          <w:highlight w:val="none"/>
          <w:lang w:val="en-US" w:eastAsia="zh-CN" w:bidi="ar-SA"/>
        </w:rPr>
        <w:t xml:space="preserve">    3.公务接待费支出0万元。公务接待费支出决算与2023年度持平，无增减变动。</w:t>
      </w:r>
    </w:p>
    <w:p w14:paraId="2E4A2780">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国内公务接待支出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bookmarkStart w:id="164" w:name="_Toc15377218"/>
      <w:bookmarkStart w:id="165" w:name="_Toc15396610"/>
    </w:p>
    <w:p w14:paraId="5EBC317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1"/>
        <w:rPr>
          <w:rFonts w:hint="default" w:ascii="Times New Roman" w:hAnsi="Times New Roman" w:eastAsia="方正黑体_GBK" w:cs="Times New Roman"/>
          <w:b w:val="0"/>
          <w:bCs/>
          <w:kern w:val="2"/>
          <w:sz w:val="32"/>
          <w:szCs w:val="32"/>
          <w:lang w:val="en-US" w:eastAsia="zh-CN" w:bidi="ar-SA"/>
        </w:rPr>
      </w:pPr>
      <w:bookmarkStart w:id="166" w:name="_Toc522678978"/>
      <w:bookmarkStart w:id="167" w:name="_Toc697608338"/>
      <w:bookmarkStart w:id="168" w:name="_Toc1477572130"/>
      <w:bookmarkStart w:id="169" w:name="_Toc1434210770"/>
      <w:bookmarkStart w:id="170" w:name="_Toc1756853173"/>
      <w:bookmarkStart w:id="171" w:name="_Toc1055125166"/>
      <w:bookmarkStart w:id="172" w:name="_Toc208202314"/>
      <w:bookmarkStart w:id="173" w:name="_Toc796967179"/>
      <w:bookmarkStart w:id="174" w:name="_Toc1999141959"/>
      <w:bookmarkStart w:id="175" w:name="_Toc2115774118"/>
      <w:r>
        <w:rPr>
          <w:rFonts w:hint="default" w:ascii="Times New Roman" w:hAnsi="Times New Roman" w:eastAsia="方正黑体_GBK" w:cs="Times New Roman"/>
          <w:b w:val="0"/>
          <w:bCs/>
          <w:kern w:val="2"/>
          <w:sz w:val="32"/>
          <w:szCs w:val="32"/>
          <w:lang w:val="en-US" w:eastAsia="zh-CN" w:bidi="ar-SA"/>
        </w:rPr>
        <w:t>八、政府性基金预算支出决算情况说明</w:t>
      </w:r>
      <w:bookmarkEnd w:id="164"/>
      <w:bookmarkEnd w:id="165"/>
      <w:bookmarkEnd w:id="166"/>
      <w:bookmarkEnd w:id="167"/>
      <w:bookmarkEnd w:id="168"/>
      <w:bookmarkEnd w:id="169"/>
      <w:bookmarkEnd w:id="170"/>
      <w:bookmarkEnd w:id="171"/>
      <w:bookmarkEnd w:id="172"/>
      <w:bookmarkEnd w:id="173"/>
      <w:bookmarkEnd w:id="174"/>
      <w:bookmarkEnd w:id="175"/>
    </w:p>
    <w:p w14:paraId="05228F3B">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2024年度政府性基金预算财政拨款支出105.35万元，占本年支出合计的11.3</w:t>
      </w:r>
      <w:r>
        <w:rPr>
          <w:rFonts w:hint="eastAsia" w:eastAsia="方正仿宋_GBK" w:cs="Times New Roman"/>
          <w:color w:val="000000"/>
          <w:spacing w:val="0"/>
          <w:kern w:val="2"/>
          <w:sz w:val="32"/>
          <w:szCs w:val="32"/>
          <w:highlight w:val="none"/>
          <w:lang w:val="en-US" w:eastAsia="zh-CN" w:bidi="ar-SA"/>
        </w:rPr>
        <w:t>8</w:t>
      </w:r>
      <w:r>
        <w:rPr>
          <w:rFonts w:hint="default" w:ascii="Times New Roman" w:hAnsi="Times New Roman" w:eastAsia="方正仿宋_GBK" w:cs="Times New Roman"/>
          <w:color w:val="000000"/>
          <w:spacing w:val="0"/>
          <w:kern w:val="2"/>
          <w:sz w:val="32"/>
          <w:szCs w:val="32"/>
          <w:highlight w:val="none"/>
          <w:lang w:val="en-US" w:eastAsia="zh-CN" w:bidi="ar-SA"/>
        </w:rPr>
        <w:t>%。与2023年度相比，政府性基金预算财政拨款支出增加13.24万元，增长14.</w:t>
      </w:r>
      <w:r>
        <w:rPr>
          <w:rFonts w:hint="eastAsia" w:eastAsia="方正仿宋_GBK" w:cs="Times New Roman"/>
          <w:color w:val="000000"/>
          <w:spacing w:val="0"/>
          <w:kern w:val="2"/>
          <w:sz w:val="32"/>
          <w:szCs w:val="32"/>
          <w:highlight w:val="none"/>
          <w:lang w:val="en-US" w:eastAsia="zh-CN" w:bidi="ar-SA"/>
        </w:rPr>
        <w:t>37</w:t>
      </w:r>
      <w:r>
        <w:rPr>
          <w:rFonts w:hint="default" w:ascii="Times New Roman" w:hAnsi="Times New Roman" w:eastAsia="方正仿宋_GBK" w:cs="Times New Roman"/>
          <w:color w:val="000000"/>
          <w:spacing w:val="0"/>
          <w:kern w:val="2"/>
          <w:sz w:val="32"/>
          <w:szCs w:val="32"/>
          <w:highlight w:val="none"/>
          <w:lang w:val="en-US" w:eastAsia="zh-CN" w:bidi="ar-SA"/>
        </w:rPr>
        <w:t>%。主要变动原因是2024年土地开发项目资金需求增加，相应支出较上年有所增长。</w:t>
      </w:r>
    </w:p>
    <w:p w14:paraId="0DE1502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1"/>
        <w:rPr>
          <w:rFonts w:hint="default" w:ascii="Times New Roman" w:hAnsi="Times New Roman" w:eastAsia="方正黑体_GBK" w:cs="Times New Roman"/>
          <w:b w:val="0"/>
          <w:bCs/>
          <w:kern w:val="2"/>
          <w:sz w:val="32"/>
          <w:szCs w:val="32"/>
          <w:lang w:val="en-US" w:eastAsia="zh-CN" w:bidi="ar-SA"/>
        </w:rPr>
      </w:pPr>
      <w:bookmarkStart w:id="176" w:name="_Toc586306704"/>
      <w:bookmarkStart w:id="177" w:name="_Toc1824447109"/>
      <w:bookmarkStart w:id="178" w:name="_Toc2128983514"/>
      <w:bookmarkStart w:id="179" w:name="_Toc15396611"/>
      <w:bookmarkStart w:id="180" w:name="_Toc678321659"/>
      <w:bookmarkStart w:id="181" w:name="_Toc986568918"/>
      <w:bookmarkStart w:id="182" w:name="_Toc518502976"/>
      <w:bookmarkStart w:id="183" w:name="_Toc564594813"/>
      <w:bookmarkStart w:id="184" w:name="_Toc15377219"/>
      <w:bookmarkStart w:id="185" w:name="_Toc6981625"/>
      <w:bookmarkStart w:id="186" w:name="_Toc1633588317"/>
      <w:bookmarkStart w:id="187" w:name="_Toc1635689340"/>
      <w:r>
        <w:rPr>
          <w:rFonts w:hint="default" w:ascii="Times New Roman" w:hAnsi="Times New Roman" w:eastAsia="方正黑体_GBK" w:cs="Times New Roman"/>
          <w:b w:val="0"/>
          <w:bCs/>
          <w:kern w:val="2"/>
          <w:sz w:val="32"/>
          <w:szCs w:val="32"/>
          <w:lang w:val="en-US" w:eastAsia="zh-CN" w:bidi="ar-SA"/>
        </w:rPr>
        <w:t>九、国有资本经营预算支出决算情况说明</w:t>
      </w:r>
      <w:bookmarkEnd w:id="176"/>
      <w:bookmarkEnd w:id="177"/>
      <w:bookmarkEnd w:id="178"/>
      <w:bookmarkEnd w:id="179"/>
      <w:bookmarkEnd w:id="180"/>
      <w:bookmarkEnd w:id="181"/>
      <w:bookmarkEnd w:id="182"/>
      <w:bookmarkEnd w:id="183"/>
      <w:bookmarkEnd w:id="184"/>
      <w:bookmarkEnd w:id="185"/>
      <w:bookmarkEnd w:id="186"/>
      <w:bookmarkEnd w:id="187"/>
    </w:p>
    <w:p w14:paraId="25705EE6">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2024年度国有资本经营预算财政拨款支出0万元，占本年支出合计的0%。与2023年度持平，无增减变动。</w:t>
      </w:r>
    </w:p>
    <w:p w14:paraId="3ECC6E0F">
      <w:pPr>
        <w:keepNext w:val="0"/>
        <w:keepLines w:val="0"/>
        <w:pageBreakBefore w:val="0"/>
        <w:tabs>
          <w:tab w:val="right" w:pos="8306"/>
        </w:tabs>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方正楷体_GBK" w:cs="Times New Roman"/>
          <w:b/>
          <w:bCs w:val="0"/>
          <w:kern w:val="0"/>
          <w:sz w:val="32"/>
          <w:szCs w:val="32"/>
          <w:lang w:val="en-US" w:eastAsia="zh-CN" w:bidi="ar"/>
        </w:rPr>
      </w:pPr>
      <w:bookmarkStart w:id="188" w:name="_Toc1904906018"/>
      <w:bookmarkStart w:id="189" w:name="_Toc1079359536"/>
      <w:bookmarkStart w:id="190" w:name="_Toc906082291"/>
      <w:bookmarkStart w:id="191" w:name="_Toc15377221"/>
      <w:bookmarkStart w:id="192" w:name="_Toc1072447136"/>
      <w:bookmarkStart w:id="193" w:name="_Toc1437545526"/>
      <w:bookmarkStart w:id="194" w:name="_Toc1518528337"/>
      <w:bookmarkStart w:id="195" w:name="_Toc15396612"/>
      <w:bookmarkStart w:id="196" w:name="_Toc608104598"/>
      <w:bookmarkStart w:id="197" w:name="_Toc1563056019"/>
      <w:bookmarkStart w:id="198" w:name="_Toc1607910255"/>
      <w:bookmarkStart w:id="199" w:name="_Toc553345033"/>
      <w:r>
        <w:rPr>
          <w:rFonts w:hint="default" w:ascii="Times New Roman" w:hAnsi="Times New Roman" w:eastAsia="方正黑体_GBK" w:cs="Times New Roman"/>
          <w:b w:val="0"/>
          <w:bCs/>
          <w:kern w:val="2"/>
          <w:sz w:val="32"/>
          <w:szCs w:val="32"/>
          <w:lang w:val="en-US" w:eastAsia="zh-CN" w:bidi="ar-SA"/>
        </w:rPr>
        <w:t>十、其他重要事项的情况说明</w:t>
      </w:r>
      <w:bookmarkEnd w:id="188"/>
      <w:bookmarkEnd w:id="189"/>
      <w:bookmarkEnd w:id="190"/>
      <w:bookmarkEnd w:id="191"/>
      <w:bookmarkEnd w:id="192"/>
      <w:bookmarkEnd w:id="193"/>
      <w:bookmarkEnd w:id="194"/>
      <w:bookmarkEnd w:id="195"/>
      <w:bookmarkEnd w:id="196"/>
      <w:bookmarkEnd w:id="197"/>
      <w:bookmarkEnd w:id="198"/>
      <w:bookmarkEnd w:id="199"/>
    </w:p>
    <w:p w14:paraId="0082696F">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bookmarkStart w:id="200" w:name="_Toc15377222"/>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（一）机关运行经费支出情况</w:t>
      </w:r>
      <w:bookmarkEnd w:id="200"/>
    </w:p>
    <w:p w14:paraId="0F0F0D75">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仿宋_GB2312" w:cs="Times New Roman"/>
          <w:color w:val="auto"/>
          <w:kern w:val="2"/>
          <w:sz w:val="32"/>
          <w:szCs w:val="32"/>
          <w:highlight w:val="none"/>
          <w:lang w:val="en-US" w:eastAsia="zh-CN" w:bidi="ar-SA"/>
        </w:rPr>
      </w:pPr>
      <w:bookmarkStart w:id="201" w:name="_Toc15377223"/>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2024年度，中国共产党攀枝花市西区委员会办公室机关运行经费支出52.06万元，比2023年度减少10.78万元，下降17.</w:t>
      </w:r>
      <w:r>
        <w:rPr>
          <w:rFonts w:hint="eastAsia" w:eastAsia="方正仿宋_GBK" w:cs="Times New Roman"/>
          <w:color w:val="000000"/>
          <w:spacing w:val="0"/>
          <w:kern w:val="2"/>
          <w:sz w:val="32"/>
          <w:szCs w:val="32"/>
          <w:highlight w:val="none"/>
          <w:lang w:val="en-US" w:eastAsia="zh-CN" w:bidi="ar-SA"/>
        </w:rPr>
        <w:t>15</w:t>
      </w:r>
      <w:r>
        <w:rPr>
          <w:rFonts w:hint="default" w:ascii="Times New Roman" w:hAnsi="Times New Roman" w:eastAsia="方正仿宋_GBK" w:cs="Times New Roman"/>
          <w:color w:val="000000"/>
          <w:spacing w:val="0"/>
          <w:kern w:val="2"/>
          <w:sz w:val="32"/>
          <w:szCs w:val="32"/>
          <w:highlight w:val="none"/>
          <w:lang w:val="en-US" w:eastAsia="zh-CN" w:bidi="ar-SA"/>
        </w:rPr>
        <w:t>%。主要原因是2024年进一步压减一般性支出，办公费、差旅费等日常公用经费相应减少。</w:t>
      </w:r>
    </w:p>
    <w:p w14:paraId="618370E5">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（二）政府采购支出情况</w:t>
      </w:r>
      <w:bookmarkEnd w:id="201"/>
    </w:p>
    <w:p w14:paraId="63FCB58C">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仿宋_GB2312" w:cs="Times New Roman"/>
          <w:color w:val="auto"/>
          <w:kern w:val="2"/>
          <w:sz w:val="32"/>
          <w:szCs w:val="32"/>
          <w:highlight w:val="none"/>
          <w:lang w:val="en-US" w:eastAsia="zh-CN" w:bidi="ar-SA"/>
        </w:rPr>
      </w:pPr>
      <w:bookmarkStart w:id="202" w:name="_Toc15377224"/>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度，中国共产党攀枝花市西区委员会办公室政府采购支出总额0.31万元，其中：政府采购货物支出0.31万元、政府采购工程支出0万元、政府采购服务支出0万元，主要用于购买投影仪。授予中小企业合同金额0.31万元，占政府采购支出总额的100%，其中：授予小微企业合同金额0.31万元，占政府采购支出总额的100%。</w:t>
      </w:r>
    </w:p>
    <w:p w14:paraId="6DAB0430">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（三）国有资产占有使用情况</w:t>
      </w:r>
      <w:bookmarkEnd w:id="202"/>
    </w:p>
    <w:p w14:paraId="255E07D5">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截至2024年12月31日，中国共产党攀枝花市西区委员会办公室共有车辆1辆，其中：主要负责人用车0辆、机要通信用车1辆、应急保障用车0辆、其他用车0辆。单价100万元（含）以上设备（不含车辆）0台（套）。</w:t>
      </w:r>
    </w:p>
    <w:p w14:paraId="6081E87A">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（四）预算绩效管理情况</w:t>
      </w:r>
    </w:p>
    <w:p w14:paraId="7D2B5165">
      <w:pPr>
        <w:keepNext w:val="0"/>
        <w:keepLines w:val="0"/>
        <w:pageBreakBefore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根据预算绩效管理要求，本部门在2023年度预算编制阶段，组织对派驻纪检组业务费、目标绩效管理和综合督查工作、牵头统筹全区重大活动项目经费3个项目开展了预算事前绩效评估，对3个项目编制了绩效目标，预算执行过程中，选取1个项目开展绩效监控，组织对3个项目开展绩效自评，绩效自评表详见第四部分附件。</w:t>
      </w:r>
    </w:p>
    <w:p w14:paraId="6E460A6F">
      <w:pPr>
        <w:pStyle w:val="2"/>
        <w:ind w:firstLine="640"/>
        <w:outlineLvl w:val="9"/>
        <w:rPr>
          <w:rFonts w:hint="eastAsia"/>
          <w:lang w:val="en-US" w:eastAsia="zh-CN"/>
        </w:rPr>
      </w:pPr>
    </w:p>
    <w:p w14:paraId="2C847B9A">
      <w:pPr>
        <w:rPr>
          <w:rFonts w:hint="eastAsia"/>
          <w:lang w:val="en-US" w:eastAsia="zh-CN"/>
        </w:rPr>
      </w:pPr>
    </w:p>
    <w:p w14:paraId="245A296F">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bookmarkStart w:id="203" w:name="_Toc19237569"/>
      <w:bookmarkStart w:id="204" w:name="_Toc53307770"/>
      <w:bookmarkStart w:id="205" w:name="_Toc715149179"/>
      <w:bookmarkStart w:id="206" w:name="_Toc2053394492"/>
      <w:bookmarkStart w:id="207" w:name="_Toc932202621"/>
      <w:bookmarkStart w:id="208" w:name="_Toc15377225"/>
      <w:bookmarkStart w:id="209" w:name="_Toc15396613"/>
      <w:bookmarkStart w:id="210" w:name="_Toc1369677196"/>
      <w:bookmarkStart w:id="211" w:name="_Toc995646659"/>
      <w:bookmarkStart w:id="212" w:name="_Toc1210720974"/>
      <w:bookmarkStart w:id="213" w:name="_Toc237439480"/>
    </w:p>
    <w:p w14:paraId="28C2A061">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p>
    <w:p w14:paraId="036BD4C9">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p>
    <w:p w14:paraId="5E3EA1CE">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p>
    <w:p w14:paraId="682765CA">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p>
    <w:p w14:paraId="2FE7FAB6">
      <w:pPr>
        <w:numPr>
          <w:ilvl w:val="0"/>
          <w:numId w:val="0"/>
        </w:numPr>
        <w:spacing w:line="600" w:lineRule="exact"/>
        <w:jc w:val="both"/>
        <w:outlineLvl w:val="9"/>
        <w:rPr>
          <w:rFonts w:hint="eastAsia" w:ascii="方正小标宋_GBK" w:hAnsi="方正小标宋_GBK" w:eastAsia="方正小标宋_GBK" w:cs="方正小标宋_GBK"/>
          <w:b w:val="0"/>
          <w:bCs/>
          <w:kern w:val="2"/>
          <w:sz w:val="44"/>
          <w:szCs w:val="44"/>
          <w:lang w:val="en-US" w:eastAsia="zh-CN" w:bidi="ar-SA"/>
        </w:rPr>
      </w:pPr>
    </w:p>
    <w:p w14:paraId="074BAD8E">
      <w:pPr>
        <w:numPr>
          <w:ilvl w:val="0"/>
          <w:numId w:val="0"/>
        </w:numPr>
        <w:spacing w:line="600" w:lineRule="exact"/>
        <w:jc w:val="center"/>
        <w:outlineLvl w:val="0"/>
        <w:rPr>
          <w:rFonts w:hint="eastAsia" w:ascii="方正小标宋_GBK" w:hAnsi="方正小标宋_GBK" w:eastAsia="方正小标宋_GBK" w:cs="方正小标宋_GBK"/>
          <w:b w:val="0"/>
          <w:bCs/>
          <w:kern w:val="2"/>
          <w:sz w:val="44"/>
          <w:szCs w:val="44"/>
          <w:lang w:val="en-US" w:eastAsia="zh-CN" w:bidi="ar-SA"/>
        </w:rPr>
      </w:pPr>
      <w:bookmarkStart w:id="214" w:name="_Toc775734768"/>
    </w:p>
    <w:p w14:paraId="1BB05786">
      <w:pPr>
        <w:numPr>
          <w:ilvl w:val="0"/>
          <w:numId w:val="0"/>
        </w:numPr>
        <w:spacing w:line="600" w:lineRule="exact"/>
        <w:jc w:val="center"/>
        <w:outlineLvl w:val="0"/>
        <w:rPr>
          <w:rFonts w:hint="eastAsia" w:ascii="方正小标宋_GBK" w:hAnsi="方正小标宋_GBK" w:eastAsia="方正小标宋_GBK" w:cs="方正小标宋_GBK"/>
          <w:b w:val="0"/>
          <w:bCs/>
          <w:kern w:val="2"/>
          <w:sz w:val="44"/>
          <w:szCs w:val="44"/>
          <w:lang w:val="en-US" w:eastAsia="zh-CN" w:bidi="ar-SA"/>
        </w:rPr>
      </w:pPr>
    </w:p>
    <w:p w14:paraId="35570882">
      <w:pPr>
        <w:numPr>
          <w:ilvl w:val="0"/>
          <w:numId w:val="0"/>
        </w:numPr>
        <w:spacing w:line="600" w:lineRule="exact"/>
        <w:jc w:val="center"/>
        <w:outlineLvl w:val="0"/>
        <w:rPr>
          <w:rFonts w:hint="eastAsia" w:ascii="方正小标宋_GBK" w:hAnsi="方正小标宋_GBK" w:eastAsia="方正小标宋_GBK" w:cs="方正小标宋_GBK"/>
          <w:b w:val="0"/>
          <w:bCs/>
          <w:kern w:val="2"/>
          <w:sz w:val="44"/>
          <w:szCs w:val="44"/>
          <w:lang w:val="en-US" w:eastAsia="zh-CN" w:bidi="ar-SA"/>
        </w:rPr>
      </w:pPr>
      <w:r>
        <w:rPr>
          <w:rFonts w:hint="eastAsia" w:ascii="方正小标宋_GBK" w:hAnsi="方正小标宋_GBK" w:eastAsia="方正小标宋_GBK" w:cs="方正小标宋_GBK"/>
          <w:b w:val="0"/>
          <w:bCs/>
          <w:kern w:val="2"/>
          <w:sz w:val="44"/>
          <w:szCs w:val="44"/>
          <w:lang w:val="en-US" w:eastAsia="zh-CN" w:bidi="ar-SA"/>
        </w:rPr>
        <w:t>第三部分  名词解释</w:t>
      </w:r>
      <w:bookmarkEnd w:id="203"/>
      <w:bookmarkEnd w:id="204"/>
      <w:bookmarkEnd w:id="205"/>
      <w:bookmarkEnd w:id="206"/>
      <w:bookmarkEnd w:id="207"/>
      <w:bookmarkEnd w:id="208"/>
      <w:bookmarkEnd w:id="209"/>
      <w:bookmarkEnd w:id="210"/>
      <w:bookmarkEnd w:id="211"/>
      <w:bookmarkEnd w:id="212"/>
      <w:bookmarkEnd w:id="213"/>
      <w:bookmarkEnd w:id="214"/>
    </w:p>
    <w:p w14:paraId="2D57CA7E">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p>
    <w:p w14:paraId="14B03835">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1.财政拨款收入：指单位从同级财政部门取得的财政预算资金。</w:t>
      </w:r>
    </w:p>
    <w:p w14:paraId="4D97A8B1">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 xml:space="preserve">2.年初结转和结余：指以前年度尚未完成、结转到本年按有关规定继续使用的资金。 </w:t>
      </w:r>
    </w:p>
    <w:p w14:paraId="61B87007">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3.年末结转和结余：指单位按有关规定结转到下年或以后年度继续使用的资金。</w:t>
      </w:r>
    </w:p>
    <w:p w14:paraId="0FFA199E">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3.一般公共服务（类）党委办公厅（室）及相关机构事务（款）行政运行（项）：指行政单位（包括实行公务员管理的事业单位）的基本支出。</w:t>
      </w:r>
    </w:p>
    <w:p w14:paraId="0D3847A9">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4.一般公共服务（类）党委办公厅（室）及相关机构事务（款）一般行政管理事务（项）：指行政单位（包括实行公务员管理的事业单位）未单独设置项级科目的其他项目支出。</w:t>
      </w:r>
    </w:p>
    <w:p w14:paraId="591B5288">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5.一般公共服务（类）党委办公厅（室）及相关机构事务（款）事业运行（项）：指事业单位的基本支出，不包括行政单位（包括实行公务员管理的事业单位）后勤服务中心、医务室等附属事业单位。</w:t>
      </w:r>
    </w:p>
    <w:p w14:paraId="6B41D75C">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6.社会保障和就业（类）行政事业单位养老支出（款）行政单位离退休（项）：指行政单位（包括实行公务员管理的事业单位）开支离退休经费。</w:t>
      </w:r>
    </w:p>
    <w:p w14:paraId="64169279">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7.社会保障和就业（类）行政事业单位养老支出（款）机关事业单位基本养老保险缴费支出（项）：指机关事业单位实施养老保险制度由单位缴纳的基本养老保险费支出。</w:t>
      </w:r>
    </w:p>
    <w:p w14:paraId="3E0E968C">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8.社会保障和就业（类）行政事业单位养老支出（款）机关事业单位职业年金缴费支出（项）：指机关事业单位实施养老保险制度由单位实际缴纳的职业年金费支出。</w:t>
      </w:r>
    </w:p>
    <w:p w14:paraId="6AB49578">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9.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03E5949B">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10.卫生健康（类）行政事业单位医疗（款）事业单位医疗（项）：指财政部门安排的事业单位基本医疗保险缴费经费，未参加医疗保险的事业单位的公费医疗经费，按国家规定享受离休人员待遇人员的医疗经费。</w:t>
      </w:r>
    </w:p>
    <w:p w14:paraId="0E7910ED">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11.卫生健康（类）行政事业单位医疗（款）公务员医疗补助（项）：指财政部门安排的公务员医疗补助经费。</w:t>
      </w:r>
    </w:p>
    <w:p w14:paraId="2C34E3C4">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12.卫生健康（类）行政事业单位医疗（款）其他行政事业单位医疗支出（项）：指除上述项目以外的其他用于行政事业单位医疗方面的支出。</w:t>
      </w:r>
    </w:p>
    <w:p w14:paraId="735665D3">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13.城乡社区（类）国有土地使用权出让收入安排的支出（款）土地开发支出（项）：指新疆生产建设兵团和地方政府用于前期土地开发性支出以及与前期土地开发相关的费用等支出。</w:t>
      </w:r>
    </w:p>
    <w:p w14:paraId="5809F75F">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14.住房保障（类）住房改革支出（款）住房公积金（项）：指行政事业单位按人力资源和社会保障部、财政部规定的基本工资和津贴补贴以及规定比例为职工缴纳的住房公积金。</w:t>
      </w:r>
    </w:p>
    <w:p w14:paraId="784C93D0">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15.基本支出：指为保障机构正常运转、完成日常工作任务而发生的人员支出和公用支出。</w:t>
      </w:r>
    </w:p>
    <w:p w14:paraId="04311EB0">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16.项目支出：指在基本支出之外为完成特定行政任务和事业发展目标所发生的支出。</w:t>
      </w:r>
    </w:p>
    <w:p w14:paraId="1E757163">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6C46AA">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方正小标宋_GBK" w:hAnsi="方正小标宋_GBK" w:eastAsia="方正小标宋_GBK" w:cs="方正小标宋_GBK"/>
          <w:b w:val="0"/>
          <w:bCs/>
          <w:kern w:val="2"/>
          <w:sz w:val="44"/>
          <w:szCs w:val="44"/>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215" w:name="_Toc678653743"/>
      <w:bookmarkStart w:id="216" w:name="_Toc1624730250"/>
      <w:bookmarkStart w:id="217" w:name="_Toc15396614"/>
      <w:bookmarkStart w:id="218" w:name="_Toc1150959160"/>
      <w:bookmarkStart w:id="219" w:name="_Toc1793199536"/>
      <w:bookmarkStart w:id="220" w:name="_Toc15377226"/>
    </w:p>
    <w:p w14:paraId="1C3DD27A">
      <w:pPr>
        <w:spacing w:line="600" w:lineRule="exact"/>
        <w:jc w:val="center"/>
        <w:outlineLvl w:val="0"/>
        <w:rPr>
          <w:rFonts w:hint="eastAsia" w:ascii="Times New Roman" w:hAnsi="Times New Roman" w:eastAsia="黑体" w:cs="黑体"/>
          <w:color w:val="auto"/>
          <w:sz w:val="32"/>
          <w:szCs w:val="32"/>
          <w:highlight w:val="none"/>
        </w:rPr>
      </w:pPr>
      <w:bookmarkStart w:id="221" w:name="_Toc198837821"/>
      <w:bookmarkStart w:id="222" w:name="_Toc22890843"/>
      <w:bookmarkStart w:id="223" w:name="_Toc2023679837"/>
      <w:bookmarkStart w:id="224" w:name="_Toc1810818069"/>
      <w:bookmarkStart w:id="225" w:name="_Toc1299509393"/>
      <w:bookmarkStart w:id="226" w:name="_Toc1836856412"/>
      <w:r>
        <w:rPr>
          <w:rFonts w:hint="eastAsia" w:ascii="方正小标宋_GBK" w:hAnsi="方正小标宋_GBK" w:eastAsia="方正小标宋_GBK" w:cs="方正小标宋_GBK"/>
          <w:b w:val="0"/>
          <w:bCs/>
          <w:kern w:val="2"/>
          <w:sz w:val="44"/>
          <w:szCs w:val="44"/>
          <w:lang w:val="en-US" w:eastAsia="zh-CN" w:bidi="ar-SA"/>
        </w:rPr>
        <w:t>第四部分  附件</w:t>
      </w:r>
      <w:bookmarkEnd w:id="215"/>
      <w:bookmarkEnd w:id="216"/>
      <w:bookmarkEnd w:id="217"/>
      <w:bookmarkEnd w:id="218"/>
      <w:bookmarkEnd w:id="219"/>
      <w:bookmarkEnd w:id="221"/>
      <w:bookmarkEnd w:id="222"/>
      <w:bookmarkEnd w:id="223"/>
      <w:bookmarkEnd w:id="224"/>
      <w:bookmarkEnd w:id="225"/>
      <w:bookmarkEnd w:id="226"/>
      <w:bookmarkStart w:id="227" w:name="_Toc355131599"/>
      <w:bookmarkStart w:id="228" w:name="_Toc186592413"/>
      <w:bookmarkStart w:id="229" w:name="_Toc1165877057"/>
      <w:bookmarkStart w:id="230" w:name="_Toc172961780"/>
    </w:p>
    <w:p w14:paraId="3FAD46EE">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b w:val="0"/>
          <w:bCs/>
          <w:sz w:val="44"/>
          <w:szCs w:val="44"/>
          <w:highlight w:val="none"/>
          <w:shd w:val="clear" w:color="auto" w:fill="FFFFFF"/>
        </w:rPr>
      </w:pPr>
      <w:bookmarkStart w:id="231" w:name="_Toc1313610830"/>
      <w:bookmarkStart w:id="232" w:name="_Toc1509626202"/>
      <w:bookmarkStart w:id="233" w:name="_Toc1520717525"/>
      <w:bookmarkStart w:id="234" w:name="_Toc529136242"/>
      <w:bookmarkStart w:id="235" w:name="_Toc47737936"/>
      <w:bookmarkStart w:id="236" w:name="_Toc1337922975"/>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227"/>
      <w:bookmarkEnd w:id="228"/>
      <w:bookmarkEnd w:id="229"/>
      <w:bookmarkEnd w:id="230"/>
      <w:bookmarkEnd w:id="231"/>
      <w:bookmarkEnd w:id="232"/>
      <w:bookmarkEnd w:id="233"/>
      <w:bookmarkEnd w:id="234"/>
      <w:bookmarkEnd w:id="235"/>
      <w:bookmarkEnd w:id="236"/>
    </w:p>
    <w:p w14:paraId="185235C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DB2E0DC">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textAlignment w:val="auto"/>
        <w:outlineLvl w:val="9"/>
        <w:rPr>
          <w:rFonts w:hint="eastAsia" w:ascii="方正黑体_GBK" w:hAnsi="方正黑体_GBK" w:eastAsia="方正黑体_GBK" w:cs="方正黑体_GBK"/>
          <w:b w:val="0"/>
          <w:bCs/>
          <w:kern w:val="2"/>
          <w:sz w:val="32"/>
          <w:szCs w:val="32"/>
          <w:lang w:val="zh-CN" w:eastAsia="zh-CN" w:bidi="ar-SA"/>
        </w:rPr>
      </w:pPr>
      <w:bookmarkStart w:id="237" w:name="_Toc1582039399"/>
      <w:bookmarkStart w:id="238" w:name="_Toc37133679"/>
      <w:bookmarkStart w:id="239" w:name="_Toc2126976804"/>
      <w:bookmarkStart w:id="240" w:name="_Toc350488566"/>
    </w:p>
    <w:p w14:paraId="0E8CB58D">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方正黑体_GBK" w:hAnsi="方正黑体_GBK" w:eastAsia="方正黑体_GBK" w:cs="方正黑体_GBK"/>
          <w:b w:val="0"/>
          <w:bCs/>
          <w:sz w:val="32"/>
          <w:szCs w:val="32"/>
          <w:lang w:val="zh-CN"/>
        </w:rPr>
      </w:pPr>
      <w:bookmarkStart w:id="241" w:name="_Toc111011794"/>
      <w:bookmarkStart w:id="242" w:name="_Toc1264680664"/>
      <w:bookmarkStart w:id="243" w:name="_Toc642018060"/>
      <w:bookmarkStart w:id="244" w:name="_Toc1755397246"/>
      <w:bookmarkStart w:id="245" w:name="_Toc1816411694"/>
      <w:bookmarkStart w:id="246" w:name="_Toc1721618202"/>
      <w:r>
        <w:rPr>
          <w:rFonts w:hint="eastAsia" w:ascii="方正黑体_GBK" w:hAnsi="方正黑体_GBK" w:eastAsia="方正黑体_GBK" w:cs="方正黑体_GBK"/>
          <w:b w:val="0"/>
          <w:bCs/>
          <w:kern w:val="2"/>
          <w:sz w:val="32"/>
          <w:szCs w:val="32"/>
          <w:lang w:val="zh-CN" w:eastAsia="zh-CN" w:bidi="ar-SA"/>
        </w:rPr>
        <w:t>一、</w:t>
      </w:r>
      <w:r>
        <w:rPr>
          <w:rFonts w:hint="default" w:ascii="方正黑体_GBK" w:hAnsi="方正黑体_GBK" w:eastAsia="方正黑体_GBK" w:cs="方正黑体_GBK"/>
          <w:b w:val="0"/>
          <w:bCs/>
          <w:kern w:val="2"/>
          <w:sz w:val="32"/>
          <w:szCs w:val="32"/>
          <w:lang w:val="zh-CN" w:eastAsia="zh-CN" w:bidi="ar-SA"/>
        </w:rPr>
        <w:t>部门（单位）基本情况</w:t>
      </w:r>
      <w:bookmarkEnd w:id="237"/>
      <w:bookmarkEnd w:id="238"/>
      <w:bookmarkEnd w:id="239"/>
      <w:bookmarkEnd w:id="240"/>
      <w:bookmarkEnd w:id="241"/>
      <w:bookmarkEnd w:id="242"/>
      <w:bookmarkEnd w:id="243"/>
      <w:bookmarkEnd w:id="244"/>
      <w:bookmarkEnd w:id="245"/>
      <w:bookmarkEnd w:id="246"/>
    </w:p>
    <w:p w14:paraId="72A6C52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cs="Times New Roman"/>
          <w:sz w:val="32"/>
          <w:szCs w:val="32"/>
        </w:rPr>
      </w:pPr>
      <w:r>
        <w:rPr>
          <w:rFonts w:hint="eastAsia" w:ascii="方正楷体_GBK" w:hAnsi="方正楷体_GBK" w:eastAsia="方正楷体_GBK" w:cs="方正楷体_GBK"/>
          <w:b/>
          <w:bCs w:val="0"/>
          <w:kern w:val="0"/>
          <w:sz w:val="32"/>
          <w:szCs w:val="32"/>
          <w:lang w:val="zh-CN" w:eastAsia="zh-CN" w:bidi="ar"/>
        </w:rPr>
        <w:t>（一）</w:t>
      </w:r>
      <w:r>
        <w:rPr>
          <w:rFonts w:hint="default" w:ascii="方正楷体_GBK" w:hAnsi="方正楷体_GBK" w:eastAsia="方正楷体_GBK" w:cs="方正楷体_GBK"/>
          <w:b/>
          <w:bCs w:val="0"/>
          <w:kern w:val="0"/>
          <w:sz w:val="32"/>
          <w:szCs w:val="32"/>
          <w:lang w:val="zh-CN" w:eastAsia="zh-CN" w:bidi="ar"/>
        </w:rPr>
        <w:t>机构组成。</w:t>
      </w:r>
      <w:r>
        <w:rPr>
          <w:rFonts w:hint="default" w:ascii="Times New Roman" w:hAnsi="Times New Roman" w:eastAsia="方正仿宋_GBK" w:cs="Times New Roman"/>
          <w:color w:val="000000"/>
          <w:spacing w:val="0"/>
          <w:kern w:val="2"/>
          <w:sz w:val="32"/>
          <w:szCs w:val="32"/>
          <w:highlight w:val="none"/>
          <w:lang w:val="en-US" w:eastAsia="zh-CN" w:bidi="ar-SA"/>
        </w:rPr>
        <w:t>西区区委办公室无下属二级预算单位，单位内设机构包括</w:t>
      </w:r>
      <w:r>
        <w:rPr>
          <w:rFonts w:hint="eastAsia" w:ascii="Times New Roman" w:hAnsi="Times New Roman" w:eastAsia="方正仿宋_GBK" w:cs="Times New Roman"/>
          <w:color w:val="000000"/>
          <w:spacing w:val="0"/>
          <w:kern w:val="2"/>
          <w:sz w:val="32"/>
          <w:szCs w:val="32"/>
          <w:highlight w:val="none"/>
          <w:lang w:val="en-US" w:eastAsia="zh-CN" w:bidi="ar-SA"/>
        </w:rPr>
        <w:t>常委办公室</w:t>
      </w:r>
      <w:r>
        <w:rPr>
          <w:rFonts w:hint="default" w:ascii="Times New Roman" w:hAnsi="Times New Roman" w:eastAsia="方正仿宋_GBK" w:cs="Times New Roman"/>
          <w:color w:val="000000"/>
          <w:spacing w:val="0"/>
          <w:kern w:val="2"/>
          <w:sz w:val="32"/>
          <w:szCs w:val="32"/>
          <w:highlight w:val="none"/>
          <w:lang w:val="en-US" w:eastAsia="zh-CN" w:bidi="ar-SA"/>
        </w:rPr>
        <w:t>、政策研究室</w:t>
      </w:r>
      <w:r>
        <w:rPr>
          <w:rFonts w:hint="eastAsia" w:ascii="Times New Roman" w:hAnsi="Times New Roman" w:eastAsia="方正仿宋_GBK" w:cs="Times New Roman"/>
          <w:color w:val="000000"/>
          <w:spacing w:val="0"/>
          <w:kern w:val="2"/>
          <w:sz w:val="32"/>
          <w:szCs w:val="32"/>
          <w:highlight w:val="none"/>
          <w:lang w:val="en-US" w:eastAsia="zh-CN" w:bidi="ar-SA"/>
        </w:rPr>
        <w:t>、</w:t>
      </w:r>
      <w:r>
        <w:rPr>
          <w:rFonts w:hint="default" w:ascii="Times New Roman" w:hAnsi="Times New Roman" w:eastAsia="方正仿宋_GBK" w:cs="Times New Roman"/>
          <w:color w:val="000000"/>
          <w:spacing w:val="0"/>
          <w:kern w:val="2"/>
          <w:sz w:val="32"/>
          <w:szCs w:val="32"/>
          <w:highlight w:val="none"/>
          <w:lang w:val="en-US" w:eastAsia="zh-CN" w:bidi="ar-SA"/>
        </w:rPr>
        <w:t>综合一股</w:t>
      </w:r>
      <w:r>
        <w:rPr>
          <w:rFonts w:hint="eastAsia" w:ascii="Times New Roman" w:hAnsi="Times New Roman" w:eastAsia="方正仿宋_GBK" w:cs="Times New Roman"/>
          <w:color w:val="000000"/>
          <w:spacing w:val="0"/>
          <w:kern w:val="2"/>
          <w:sz w:val="32"/>
          <w:szCs w:val="32"/>
          <w:highlight w:val="none"/>
          <w:lang w:val="en-US" w:eastAsia="zh-CN" w:bidi="ar-SA"/>
        </w:rPr>
        <w:t>、</w:t>
      </w:r>
      <w:r>
        <w:rPr>
          <w:rFonts w:hint="default" w:ascii="Times New Roman" w:hAnsi="Times New Roman" w:eastAsia="方正仿宋_GBK" w:cs="Times New Roman"/>
          <w:color w:val="000000"/>
          <w:spacing w:val="0"/>
          <w:kern w:val="2"/>
          <w:sz w:val="32"/>
          <w:szCs w:val="32"/>
          <w:highlight w:val="none"/>
          <w:lang w:val="en-US" w:eastAsia="zh-CN" w:bidi="ar-SA"/>
        </w:rPr>
        <w:t>信息股</w:t>
      </w:r>
      <w:r>
        <w:rPr>
          <w:rFonts w:hint="eastAsia" w:ascii="Times New Roman" w:hAnsi="Times New Roman" w:eastAsia="方正仿宋_GBK" w:cs="Times New Roman"/>
          <w:color w:val="000000"/>
          <w:spacing w:val="0"/>
          <w:kern w:val="2"/>
          <w:sz w:val="32"/>
          <w:szCs w:val="32"/>
          <w:highlight w:val="none"/>
          <w:lang w:val="en-US" w:eastAsia="zh-CN" w:bidi="ar-SA"/>
        </w:rPr>
        <w:t>、</w:t>
      </w:r>
      <w:r>
        <w:rPr>
          <w:rFonts w:hint="default" w:ascii="Times New Roman" w:hAnsi="Times New Roman" w:eastAsia="方正仿宋_GBK" w:cs="Times New Roman"/>
          <w:color w:val="000000"/>
          <w:spacing w:val="0"/>
          <w:kern w:val="2"/>
          <w:sz w:val="32"/>
          <w:szCs w:val="32"/>
          <w:highlight w:val="none"/>
          <w:lang w:val="en-US" w:eastAsia="zh-CN" w:bidi="ar-SA"/>
        </w:rPr>
        <w:t>综合</w:t>
      </w:r>
      <w:r>
        <w:rPr>
          <w:rFonts w:hint="eastAsia" w:ascii="Times New Roman" w:hAnsi="Times New Roman" w:eastAsia="方正仿宋_GBK" w:cs="Times New Roman"/>
          <w:color w:val="000000"/>
          <w:spacing w:val="0"/>
          <w:kern w:val="2"/>
          <w:sz w:val="32"/>
          <w:szCs w:val="32"/>
          <w:highlight w:val="none"/>
          <w:lang w:val="en-US" w:eastAsia="zh-CN" w:bidi="ar-SA"/>
        </w:rPr>
        <w:t>二</w:t>
      </w:r>
      <w:r>
        <w:rPr>
          <w:rFonts w:hint="default" w:ascii="Times New Roman" w:hAnsi="Times New Roman" w:eastAsia="方正仿宋_GBK" w:cs="Times New Roman"/>
          <w:color w:val="000000"/>
          <w:spacing w:val="0"/>
          <w:kern w:val="2"/>
          <w:sz w:val="32"/>
          <w:szCs w:val="32"/>
          <w:highlight w:val="none"/>
          <w:lang w:val="en-US" w:eastAsia="zh-CN" w:bidi="ar-SA"/>
        </w:rPr>
        <w:t>股、人事后勤股、保密机要局（股）、区委总值班室、</w:t>
      </w:r>
      <w:r>
        <w:rPr>
          <w:rFonts w:hint="eastAsia" w:ascii="Times New Roman" w:hAnsi="Times New Roman" w:eastAsia="方正仿宋_GBK" w:cs="Times New Roman"/>
          <w:color w:val="000000"/>
          <w:spacing w:val="0"/>
          <w:kern w:val="2"/>
          <w:sz w:val="32"/>
          <w:szCs w:val="32"/>
          <w:highlight w:val="none"/>
          <w:lang w:val="en-US" w:eastAsia="zh-CN" w:bidi="ar-SA"/>
        </w:rPr>
        <w:t>区电子政务建设服务中心</w:t>
      </w:r>
      <w:r>
        <w:rPr>
          <w:rFonts w:hint="default" w:ascii="Times New Roman" w:hAnsi="Times New Roman" w:eastAsia="方正仿宋_GBK" w:cs="Times New Roman"/>
          <w:color w:val="000000"/>
          <w:spacing w:val="0"/>
          <w:kern w:val="2"/>
          <w:sz w:val="32"/>
          <w:szCs w:val="32"/>
          <w:highlight w:val="none"/>
          <w:lang w:val="en-US" w:eastAsia="zh-CN" w:bidi="ar-SA"/>
        </w:rPr>
        <w:t>（</w:t>
      </w:r>
      <w:r>
        <w:rPr>
          <w:rFonts w:hint="eastAsia" w:ascii="Times New Roman" w:hAnsi="Times New Roman" w:eastAsia="方正仿宋_GBK" w:cs="Times New Roman"/>
          <w:color w:val="000000"/>
          <w:spacing w:val="0"/>
          <w:kern w:val="2"/>
          <w:sz w:val="32"/>
          <w:szCs w:val="32"/>
          <w:highlight w:val="none"/>
          <w:lang w:val="en-US" w:eastAsia="zh-CN" w:bidi="ar-SA"/>
        </w:rPr>
        <w:t>区</w:t>
      </w:r>
      <w:r>
        <w:rPr>
          <w:rFonts w:hint="default" w:ascii="Times New Roman" w:hAnsi="Times New Roman" w:eastAsia="方正仿宋_GBK" w:cs="Times New Roman"/>
          <w:color w:val="000000"/>
          <w:spacing w:val="0"/>
          <w:kern w:val="2"/>
          <w:sz w:val="32"/>
          <w:szCs w:val="32"/>
          <w:highlight w:val="none"/>
          <w:lang w:val="en-US" w:eastAsia="zh-CN" w:bidi="ar-SA"/>
        </w:rPr>
        <w:t>党政内网服务中心、</w:t>
      </w:r>
      <w:r>
        <w:rPr>
          <w:rFonts w:hint="eastAsia" w:ascii="Times New Roman" w:hAnsi="Times New Roman" w:eastAsia="方正仿宋_GBK" w:cs="Times New Roman"/>
          <w:color w:val="000000"/>
          <w:spacing w:val="0"/>
          <w:kern w:val="2"/>
          <w:sz w:val="32"/>
          <w:szCs w:val="32"/>
          <w:highlight w:val="none"/>
          <w:lang w:val="en-US" w:eastAsia="zh-CN" w:bidi="ar-SA"/>
        </w:rPr>
        <w:t>区</w:t>
      </w:r>
      <w:r>
        <w:rPr>
          <w:rFonts w:hint="default" w:ascii="Times New Roman" w:hAnsi="Times New Roman" w:eastAsia="方正仿宋_GBK" w:cs="Times New Roman"/>
          <w:color w:val="000000"/>
          <w:spacing w:val="0"/>
          <w:kern w:val="2"/>
          <w:sz w:val="32"/>
          <w:szCs w:val="32"/>
          <w:highlight w:val="none"/>
          <w:lang w:val="en-US" w:eastAsia="zh-CN" w:bidi="ar-SA"/>
        </w:rPr>
        <w:t>专用通</w:t>
      </w:r>
      <w:r>
        <w:rPr>
          <w:rFonts w:hint="eastAsia" w:ascii="Times New Roman" w:hAnsi="Times New Roman" w:eastAsia="方正仿宋_GBK" w:cs="Times New Roman"/>
          <w:color w:val="000000"/>
          <w:spacing w:val="0"/>
          <w:kern w:val="2"/>
          <w:sz w:val="32"/>
          <w:szCs w:val="32"/>
          <w:highlight w:val="none"/>
          <w:lang w:val="en-US" w:eastAsia="zh-CN" w:bidi="ar-SA"/>
        </w:rPr>
        <w:t>信</w:t>
      </w:r>
      <w:r>
        <w:rPr>
          <w:rFonts w:hint="default" w:ascii="Times New Roman" w:hAnsi="Times New Roman" w:eastAsia="方正仿宋_GBK" w:cs="Times New Roman"/>
          <w:color w:val="000000"/>
          <w:spacing w:val="0"/>
          <w:kern w:val="2"/>
          <w:sz w:val="32"/>
          <w:szCs w:val="32"/>
          <w:highlight w:val="none"/>
          <w:lang w:val="en-US" w:eastAsia="zh-CN" w:bidi="ar-SA"/>
        </w:rPr>
        <w:t>服务中心）</w:t>
      </w:r>
      <w:r>
        <w:rPr>
          <w:rFonts w:hint="eastAsia" w:ascii="Times New Roman" w:hAnsi="Times New Roman" w:eastAsia="方正仿宋_GBK" w:cs="Times New Roman"/>
          <w:color w:val="000000"/>
          <w:spacing w:val="0"/>
          <w:kern w:val="2"/>
          <w:sz w:val="32"/>
          <w:szCs w:val="32"/>
          <w:highlight w:val="none"/>
          <w:lang w:val="en-US" w:eastAsia="zh-CN" w:bidi="ar-SA"/>
        </w:rPr>
        <w:t>、共同富裕建设一股、共同富裕建设二股、</w:t>
      </w:r>
      <w:r>
        <w:rPr>
          <w:rFonts w:hint="default" w:ascii="Times New Roman" w:hAnsi="Times New Roman" w:eastAsia="方正仿宋_GBK" w:cs="Times New Roman"/>
          <w:color w:val="000000"/>
          <w:spacing w:val="0"/>
          <w:kern w:val="2"/>
          <w:sz w:val="32"/>
          <w:szCs w:val="32"/>
          <w:highlight w:val="none"/>
          <w:lang w:val="en-US" w:eastAsia="zh-CN" w:bidi="ar-SA"/>
        </w:rPr>
        <w:t>综合督查股</w:t>
      </w:r>
      <w:r>
        <w:rPr>
          <w:rFonts w:hint="eastAsia" w:ascii="Times New Roman" w:hAnsi="Times New Roman" w:eastAsia="方正仿宋_GBK" w:cs="Times New Roman"/>
          <w:color w:val="000000"/>
          <w:spacing w:val="0"/>
          <w:kern w:val="2"/>
          <w:sz w:val="32"/>
          <w:szCs w:val="32"/>
          <w:highlight w:val="none"/>
          <w:lang w:val="en-US" w:eastAsia="zh-CN" w:bidi="ar-SA"/>
        </w:rPr>
        <w:t>、绩效管理股。</w:t>
      </w:r>
    </w:p>
    <w:p w14:paraId="576363A2">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方正仿宋_GBK" w:cs="Times New Roman"/>
          <w:color w:val="000000"/>
          <w:spacing w:val="0"/>
          <w:kern w:val="2"/>
          <w:sz w:val="32"/>
          <w:szCs w:val="32"/>
          <w:highlight w:val="none"/>
          <w:lang w:val="zh-CN" w:eastAsia="zh-CN" w:bidi="ar-SA"/>
        </w:rPr>
      </w:pPr>
      <w:r>
        <w:rPr>
          <w:rFonts w:hint="eastAsia" w:ascii="方正楷体_GBK" w:hAnsi="方正楷体_GBK" w:eastAsia="方正楷体_GBK" w:cs="方正楷体_GBK"/>
          <w:b/>
          <w:bCs w:val="0"/>
          <w:kern w:val="0"/>
          <w:sz w:val="32"/>
          <w:szCs w:val="32"/>
          <w:lang w:val="en-US" w:eastAsia="zh-CN" w:bidi="ar"/>
        </w:rPr>
        <w:t xml:space="preserve">    </w:t>
      </w:r>
      <w:r>
        <w:rPr>
          <w:rFonts w:hint="default" w:ascii="方正楷体_GBK" w:hAnsi="方正楷体_GBK" w:eastAsia="方正楷体_GBK" w:cs="方正楷体_GBK"/>
          <w:b/>
          <w:bCs w:val="0"/>
          <w:kern w:val="0"/>
          <w:sz w:val="32"/>
          <w:szCs w:val="32"/>
          <w:lang w:val="zh-CN" w:eastAsia="zh-CN" w:bidi="ar"/>
        </w:rPr>
        <w:t>（二）机构职能</w:t>
      </w:r>
      <w:r>
        <w:rPr>
          <w:rFonts w:hint="eastAsia" w:ascii="方正楷体_GBK" w:hAnsi="方正楷体_GBK" w:eastAsia="方正楷体_GBK" w:cs="方正楷体_GBK"/>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en-US" w:eastAsia="zh-CN" w:bidi="ar-SA"/>
        </w:rPr>
        <w:t>一是</w:t>
      </w:r>
      <w:r>
        <w:rPr>
          <w:rFonts w:hint="default" w:ascii="Times New Roman" w:hAnsi="Times New Roman" w:eastAsia="方正仿宋_GBK" w:cs="Times New Roman"/>
          <w:color w:val="000000"/>
          <w:spacing w:val="0"/>
          <w:kern w:val="2"/>
          <w:sz w:val="32"/>
          <w:szCs w:val="32"/>
          <w:highlight w:val="none"/>
          <w:lang w:val="en-US" w:eastAsia="zh-CN" w:bidi="ar-SA"/>
        </w:rPr>
        <w:t>负责区委日常文书的处理，督促检查市委和区委重要工作部署的贯彻落实情况，负责区委领导同志批示的转达和催办落实</w:t>
      </w:r>
      <w:r>
        <w:rPr>
          <w:rFonts w:hint="eastAsia" w:ascii="Times New Roman" w:hAnsi="Times New Roman" w:eastAsia="方正仿宋_GBK" w:cs="Times New Roman"/>
          <w:color w:val="000000"/>
          <w:spacing w:val="0"/>
          <w:kern w:val="2"/>
          <w:sz w:val="32"/>
          <w:szCs w:val="32"/>
          <w:highlight w:val="none"/>
          <w:lang w:val="en-US" w:eastAsia="zh-CN" w:bidi="ar-SA"/>
        </w:rPr>
        <w:t>；二是</w:t>
      </w:r>
      <w:r>
        <w:rPr>
          <w:rFonts w:hint="default" w:ascii="Times New Roman" w:hAnsi="Times New Roman" w:eastAsia="方正仿宋_GBK" w:cs="Times New Roman"/>
          <w:color w:val="000000"/>
          <w:spacing w:val="0"/>
          <w:kern w:val="2"/>
          <w:sz w:val="32"/>
          <w:szCs w:val="32"/>
          <w:highlight w:val="none"/>
          <w:lang w:val="en-US" w:eastAsia="zh-CN" w:bidi="ar-SA"/>
        </w:rPr>
        <w:t>围绕市委和区委工作部署，收集信息、反映动态、综合调研；承担区委文件、文稿的起草、修改和校正工作；负责区委和区委办公室文件的印制、分发、管理等工作</w:t>
      </w:r>
      <w:r>
        <w:rPr>
          <w:rFonts w:hint="eastAsia" w:ascii="Times New Roman" w:hAnsi="Times New Roman" w:eastAsia="方正仿宋_GBK" w:cs="Times New Roman"/>
          <w:color w:val="000000"/>
          <w:spacing w:val="0"/>
          <w:kern w:val="2"/>
          <w:sz w:val="32"/>
          <w:szCs w:val="32"/>
          <w:highlight w:val="none"/>
          <w:lang w:val="en-US" w:eastAsia="zh-CN" w:bidi="ar-SA"/>
        </w:rPr>
        <w:t>；三是</w:t>
      </w:r>
      <w:r>
        <w:rPr>
          <w:rFonts w:hint="default" w:ascii="Times New Roman" w:hAnsi="Times New Roman" w:eastAsia="方正仿宋_GBK" w:cs="Times New Roman"/>
          <w:color w:val="000000"/>
          <w:spacing w:val="0"/>
          <w:kern w:val="2"/>
          <w:sz w:val="32"/>
          <w:szCs w:val="32"/>
          <w:highlight w:val="none"/>
          <w:lang w:val="en-US" w:eastAsia="zh-CN" w:bidi="ar-SA"/>
        </w:rPr>
        <w:t>负责区委重要会议事务工作和区委领导同志参加重大活动的组织安排；负责区委的有关接待工作</w:t>
      </w:r>
      <w:r>
        <w:rPr>
          <w:rFonts w:hint="eastAsia" w:ascii="Times New Roman" w:hAnsi="Times New Roman" w:eastAsia="方正仿宋_GBK" w:cs="Times New Roman"/>
          <w:color w:val="000000"/>
          <w:spacing w:val="0"/>
          <w:kern w:val="2"/>
          <w:sz w:val="32"/>
          <w:szCs w:val="32"/>
          <w:highlight w:val="none"/>
          <w:lang w:val="en-US" w:eastAsia="zh-CN" w:bidi="ar-SA"/>
        </w:rPr>
        <w:t>；四是负责共同富裕试验区建设重大政策、重大规划、重大改革，研究、计划、编制并组织实施；五是</w:t>
      </w:r>
      <w:r>
        <w:rPr>
          <w:rFonts w:hint="default" w:ascii="Times New Roman" w:hAnsi="Times New Roman" w:eastAsia="方正仿宋_GBK" w:cs="Times New Roman"/>
          <w:color w:val="000000"/>
          <w:spacing w:val="0"/>
          <w:kern w:val="2"/>
          <w:sz w:val="32"/>
          <w:szCs w:val="32"/>
          <w:highlight w:val="none"/>
          <w:lang w:val="en-US" w:eastAsia="zh-CN" w:bidi="ar-SA"/>
        </w:rPr>
        <w:t>负责信息、政研、督查工作</w:t>
      </w:r>
      <w:r>
        <w:rPr>
          <w:rFonts w:hint="eastAsia" w:ascii="Times New Roman" w:hAnsi="Times New Roman" w:eastAsia="方正仿宋_GBK" w:cs="Times New Roman"/>
          <w:color w:val="000000"/>
          <w:spacing w:val="0"/>
          <w:kern w:val="2"/>
          <w:sz w:val="32"/>
          <w:szCs w:val="32"/>
          <w:highlight w:val="none"/>
          <w:lang w:val="en-US" w:eastAsia="zh-CN" w:bidi="ar-SA"/>
        </w:rPr>
        <w:t>；六是</w:t>
      </w:r>
      <w:r>
        <w:rPr>
          <w:rFonts w:hint="default" w:ascii="Times New Roman" w:hAnsi="Times New Roman" w:eastAsia="方正仿宋_GBK" w:cs="Times New Roman"/>
          <w:color w:val="000000"/>
          <w:spacing w:val="0"/>
          <w:kern w:val="2"/>
          <w:sz w:val="32"/>
          <w:szCs w:val="32"/>
          <w:highlight w:val="none"/>
          <w:lang w:val="en-US" w:eastAsia="zh-CN" w:bidi="ar-SA"/>
        </w:rPr>
        <w:t>负责安全防范、保密和综合治理工作</w:t>
      </w:r>
      <w:r>
        <w:rPr>
          <w:rFonts w:hint="eastAsia" w:ascii="Times New Roman" w:hAnsi="Times New Roman" w:eastAsia="方正仿宋_GBK" w:cs="Times New Roman"/>
          <w:color w:val="000000"/>
          <w:spacing w:val="0"/>
          <w:kern w:val="2"/>
          <w:sz w:val="32"/>
          <w:szCs w:val="32"/>
          <w:highlight w:val="none"/>
          <w:lang w:val="en-US" w:eastAsia="zh-CN" w:bidi="ar-SA"/>
        </w:rPr>
        <w:t>；七是</w:t>
      </w:r>
      <w:r>
        <w:rPr>
          <w:rFonts w:hint="default" w:ascii="Times New Roman" w:hAnsi="Times New Roman" w:eastAsia="方正仿宋_GBK" w:cs="Times New Roman"/>
          <w:color w:val="000000"/>
          <w:spacing w:val="0"/>
          <w:kern w:val="2"/>
          <w:sz w:val="32"/>
          <w:szCs w:val="32"/>
          <w:highlight w:val="none"/>
          <w:lang w:val="en-US" w:eastAsia="zh-CN" w:bidi="ar-SA"/>
        </w:rPr>
        <w:t>负责区委领导的服务工作</w:t>
      </w:r>
      <w:r>
        <w:rPr>
          <w:rFonts w:hint="eastAsia" w:ascii="Times New Roman" w:hAnsi="Times New Roman" w:eastAsia="方正仿宋_GBK" w:cs="Times New Roman"/>
          <w:color w:val="000000"/>
          <w:spacing w:val="0"/>
          <w:kern w:val="2"/>
          <w:sz w:val="32"/>
          <w:szCs w:val="32"/>
          <w:highlight w:val="none"/>
          <w:lang w:val="en-US" w:eastAsia="zh-CN" w:bidi="ar-SA"/>
        </w:rPr>
        <w:t>；八是</w:t>
      </w:r>
      <w:r>
        <w:rPr>
          <w:rFonts w:hint="default" w:ascii="Times New Roman" w:hAnsi="Times New Roman" w:eastAsia="方正仿宋_GBK" w:cs="Times New Roman"/>
          <w:color w:val="000000"/>
          <w:spacing w:val="0"/>
          <w:kern w:val="2"/>
          <w:sz w:val="32"/>
          <w:szCs w:val="32"/>
          <w:highlight w:val="none"/>
          <w:lang w:val="en-US" w:eastAsia="zh-CN" w:bidi="ar-SA"/>
        </w:rPr>
        <w:t>协调各部门工作关系</w:t>
      </w:r>
      <w:r>
        <w:rPr>
          <w:rFonts w:hint="eastAsia" w:ascii="Times New Roman" w:hAnsi="Times New Roman" w:eastAsia="方正仿宋_GBK" w:cs="Times New Roman"/>
          <w:color w:val="000000"/>
          <w:spacing w:val="0"/>
          <w:kern w:val="2"/>
          <w:sz w:val="32"/>
          <w:szCs w:val="32"/>
          <w:highlight w:val="none"/>
          <w:lang w:val="en-US" w:eastAsia="zh-CN" w:bidi="ar-SA"/>
        </w:rPr>
        <w:t>；九是</w:t>
      </w:r>
      <w:r>
        <w:rPr>
          <w:rFonts w:hint="default" w:ascii="Times New Roman" w:hAnsi="Times New Roman" w:eastAsia="方正仿宋_GBK" w:cs="Times New Roman"/>
          <w:color w:val="000000"/>
          <w:spacing w:val="0"/>
          <w:kern w:val="2"/>
          <w:sz w:val="32"/>
          <w:szCs w:val="32"/>
          <w:highlight w:val="none"/>
          <w:lang w:val="en-US" w:eastAsia="zh-CN" w:bidi="ar-SA"/>
        </w:rPr>
        <w:t>负责办公室机关党的思想、组织、作风建设和社会主义精神文明建设</w:t>
      </w:r>
      <w:r>
        <w:rPr>
          <w:rFonts w:hint="eastAsia" w:ascii="Times New Roman" w:hAnsi="Times New Roman" w:eastAsia="方正仿宋_GBK" w:cs="Times New Roman"/>
          <w:color w:val="000000"/>
          <w:spacing w:val="0"/>
          <w:kern w:val="2"/>
          <w:sz w:val="32"/>
          <w:szCs w:val="32"/>
          <w:highlight w:val="none"/>
          <w:lang w:val="en-US" w:eastAsia="zh-CN" w:bidi="ar-SA"/>
        </w:rPr>
        <w:t>；十是</w:t>
      </w:r>
      <w:r>
        <w:rPr>
          <w:rFonts w:hint="default" w:ascii="Times New Roman" w:hAnsi="Times New Roman" w:eastAsia="方正仿宋_GBK" w:cs="Times New Roman"/>
          <w:color w:val="000000"/>
          <w:spacing w:val="0"/>
          <w:kern w:val="2"/>
          <w:sz w:val="32"/>
          <w:szCs w:val="32"/>
          <w:highlight w:val="none"/>
          <w:lang w:val="en-US" w:eastAsia="zh-CN" w:bidi="ar-SA"/>
        </w:rPr>
        <w:t>承办区委交办的其它工作。</w:t>
      </w:r>
    </w:p>
    <w:p w14:paraId="3CC92B72">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default" w:ascii="方正楷体_GBK" w:hAnsi="方正楷体_GBK" w:eastAsia="方正楷体_GBK" w:cs="方正楷体_GBK"/>
          <w:b/>
          <w:bCs w:val="0"/>
          <w:kern w:val="0"/>
          <w:sz w:val="32"/>
          <w:szCs w:val="32"/>
          <w:lang w:val="zh-CN" w:eastAsia="zh-CN" w:bidi="ar"/>
        </w:rPr>
        <w:t>（</w:t>
      </w:r>
      <w:r>
        <w:rPr>
          <w:rFonts w:hint="eastAsia" w:ascii="方正楷体_GBK" w:hAnsi="方正楷体_GBK" w:eastAsia="方正楷体_GBK" w:cs="方正楷体_GBK"/>
          <w:b/>
          <w:bCs w:val="0"/>
          <w:kern w:val="0"/>
          <w:sz w:val="32"/>
          <w:szCs w:val="32"/>
          <w:lang w:val="zh-CN" w:eastAsia="zh-CN" w:bidi="ar"/>
        </w:rPr>
        <w:t>三</w:t>
      </w:r>
      <w:r>
        <w:rPr>
          <w:rFonts w:hint="default" w:ascii="方正楷体_GBK" w:hAnsi="方正楷体_GBK" w:eastAsia="方正楷体_GBK" w:cs="方正楷体_GBK"/>
          <w:b/>
          <w:bCs w:val="0"/>
          <w:kern w:val="0"/>
          <w:sz w:val="32"/>
          <w:szCs w:val="32"/>
          <w:lang w:val="zh-CN" w:eastAsia="zh-CN" w:bidi="ar"/>
        </w:rPr>
        <w:t>）人员概况</w:t>
      </w:r>
      <w:r>
        <w:rPr>
          <w:rFonts w:hint="eastAsia" w:ascii="方正楷体_GBK" w:hAnsi="方正楷体_GBK" w:eastAsia="方正楷体_GBK" w:cs="方正楷体_GBK"/>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en-US" w:eastAsia="zh-CN" w:bidi="ar-SA"/>
        </w:rPr>
        <w:t>截至202</w:t>
      </w:r>
      <w:r>
        <w:rPr>
          <w:rFonts w:hint="eastAsia" w:ascii="Times New Roman" w:hAnsi="Times New Roman" w:eastAsia="方正仿宋_GBK" w:cs="Times New Roman"/>
          <w:color w:val="000000"/>
          <w:spacing w:val="0"/>
          <w:kern w:val="2"/>
          <w:sz w:val="32"/>
          <w:szCs w:val="32"/>
          <w:highlight w:val="none"/>
          <w:lang w:val="en-US" w:eastAsia="zh-CN" w:bidi="ar-SA"/>
        </w:rPr>
        <w:t>4</w:t>
      </w:r>
      <w:r>
        <w:rPr>
          <w:rFonts w:hint="default" w:ascii="Times New Roman" w:hAnsi="Times New Roman" w:eastAsia="方正仿宋_GBK" w:cs="Times New Roman"/>
          <w:color w:val="000000"/>
          <w:spacing w:val="0"/>
          <w:kern w:val="2"/>
          <w:sz w:val="32"/>
          <w:szCs w:val="32"/>
          <w:highlight w:val="none"/>
          <w:lang w:val="en-US" w:eastAsia="zh-CN" w:bidi="ar-SA"/>
        </w:rPr>
        <w:t>年末，</w:t>
      </w:r>
      <w:r>
        <w:rPr>
          <w:rFonts w:hint="eastAsia" w:ascii="Times New Roman" w:hAnsi="Times New Roman" w:eastAsia="方正仿宋_GBK" w:cs="Times New Roman"/>
          <w:color w:val="000000"/>
          <w:spacing w:val="0"/>
          <w:kern w:val="2"/>
          <w:sz w:val="32"/>
          <w:szCs w:val="32"/>
          <w:highlight w:val="none"/>
          <w:lang w:val="en-US" w:eastAsia="zh-CN" w:bidi="ar-SA"/>
        </w:rPr>
        <w:t>区委办公室（含区委共富办、区电子政务政务建设服务中心、区社会建设事务中心）总编制37人，其中行政编制16人、参公编制11人、事业编制10人。截至2024年12月31日，实有在职人员27人，其中行政人员12人、参公人员6人、事业人员9人。</w:t>
      </w:r>
    </w:p>
    <w:p w14:paraId="4EA55FB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1"/>
        <w:rPr>
          <w:rFonts w:hint="default" w:ascii="方正黑体_GBK" w:hAnsi="方正黑体_GBK" w:eastAsia="方正黑体_GBK" w:cs="方正黑体_GBK"/>
          <w:b w:val="0"/>
          <w:bCs/>
          <w:kern w:val="2"/>
          <w:sz w:val="32"/>
          <w:szCs w:val="32"/>
          <w:lang w:val="zh-CN" w:eastAsia="zh-CN" w:bidi="ar-SA"/>
        </w:rPr>
      </w:pPr>
      <w:bookmarkStart w:id="247" w:name="_Toc1070665465"/>
      <w:bookmarkStart w:id="248" w:name="_Toc499932362"/>
      <w:bookmarkStart w:id="249" w:name="_Toc907008267"/>
      <w:bookmarkStart w:id="250" w:name="_Toc1195742689"/>
      <w:bookmarkStart w:id="251" w:name="_Toc1111952620"/>
      <w:bookmarkStart w:id="252" w:name="_Toc1907551192"/>
      <w:r>
        <w:rPr>
          <w:rFonts w:hint="default" w:ascii="方正黑体_GBK" w:hAnsi="方正黑体_GBK" w:eastAsia="方正黑体_GBK" w:cs="方正黑体_GBK"/>
          <w:b w:val="0"/>
          <w:bCs/>
          <w:kern w:val="2"/>
          <w:sz w:val="32"/>
          <w:szCs w:val="32"/>
          <w:lang w:val="zh-CN" w:eastAsia="zh-CN" w:bidi="ar-SA"/>
        </w:rPr>
        <w:t>二、部门资金收支情况</w:t>
      </w:r>
      <w:bookmarkEnd w:id="247"/>
      <w:bookmarkEnd w:id="248"/>
      <w:bookmarkEnd w:id="249"/>
      <w:bookmarkEnd w:id="250"/>
      <w:bookmarkEnd w:id="251"/>
      <w:bookmarkEnd w:id="252"/>
    </w:p>
    <w:p w14:paraId="41F137BE">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方正楷体_GBK" w:hAnsi="方正楷体_GBK" w:eastAsia="方正楷体_GBK" w:cs="方正楷体_GBK"/>
          <w:b/>
          <w:bCs w:val="0"/>
          <w:kern w:val="0"/>
          <w:sz w:val="32"/>
          <w:szCs w:val="32"/>
          <w:lang w:val="zh-CN" w:eastAsia="zh-CN" w:bidi="ar"/>
        </w:rPr>
        <w:t>（一）</w:t>
      </w:r>
      <w:r>
        <w:rPr>
          <w:rFonts w:hint="eastAsia" w:ascii="方正楷体_GBK" w:hAnsi="方正楷体_GBK" w:eastAsia="方正楷体_GBK" w:cs="方正楷体_GBK"/>
          <w:b/>
          <w:bCs w:val="0"/>
          <w:kern w:val="0"/>
          <w:sz w:val="32"/>
          <w:szCs w:val="32"/>
          <w:lang w:val="zh-CN" w:eastAsia="zh-CN" w:bidi="ar"/>
        </w:rPr>
        <w:t>收入情况</w:t>
      </w:r>
      <w:r>
        <w:rPr>
          <w:rFonts w:hint="default" w:ascii="方正楷体_GBK" w:hAnsi="方正楷体_GBK" w:eastAsia="方正楷体_GBK" w:cs="方正楷体_GBK"/>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zh-CN" w:eastAsia="zh-CN" w:bidi="ar-SA"/>
        </w:rPr>
        <w:t>2024年总收入926.12万元，2024年较2023年增长7.54%。原因分析：2024年结转和结余上年项目资金70.61万元，追加政府性基金预算拨款收入105.35万元，用于城乡社区支出土地开发项目。</w:t>
      </w:r>
    </w:p>
    <w:p w14:paraId="640C9E13">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default" w:ascii="方正楷体_GBK" w:hAnsi="方正楷体_GBK" w:eastAsia="方正楷体_GBK" w:cs="方正楷体_GBK"/>
          <w:b/>
          <w:bCs w:val="0"/>
          <w:kern w:val="0"/>
          <w:sz w:val="32"/>
          <w:szCs w:val="32"/>
          <w:lang w:val="zh-CN" w:eastAsia="zh-CN" w:bidi="ar"/>
        </w:rPr>
        <w:t>（</w:t>
      </w:r>
      <w:r>
        <w:rPr>
          <w:rFonts w:hint="eastAsia" w:ascii="方正楷体_GBK" w:hAnsi="方正楷体_GBK" w:eastAsia="方正楷体_GBK" w:cs="方正楷体_GBK"/>
          <w:b/>
          <w:bCs w:val="0"/>
          <w:kern w:val="0"/>
          <w:sz w:val="32"/>
          <w:szCs w:val="32"/>
          <w:lang w:val="zh-CN" w:eastAsia="zh-CN" w:bidi="ar"/>
        </w:rPr>
        <w:t>二</w:t>
      </w:r>
      <w:r>
        <w:rPr>
          <w:rFonts w:hint="default" w:ascii="方正楷体_GBK" w:hAnsi="方正楷体_GBK" w:eastAsia="方正楷体_GBK" w:cs="方正楷体_GBK"/>
          <w:b/>
          <w:bCs w:val="0"/>
          <w:kern w:val="0"/>
          <w:sz w:val="32"/>
          <w:szCs w:val="32"/>
          <w:lang w:val="zh-CN" w:eastAsia="zh-CN" w:bidi="ar"/>
        </w:rPr>
        <w:t>）</w:t>
      </w:r>
      <w:r>
        <w:rPr>
          <w:rFonts w:hint="eastAsia" w:ascii="方正楷体_GBK" w:hAnsi="方正楷体_GBK" w:eastAsia="方正楷体_GBK" w:cs="方正楷体_GBK"/>
          <w:b/>
          <w:bCs w:val="0"/>
          <w:kern w:val="0"/>
          <w:sz w:val="32"/>
          <w:szCs w:val="32"/>
          <w:lang w:val="zh-CN" w:eastAsia="zh-CN" w:bidi="ar"/>
        </w:rPr>
        <w:t>支出情况</w:t>
      </w:r>
      <w:r>
        <w:rPr>
          <w:rFonts w:hint="default" w:ascii="方正楷体_GBK" w:hAnsi="方正楷体_GBK" w:eastAsia="方正楷体_GBK" w:cs="方正楷体_GBK"/>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zh-CN" w:eastAsia="zh-CN" w:bidi="ar-SA"/>
        </w:rPr>
        <w:t>2024年总收入926.12万元，2024年较2023年增长7.54%。原因分析：2024年结转和结余上年项目资金70.61万元，追加政府性基金预算拨款收入105.35万元，用于城乡社区支出土地开发项目</w:t>
      </w:r>
      <w:r>
        <w:rPr>
          <w:rFonts w:hint="eastAsia" w:ascii="Times New Roman" w:hAnsi="Times New Roman" w:eastAsia="方正仿宋_GBK" w:cs="Times New Roman"/>
          <w:color w:val="000000"/>
          <w:spacing w:val="0"/>
          <w:kern w:val="2"/>
          <w:sz w:val="32"/>
          <w:szCs w:val="32"/>
          <w:highlight w:val="none"/>
          <w:lang w:val="zh-CN" w:eastAsia="zh-CN" w:bidi="ar-SA"/>
        </w:rPr>
        <w:t>。</w:t>
      </w:r>
    </w:p>
    <w:p w14:paraId="053F63F8">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方正楷体_GBK" w:hAnsi="方正楷体_GBK" w:eastAsia="方正楷体_GBK" w:cs="方正楷体_GBK"/>
          <w:b/>
          <w:bCs w:val="0"/>
          <w:kern w:val="0"/>
          <w:sz w:val="32"/>
          <w:szCs w:val="32"/>
          <w:lang w:val="zh-CN" w:eastAsia="zh-CN" w:bidi="ar"/>
        </w:rPr>
      </w:pPr>
      <w:r>
        <w:rPr>
          <w:rFonts w:hint="default" w:ascii="方正楷体_GBK" w:hAnsi="方正楷体_GBK" w:eastAsia="方正楷体_GBK" w:cs="方正楷体_GBK"/>
          <w:b/>
          <w:bCs w:val="0"/>
          <w:kern w:val="0"/>
          <w:sz w:val="32"/>
          <w:szCs w:val="32"/>
          <w:lang w:val="zh-CN" w:eastAsia="zh-CN" w:bidi="ar"/>
        </w:rPr>
        <w:t>（</w:t>
      </w:r>
      <w:r>
        <w:rPr>
          <w:rFonts w:hint="eastAsia" w:ascii="方正楷体_GBK" w:hAnsi="方正楷体_GBK" w:eastAsia="方正楷体_GBK" w:cs="方正楷体_GBK"/>
          <w:b/>
          <w:bCs w:val="0"/>
          <w:kern w:val="0"/>
          <w:sz w:val="32"/>
          <w:szCs w:val="32"/>
          <w:lang w:val="zh-CN" w:eastAsia="zh-CN" w:bidi="ar"/>
        </w:rPr>
        <w:t>三</w:t>
      </w:r>
      <w:r>
        <w:rPr>
          <w:rFonts w:hint="default" w:ascii="方正楷体_GBK" w:hAnsi="方正楷体_GBK" w:eastAsia="方正楷体_GBK" w:cs="方正楷体_GBK"/>
          <w:b/>
          <w:bCs w:val="0"/>
          <w:kern w:val="0"/>
          <w:sz w:val="32"/>
          <w:szCs w:val="32"/>
          <w:lang w:val="zh-CN" w:eastAsia="zh-CN" w:bidi="ar"/>
        </w:rPr>
        <w:t>）结余分配和结转结余情况</w:t>
      </w:r>
      <w:r>
        <w:rPr>
          <w:rFonts w:hint="eastAsia" w:ascii="方正楷体_GBK" w:hAnsi="方正楷体_GBK" w:eastAsia="方正楷体_GBK" w:cs="方正楷体_GBK"/>
          <w:b/>
          <w:bCs w:val="0"/>
          <w:kern w:val="0"/>
          <w:sz w:val="32"/>
          <w:szCs w:val="32"/>
          <w:lang w:val="zh-CN" w:eastAsia="zh-CN" w:bidi="ar"/>
        </w:rPr>
        <w:t>。</w:t>
      </w:r>
    </w:p>
    <w:p w14:paraId="69C1B1E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outlineLvl w:val="9"/>
        <w:rPr>
          <w:rFonts w:hint="default"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color w:val="000000"/>
          <w:spacing w:val="0"/>
          <w:kern w:val="2"/>
          <w:sz w:val="32"/>
          <w:szCs w:val="32"/>
          <w:highlight w:val="none"/>
          <w:lang w:val="zh-CN" w:eastAsia="zh-CN" w:bidi="ar-SA"/>
        </w:rPr>
        <w:t>区</w:t>
      </w:r>
      <w:r>
        <w:rPr>
          <w:rFonts w:hint="eastAsia" w:ascii="Times New Roman" w:hAnsi="Times New Roman" w:eastAsia="方正仿宋_GBK" w:cs="Times New Roman"/>
          <w:color w:val="000000"/>
          <w:spacing w:val="0"/>
          <w:kern w:val="2"/>
          <w:sz w:val="32"/>
          <w:szCs w:val="32"/>
          <w:highlight w:val="none"/>
          <w:lang w:val="en-US" w:eastAsia="zh-CN" w:bidi="ar-SA"/>
        </w:rPr>
        <w:t>委办</w:t>
      </w:r>
      <w:r>
        <w:rPr>
          <w:rFonts w:hint="eastAsia" w:ascii="Times New Roman" w:hAnsi="Times New Roman" w:eastAsia="方正仿宋_GBK" w:cs="Times New Roman"/>
          <w:color w:val="000000"/>
          <w:spacing w:val="0"/>
          <w:kern w:val="2"/>
          <w:sz w:val="32"/>
          <w:szCs w:val="32"/>
          <w:highlight w:val="none"/>
          <w:lang w:val="zh-CN" w:eastAsia="zh-CN" w:bidi="ar-SA"/>
        </w:rPr>
        <w:t>202</w:t>
      </w:r>
      <w:r>
        <w:rPr>
          <w:rFonts w:hint="eastAsia" w:ascii="Times New Roman" w:hAnsi="Times New Roman" w:eastAsia="方正仿宋_GBK" w:cs="Times New Roman"/>
          <w:color w:val="000000"/>
          <w:spacing w:val="0"/>
          <w:kern w:val="2"/>
          <w:sz w:val="32"/>
          <w:szCs w:val="32"/>
          <w:highlight w:val="none"/>
          <w:lang w:val="en-US" w:eastAsia="zh-CN" w:bidi="ar-SA"/>
        </w:rPr>
        <w:t>4</w:t>
      </w:r>
      <w:r>
        <w:rPr>
          <w:rFonts w:hint="eastAsia" w:ascii="Times New Roman" w:hAnsi="Times New Roman" w:eastAsia="方正仿宋_GBK" w:cs="Times New Roman"/>
          <w:color w:val="000000"/>
          <w:spacing w:val="0"/>
          <w:kern w:val="2"/>
          <w:sz w:val="32"/>
          <w:szCs w:val="32"/>
          <w:highlight w:val="none"/>
          <w:lang w:val="zh-CN" w:eastAsia="zh-CN" w:bidi="ar-SA"/>
        </w:rPr>
        <w:t>年无结余分配和结转结余。</w:t>
      </w:r>
    </w:p>
    <w:p w14:paraId="30661BE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1"/>
        <w:rPr>
          <w:rFonts w:hint="default" w:ascii="方正黑体_GBK" w:hAnsi="方正黑体_GBK" w:eastAsia="方正黑体_GBK" w:cs="方正黑体_GBK"/>
          <w:b w:val="0"/>
          <w:bCs/>
          <w:kern w:val="2"/>
          <w:sz w:val="32"/>
          <w:szCs w:val="32"/>
          <w:lang w:val="zh-CN" w:eastAsia="zh-CN" w:bidi="ar-SA"/>
        </w:rPr>
      </w:pPr>
      <w:bookmarkStart w:id="253" w:name="_Toc1607386316"/>
      <w:bookmarkStart w:id="254" w:name="_Toc529091069"/>
      <w:bookmarkStart w:id="255" w:name="_Toc1540306008"/>
      <w:bookmarkStart w:id="256" w:name="_Toc602233979"/>
      <w:bookmarkStart w:id="257" w:name="_Toc1921971555"/>
      <w:bookmarkStart w:id="258" w:name="_Toc37078968"/>
      <w:r>
        <w:rPr>
          <w:rFonts w:hint="default" w:ascii="方正黑体_GBK" w:hAnsi="方正黑体_GBK" w:eastAsia="方正黑体_GBK" w:cs="方正黑体_GBK"/>
          <w:b w:val="0"/>
          <w:bCs/>
          <w:kern w:val="2"/>
          <w:sz w:val="32"/>
          <w:szCs w:val="32"/>
          <w:lang w:val="zh-CN" w:eastAsia="zh-CN" w:bidi="ar-SA"/>
        </w:rPr>
        <w:t>三、部门预算绩效分析</w:t>
      </w:r>
      <w:bookmarkEnd w:id="253"/>
      <w:bookmarkEnd w:id="254"/>
      <w:bookmarkEnd w:id="255"/>
      <w:bookmarkEnd w:id="256"/>
      <w:bookmarkEnd w:id="257"/>
      <w:bookmarkEnd w:id="258"/>
    </w:p>
    <w:p w14:paraId="2E359A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eastAsia="方正仿宋_GBK" w:cs="Times New Roman"/>
          <w:color w:val="000000"/>
          <w:spacing w:val="0"/>
          <w:kern w:val="2"/>
          <w:sz w:val="32"/>
          <w:szCs w:val="32"/>
          <w:highlight w:val="none"/>
          <w:lang w:val="zh-CN" w:eastAsia="zh-CN" w:bidi="ar-SA"/>
        </w:rPr>
      </w:pPr>
      <w:r>
        <w:rPr>
          <w:rFonts w:hint="default" w:ascii="方正楷体_GBK" w:hAnsi="方正楷体_GBK" w:eastAsia="方正楷体_GBK" w:cs="方正楷体_GBK"/>
          <w:b/>
          <w:bCs w:val="0"/>
          <w:kern w:val="0"/>
          <w:sz w:val="32"/>
          <w:szCs w:val="32"/>
          <w:lang w:val="zh-CN" w:eastAsia="zh-CN" w:bidi="ar"/>
        </w:rPr>
        <w:t>（一）</w:t>
      </w:r>
      <w:r>
        <w:rPr>
          <w:rFonts w:hint="eastAsia" w:ascii="方正楷体_GBK" w:hAnsi="方正楷体_GBK" w:eastAsia="方正楷体_GBK" w:cs="方正楷体_GBK"/>
          <w:b/>
          <w:bCs w:val="0"/>
          <w:kern w:val="0"/>
          <w:sz w:val="32"/>
          <w:szCs w:val="32"/>
          <w:lang w:val="zh-CN" w:eastAsia="zh-CN" w:bidi="ar"/>
        </w:rPr>
        <w:t>部门预算</w:t>
      </w:r>
      <w:r>
        <w:rPr>
          <w:rFonts w:hint="default" w:ascii="方正楷体_GBK" w:hAnsi="方正楷体_GBK" w:eastAsia="方正楷体_GBK" w:cs="方正楷体_GBK"/>
          <w:b/>
          <w:bCs w:val="0"/>
          <w:kern w:val="0"/>
          <w:sz w:val="32"/>
          <w:szCs w:val="32"/>
          <w:lang w:val="zh-CN" w:eastAsia="zh-CN" w:bidi="ar"/>
        </w:rPr>
        <w:t>总体绩效分析</w:t>
      </w:r>
    </w:p>
    <w:p w14:paraId="379ADF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default" w:ascii="Times New Roman" w:hAnsi="Times New Roman" w:eastAsia="方正仿宋_GBK" w:cs="Times New Roman"/>
          <w:b/>
          <w:bCs w:val="0"/>
          <w:kern w:val="0"/>
          <w:sz w:val="32"/>
          <w:szCs w:val="32"/>
          <w:lang w:val="en-US" w:eastAsia="zh-CN" w:bidi="ar"/>
        </w:rPr>
        <w:t>1.</w:t>
      </w:r>
      <w:r>
        <w:rPr>
          <w:rFonts w:hint="default" w:ascii="Times New Roman" w:hAnsi="Times New Roman" w:eastAsia="方正仿宋_GBK" w:cs="Times New Roman"/>
          <w:b/>
          <w:bCs w:val="0"/>
          <w:kern w:val="0"/>
          <w:sz w:val="32"/>
          <w:szCs w:val="32"/>
          <w:lang w:val="zh-CN" w:eastAsia="zh-CN" w:bidi="ar"/>
        </w:rPr>
        <w:t>履职效能。</w:t>
      </w:r>
      <w:r>
        <w:rPr>
          <w:rFonts w:hint="eastAsia" w:ascii="Times New Roman" w:hAnsi="Times New Roman" w:eastAsia="方正仿宋_GBK" w:cs="Times New Roman"/>
          <w:color w:val="000000"/>
          <w:spacing w:val="0"/>
          <w:kern w:val="2"/>
          <w:sz w:val="32"/>
          <w:szCs w:val="32"/>
          <w:highlight w:val="none"/>
          <w:lang w:val="zh-CN" w:eastAsia="zh-CN" w:bidi="ar-SA"/>
        </w:rPr>
        <w:t>2024年，区委办紧扣“三服务”核心职能，以文辅政提质，高标准完成区委文稿、深调报告、信息专报，全年办文零差错；精办会务，统筹区委全会、常委会、专题会等，流程规范、衔接顺畅；强化督查，建立“任务清单”机制，市委、区委主要领导批示件、重大决策、民生实事全部按期反馈；值班应急全天候，突发事件信息</w:t>
      </w:r>
      <w:r>
        <w:rPr>
          <w:rFonts w:hint="eastAsia" w:eastAsia="方正仿宋_GBK" w:cs="Times New Roman"/>
          <w:color w:val="000000"/>
          <w:spacing w:val="0"/>
          <w:kern w:val="2"/>
          <w:sz w:val="32"/>
          <w:szCs w:val="32"/>
          <w:highlight w:val="none"/>
          <w:lang w:val="zh-CN" w:eastAsia="zh-CN" w:bidi="ar-SA"/>
        </w:rPr>
        <w:t>及时</w:t>
      </w:r>
      <w:r>
        <w:rPr>
          <w:rFonts w:hint="eastAsia" w:ascii="Times New Roman" w:hAnsi="Times New Roman" w:eastAsia="方正仿宋_GBK" w:cs="Times New Roman"/>
          <w:color w:val="000000"/>
          <w:spacing w:val="0"/>
          <w:kern w:val="2"/>
          <w:sz w:val="32"/>
          <w:szCs w:val="32"/>
          <w:highlight w:val="none"/>
          <w:lang w:val="zh-CN" w:eastAsia="zh-CN" w:bidi="ar-SA"/>
        </w:rPr>
        <w:t>报区主要领导，未出现迟报漏报；保密档案、机要传输、密码通信零事故，为区委高效运转提供坚强保障。</w:t>
      </w:r>
    </w:p>
    <w:p w14:paraId="00CC64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2.</w:t>
      </w:r>
      <w:r>
        <w:rPr>
          <w:rFonts w:hint="default" w:ascii="Times New Roman" w:hAnsi="Times New Roman" w:eastAsia="方正仿宋_GBK" w:cs="Times New Roman"/>
          <w:b/>
          <w:bCs w:val="0"/>
          <w:kern w:val="0"/>
          <w:sz w:val="32"/>
          <w:szCs w:val="32"/>
          <w:lang w:val="zh-CN" w:eastAsia="zh-CN" w:bidi="ar"/>
        </w:rPr>
        <w:t>预算管理</w:t>
      </w:r>
      <w:r>
        <w:rPr>
          <w:rFonts w:hint="eastAsia" w:ascii="Times New Roman" w:hAnsi="Times New Roman" w:eastAsia="方正仿宋_GBK" w:cs="Times New Roman"/>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zh-CN" w:eastAsia="zh-CN" w:bidi="ar-SA"/>
        </w:rPr>
        <w:t>区委办以零基预算为抓手，资金全部支出无结转；项目清单管理、资产采购及维修程序合规；三公经费降至1.83万元，实现“只减不增”。2024年预算公开、绩效监控、事后评价全流程闭环，财政资金使用安全高效。</w:t>
      </w:r>
    </w:p>
    <w:p w14:paraId="131B40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3.</w:t>
      </w:r>
      <w:r>
        <w:rPr>
          <w:rFonts w:hint="default" w:ascii="Times New Roman" w:hAnsi="Times New Roman" w:eastAsia="方正仿宋_GBK" w:cs="Times New Roman"/>
          <w:b/>
          <w:bCs w:val="0"/>
          <w:kern w:val="0"/>
          <w:sz w:val="32"/>
          <w:szCs w:val="32"/>
          <w:lang w:val="zh-CN" w:eastAsia="zh-CN" w:bidi="ar"/>
        </w:rPr>
        <w:t>财务管理</w:t>
      </w:r>
      <w:r>
        <w:rPr>
          <w:rFonts w:hint="eastAsia" w:ascii="Times New Roman" w:hAnsi="Times New Roman" w:eastAsia="方正仿宋_GBK" w:cs="Times New Roman"/>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zh-CN" w:eastAsia="zh-CN" w:bidi="ar-SA"/>
        </w:rPr>
        <w:t>2024年，区委办财务管理制度更加健全，岗位设置合理，职责清晰。设立财务分管领导、会计、出纳等岗位，严格落实不相容职务分离原则，强化内部监督。资金使用严格执行预算管理，所有支出需经事前审批、事中监控、事后绩效评估，确保资金使用合规高效；财政资金使用全面落实预算刚性约束，实行全流程规范化管控，严格执行支出审批、票据审核、集中支付等制度，严守开支标准红线，坚决杜绝违规违纪行为，切实保障经费安全高效使用。</w:t>
      </w:r>
    </w:p>
    <w:p w14:paraId="676F8B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4.</w:t>
      </w:r>
      <w:r>
        <w:rPr>
          <w:rFonts w:hint="default" w:ascii="Times New Roman" w:hAnsi="Times New Roman" w:eastAsia="方正仿宋_GBK" w:cs="Times New Roman"/>
          <w:b/>
          <w:bCs w:val="0"/>
          <w:kern w:val="0"/>
          <w:sz w:val="32"/>
          <w:szCs w:val="32"/>
          <w:lang w:val="zh-CN" w:eastAsia="zh-CN" w:bidi="ar"/>
        </w:rPr>
        <w:t>资产管理</w:t>
      </w:r>
      <w:r>
        <w:rPr>
          <w:rFonts w:hint="eastAsia" w:ascii="Times New Roman" w:hAnsi="Times New Roman" w:eastAsia="方正仿宋_GBK" w:cs="Times New Roman"/>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zh-CN" w:eastAsia="zh-CN" w:bidi="ar-SA"/>
        </w:rPr>
        <w:t>2024年，区委办坚持效率优先，资产配置聚焦核心业务需求，人均资产变动保持平稳，资产利用率稳定在100%，固定资产533.64万元、无形资产49.07万元全部自用，无闲置浪费，资产盘活成效持续显现，财政资金效益进一步提升。</w:t>
      </w:r>
    </w:p>
    <w:p w14:paraId="5EACE7D6">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方正楷体_GBK" w:hAnsi="方正楷体_GBK" w:eastAsia="方正楷体_GBK" w:cs="方正楷体_GBK"/>
          <w:b/>
          <w:bCs w:val="0"/>
          <w:kern w:val="0"/>
          <w:sz w:val="32"/>
          <w:szCs w:val="32"/>
          <w:lang w:val="en-US" w:eastAsia="zh-CN" w:bidi="ar"/>
        </w:rPr>
        <w:t xml:space="preserve">    </w:t>
      </w:r>
      <w:r>
        <w:rPr>
          <w:rFonts w:hint="eastAsia" w:ascii="Times New Roman" w:hAnsi="Times New Roman" w:eastAsia="方正仿宋_GBK" w:cs="Times New Roman"/>
          <w:b/>
          <w:bCs w:val="0"/>
          <w:kern w:val="0"/>
          <w:sz w:val="32"/>
          <w:szCs w:val="32"/>
          <w:lang w:val="en-US" w:eastAsia="zh-CN" w:bidi="ar"/>
        </w:rPr>
        <w:t>5.</w:t>
      </w:r>
      <w:r>
        <w:rPr>
          <w:rFonts w:hint="default" w:ascii="Times New Roman" w:hAnsi="Times New Roman" w:eastAsia="方正仿宋_GBK" w:cs="Times New Roman"/>
          <w:b/>
          <w:bCs w:val="0"/>
          <w:kern w:val="0"/>
          <w:sz w:val="32"/>
          <w:szCs w:val="32"/>
          <w:lang w:val="zh-CN" w:eastAsia="zh-CN" w:bidi="ar"/>
        </w:rPr>
        <w:t>采购管理</w:t>
      </w:r>
      <w:r>
        <w:rPr>
          <w:rFonts w:hint="eastAsia" w:ascii="Times New Roman" w:hAnsi="Times New Roman" w:eastAsia="方正仿宋_GBK" w:cs="Times New Roman"/>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zh-CN" w:eastAsia="zh-CN" w:bidi="ar-SA"/>
        </w:rPr>
        <w:t>2024年度，我办严格执行政府采购政策，积极支持中小企业发展。全年政府采购项目1项，为</w:t>
      </w:r>
      <w:r>
        <w:rPr>
          <w:rFonts w:hint="eastAsia" w:ascii="Times New Roman" w:hAnsi="Times New Roman" w:eastAsia="方正仿宋_GBK" w:cs="Times New Roman"/>
          <w:color w:val="000000"/>
          <w:spacing w:val="0"/>
          <w:kern w:val="2"/>
          <w:sz w:val="32"/>
          <w:szCs w:val="32"/>
          <w:highlight w:val="none"/>
          <w:lang w:val="en-US" w:eastAsia="zh-CN" w:bidi="ar-SA"/>
        </w:rPr>
        <w:t>0.31万</w:t>
      </w:r>
      <w:r>
        <w:rPr>
          <w:rFonts w:hint="eastAsia" w:ascii="Times New Roman" w:hAnsi="Times New Roman" w:eastAsia="方正仿宋_GBK" w:cs="Times New Roman"/>
          <w:color w:val="000000"/>
          <w:spacing w:val="0"/>
          <w:kern w:val="2"/>
          <w:sz w:val="32"/>
          <w:szCs w:val="32"/>
          <w:highlight w:val="none"/>
          <w:lang w:val="zh-CN" w:eastAsia="zh-CN" w:bidi="ar-SA"/>
        </w:rPr>
        <w:t>元投影仪，全部由中小企业承接，采购执行率达100%，实现“应采尽采”。下一步，我办将持续优化采购结构，扩大中小企业采购份额，切实发挥财政资金导向作用，助力区域经济高质量发展。</w:t>
      </w:r>
    </w:p>
    <w:p w14:paraId="3ABB86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方正楷体_GBK" w:hAnsi="方正楷体_GBK" w:eastAsia="方正楷体_GBK" w:cs="方正楷体_GBK"/>
          <w:b/>
          <w:bCs w:val="0"/>
          <w:kern w:val="0"/>
          <w:sz w:val="32"/>
          <w:szCs w:val="32"/>
          <w:lang w:val="en-US" w:eastAsia="zh-CN" w:bidi="ar"/>
        </w:rPr>
      </w:pPr>
      <w:r>
        <w:rPr>
          <w:rFonts w:hint="default" w:ascii="方正楷体_GBK" w:hAnsi="方正楷体_GBK" w:eastAsia="方正楷体_GBK" w:cs="方正楷体_GBK"/>
          <w:b/>
          <w:bCs w:val="0"/>
          <w:kern w:val="0"/>
          <w:sz w:val="32"/>
          <w:szCs w:val="32"/>
          <w:lang w:val="zh-CN" w:eastAsia="zh-CN" w:bidi="ar"/>
        </w:rPr>
        <w:t>（二）部门预算项目绩效分析。</w:t>
      </w:r>
    </w:p>
    <w:p w14:paraId="77D6B5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outlineLvl w:val="9"/>
        <w:rPr>
          <w:rFonts w:hint="default" w:ascii="Times New Roman" w:hAnsi="Times New Roman" w:eastAsia="方正仿宋_GBK" w:cs="Times New Roman"/>
          <w:color w:val="000000"/>
          <w:spacing w:val="0"/>
          <w:kern w:val="2"/>
          <w:sz w:val="32"/>
          <w:szCs w:val="32"/>
          <w:highlight w:val="none"/>
          <w:lang w:val="zh-CN"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常年项目绩效分析。</w:t>
      </w:r>
      <w:r>
        <w:rPr>
          <w:rFonts w:hint="default" w:ascii="Times New Roman" w:hAnsi="Times New Roman" w:eastAsia="方正仿宋_GBK" w:cs="Times New Roman"/>
          <w:color w:val="000000"/>
          <w:spacing w:val="0"/>
          <w:kern w:val="2"/>
          <w:sz w:val="32"/>
          <w:szCs w:val="32"/>
          <w:highlight w:val="none"/>
          <w:lang w:val="zh-CN" w:eastAsia="zh-CN" w:bidi="ar-SA"/>
        </w:rPr>
        <w:t>该类项目总数</w:t>
      </w:r>
      <w:r>
        <w:rPr>
          <w:rFonts w:hint="eastAsia" w:ascii="Times New Roman" w:hAnsi="Times New Roman" w:eastAsia="方正仿宋_GBK" w:cs="Times New Roman"/>
          <w:color w:val="000000"/>
          <w:spacing w:val="0"/>
          <w:kern w:val="2"/>
          <w:sz w:val="32"/>
          <w:szCs w:val="32"/>
          <w:highlight w:val="none"/>
          <w:lang w:val="en-US" w:eastAsia="zh-CN" w:bidi="ar-SA"/>
        </w:rPr>
        <w:t>3</w:t>
      </w:r>
      <w:r>
        <w:rPr>
          <w:rFonts w:hint="default" w:ascii="Times New Roman" w:hAnsi="Times New Roman" w:eastAsia="方正仿宋_GBK" w:cs="Times New Roman"/>
          <w:color w:val="000000"/>
          <w:spacing w:val="0"/>
          <w:kern w:val="2"/>
          <w:sz w:val="32"/>
          <w:szCs w:val="32"/>
          <w:highlight w:val="none"/>
          <w:lang w:val="zh-CN" w:eastAsia="zh-CN" w:bidi="ar-SA"/>
        </w:rPr>
        <w:t>个，涉及预算总金额</w:t>
      </w:r>
      <w:r>
        <w:rPr>
          <w:rFonts w:hint="eastAsia" w:ascii="Times New Roman" w:hAnsi="Times New Roman" w:eastAsia="方正仿宋_GBK" w:cs="Times New Roman"/>
          <w:color w:val="000000"/>
          <w:spacing w:val="0"/>
          <w:kern w:val="2"/>
          <w:sz w:val="32"/>
          <w:szCs w:val="32"/>
          <w:highlight w:val="none"/>
          <w:lang w:val="en-US" w:eastAsia="zh-CN" w:bidi="ar-SA"/>
        </w:rPr>
        <w:t>69.5</w:t>
      </w:r>
      <w:r>
        <w:rPr>
          <w:rFonts w:hint="default" w:ascii="Times New Roman" w:hAnsi="Times New Roman" w:eastAsia="方正仿宋_GBK" w:cs="Times New Roman"/>
          <w:color w:val="000000"/>
          <w:spacing w:val="0"/>
          <w:kern w:val="2"/>
          <w:sz w:val="32"/>
          <w:szCs w:val="32"/>
          <w:highlight w:val="none"/>
          <w:lang w:val="zh-CN" w:eastAsia="zh-CN" w:bidi="ar-SA"/>
        </w:rPr>
        <w:t>万元，1</w:t>
      </w:r>
      <w:r>
        <w:rPr>
          <w:rFonts w:hint="eastAsia" w:ascii="Times New Roman" w:hAnsi="Times New Roman" w:eastAsia="方正仿宋_GBK" w:cs="Times New Roman"/>
          <w:color w:val="000000"/>
          <w:spacing w:val="0"/>
          <w:kern w:val="2"/>
          <w:sz w:val="32"/>
          <w:szCs w:val="32"/>
          <w:highlight w:val="none"/>
          <w:lang w:val="zh-CN" w:eastAsia="zh-CN" w:bidi="ar-SA"/>
        </w:rPr>
        <w:t>—</w:t>
      </w:r>
      <w:r>
        <w:rPr>
          <w:rFonts w:hint="default" w:ascii="Times New Roman" w:hAnsi="Times New Roman" w:eastAsia="方正仿宋_GBK" w:cs="Times New Roman"/>
          <w:color w:val="000000"/>
          <w:spacing w:val="0"/>
          <w:kern w:val="2"/>
          <w:sz w:val="32"/>
          <w:szCs w:val="32"/>
          <w:highlight w:val="none"/>
          <w:lang w:val="zh-CN" w:eastAsia="zh-CN" w:bidi="ar-SA"/>
        </w:rPr>
        <w:t>1</w:t>
      </w:r>
      <w:r>
        <w:rPr>
          <w:rFonts w:hint="default" w:ascii="Times New Roman" w:hAnsi="Times New Roman" w:eastAsia="方正仿宋_GBK" w:cs="Times New Roman"/>
          <w:color w:val="000000"/>
          <w:spacing w:val="0"/>
          <w:kern w:val="2"/>
          <w:sz w:val="32"/>
          <w:szCs w:val="32"/>
          <w:highlight w:val="none"/>
          <w:lang w:val="en-US" w:eastAsia="zh-CN" w:bidi="ar-SA"/>
        </w:rPr>
        <w:t>2</w:t>
      </w:r>
      <w:r>
        <w:rPr>
          <w:rFonts w:hint="default" w:ascii="Times New Roman" w:hAnsi="Times New Roman" w:eastAsia="方正仿宋_GBK" w:cs="Times New Roman"/>
          <w:color w:val="000000"/>
          <w:spacing w:val="0"/>
          <w:kern w:val="2"/>
          <w:sz w:val="32"/>
          <w:szCs w:val="32"/>
          <w:highlight w:val="none"/>
          <w:lang w:val="zh-CN" w:eastAsia="zh-CN" w:bidi="ar-SA"/>
        </w:rPr>
        <w:t>月预算执行总体进度为</w:t>
      </w:r>
      <w:r>
        <w:rPr>
          <w:rFonts w:hint="eastAsia" w:ascii="Times New Roman" w:hAnsi="Times New Roman" w:eastAsia="方正仿宋_GBK" w:cs="Times New Roman"/>
          <w:color w:val="000000"/>
          <w:spacing w:val="0"/>
          <w:kern w:val="2"/>
          <w:sz w:val="32"/>
          <w:szCs w:val="32"/>
          <w:highlight w:val="none"/>
          <w:lang w:val="en-US" w:eastAsia="zh-CN" w:bidi="ar-SA"/>
        </w:rPr>
        <w:t>100</w:t>
      </w:r>
      <w:r>
        <w:rPr>
          <w:rFonts w:hint="default" w:ascii="Times New Roman" w:hAnsi="Times New Roman" w:eastAsia="方正仿宋_GBK" w:cs="Times New Roman"/>
          <w:color w:val="000000"/>
          <w:spacing w:val="0"/>
          <w:kern w:val="2"/>
          <w:sz w:val="32"/>
          <w:szCs w:val="32"/>
          <w:highlight w:val="none"/>
          <w:lang w:val="zh-CN" w:eastAsia="zh-CN" w:bidi="ar-SA"/>
        </w:rPr>
        <w:t>%，其中：预算结余率大于</w:t>
      </w:r>
      <w:r>
        <w:rPr>
          <w:rFonts w:hint="default" w:ascii="Times New Roman" w:hAnsi="Times New Roman" w:eastAsia="方正仿宋_GBK" w:cs="Times New Roman"/>
          <w:color w:val="000000"/>
          <w:spacing w:val="0"/>
          <w:kern w:val="2"/>
          <w:sz w:val="32"/>
          <w:szCs w:val="32"/>
          <w:highlight w:val="none"/>
          <w:lang w:val="en-US" w:eastAsia="zh-CN" w:bidi="ar-SA"/>
        </w:rPr>
        <w:t>10%</w:t>
      </w:r>
      <w:r>
        <w:rPr>
          <w:rFonts w:hint="default" w:ascii="Times New Roman" w:hAnsi="Times New Roman" w:eastAsia="方正仿宋_GBK" w:cs="Times New Roman"/>
          <w:color w:val="000000"/>
          <w:spacing w:val="0"/>
          <w:kern w:val="2"/>
          <w:sz w:val="32"/>
          <w:szCs w:val="32"/>
          <w:highlight w:val="none"/>
          <w:lang w:val="zh-CN" w:eastAsia="zh-CN" w:bidi="ar-SA"/>
        </w:rPr>
        <w:t>的项目共计</w:t>
      </w:r>
      <w:r>
        <w:rPr>
          <w:rFonts w:hint="eastAsia" w:ascii="Times New Roman" w:hAnsi="Times New Roman" w:eastAsia="方正仿宋_GBK" w:cs="Times New Roman"/>
          <w:color w:val="000000"/>
          <w:spacing w:val="0"/>
          <w:kern w:val="2"/>
          <w:sz w:val="32"/>
          <w:szCs w:val="32"/>
          <w:highlight w:val="none"/>
          <w:lang w:val="en-US" w:eastAsia="zh-CN" w:bidi="ar-SA"/>
        </w:rPr>
        <w:t>2</w:t>
      </w:r>
      <w:r>
        <w:rPr>
          <w:rFonts w:hint="default" w:ascii="Times New Roman" w:hAnsi="Times New Roman" w:eastAsia="方正仿宋_GBK" w:cs="Times New Roman"/>
          <w:color w:val="000000"/>
          <w:spacing w:val="0"/>
          <w:kern w:val="2"/>
          <w:sz w:val="32"/>
          <w:szCs w:val="32"/>
          <w:highlight w:val="none"/>
          <w:lang w:val="zh-CN" w:eastAsia="zh-CN" w:bidi="ar-SA"/>
        </w:rPr>
        <w:t>个。</w:t>
      </w:r>
    </w:p>
    <w:p w14:paraId="326F0D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both"/>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1.</w:t>
      </w:r>
      <w:r>
        <w:rPr>
          <w:rFonts w:hint="eastAsia" w:ascii="Times New Roman" w:hAnsi="Times New Roman" w:eastAsia="方正仿宋_GBK" w:cs="Times New Roman"/>
          <w:b/>
          <w:bCs w:val="0"/>
          <w:kern w:val="0"/>
          <w:sz w:val="32"/>
          <w:szCs w:val="32"/>
          <w:lang w:val="zh-CN" w:eastAsia="zh-CN" w:bidi="ar"/>
        </w:rPr>
        <w:t>项目决策。</w:t>
      </w:r>
      <w:r>
        <w:rPr>
          <w:rFonts w:hint="eastAsia" w:ascii="Times New Roman" w:hAnsi="Times New Roman" w:eastAsia="方正仿宋_GBK" w:cs="Times New Roman"/>
          <w:color w:val="000000"/>
          <w:spacing w:val="0"/>
          <w:kern w:val="2"/>
          <w:sz w:val="32"/>
          <w:szCs w:val="32"/>
          <w:highlight w:val="none"/>
          <w:lang w:val="zh-CN" w:eastAsia="zh-CN" w:bidi="ar-SA"/>
        </w:rPr>
        <w:t>对标“三定”职能与区委、区政府年度绩效考核硬任务，先行测算项目落地后可释放的经济拉动、民生增益、治理增效等综合社会价值，据此形成零基预算方案；依次报送区财政局评审、区政府常务会议审议，最终提请区人代会表决通过，表决通过后即时在财政一体化平台完成项目登记入库，实现“绩效目标—预算安排—法定批复—库内管理”无缝衔接。</w:t>
      </w:r>
    </w:p>
    <w:p w14:paraId="1A3100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both"/>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2.项目执行</w:t>
      </w:r>
      <w:r>
        <w:rPr>
          <w:rFonts w:hint="eastAsia" w:ascii="Times New Roman" w:hAnsi="Times New Roman" w:eastAsia="方正仿宋_GBK" w:cs="Times New Roman"/>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en-US" w:eastAsia="zh-CN" w:bidi="ar-SA"/>
        </w:rPr>
        <w:t>2024</w:t>
      </w:r>
      <w:r>
        <w:rPr>
          <w:rFonts w:hint="eastAsia" w:ascii="Times New Roman" w:hAnsi="Times New Roman" w:eastAsia="方正仿宋_GBK" w:cs="Times New Roman"/>
          <w:color w:val="000000"/>
          <w:spacing w:val="0"/>
          <w:kern w:val="2"/>
          <w:sz w:val="32"/>
          <w:szCs w:val="32"/>
          <w:highlight w:val="none"/>
          <w:lang w:val="en-US" w:eastAsia="zh-CN" w:bidi="ar-SA"/>
        </w:rPr>
        <w:t>年</w:t>
      </w:r>
      <w:r>
        <w:rPr>
          <w:rFonts w:hint="eastAsia" w:ascii="Times New Roman" w:hAnsi="Times New Roman" w:eastAsia="方正仿宋_GBK" w:cs="Times New Roman"/>
          <w:color w:val="000000"/>
          <w:spacing w:val="0"/>
          <w:kern w:val="2"/>
          <w:sz w:val="32"/>
          <w:szCs w:val="32"/>
          <w:highlight w:val="none"/>
          <w:lang w:val="zh-CN" w:eastAsia="zh-CN" w:bidi="ar-SA"/>
        </w:rPr>
        <w:t>非</w:t>
      </w:r>
      <w:r>
        <w:rPr>
          <w:rFonts w:hint="eastAsia" w:ascii="Times New Roman" w:hAnsi="Times New Roman" w:eastAsia="方正仿宋_GBK" w:cs="Times New Roman"/>
          <w:color w:val="000000"/>
          <w:spacing w:val="0"/>
          <w:kern w:val="2"/>
          <w:sz w:val="32"/>
          <w:szCs w:val="32"/>
          <w:highlight w:val="none"/>
          <w:lang w:val="en-US" w:eastAsia="zh-CN" w:bidi="ar-SA"/>
        </w:rPr>
        <w:t>涉密特定目标类项目3个，包括区委办牵头统筹全区重大活动项目经费、目标绩效管理和综合督查工作经费和派驻纪检组业务费。</w:t>
      </w:r>
      <w:r>
        <w:rPr>
          <w:rFonts w:hint="eastAsia" w:ascii="Times New Roman" w:hAnsi="Times New Roman" w:eastAsia="方正仿宋_GBK" w:cs="Times New Roman"/>
          <w:color w:val="000000"/>
          <w:spacing w:val="0"/>
          <w:kern w:val="2"/>
          <w:sz w:val="32"/>
          <w:szCs w:val="32"/>
          <w:highlight w:val="none"/>
          <w:lang w:val="zh-CN" w:eastAsia="zh-CN" w:bidi="ar-SA"/>
        </w:rPr>
        <w:t>年度预算执行项目经费支出</w:t>
      </w:r>
      <w:r>
        <w:rPr>
          <w:rFonts w:hint="eastAsia" w:ascii="Times New Roman" w:hAnsi="Times New Roman" w:eastAsia="方正仿宋_GBK" w:cs="Times New Roman"/>
          <w:color w:val="000000"/>
          <w:spacing w:val="0"/>
          <w:kern w:val="2"/>
          <w:sz w:val="32"/>
          <w:szCs w:val="32"/>
          <w:highlight w:val="none"/>
          <w:lang w:val="en-US" w:eastAsia="zh-CN" w:bidi="ar-SA"/>
        </w:rPr>
        <w:t>53.86万元，</w:t>
      </w:r>
      <w:r>
        <w:rPr>
          <w:rFonts w:hint="eastAsia" w:ascii="Times New Roman" w:hAnsi="Times New Roman" w:eastAsia="方正仿宋_GBK" w:cs="Times New Roman"/>
          <w:color w:val="000000"/>
          <w:spacing w:val="0"/>
          <w:kern w:val="2"/>
          <w:sz w:val="32"/>
          <w:szCs w:val="32"/>
          <w:highlight w:val="none"/>
          <w:lang w:val="zh-CN" w:eastAsia="zh-CN" w:bidi="ar-SA"/>
        </w:rPr>
        <w:t>项目经费无结余，项目经费控制率100%。</w:t>
      </w:r>
    </w:p>
    <w:p w14:paraId="3ED325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3.</w:t>
      </w:r>
      <w:r>
        <w:rPr>
          <w:rFonts w:hint="eastAsia" w:ascii="Times New Roman" w:hAnsi="Times New Roman" w:eastAsia="方正仿宋_GBK" w:cs="Times New Roman"/>
          <w:b/>
          <w:bCs w:val="0"/>
          <w:kern w:val="0"/>
          <w:sz w:val="32"/>
          <w:szCs w:val="32"/>
          <w:lang w:val="zh-CN" w:eastAsia="zh-CN" w:bidi="ar"/>
        </w:rPr>
        <w:t>目标实现。</w:t>
      </w:r>
      <w:r>
        <w:rPr>
          <w:rFonts w:hint="eastAsia" w:ascii="Times New Roman" w:hAnsi="Times New Roman" w:eastAsia="方正仿宋_GBK" w:cs="Times New Roman"/>
          <w:color w:val="000000"/>
          <w:spacing w:val="0"/>
          <w:kern w:val="2"/>
          <w:sz w:val="32"/>
          <w:szCs w:val="32"/>
          <w:highlight w:val="none"/>
          <w:lang w:val="zh-CN" w:eastAsia="zh-CN" w:bidi="ar-SA"/>
        </w:rPr>
        <w:t>2024年，我办秉持“勤俭节约、精打细算”之念，将“过紧日子”要求深植财政管理全程。年初统筹谋划，科学排定项目资金执行时序，实行“月监测、季调度”，对进度滞缓资金即时收回、精准调剂，确保每一分财力用在刀刃上。全年动态监控、闭环管理，年末财政零结余，预算执行精准高效，财政资金使用效益跃升新阶。</w:t>
      </w:r>
    </w:p>
    <w:p w14:paraId="1F9CD12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我办2024年度无涉及国有资本、行政事业性国有资产、债券资金、政府采购和政府购买服务等重点领域的项目。</w:t>
      </w:r>
    </w:p>
    <w:p w14:paraId="1A39E3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000000"/>
          <w:spacing w:val="0"/>
          <w:kern w:val="2"/>
          <w:sz w:val="32"/>
          <w:szCs w:val="32"/>
          <w:highlight w:val="none"/>
          <w:lang w:val="zh-CN" w:eastAsia="zh-CN" w:bidi="ar-SA"/>
        </w:rPr>
      </w:pPr>
      <w:r>
        <w:rPr>
          <w:rFonts w:hint="eastAsia" w:ascii="方正楷体_GBK" w:hAnsi="方正楷体_GBK" w:eastAsia="方正楷体_GBK" w:cs="方正楷体_GBK"/>
          <w:b/>
          <w:bCs w:val="0"/>
          <w:kern w:val="0"/>
          <w:sz w:val="32"/>
          <w:szCs w:val="32"/>
          <w:lang w:val="zh-CN" w:eastAsia="zh-CN" w:bidi="ar"/>
        </w:rPr>
        <w:t>（三）</w:t>
      </w:r>
      <w:r>
        <w:rPr>
          <w:rFonts w:hint="default" w:ascii="方正楷体_GBK" w:hAnsi="方正楷体_GBK" w:eastAsia="方正楷体_GBK" w:cs="方正楷体_GBK"/>
          <w:b/>
          <w:bCs w:val="0"/>
          <w:kern w:val="0"/>
          <w:sz w:val="32"/>
          <w:szCs w:val="32"/>
          <w:lang w:val="zh-CN" w:eastAsia="zh-CN" w:bidi="ar"/>
        </w:rPr>
        <w:t>绩效结果应用情况</w:t>
      </w:r>
      <w:r>
        <w:rPr>
          <w:rFonts w:hint="eastAsia" w:ascii="方正楷体_GBK" w:hAnsi="方正楷体_GBK" w:eastAsia="方正楷体_GBK" w:cs="方正楷体_GBK"/>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zh-CN" w:eastAsia="zh-CN" w:bidi="ar-SA"/>
        </w:rPr>
        <w:t>2024年，区委办公室把绩效要求嵌进日常业务学习，组织财务人员专题研学《预算法》《行政事业单位会计制度》等规定，结合案例交流预算管理要点，进一步树牢绩效理念、规范收支核算。年初参考上年度执行数据科学编制预算，早谋划、早下达，避免临时追加；执行中按月跟踪进度，及时调剂盘活，确保资金精准高效使用，部门预算管理水平稳步提升。</w:t>
      </w:r>
    </w:p>
    <w:p w14:paraId="6CFC5A8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bCs/>
          <w:kern w:val="2"/>
          <w:sz w:val="32"/>
          <w:szCs w:val="32"/>
          <w:lang w:val="zh-CN" w:eastAsia="zh-CN" w:bidi="ar-SA"/>
        </w:rPr>
      </w:pPr>
      <w:r>
        <w:rPr>
          <w:rFonts w:hint="default" w:ascii="方正黑体_GBK" w:hAnsi="方正黑体_GBK" w:eastAsia="方正黑体_GBK" w:cs="方正黑体_GBK"/>
          <w:b w:val="0"/>
          <w:bCs/>
          <w:kern w:val="2"/>
          <w:sz w:val="32"/>
          <w:szCs w:val="32"/>
          <w:lang w:val="zh-CN" w:eastAsia="zh-CN" w:bidi="ar-SA"/>
        </w:rPr>
        <w:t>四、评价结论及建议</w:t>
      </w:r>
    </w:p>
    <w:p w14:paraId="47C6E82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b/>
          <w:bCs w:val="0"/>
          <w:kern w:val="0"/>
          <w:sz w:val="32"/>
          <w:szCs w:val="32"/>
          <w:lang w:val="zh-CN" w:eastAsia="zh-CN" w:bidi="ar"/>
        </w:rPr>
        <w:t>（一）</w:t>
      </w:r>
      <w:r>
        <w:rPr>
          <w:rFonts w:hint="default" w:ascii="方正楷体_GBK" w:hAnsi="方正楷体_GBK" w:eastAsia="方正楷体_GBK" w:cs="方正楷体_GBK"/>
          <w:b/>
          <w:bCs w:val="0"/>
          <w:kern w:val="0"/>
          <w:sz w:val="32"/>
          <w:szCs w:val="32"/>
          <w:lang w:val="zh-CN" w:eastAsia="zh-CN" w:bidi="ar"/>
        </w:rPr>
        <w:t>评价结论。</w:t>
      </w:r>
      <w:r>
        <w:rPr>
          <w:rFonts w:hint="eastAsia" w:ascii="Times New Roman" w:hAnsi="Times New Roman" w:eastAsia="方正仿宋_GBK" w:cs="Times New Roman"/>
          <w:color w:val="auto"/>
          <w:kern w:val="2"/>
          <w:sz w:val="32"/>
          <w:szCs w:val="32"/>
          <w:highlight w:val="none"/>
          <w:lang w:val="zh-CN" w:eastAsia="zh-CN" w:bidi="ar-SA"/>
        </w:rPr>
        <w:t>202</w:t>
      </w:r>
      <w:r>
        <w:rPr>
          <w:rFonts w:hint="eastAsia" w:ascii="Times New Roman" w:hAnsi="Times New Roman" w:eastAsia="方正仿宋_GBK" w:cs="Times New Roman"/>
          <w:color w:val="auto"/>
          <w:kern w:val="2"/>
          <w:sz w:val="32"/>
          <w:szCs w:val="32"/>
          <w:highlight w:val="none"/>
          <w:lang w:val="en-US" w:eastAsia="zh-CN" w:bidi="ar-SA"/>
        </w:rPr>
        <w:t>4</w:t>
      </w:r>
      <w:r>
        <w:rPr>
          <w:rFonts w:hint="eastAsia" w:ascii="Times New Roman" w:hAnsi="Times New Roman" w:eastAsia="方正仿宋_GBK" w:cs="Times New Roman"/>
          <w:color w:val="auto"/>
          <w:kern w:val="2"/>
          <w:sz w:val="32"/>
          <w:szCs w:val="32"/>
          <w:highlight w:val="none"/>
          <w:lang w:val="zh-CN" w:eastAsia="zh-CN" w:bidi="ar-SA"/>
        </w:rPr>
        <w:t>年，区委办公室较好地完成了绩效评价工作，自评得分</w:t>
      </w:r>
      <w:r>
        <w:rPr>
          <w:rFonts w:hint="eastAsia" w:ascii="Times New Roman" w:hAnsi="Times New Roman" w:eastAsia="方正仿宋_GBK" w:cs="Times New Roman"/>
          <w:color w:val="auto"/>
          <w:kern w:val="2"/>
          <w:sz w:val="32"/>
          <w:szCs w:val="32"/>
          <w:highlight w:val="none"/>
          <w:lang w:val="en-US" w:eastAsia="zh-CN" w:bidi="ar-SA"/>
        </w:rPr>
        <w:t>93分</w:t>
      </w:r>
      <w:r>
        <w:rPr>
          <w:rFonts w:hint="eastAsia" w:eastAsia="方正仿宋_GBK" w:cs="Times New Roman"/>
          <w:color w:val="auto"/>
          <w:kern w:val="2"/>
          <w:sz w:val="32"/>
          <w:szCs w:val="32"/>
          <w:highlight w:val="none"/>
          <w:lang w:val="en-US" w:eastAsia="zh-CN" w:bidi="ar-SA"/>
        </w:rPr>
        <w:t>。</w:t>
      </w:r>
    </w:p>
    <w:p w14:paraId="4BEB3CE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方正楷体_GBK" w:hAnsi="方正楷体_GBK" w:eastAsia="方正楷体_GBK" w:cs="方正楷体_GBK"/>
          <w:b/>
          <w:bCs w:val="0"/>
          <w:kern w:val="0"/>
          <w:sz w:val="32"/>
          <w:szCs w:val="32"/>
          <w:lang w:val="zh-CN" w:eastAsia="zh-CN" w:bidi="ar"/>
        </w:rPr>
        <w:t>（二）存在问题。</w:t>
      </w:r>
      <w:r>
        <w:rPr>
          <w:rFonts w:hint="eastAsia" w:ascii="Times New Roman" w:hAnsi="Times New Roman" w:eastAsia="仿宋_GB2312" w:cs="仿宋_GB2312"/>
          <w:color w:val="auto"/>
          <w:kern w:val="2"/>
          <w:sz w:val="32"/>
          <w:szCs w:val="32"/>
          <w:highlight w:val="none"/>
          <w:lang w:val="zh-CN" w:eastAsia="zh-CN" w:bidi="ar-SA"/>
        </w:rPr>
        <w:t>一</w:t>
      </w:r>
      <w:r>
        <w:rPr>
          <w:rFonts w:hint="eastAsia" w:ascii="Times New Roman" w:hAnsi="Times New Roman" w:eastAsia="方正仿宋_GBK" w:cs="Times New Roman"/>
          <w:color w:val="auto"/>
          <w:kern w:val="2"/>
          <w:sz w:val="32"/>
          <w:szCs w:val="32"/>
          <w:highlight w:val="none"/>
          <w:lang w:val="zh-CN" w:eastAsia="zh-CN" w:bidi="ar-SA"/>
        </w:rPr>
        <w:t>是</w:t>
      </w:r>
      <w:r>
        <w:rPr>
          <w:rFonts w:hint="default" w:ascii="Times New Roman" w:hAnsi="Times New Roman" w:eastAsia="方正仿宋_GBK" w:cs="Times New Roman"/>
          <w:color w:val="auto"/>
          <w:kern w:val="2"/>
          <w:sz w:val="32"/>
          <w:szCs w:val="32"/>
          <w:highlight w:val="none"/>
          <w:lang w:val="zh-CN" w:eastAsia="zh-CN" w:bidi="ar-SA"/>
        </w:rPr>
        <w:t>年度中因人员调入、职务变动及薪酬津补贴标准动态调整，刚性支出增幅超出年初测算，需追加预算予以保障，对预算精准性和刚性带来一定影响</w:t>
      </w:r>
      <w:r>
        <w:rPr>
          <w:rFonts w:hint="eastAsia" w:ascii="Times New Roman" w:hAnsi="Times New Roman" w:eastAsia="方正仿宋_GBK" w:cs="Times New Roman"/>
          <w:color w:val="auto"/>
          <w:kern w:val="2"/>
          <w:sz w:val="32"/>
          <w:szCs w:val="32"/>
          <w:highlight w:val="none"/>
          <w:lang w:val="zh-CN" w:eastAsia="zh-CN" w:bidi="ar-SA"/>
        </w:rPr>
        <w:t>；二是资金拨付节奏存在滞后，受年度内整体资金统筹调度及保障优先级动态调整等因素影响，部分项目的资金拨付未能完全匹配前期计划推进节点，部分资金未能在当年完成拨付使用。</w:t>
      </w:r>
    </w:p>
    <w:p w14:paraId="00D56DD1">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方正楷体_GBK" w:hAnsi="方正楷体_GBK" w:eastAsia="方正楷体_GBK" w:cs="方正楷体_GBK"/>
          <w:b/>
          <w:bCs w:val="0"/>
          <w:kern w:val="0"/>
          <w:sz w:val="32"/>
          <w:szCs w:val="32"/>
          <w:lang w:val="zh-CN" w:eastAsia="zh-CN" w:bidi="ar"/>
        </w:rPr>
        <w:t>（三）改进建议。</w:t>
      </w:r>
      <w:bookmarkStart w:id="259" w:name="_Hlk110546638"/>
      <w:r>
        <w:rPr>
          <w:rFonts w:hint="eastAsia" w:ascii="Times New Roman" w:hAnsi="Times New Roman" w:eastAsia="方正仿宋_GBK" w:cs="Times New Roman"/>
          <w:color w:val="auto"/>
          <w:kern w:val="2"/>
          <w:sz w:val="32"/>
          <w:szCs w:val="32"/>
          <w:highlight w:val="none"/>
          <w:lang w:val="zh-CN"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强化思想引领，筑牢管理意识根基：建议将预算管理意识培育作为培训首要任务，紧扣中央及省、市关于深化财税体制改革的最新部署，深入解读“过紧日子”思想与“花钱必问效、无效必问责”的绩效管理核心要求，压实各部门预算管理主体责任，推动财务人员从思想上重视预算管理全流程工作</w:t>
      </w:r>
      <w:r>
        <w:rPr>
          <w:rFonts w:hint="eastAsia" w:ascii="Times New Roman" w:hAnsi="Times New Roman" w:eastAsia="方正仿宋_GBK" w:cs="Times New Roman"/>
          <w:color w:val="auto"/>
          <w:kern w:val="2"/>
          <w:sz w:val="32"/>
          <w:szCs w:val="32"/>
          <w:highlight w:val="none"/>
          <w:lang w:val="zh-CN"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聚焦核心内容，提升业务实操能力：围绕预算管理关键环节设计培训课程，重点涵盖新预算法及其实施条例解读、零基预算编制方法、收支核算标准等核心内容，同时强化预算管理一体化系统实操培训，通过案例演示、问题答疑等方式，解决系统操作、科目匹配、流程审批等实际工作难点</w:t>
      </w:r>
      <w:r>
        <w:rPr>
          <w:rFonts w:hint="eastAsia" w:ascii="Times New Roman" w:hAnsi="Times New Roman" w:eastAsia="方正仿宋_GBK" w:cs="Times New Roman"/>
          <w:color w:val="auto"/>
          <w:kern w:val="2"/>
          <w:sz w:val="32"/>
          <w:szCs w:val="32"/>
          <w:highlight w:val="none"/>
          <w:lang w:val="zh-CN"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注重成果转化，推动管理水平提质：采用“理论授课+案例分析+交流研讨”的多元化培训方式，引导财务人员将所学知识与部门实际工作结合，规范预算收支核算全流程，提升预算编制精准性与资金使用效益，切实助力全区部门预算收支管理水平提升。</w:t>
      </w:r>
      <w:bookmarkEnd w:id="259"/>
    </w:p>
    <w:p w14:paraId="10F65499">
      <w:pPr>
        <w:pStyle w:val="2"/>
        <w:outlineLvl w:val="9"/>
        <w:rPr>
          <w:rFonts w:hint="eastAsia"/>
          <w:lang w:val="zh-CN" w:eastAsia="zh-CN"/>
        </w:rPr>
      </w:pPr>
    </w:p>
    <w:p w14:paraId="2D1D193D">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zh-CN" w:eastAsia="zh-CN" w:bidi="ar-SA"/>
        </w:rPr>
        <w:t>附表：</w:t>
      </w:r>
      <w:r>
        <w:rPr>
          <w:rFonts w:hint="eastAsia" w:ascii="Times New Roman" w:hAnsi="Times New Roman" w:eastAsia="方正仿宋_GBK" w:cs="Times New Roman"/>
          <w:color w:val="auto"/>
          <w:kern w:val="2"/>
          <w:sz w:val="32"/>
          <w:szCs w:val="32"/>
          <w:highlight w:val="none"/>
          <w:lang w:val="en-US" w:eastAsia="zh-CN" w:bidi="ar-SA"/>
        </w:rPr>
        <w:t>部门预算项目支出绩效自评表（2024年度）</w:t>
      </w:r>
    </w:p>
    <w:p w14:paraId="64F40F2C">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15BE04BD">
      <w:pPr>
        <w:jc w:val="center"/>
        <w:outlineLvl w:val="9"/>
        <w:rPr>
          <w:rFonts w:hint="eastAsia" w:ascii="方正小标宋_GBK" w:hAnsi="方正小标宋_GBK" w:eastAsia="方正小标宋_GBK" w:cs="方正小标宋_GBK"/>
          <w:b w:val="0"/>
          <w:bCs/>
          <w:kern w:val="2"/>
          <w:sz w:val="44"/>
          <w:szCs w:val="44"/>
          <w:lang w:val="en-US" w:eastAsia="zh-CN" w:bidi="ar-SA"/>
        </w:rPr>
      </w:pPr>
      <w:bookmarkStart w:id="260" w:name="_Toc1753600692"/>
      <w:bookmarkStart w:id="261" w:name="_Toc944357863"/>
      <w:bookmarkStart w:id="262" w:name="_Toc390224552"/>
      <w:bookmarkStart w:id="263" w:name="_Toc318647247"/>
      <w:bookmarkStart w:id="264" w:name="_Toc1799123017"/>
      <w:bookmarkStart w:id="265" w:name="_Toc514551894"/>
      <w:bookmarkStart w:id="266" w:name="_Toc1352550542"/>
      <w:bookmarkStart w:id="267" w:name="_Toc1775242069"/>
      <w:bookmarkStart w:id="268" w:name="_Toc60896677"/>
    </w:p>
    <w:p w14:paraId="580FB4A6">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124AD6DA">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4717F3EF">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76240333">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1A4E99F8">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429C74C0">
      <w:pPr>
        <w:jc w:val="both"/>
        <w:outlineLvl w:val="9"/>
        <w:rPr>
          <w:rFonts w:hint="eastAsia" w:ascii="方正小标宋_GBK" w:hAnsi="方正小标宋_GBK" w:eastAsia="方正小标宋_GBK" w:cs="方正小标宋_GBK"/>
          <w:b w:val="0"/>
          <w:bCs/>
          <w:kern w:val="2"/>
          <w:sz w:val="44"/>
          <w:szCs w:val="44"/>
          <w:lang w:val="en-US" w:eastAsia="zh-CN" w:bidi="ar-SA"/>
        </w:rPr>
      </w:pPr>
    </w:p>
    <w:p w14:paraId="1369C727">
      <w:pPr>
        <w:pStyle w:val="2"/>
        <w:rPr>
          <w:rFonts w:hint="eastAsia" w:ascii="方正小标宋_GBK" w:hAnsi="方正小标宋_GBK" w:eastAsia="方正小标宋_GBK" w:cs="方正小标宋_GBK"/>
          <w:b w:val="0"/>
          <w:bCs/>
          <w:kern w:val="2"/>
          <w:sz w:val="44"/>
          <w:szCs w:val="44"/>
          <w:lang w:val="en-US" w:eastAsia="zh-CN" w:bidi="ar-SA"/>
        </w:rPr>
      </w:pPr>
    </w:p>
    <w:p w14:paraId="6E24A914">
      <w:pPr>
        <w:rPr>
          <w:rFonts w:hint="eastAsia" w:ascii="方正小标宋_GBK" w:hAnsi="方正小标宋_GBK" w:eastAsia="方正小标宋_GBK" w:cs="方正小标宋_GBK"/>
          <w:b w:val="0"/>
          <w:bCs/>
          <w:kern w:val="2"/>
          <w:sz w:val="44"/>
          <w:szCs w:val="44"/>
          <w:lang w:val="en-US" w:eastAsia="zh-CN" w:bidi="ar-SA"/>
        </w:rPr>
      </w:pPr>
    </w:p>
    <w:p w14:paraId="4E1A58A3">
      <w:pPr>
        <w:pStyle w:val="2"/>
        <w:rPr>
          <w:rFonts w:hint="eastAsia"/>
          <w:lang w:val="en-US" w:eastAsia="zh-CN"/>
        </w:rPr>
      </w:pPr>
    </w:p>
    <w:p w14:paraId="115EC626">
      <w:pPr>
        <w:jc w:val="center"/>
        <w:outlineLvl w:val="0"/>
        <w:rPr>
          <w:rFonts w:hint="eastAsia" w:ascii="方正小标宋_GBK" w:hAnsi="方正小标宋_GBK" w:eastAsia="方正小标宋_GBK" w:cs="方正小标宋_GBK"/>
          <w:b w:val="0"/>
          <w:bCs/>
          <w:kern w:val="2"/>
          <w:sz w:val="44"/>
          <w:szCs w:val="44"/>
          <w:lang w:val="en-US" w:eastAsia="zh-CN" w:bidi="ar-SA"/>
        </w:rPr>
      </w:pPr>
      <w:bookmarkStart w:id="269" w:name="_Toc958062883"/>
      <w:r>
        <w:rPr>
          <w:rFonts w:hint="eastAsia" w:ascii="方正小标宋_GBK" w:hAnsi="方正小标宋_GBK" w:eastAsia="方正小标宋_GBK" w:cs="方正小标宋_GBK"/>
          <w:b w:val="0"/>
          <w:bCs/>
          <w:kern w:val="2"/>
          <w:sz w:val="44"/>
          <w:szCs w:val="44"/>
          <w:lang w:val="en-US" w:eastAsia="zh-CN" w:bidi="ar-SA"/>
        </w:rPr>
        <w:t>第五部分  附表</w:t>
      </w:r>
      <w:bookmarkEnd w:id="260"/>
      <w:bookmarkEnd w:id="261"/>
      <w:bookmarkEnd w:id="262"/>
      <w:bookmarkEnd w:id="263"/>
      <w:bookmarkEnd w:id="264"/>
      <w:bookmarkEnd w:id="265"/>
      <w:bookmarkEnd w:id="266"/>
      <w:bookmarkEnd w:id="267"/>
      <w:bookmarkEnd w:id="268"/>
      <w:bookmarkEnd w:id="269"/>
      <w:bookmarkStart w:id="270" w:name="_Toc15396619"/>
    </w:p>
    <w:p w14:paraId="60665DAB">
      <w:pPr>
        <w:pStyle w:val="4"/>
        <w:spacing w:before="0" w:after="0" w:line="240" w:lineRule="auto"/>
        <w:outlineLvl w:val="9"/>
        <w:rPr>
          <w:rFonts w:hint="eastAsia" w:ascii="仿宋" w:hAnsi="仿宋" w:eastAsia="仿宋"/>
          <w:b w:val="0"/>
        </w:rPr>
      </w:pPr>
    </w:p>
    <w:p w14:paraId="6F52F52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271" w:name="_Toc809351091"/>
      <w:bookmarkStart w:id="272" w:name="_Toc296248709"/>
      <w:bookmarkStart w:id="273" w:name="_Toc1223876059"/>
      <w:bookmarkStart w:id="274" w:name="_Toc1723699859"/>
      <w:bookmarkStart w:id="275" w:name="_Toc574039923"/>
      <w:bookmarkStart w:id="276" w:name="_Toc385631910"/>
      <w:bookmarkStart w:id="277" w:name="_Toc467946503"/>
      <w:bookmarkStart w:id="278" w:name="_Toc121280162"/>
      <w:bookmarkStart w:id="279" w:name="_Toc165529078"/>
      <w:bookmarkStart w:id="280" w:name="_Toc898394583"/>
      <w:r>
        <w:rPr>
          <w:rFonts w:hint="eastAsia" w:ascii="方正黑体_GBK" w:hAnsi="方正黑体_GBK" w:eastAsia="方正黑体_GBK" w:cs="方正黑体_GBK"/>
          <w:b w:val="0"/>
          <w:bCs/>
          <w:kern w:val="2"/>
          <w:sz w:val="33"/>
          <w:szCs w:val="33"/>
          <w:lang w:val="en-US" w:eastAsia="zh-CN" w:bidi="ar-SA"/>
        </w:rPr>
        <w:t>一、收入支出决算总表</w:t>
      </w:r>
      <w:bookmarkEnd w:id="270"/>
      <w:bookmarkEnd w:id="271"/>
      <w:bookmarkEnd w:id="272"/>
      <w:bookmarkEnd w:id="273"/>
      <w:bookmarkEnd w:id="274"/>
      <w:bookmarkEnd w:id="275"/>
      <w:bookmarkEnd w:id="276"/>
      <w:bookmarkEnd w:id="277"/>
      <w:bookmarkEnd w:id="278"/>
      <w:bookmarkEnd w:id="279"/>
      <w:bookmarkEnd w:id="280"/>
    </w:p>
    <w:p w14:paraId="2DF6F1F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281" w:name="_Toc1444133391"/>
      <w:bookmarkStart w:id="282" w:name="_Toc1852453569"/>
      <w:bookmarkStart w:id="283" w:name="_Toc1686065841"/>
      <w:bookmarkStart w:id="284" w:name="_Toc925972795"/>
      <w:bookmarkStart w:id="285" w:name="_Toc2107528420"/>
      <w:bookmarkStart w:id="286" w:name="_Toc1912895114"/>
      <w:bookmarkStart w:id="287" w:name="_Toc15396620"/>
      <w:bookmarkStart w:id="288" w:name="_Toc757637185"/>
      <w:bookmarkStart w:id="289" w:name="_Toc374492704"/>
      <w:bookmarkStart w:id="290" w:name="_Toc1453054212"/>
      <w:bookmarkStart w:id="291" w:name="_Toc1192897371"/>
      <w:r>
        <w:rPr>
          <w:rFonts w:hint="eastAsia" w:ascii="方正黑体_GBK" w:hAnsi="方正黑体_GBK" w:eastAsia="方正黑体_GBK" w:cs="方正黑体_GBK"/>
          <w:b w:val="0"/>
          <w:bCs/>
          <w:kern w:val="2"/>
          <w:sz w:val="33"/>
          <w:szCs w:val="33"/>
          <w:lang w:val="en-US" w:eastAsia="zh-CN" w:bidi="ar-SA"/>
        </w:rPr>
        <w:t>二、收入决算表</w:t>
      </w:r>
      <w:bookmarkEnd w:id="281"/>
      <w:bookmarkEnd w:id="282"/>
      <w:bookmarkEnd w:id="283"/>
      <w:bookmarkEnd w:id="284"/>
      <w:bookmarkEnd w:id="285"/>
      <w:bookmarkEnd w:id="286"/>
      <w:bookmarkEnd w:id="287"/>
      <w:bookmarkEnd w:id="288"/>
      <w:bookmarkEnd w:id="289"/>
      <w:bookmarkEnd w:id="290"/>
      <w:bookmarkEnd w:id="291"/>
    </w:p>
    <w:p w14:paraId="18CA54E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292" w:name="_Toc66321894"/>
      <w:bookmarkStart w:id="293" w:name="_Toc1419104967"/>
      <w:bookmarkStart w:id="294" w:name="_Toc1099007768"/>
      <w:bookmarkStart w:id="295" w:name="_Toc15396621"/>
      <w:bookmarkStart w:id="296" w:name="_Toc1531875955"/>
      <w:bookmarkStart w:id="297" w:name="_Toc1885841288"/>
      <w:bookmarkStart w:id="298" w:name="_Toc1451164991"/>
      <w:bookmarkStart w:id="299" w:name="_Toc1939097166"/>
      <w:bookmarkStart w:id="300" w:name="_Toc712455222"/>
      <w:bookmarkStart w:id="301" w:name="_Toc182944008"/>
      <w:bookmarkStart w:id="302" w:name="_Toc437268949"/>
      <w:r>
        <w:rPr>
          <w:rFonts w:hint="eastAsia" w:ascii="方正黑体_GBK" w:hAnsi="方正黑体_GBK" w:eastAsia="方正黑体_GBK" w:cs="方正黑体_GBK"/>
          <w:b w:val="0"/>
          <w:bCs/>
          <w:kern w:val="2"/>
          <w:sz w:val="33"/>
          <w:szCs w:val="33"/>
          <w:lang w:val="en-US" w:eastAsia="zh-CN" w:bidi="ar-SA"/>
        </w:rPr>
        <w:t>三、支出决算表</w:t>
      </w:r>
      <w:bookmarkEnd w:id="292"/>
      <w:bookmarkEnd w:id="293"/>
      <w:bookmarkEnd w:id="294"/>
      <w:bookmarkEnd w:id="295"/>
      <w:bookmarkEnd w:id="296"/>
      <w:bookmarkEnd w:id="297"/>
      <w:bookmarkEnd w:id="298"/>
      <w:bookmarkEnd w:id="299"/>
      <w:bookmarkEnd w:id="300"/>
      <w:bookmarkEnd w:id="301"/>
      <w:bookmarkEnd w:id="302"/>
    </w:p>
    <w:p w14:paraId="21C3583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03" w:name="_Toc124976674"/>
      <w:bookmarkStart w:id="304" w:name="_Toc1908924078"/>
      <w:bookmarkStart w:id="305" w:name="_Toc1656620959"/>
      <w:bookmarkStart w:id="306" w:name="_Toc164560506"/>
      <w:bookmarkStart w:id="307" w:name="_Toc1362078715"/>
      <w:bookmarkStart w:id="308" w:name="_Toc724086897"/>
      <w:bookmarkStart w:id="309" w:name="_Toc235352579"/>
      <w:bookmarkStart w:id="310" w:name="_Toc15396622"/>
      <w:bookmarkStart w:id="311" w:name="_Toc1528146366"/>
      <w:bookmarkStart w:id="312" w:name="_Toc501326273"/>
      <w:bookmarkStart w:id="313" w:name="_Toc1257778564"/>
      <w:r>
        <w:rPr>
          <w:rFonts w:hint="eastAsia" w:ascii="方正黑体_GBK" w:hAnsi="方正黑体_GBK" w:eastAsia="方正黑体_GBK" w:cs="方正黑体_GBK"/>
          <w:b w:val="0"/>
          <w:bCs/>
          <w:kern w:val="2"/>
          <w:sz w:val="33"/>
          <w:szCs w:val="33"/>
          <w:lang w:val="en-US" w:eastAsia="zh-CN" w:bidi="ar-SA"/>
        </w:rPr>
        <w:t>四、财政拨款收入支出决算总表</w:t>
      </w:r>
      <w:bookmarkEnd w:id="303"/>
      <w:bookmarkEnd w:id="304"/>
      <w:bookmarkEnd w:id="305"/>
      <w:bookmarkEnd w:id="306"/>
      <w:bookmarkEnd w:id="307"/>
      <w:bookmarkEnd w:id="308"/>
      <w:bookmarkEnd w:id="309"/>
      <w:bookmarkEnd w:id="310"/>
      <w:bookmarkEnd w:id="311"/>
      <w:bookmarkEnd w:id="312"/>
      <w:bookmarkEnd w:id="313"/>
    </w:p>
    <w:p w14:paraId="74DCBB2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14" w:name="_Toc268035256"/>
      <w:bookmarkStart w:id="315" w:name="_Toc509148366"/>
      <w:bookmarkStart w:id="316" w:name="_Toc2123419483"/>
      <w:bookmarkStart w:id="317" w:name="_Toc411541735"/>
      <w:bookmarkStart w:id="318" w:name="_Toc489398525"/>
      <w:bookmarkStart w:id="319" w:name="_Toc1769036872"/>
      <w:bookmarkStart w:id="320" w:name="_Toc1385309193"/>
      <w:bookmarkStart w:id="321" w:name="_Toc972754052"/>
      <w:bookmarkStart w:id="322" w:name="_Toc15396623"/>
      <w:bookmarkStart w:id="323" w:name="_Toc837210355"/>
      <w:bookmarkStart w:id="324" w:name="_Toc516181077"/>
      <w:r>
        <w:rPr>
          <w:rFonts w:hint="eastAsia" w:ascii="方正黑体_GBK" w:hAnsi="方正黑体_GBK" w:eastAsia="方正黑体_GBK" w:cs="方正黑体_GBK"/>
          <w:b w:val="0"/>
          <w:bCs/>
          <w:kern w:val="2"/>
          <w:sz w:val="33"/>
          <w:szCs w:val="33"/>
          <w:lang w:val="en-US" w:eastAsia="zh-CN" w:bidi="ar-SA"/>
        </w:rPr>
        <w:t>五、财政拨款支出决算明细表</w:t>
      </w:r>
      <w:bookmarkEnd w:id="314"/>
      <w:bookmarkEnd w:id="315"/>
      <w:bookmarkEnd w:id="316"/>
      <w:bookmarkEnd w:id="317"/>
      <w:bookmarkEnd w:id="318"/>
      <w:bookmarkEnd w:id="319"/>
      <w:bookmarkEnd w:id="320"/>
      <w:bookmarkEnd w:id="321"/>
      <w:bookmarkEnd w:id="322"/>
      <w:bookmarkEnd w:id="323"/>
      <w:bookmarkEnd w:id="324"/>
      <w:bookmarkStart w:id="325" w:name="_Toc15396624"/>
    </w:p>
    <w:p w14:paraId="7D5F3DB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26" w:name="_Toc683422966"/>
      <w:bookmarkStart w:id="327" w:name="_Toc1469456008"/>
      <w:bookmarkStart w:id="328" w:name="_Toc808921733"/>
      <w:bookmarkStart w:id="329" w:name="_Toc219219918"/>
      <w:bookmarkStart w:id="330" w:name="_Toc628426590"/>
      <w:bookmarkStart w:id="331" w:name="_Toc721249084"/>
      <w:bookmarkStart w:id="332" w:name="_Toc1911071388"/>
      <w:bookmarkStart w:id="333" w:name="_Toc1736184030"/>
      <w:bookmarkStart w:id="334" w:name="_Toc506258627"/>
      <w:bookmarkStart w:id="335" w:name="_Toc1902054740"/>
      <w:r>
        <w:rPr>
          <w:rFonts w:hint="eastAsia" w:ascii="方正黑体_GBK" w:hAnsi="方正黑体_GBK" w:eastAsia="方正黑体_GBK" w:cs="方正黑体_GBK"/>
          <w:b w:val="0"/>
          <w:bCs/>
          <w:kern w:val="2"/>
          <w:sz w:val="33"/>
          <w:szCs w:val="33"/>
          <w:lang w:val="en-US" w:eastAsia="zh-CN" w:bidi="ar-SA"/>
        </w:rPr>
        <w:t>六、一般公共预算财政拨款支出决算表</w:t>
      </w:r>
      <w:bookmarkEnd w:id="325"/>
      <w:bookmarkEnd w:id="326"/>
      <w:bookmarkEnd w:id="327"/>
      <w:bookmarkEnd w:id="328"/>
      <w:bookmarkEnd w:id="329"/>
      <w:bookmarkEnd w:id="330"/>
      <w:bookmarkEnd w:id="331"/>
      <w:bookmarkEnd w:id="332"/>
      <w:bookmarkEnd w:id="333"/>
      <w:bookmarkEnd w:id="334"/>
      <w:bookmarkEnd w:id="335"/>
    </w:p>
    <w:p w14:paraId="3F1CEDE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36" w:name="_Toc1016694620"/>
      <w:bookmarkStart w:id="337" w:name="_Toc655474382"/>
      <w:bookmarkStart w:id="338" w:name="_Toc1653303303"/>
      <w:bookmarkStart w:id="339" w:name="_Toc440968838"/>
      <w:bookmarkStart w:id="340" w:name="_Toc15396625"/>
      <w:bookmarkStart w:id="341" w:name="_Toc830896153"/>
      <w:bookmarkStart w:id="342" w:name="_Toc765590723"/>
      <w:bookmarkStart w:id="343" w:name="_Toc1400266798"/>
      <w:bookmarkStart w:id="344" w:name="_Toc52207230"/>
      <w:bookmarkStart w:id="345" w:name="_Toc624681844"/>
      <w:bookmarkStart w:id="346" w:name="_Toc136724487"/>
      <w:r>
        <w:rPr>
          <w:rFonts w:hint="eastAsia" w:ascii="方正黑体_GBK" w:hAnsi="方正黑体_GBK" w:eastAsia="方正黑体_GBK" w:cs="方正黑体_GBK"/>
          <w:b w:val="0"/>
          <w:bCs/>
          <w:kern w:val="2"/>
          <w:sz w:val="33"/>
          <w:szCs w:val="33"/>
          <w:lang w:val="en-US" w:eastAsia="zh-CN" w:bidi="ar-SA"/>
        </w:rPr>
        <w:t>七、一般公共预算财政拨款支出决算明细表</w:t>
      </w:r>
      <w:bookmarkEnd w:id="336"/>
      <w:bookmarkEnd w:id="337"/>
      <w:bookmarkEnd w:id="338"/>
      <w:bookmarkEnd w:id="339"/>
      <w:bookmarkEnd w:id="340"/>
      <w:bookmarkEnd w:id="341"/>
      <w:bookmarkEnd w:id="342"/>
      <w:bookmarkEnd w:id="343"/>
      <w:bookmarkEnd w:id="344"/>
      <w:bookmarkEnd w:id="345"/>
      <w:bookmarkEnd w:id="346"/>
    </w:p>
    <w:p w14:paraId="3E3A76E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47" w:name="_Toc1309066783"/>
      <w:bookmarkStart w:id="348" w:name="_Toc347090333"/>
      <w:bookmarkStart w:id="349" w:name="_Toc15396626"/>
      <w:bookmarkStart w:id="350" w:name="_Toc896905303"/>
      <w:bookmarkStart w:id="351" w:name="_Toc1897885901"/>
      <w:bookmarkStart w:id="352" w:name="_Toc1549882953"/>
      <w:bookmarkStart w:id="353" w:name="_Toc1602691868"/>
      <w:bookmarkStart w:id="354" w:name="_Toc1403825445"/>
      <w:bookmarkStart w:id="355" w:name="_Toc1847036910"/>
      <w:bookmarkStart w:id="356" w:name="_Toc887202951"/>
      <w:bookmarkStart w:id="357" w:name="_Toc1946730704"/>
      <w:r>
        <w:rPr>
          <w:rFonts w:hint="eastAsia" w:ascii="方正黑体_GBK" w:hAnsi="方正黑体_GBK" w:eastAsia="方正黑体_GBK" w:cs="方正黑体_GBK"/>
          <w:b w:val="0"/>
          <w:bCs/>
          <w:kern w:val="2"/>
          <w:sz w:val="33"/>
          <w:szCs w:val="33"/>
          <w:lang w:val="en-US" w:eastAsia="zh-CN" w:bidi="ar-SA"/>
        </w:rPr>
        <w:t>八、一般公共预算财政拨款基本支出决算表</w:t>
      </w:r>
      <w:bookmarkEnd w:id="347"/>
      <w:bookmarkEnd w:id="348"/>
      <w:bookmarkEnd w:id="349"/>
      <w:bookmarkEnd w:id="350"/>
      <w:bookmarkEnd w:id="351"/>
      <w:bookmarkEnd w:id="352"/>
      <w:bookmarkEnd w:id="353"/>
      <w:bookmarkEnd w:id="354"/>
      <w:bookmarkEnd w:id="355"/>
      <w:bookmarkEnd w:id="356"/>
      <w:bookmarkEnd w:id="357"/>
    </w:p>
    <w:p w14:paraId="11D061C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58" w:name="_Toc753556590"/>
      <w:bookmarkStart w:id="359" w:name="_Toc1299590794"/>
      <w:bookmarkStart w:id="360" w:name="_Toc223396502"/>
      <w:bookmarkStart w:id="361" w:name="_Toc998343282"/>
      <w:bookmarkStart w:id="362" w:name="_Toc735672539"/>
      <w:bookmarkStart w:id="363" w:name="_Toc15396627"/>
      <w:bookmarkStart w:id="364" w:name="_Toc297616260"/>
      <w:bookmarkStart w:id="365" w:name="_Toc1226753436"/>
      <w:bookmarkStart w:id="366" w:name="_Toc412139187"/>
      <w:bookmarkStart w:id="367" w:name="_Toc274061726"/>
      <w:bookmarkStart w:id="368" w:name="_Toc865555401"/>
      <w:r>
        <w:rPr>
          <w:rFonts w:hint="eastAsia" w:ascii="方正黑体_GBK" w:hAnsi="方正黑体_GBK" w:eastAsia="方正黑体_GBK" w:cs="方正黑体_GBK"/>
          <w:b w:val="0"/>
          <w:bCs/>
          <w:kern w:val="2"/>
          <w:sz w:val="33"/>
          <w:szCs w:val="33"/>
          <w:lang w:val="en-US" w:eastAsia="zh-CN" w:bidi="ar-SA"/>
        </w:rPr>
        <w:t>九、一般公共预算财政拨款项目支出决算表</w:t>
      </w:r>
      <w:bookmarkEnd w:id="358"/>
      <w:bookmarkEnd w:id="359"/>
      <w:bookmarkEnd w:id="360"/>
      <w:bookmarkEnd w:id="361"/>
      <w:bookmarkEnd w:id="362"/>
      <w:bookmarkEnd w:id="363"/>
      <w:bookmarkEnd w:id="364"/>
      <w:bookmarkEnd w:id="365"/>
      <w:bookmarkEnd w:id="366"/>
      <w:bookmarkEnd w:id="367"/>
      <w:bookmarkEnd w:id="368"/>
    </w:p>
    <w:p w14:paraId="5BEAF0A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69" w:name="_Toc15396628"/>
      <w:bookmarkStart w:id="370" w:name="_Toc1485411958"/>
      <w:bookmarkStart w:id="371" w:name="_Toc920215435"/>
      <w:bookmarkStart w:id="372" w:name="_Toc851335811"/>
      <w:bookmarkStart w:id="373" w:name="_Toc1141061949"/>
      <w:bookmarkStart w:id="374" w:name="_Toc362305737"/>
      <w:bookmarkStart w:id="375" w:name="_Toc670548813"/>
      <w:bookmarkStart w:id="376" w:name="_Toc1869100760"/>
      <w:bookmarkStart w:id="377" w:name="_Toc1630247688"/>
      <w:bookmarkStart w:id="378" w:name="_Toc942001388"/>
      <w:bookmarkStart w:id="379" w:name="_Toc1103500010"/>
      <w:r>
        <w:rPr>
          <w:rFonts w:hint="eastAsia" w:ascii="方正黑体_GBK" w:hAnsi="方正黑体_GBK" w:eastAsia="方正黑体_GBK" w:cs="方正黑体_GBK"/>
          <w:b w:val="0"/>
          <w:bCs/>
          <w:kern w:val="2"/>
          <w:sz w:val="33"/>
          <w:szCs w:val="33"/>
          <w:lang w:val="en-US" w:eastAsia="zh-CN" w:bidi="ar-SA"/>
        </w:rPr>
        <w:t>十、</w:t>
      </w:r>
      <w:bookmarkEnd w:id="369"/>
      <w:r>
        <w:rPr>
          <w:rFonts w:hint="eastAsia" w:ascii="方正黑体_GBK" w:hAnsi="方正黑体_GBK" w:eastAsia="方正黑体_GBK" w:cs="方正黑体_GBK"/>
          <w:b w:val="0"/>
          <w:bCs/>
          <w:kern w:val="2"/>
          <w:sz w:val="33"/>
          <w:szCs w:val="33"/>
          <w:lang w:val="en-US" w:eastAsia="zh-CN" w:bidi="ar-SA"/>
        </w:rPr>
        <w:t>政府性基金预算财政拨款收入支出决算表</w:t>
      </w:r>
      <w:bookmarkEnd w:id="370"/>
      <w:bookmarkEnd w:id="371"/>
      <w:bookmarkEnd w:id="372"/>
      <w:bookmarkEnd w:id="373"/>
      <w:bookmarkEnd w:id="374"/>
      <w:bookmarkEnd w:id="375"/>
      <w:bookmarkEnd w:id="376"/>
      <w:bookmarkEnd w:id="377"/>
      <w:bookmarkEnd w:id="378"/>
      <w:bookmarkEnd w:id="379"/>
    </w:p>
    <w:p w14:paraId="726C915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80" w:name="_Toc15396629"/>
      <w:bookmarkStart w:id="381" w:name="_Toc242068465"/>
      <w:bookmarkStart w:id="382" w:name="_Toc852956244"/>
      <w:bookmarkStart w:id="383" w:name="_Toc2140451706"/>
      <w:bookmarkStart w:id="384" w:name="_Toc600046119"/>
      <w:bookmarkStart w:id="385" w:name="_Toc1799466645"/>
      <w:bookmarkStart w:id="386" w:name="_Toc2014259223"/>
      <w:bookmarkStart w:id="387" w:name="_Toc645386377"/>
      <w:bookmarkStart w:id="388" w:name="_Toc386414464"/>
      <w:bookmarkStart w:id="389" w:name="_Toc1989573609"/>
      <w:bookmarkStart w:id="390" w:name="_Toc628072123"/>
      <w:r>
        <w:rPr>
          <w:rFonts w:hint="eastAsia" w:ascii="方正黑体_GBK" w:hAnsi="方正黑体_GBK" w:eastAsia="方正黑体_GBK" w:cs="方正黑体_GBK"/>
          <w:b w:val="0"/>
          <w:bCs/>
          <w:kern w:val="2"/>
          <w:sz w:val="33"/>
          <w:szCs w:val="33"/>
          <w:lang w:val="en-US" w:eastAsia="zh-CN" w:bidi="ar-SA"/>
        </w:rPr>
        <w:t>十一、</w:t>
      </w:r>
      <w:bookmarkEnd w:id="380"/>
      <w:r>
        <w:rPr>
          <w:rFonts w:hint="eastAsia" w:ascii="方正黑体_GBK" w:hAnsi="方正黑体_GBK" w:eastAsia="方正黑体_GBK" w:cs="方正黑体_GBK"/>
          <w:b w:val="0"/>
          <w:bCs/>
          <w:kern w:val="2"/>
          <w:sz w:val="33"/>
          <w:szCs w:val="33"/>
          <w:lang w:val="en-US" w:eastAsia="zh-CN" w:bidi="ar-SA"/>
        </w:rPr>
        <w:t>国有资本经营预算财政拨款收入支出决算表</w:t>
      </w:r>
      <w:bookmarkEnd w:id="381"/>
      <w:bookmarkEnd w:id="382"/>
      <w:bookmarkEnd w:id="383"/>
      <w:bookmarkEnd w:id="384"/>
      <w:bookmarkEnd w:id="385"/>
      <w:bookmarkEnd w:id="386"/>
      <w:bookmarkEnd w:id="387"/>
      <w:bookmarkEnd w:id="388"/>
      <w:bookmarkEnd w:id="389"/>
      <w:bookmarkEnd w:id="390"/>
    </w:p>
    <w:p w14:paraId="506659E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91" w:name="_Toc15396630"/>
      <w:bookmarkStart w:id="392" w:name="_Toc1841087920"/>
      <w:bookmarkStart w:id="393" w:name="_Toc1657417521"/>
      <w:bookmarkStart w:id="394" w:name="_Toc516909039"/>
      <w:bookmarkStart w:id="395" w:name="_Toc1149180535"/>
      <w:bookmarkStart w:id="396" w:name="_Toc244028197"/>
      <w:bookmarkStart w:id="397" w:name="_Toc809546414"/>
      <w:bookmarkStart w:id="398" w:name="_Toc1982203700"/>
      <w:bookmarkStart w:id="399" w:name="_Toc1115207111"/>
      <w:bookmarkStart w:id="400" w:name="_Toc802171590"/>
      <w:bookmarkStart w:id="401" w:name="_Toc1417336322"/>
      <w:r>
        <w:rPr>
          <w:rFonts w:hint="eastAsia" w:ascii="方正黑体_GBK" w:hAnsi="方正黑体_GBK" w:eastAsia="方正黑体_GBK" w:cs="方正黑体_GBK"/>
          <w:b w:val="0"/>
          <w:bCs/>
          <w:kern w:val="2"/>
          <w:sz w:val="33"/>
          <w:szCs w:val="33"/>
          <w:lang w:val="en-US" w:eastAsia="zh-CN" w:bidi="ar-SA"/>
        </w:rPr>
        <w:t>十二、</w:t>
      </w:r>
      <w:bookmarkEnd w:id="391"/>
      <w:r>
        <w:rPr>
          <w:rFonts w:hint="eastAsia" w:ascii="方正黑体_GBK" w:hAnsi="方正黑体_GBK" w:eastAsia="方正黑体_GBK" w:cs="方正黑体_GBK"/>
          <w:b w:val="0"/>
          <w:bCs/>
          <w:kern w:val="2"/>
          <w:sz w:val="33"/>
          <w:szCs w:val="33"/>
          <w:lang w:val="en-US" w:eastAsia="zh-CN" w:bidi="ar-SA"/>
        </w:rPr>
        <w:t>国有资本经营预算财政拨款支出决算表</w:t>
      </w:r>
      <w:bookmarkEnd w:id="392"/>
      <w:bookmarkEnd w:id="393"/>
      <w:bookmarkEnd w:id="394"/>
      <w:bookmarkEnd w:id="395"/>
      <w:bookmarkEnd w:id="396"/>
      <w:bookmarkEnd w:id="397"/>
      <w:bookmarkEnd w:id="398"/>
      <w:bookmarkEnd w:id="399"/>
      <w:bookmarkEnd w:id="400"/>
      <w:bookmarkEnd w:id="401"/>
    </w:p>
    <w:p w14:paraId="3C682DB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402" w:name="_Toc15396631"/>
      <w:bookmarkStart w:id="403" w:name="_Toc1120725553"/>
      <w:bookmarkStart w:id="404" w:name="_Toc545315988"/>
      <w:bookmarkStart w:id="405" w:name="_Toc1200093670"/>
      <w:bookmarkStart w:id="406" w:name="_Toc1656481533"/>
      <w:bookmarkStart w:id="407" w:name="_Toc1155616875"/>
      <w:bookmarkStart w:id="408" w:name="_Toc796510671"/>
      <w:bookmarkStart w:id="409" w:name="_Toc458107341"/>
      <w:bookmarkStart w:id="410" w:name="_Toc495429496"/>
      <w:bookmarkStart w:id="411" w:name="_Toc2097055398"/>
      <w:bookmarkStart w:id="412" w:name="_Toc835425084"/>
      <w:r>
        <w:rPr>
          <w:rFonts w:hint="eastAsia" w:ascii="方正黑体_GBK" w:hAnsi="方正黑体_GBK" w:eastAsia="方正黑体_GBK" w:cs="方正黑体_GBK"/>
          <w:b w:val="0"/>
          <w:bCs/>
          <w:kern w:val="2"/>
          <w:sz w:val="33"/>
          <w:szCs w:val="33"/>
          <w:lang w:val="en-US" w:eastAsia="zh-CN" w:bidi="ar-SA"/>
        </w:rPr>
        <w:t>十三、</w:t>
      </w:r>
      <w:bookmarkEnd w:id="402"/>
      <w:r>
        <w:rPr>
          <w:rFonts w:hint="eastAsia" w:ascii="方正黑体_GBK" w:hAnsi="方正黑体_GBK" w:eastAsia="方正黑体_GBK" w:cs="方正黑体_GBK"/>
          <w:b w:val="0"/>
          <w:bCs/>
          <w:kern w:val="2"/>
          <w:sz w:val="33"/>
          <w:szCs w:val="33"/>
          <w:lang w:val="en-US" w:eastAsia="zh-CN" w:bidi="ar-SA"/>
        </w:rPr>
        <w:t>财政拨款“三公”经费支出决算表</w:t>
      </w:r>
      <w:bookmarkEnd w:id="403"/>
      <w:bookmarkEnd w:id="404"/>
      <w:bookmarkEnd w:id="405"/>
      <w:bookmarkEnd w:id="406"/>
      <w:bookmarkEnd w:id="407"/>
      <w:bookmarkEnd w:id="408"/>
      <w:bookmarkEnd w:id="409"/>
      <w:bookmarkEnd w:id="410"/>
      <w:bookmarkEnd w:id="411"/>
      <w:bookmarkEnd w:id="412"/>
    </w:p>
    <w:p w14:paraId="6B758AB1">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64F804A5">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bookmarkEnd w:id="220"/>
    <w:p w14:paraId="33038A0D">
      <w:pPr>
        <w:rPr>
          <w:rFonts w:hint="eastAsia" w:ascii="Times New Roman" w:hAnsi="Times New Roman"/>
          <w:lang w:eastAsia="zh-CN"/>
        </w:rPr>
      </w:pPr>
    </w:p>
    <w:sectPr>
      <w:footerReference r:id="rId9" w:type="first"/>
      <w:footerReference r:id="rId8"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2650B">
    <w:pPr>
      <w:pStyle w:val="12"/>
      <w:jc w:val="center"/>
    </w:pPr>
  </w:p>
  <w:p w14:paraId="3F5C2E3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8D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2516">
    <w:pPr>
      <w:pStyle w:val="12"/>
      <w:jc w:val="center"/>
    </w:pPr>
  </w:p>
  <w:p w14:paraId="7D84078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3782">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E47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CD893">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32CD893">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1F1A3A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101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100E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8A100E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D5B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EA1BB"/>
    <w:multiLevelType w:val="singleLevel"/>
    <w:tmpl w:val="DB5EA1B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7F2402"/>
    <w:rsid w:val="1FF35744"/>
    <w:rsid w:val="1FF6BC77"/>
    <w:rsid w:val="1FFFA30A"/>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2FF31CAB"/>
    <w:rsid w:val="30AB6865"/>
    <w:rsid w:val="319F7F4E"/>
    <w:rsid w:val="32BD1EF1"/>
    <w:rsid w:val="3304709D"/>
    <w:rsid w:val="33A773CB"/>
    <w:rsid w:val="33EE19CE"/>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5FD61F0"/>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6F9EB7"/>
    <w:rsid w:val="5DAE1B18"/>
    <w:rsid w:val="5DE7D9E5"/>
    <w:rsid w:val="5E3E1692"/>
    <w:rsid w:val="5E6579CC"/>
    <w:rsid w:val="5ECEC941"/>
    <w:rsid w:val="5FBF9FF3"/>
    <w:rsid w:val="5FCD4E2C"/>
    <w:rsid w:val="5FEF394A"/>
    <w:rsid w:val="5FF67715"/>
    <w:rsid w:val="62BF3928"/>
    <w:rsid w:val="63B3701E"/>
    <w:rsid w:val="647F5392"/>
    <w:rsid w:val="65E66580"/>
    <w:rsid w:val="664B1D71"/>
    <w:rsid w:val="664B4E8E"/>
    <w:rsid w:val="67277B67"/>
    <w:rsid w:val="6777308D"/>
    <w:rsid w:val="67AA3209"/>
    <w:rsid w:val="698D0931"/>
    <w:rsid w:val="6A7FE5F3"/>
    <w:rsid w:val="6B053271"/>
    <w:rsid w:val="6BD5801D"/>
    <w:rsid w:val="6BDD78B3"/>
    <w:rsid w:val="6BEE5450"/>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8F9A4E"/>
    <w:rsid w:val="71992E7C"/>
    <w:rsid w:val="72233669"/>
    <w:rsid w:val="72734D90"/>
    <w:rsid w:val="73160E6D"/>
    <w:rsid w:val="7332FE48"/>
    <w:rsid w:val="735B87B8"/>
    <w:rsid w:val="73AB61DA"/>
    <w:rsid w:val="73AD73D5"/>
    <w:rsid w:val="73B6EB34"/>
    <w:rsid w:val="73FA497D"/>
    <w:rsid w:val="744731E5"/>
    <w:rsid w:val="74BBD01D"/>
    <w:rsid w:val="74ED5379"/>
    <w:rsid w:val="75DEEEC2"/>
    <w:rsid w:val="75E32345"/>
    <w:rsid w:val="75FFDCC1"/>
    <w:rsid w:val="76E3355F"/>
    <w:rsid w:val="76FA30BA"/>
    <w:rsid w:val="76FF5125"/>
    <w:rsid w:val="776F6FFA"/>
    <w:rsid w:val="778769C8"/>
    <w:rsid w:val="77A75DCA"/>
    <w:rsid w:val="77DC22F5"/>
    <w:rsid w:val="77EF65B5"/>
    <w:rsid w:val="77FE871D"/>
    <w:rsid w:val="783E271A"/>
    <w:rsid w:val="78616DE9"/>
    <w:rsid w:val="78E875D7"/>
    <w:rsid w:val="79086DAD"/>
    <w:rsid w:val="79D7FD79"/>
    <w:rsid w:val="79EE5BA4"/>
    <w:rsid w:val="7A894339"/>
    <w:rsid w:val="7A9D5506"/>
    <w:rsid w:val="7AD284E8"/>
    <w:rsid w:val="7AFF7572"/>
    <w:rsid w:val="7B6C7DFB"/>
    <w:rsid w:val="7B767E41"/>
    <w:rsid w:val="7BB535E0"/>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7FF793"/>
    <w:rsid w:val="7FA30C79"/>
    <w:rsid w:val="7FA79C44"/>
    <w:rsid w:val="7FAF8ABF"/>
    <w:rsid w:val="7FB7269E"/>
    <w:rsid w:val="7FC96657"/>
    <w:rsid w:val="7FDA9588"/>
    <w:rsid w:val="7FDF220F"/>
    <w:rsid w:val="7FEDC5F7"/>
    <w:rsid w:val="7FEDD9DE"/>
    <w:rsid w:val="7FF5890D"/>
    <w:rsid w:val="7FF93490"/>
    <w:rsid w:val="7FFBE8D6"/>
    <w:rsid w:val="99FF2014"/>
    <w:rsid w:val="A6DD0D7F"/>
    <w:rsid w:val="ACFF4FBB"/>
    <w:rsid w:val="ADC6F725"/>
    <w:rsid w:val="B7CF06AB"/>
    <w:rsid w:val="B7CFA926"/>
    <w:rsid w:val="B7F7DB9B"/>
    <w:rsid w:val="B7F8786B"/>
    <w:rsid w:val="BABB6AA1"/>
    <w:rsid w:val="BB2F4199"/>
    <w:rsid w:val="BCFFB442"/>
    <w:rsid w:val="BD079C78"/>
    <w:rsid w:val="BD733540"/>
    <w:rsid w:val="BEB375B9"/>
    <w:rsid w:val="BF3735D5"/>
    <w:rsid w:val="BF7F09AC"/>
    <w:rsid w:val="BFD475C3"/>
    <w:rsid w:val="BFDE5EA6"/>
    <w:rsid w:val="CF6FC6F3"/>
    <w:rsid w:val="CF9AD844"/>
    <w:rsid w:val="CFD3D3D7"/>
    <w:rsid w:val="CFDF1009"/>
    <w:rsid w:val="CFF74ECC"/>
    <w:rsid w:val="D6EF622E"/>
    <w:rsid w:val="D71DB1F2"/>
    <w:rsid w:val="D7D7B16A"/>
    <w:rsid w:val="D8D6DB89"/>
    <w:rsid w:val="DB6F4CAB"/>
    <w:rsid w:val="DB777682"/>
    <w:rsid w:val="DD1FB521"/>
    <w:rsid w:val="DEFBFEAE"/>
    <w:rsid w:val="DF1F3B80"/>
    <w:rsid w:val="DF6F9789"/>
    <w:rsid w:val="DFE9BE81"/>
    <w:rsid w:val="DFFFA9E8"/>
    <w:rsid w:val="E5F4E9DC"/>
    <w:rsid w:val="E70FE695"/>
    <w:rsid w:val="EB2E368B"/>
    <w:rsid w:val="EBA742FC"/>
    <w:rsid w:val="ECFED1BC"/>
    <w:rsid w:val="ED1D69BB"/>
    <w:rsid w:val="ED7FD312"/>
    <w:rsid w:val="EF2E1AC6"/>
    <w:rsid w:val="EF53993F"/>
    <w:rsid w:val="EF6FD633"/>
    <w:rsid w:val="EFBFB2F4"/>
    <w:rsid w:val="EFBFFA21"/>
    <w:rsid w:val="F2BEBCB8"/>
    <w:rsid w:val="F36FB518"/>
    <w:rsid w:val="F37F5AE9"/>
    <w:rsid w:val="F3DE1A04"/>
    <w:rsid w:val="F3F722E5"/>
    <w:rsid w:val="F4FBCD07"/>
    <w:rsid w:val="F4FFCB88"/>
    <w:rsid w:val="FA5F1E70"/>
    <w:rsid w:val="FA5FDB97"/>
    <w:rsid w:val="FB7F486A"/>
    <w:rsid w:val="FBB3AF08"/>
    <w:rsid w:val="FBFF3945"/>
    <w:rsid w:val="FBFF5B2E"/>
    <w:rsid w:val="FD7FFE2B"/>
    <w:rsid w:val="FDEE196B"/>
    <w:rsid w:val="FDFE6575"/>
    <w:rsid w:val="FE7F38F8"/>
    <w:rsid w:val="FEDFDDC2"/>
    <w:rsid w:val="FEED32F6"/>
    <w:rsid w:val="FEEE9803"/>
    <w:rsid w:val="FEF781DD"/>
    <w:rsid w:val="FF2904C0"/>
    <w:rsid w:val="FF3F7E3F"/>
    <w:rsid w:val="FFBA12D7"/>
    <w:rsid w:val="FFCBD314"/>
    <w:rsid w:val="FFCD40CA"/>
    <w:rsid w:val="FFDBBFA0"/>
    <w:rsid w:val="FFDFF91C"/>
    <w:rsid w:val="FFDFFAEE"/>
    <w:rsid w:val="FFEF6777"/>
    <w:rsid w:val="FFF9B57B"/>
    <w:rsid w:val="FFFD61D9"/>
    <w:rsid w:val="FFFD8F59"/>
    <w:rsid w:val="FFFE61E6"/>
    <w:rsid w:val="FFFF2BB1"/>
    <w:rsid w:val="FFFFB04D"/>
    <w:rsid w:val="FFFFDD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Normal Indent"/>
    <w:basedOn w:val="1"/>
    <w:qFormat/>
    <w:uiPriority w:val="0"/>
    <w:pPr>
      <w:ind w:firstLine="680"/>
    </w:pPr>
    <w:rPr>
      <w:rFonts w:eastAsia="宋体"/>
      <w:sz w:val="21"/>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BodyText"/>
    <w:next w:val="12"/>
    <w:qFormat/>
    <w:uiPriority w:val="0"/>
    <w:pPr>
      <w:widowControl w:val="0"/>
      <w:spacing w:after="120"/>
      <w:jc w:val="both"/>
      <w:textAlignment w:val="baseline"/>
    </w:pPr>
    <w:rPr>
      <w:rFonts w:ascii="Calibri" w:hAnsi="Calibri" w:eastAsia="宋体" w:cs="Times New Roman"/>
      <w:kern w:val="2"/>
      <w:sz w:val="21"/>
      <w:szCs w:val="22"/>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样式 小四28"/>
    <w:qFormat/>
    <w:uiPriority w:val="0"/>
    <w:rPr>
      <w:rFonts w:ascii="Times New Roman" w:hAnsi="Times New Roman" w:eastAsia="宋体" w:cs="Times New Roman"/>
      <w:sz w:val="24"/>
      <w:szCs w:val="24"/>
      <w:lang w:val="en-US" w:eastAsia="en-US"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manualLayout>
          <c:xMode val="edge"/>
          <c:yMode val="edge"/>
          <c:x val="0.257804956549726"/>
          <c:y val="0.00409444520267504"/>
        </c:manualLayout>
      </c:layout>
      <c:overlay val="0"/>
      <c:spPr>
        <a:noFill/>
        <a:ln>
          <a:noFill/>
        </a:ln>
        <a:effectLst/>
      </c:spPr>
    </c:title>
    <c:autoTitleDeleted val="0"/>
    <c:plotArea>
      <c:layout>
        <c:manualLayout>
          <c:layoutTarget val="inner"/>
          <c:xMode val="edge"/>
          <c:yMode val="edge"/>
          <c:x val="0.0704216285806244"/>
          <c:y val="0.106046130749284"/>
          <c:w val="0.907209526874799"/>
          <c:h val="0.767899549611028"/>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Sheet1!$A$2:$A$5</c:f>
              <c:strCache>
                <c:ptCount val="4"/>
                <c:pt idx="0">
                  <c:v>收入</c:v>
                </c:pt>
                <c:pt idx="1">
                  <c:v>支出</c:v>
                </c:pt>
              </c:strCache>
            </c:strRef>
          </c:cat>
          <c:val>
            <c:numRef>
              <c:f>Sheet1!$B$2:$B$5</c:f>
              <c:numCache>
                <c:formatCode>General</c:formatCode>
                <c:ptCount val="4"/>
                <c:pt idx="0">
                  <c:v>861.15</c:v>
                </c:pt>
                <c:pt idx="1">
                  <c:v>861.15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Sheet1!$A$2:$A$5</c:f>
              <c:strCache>
                <c:ptCount val="4"/>
                <c:pt idx="0">
                  <c:v>收入</c:v>
                </c:pt>
                <c:pt idx="1">
                  <c:v>支出</c:v>
                </c:pt>
              </c:strCache>
            </c:strRef>
          </c:cat>
          <c:val>
            <c:numRef>
              <c:f>Sheet1!$C$2:$C$5</c:f>
              <c:numCache>
                <c:formatCode>General</c:formatCode>
                <c:ptCount val="4"/>
                <c:pt idx="0">
                  <c:v>926.12</c:v>
                </c:pt>
                <c:pt idx="1">
                  <c:v>926.12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642829156"/>
        <c:axId val="821700060"/>
      </c:barChart>
      <c:catAx>
        <c:axId val="642829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1700060"/>
        <c:crosses val="autoZero"/>
        <c:auto val="1"/>
        <c:lblAlgn val="ctr"/>
        <c:lblOffset val="100"/>
        <c:noMultiLvlLbl val="0"/>
      </c:catAx>
      <c:valAx>
        <c:axId val="82170006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829156"/>
        <c:crosses val="autoZero"/>
        <c:crossBetween val="between"/>
      </c:valAx>
      <c:spPr>
        <a:noFill/>
        <a:ln>
          <a:noFill/>
        </a:ln>
        <a:effectLst/>
      </c:spPr>
    </c:plotArea>
    <c:legend>
      <c:legendPos val="b"/>
      <c:legendEntry>
        <c:idx val="2"/>
        <c:delete val="1"/>
      </c:legendEntry>
      <c:layout>
        <c:manualLayout>
          <c:xMode val="edge"/>
          <c:yMode val="edge"/>
          <c:x val="0.734953331187641"/>
          <c:y val="0.6335081969956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dLbl>
              <c:idx val="0"/>
              <c:layout>
                <c:manualLayout>
                  <c:x val="-0.0806863910791094"/>
                  <c:y val="-0.20348983412644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 </c:v>
                </c:pt>
                <c:pt idx="1">
                  <c:v>政府性基金预算财政拨款收入</c:v>
                </c:pt>
              </c:strCache>
            </c:strRef>
          </c:cat>
          <c:val>
            <c:numRef>
              <c:f>Sheet1!$B$2:$B$3</c:f>
              <c:numCache>
                <c:formatCode>General</c:formatCode>
                <c:ptCount val="2"/>
                <c:pt idx="0">
                  <c:v>750.17</c:v>
                </c:pt>
                <c:pt idx="1">
                  <c:v>105.35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602.97</c:v>
                </c:pt>
                <c:pt idx="1">
                  <c:v>323.15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861.15</c:v>
                </c:pt>
                <c:pt idx="1">
                  <c:v>861.15</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926.12</c:v>
                </c:pt>
                <c:pt idx="1">
                  <c:v>926.12</c:v>
                </c:pt>
              </c:numCache>
            </c:numRef>
          </c:val>
        </c:ser>
        <c:dLbls>
          <c:showLegendKey val="0"/>
          <c:showVal val="1"/>
          <c:showCatName val="0"/>
          <c:showSerName val="0"/>
          <c:showPercent val="0"/>
          <c:showBubbleSize val="0"/>
        </c:dLbls>
        <c:gapWidth val="260"/>
        <c:overlap val="-32"/>
        <c:axId val="403872425"/>
        <c:axId val="957601265"/>
      </c:barChart>
      <c:catAx>
        <c:axId val="4038724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601265"/>
        <c:crosses val="autoZero"/>
        <c:auto val="1"/>
        <c:lblAlgn val="ctr"/>
        <c:lblOffset val="100"/>
        <c:noMultiLvlLbl val="0"/>
      </c:catAx>
      <c:valAx>
        <c:axId val="957601265"/>
        <c:scaling>
          <c:orientation val="minMax"/>
        </c:scaling>
        <c:delete val="1"/>
        <c:axPos val="l"/>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387242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2023年一般公共预算财政拨款支出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769.03</c:v>
                </c:pt>
              </c:numCache>
            </c:numRef>
          </c:val>
        </c:ser>
        <c:ser>
          <c:idx val="1"/>
          <c:order val="1"/>
          <c:tx>
            <c:strRef>
              <c:f>Sheet1!$C$1</c:f>
              <c:strCache>
                <c:ptCount val="1"/>
                <c:pt idx="0">
                  <c:v>2024年一般公共预算财政拨款支出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820.77</c:v>
                </c:pt>
              </c:numCache>
            </c:numRef>
          </c:val>
        </c:ser>
        <c:dLbls>
          <c:showLegendKey val="0"/>
          <c:showVal val="1"/>
          <c:showCatName val="0"/>
          <c:showSerName val="0"/>
          <c:showPercent val="0"/>
          <c:showBubbleSize val="0"/>
        </c:dLbls>
        <c:gapWidth val="246"/>
        <c:overlap val="-28"/>
        <c:axId val="739259882"/>
        <c:axId val="976112443"/>
      </c:barChart>
      <c:catAx>
        <c:axId val="7392598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112443"/>
        <c:crosses val="autoZero"/>
        <c:auto val="1"/>
        <c:lblAlgn val="ctr"/>
        <c:lblOffset val="100"/>
        <c:noMultiLvlLbl val="0"/>
      </c:catAx>
      <c:valAx>
        <c:axId val="9761124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2598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2517516308287"/>
          <c:y val="0.025499362515937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其他支出</c:v>
                </c:pt>
              </c:strCache>
            </c:strRef>
          </c:cat>
          <c:val>
            <c:numRef>
              <c:f>Sheet1!$B$2:$B$6</c:f>
              <c:numCache>
                <c:formatCode>General</c:formatCode>
                <c:ptCount val="5"/>
                <c:pt idx="0">
                  <c:v>545.53</c:v>
                </c:pt>
                <c:pt idx="1">
                  <c:v>80.39</c:v>
                </c:pt>
                <c:pt idx="2">
                  <c:v>50.02</c:v>
                </c:pt>
                <c:pt idx="3">
                  <c:v>43.64</c:v>
                </c:pt>
                <c:pt idx="4">
                  <c:v>101.2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1.83</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1299</Words>
  <Characters>7410</Characters>
  <Lines>61</Lines>
  <Paragraphs>17</Paragraphs>
  <TotalTime>85</TotalTime>
  <ScaleCrop>false</ScaleCrop>
  <LinksUpToDate>false</LinksUpToDate>
  <CharactersWithSpaces>8692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2020-08-13T09:49:00Z</dcterms:created>
  <dc:creator>曹颖</dc:creator>
  <cp:lastModifiedBy>倪雪婷</cp:lastModifiedBy>
  <cp:lastPrinted>2025-11-01T08:20:00Z</cp:lastPrinted>
  <dcterms:modified xsi:type="dcterms:W3CDTF">2025-10-31T17:23:34Z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2B3B62FF8E9D3F63BE5AF068598BA88B_43</vt:lpwstr>
  </property>
</Properties>
</file>