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0DE1">
      <w:pPr>
        <w:pStyle w:val="6"/>
        <w:pageBreakBefore w:val="0"/>
        <w:kinsoku/>
        <w:wordWrap/>
        <w:overflowPunct/>
        <w:topLinePunct w:val="0"/>
        <w:bidi w:val="0"/>
        <w:spacing w:beforeLines="0" w:line="240" w:lineRule="auto"/>
        <w:ind w:left="0" w:leftChars="0" w:firstLine="1440" w:firstLineChars="200"/>
        <w:textAlignment w:val="auto"/>
        <w:rPr>
          <w:rFonts w:hint="default"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193"/>
      <w:bookmarkStart w:id="2" w:name="_Toc15396475"/>
      <w:bookmarkStart w:id="3" w:name="_Toc15378441"/>
      <w:bookmarkStart w:id="4" w:name="_Toc15396597"/>
      <w:bookmarkStart w:id="5" w:name="_Toc15377425"/>
    </w:p>
    <w:p w14:paraId="0C966296">
      <w:pPr>
        <w:pStyle w:val="6"/>
        <w:pageBreakBefore w:val="0"/>
        <w:kinsoku/>
        <w:wordWrap/>
        <w:overflowPunct/>
        <w:topLinePunct w:val="0"/>
        <w:bidi w:val="0"/>
        <w:spacing w:beforeLines="0" w:line="240" w:lineRule="auto"/>
        <w:ind w:left="0" w:leftChars="0" w:firstLine="1440" w:firstLineChars="200"/>
        <w:textAlignment w:val="auto"/>
        <w:rPr>
          <w:rFonts w:hint="default" w:ascii="Times New Roman" w:hAnsi="Times New Roman" w:eastAsia="方正小标宋简体" w:cs="Times New Roman"/>
          <w:color w:val="auto"/>
          <w:kern w:val="2"/>
          <w:sz w:val="72"/>
          <w:szCs w:val="72"/>
          <w:highlight w:val="none"/>
          <w:lang w:val="en-US" w:eastAsia="zh-CN" w:bidi="ar-SA"/>
        </w:rPr>
      </w:pPr>
    </w:p>
    <w:p w14:paraId="26783799">
      <w:pPr>
        <w:pStyle w:val="6"/>
        <w:keepNext w:val="0"/>
        <w:keepLines w:val="0"/>
        <w:pageBreakBefore w:val="0"/>
        <w:widowControl w:val="0"/>
        <w:kinsoku/>
        <w:wordWrap/>
        <w:overflowPunct/>
        <w:topLinePunct w:val="0"/>
        <w:autoSpaceDE/>
        <w:autoSpaceDN/>
        <w:bidi w:val="0"/>
        <w:spacing w:beforeLines="0" w:line="240" w:lineRule="auto"/>
        <w:ind w:left="0" w:leftChars="0" w:firstLine="1446" w:firstLineChars="200"/>
        <w:textAlignment w:val="auto"/>
        <w:rPr>
          <w:rFonts w:hint="default" w:ascii="Times New Roman" w:hAnsi="Times New Roman" w:eastAsia="方正小标宋简体" w:cs="Times New Roman"/>
          <w:b/>
          <w:bCs/>
          <w:color w:val="auto"/>
          <w:kern w:val="2"/>
          <w:sz w:val="72"/>
          <w:szCs w:val="72"/>
          <w:highlight w:val="none"/>
          <w:lang w:val="en-US" w:eastAsia="zh-CN" w:bidi="ar-SA"/>
        </w:rPr>
      </w:pPr>
    </w:p>
    <w:p w14:paraId="67DD648B">
      <w:pPr>
        <w:keepNext w:val="0"/>
        <w:keepLines w:val="0"/>
        <w:pageBreakBefore w:val="0"/>
        <w:widowControl w:val="0"/>
        <w:kinsoku/>
        <w:wordWrap/>
        <w:overflowPunct/>
        <w:topLinePunct w:val="0"/>
        <w:autoSpaceDE/>
        <w:autoSpaceDN/>
        <w:bidi w:val="0"/>
        <w:adjustRightInd w:val="0"/>
        <w:snapToGrid w:val="0"/>
        <w:spacing w:line="240" w:lineRule="auto"/>
        <w:ind w:leftChars="0" w:firstLine="883" w:firstLineChars="200"/>
        <w:jc w:val="center"/>
        <w:textAlignment w:val="auto"/>
        <w:outlineLvl w:val="0"/>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2024年度</w:t>
      </w:r>
    </w:p>
    <w:p w14:paraId="78895B38">
      <w:pPr>
        <w:keepNext w:val="0"/>
        <w:keepLines w:val="0"/>
        <w:pageBreakBefore w:val="0"/>
        <w:widowControl w:val="0"/>
        <w:kinsoku/>
        <w:wordWrap/>
        <w:overflowPunct/>
        <w:topLinePunct w:val="0"/>
        <w:autoSpaceDE/>
        <w:autoSpaceDN/>
        <w:bidi w:val="0"/>
        <w:adjustRightInd w:val="0"/>
        <w:snapToGrid w:val="0"/>
        <w:spacing w:line="240" w:lineRule="auto"/>
        <w:ind w:leftChars="0" w:firstLine="883" w:firstLineChars="200"/>
        <w:jc w:val="center"/>
        <w:textAlignment w:val="auto"/>
        <w:outlineLvl w:val="0"/>
        <w:rPr>
          <w:rFonts w:hint="default" w:ascii="Times New Roman" w:hAnsi="Times New Roman" w:eastAsia="黑体" w:cs="Times New Roman"/>
          <w:b/>
          <w:bCs/>
          <w:sz w:val="44"/>
          <w:szCs w:val="44"/>
          <w:lang w:val="en-US" w:eastAsia="zh-CN"/>
        </w:rPr>
      </w:pPr>
      <w:r>
        <w:rPr>
          <w:rFonts w:hint="default" w:ascii="Times New Roman" w:hAnsi="Times New Roman" w:eastAsia="黑体" w:cs="Times New Roman"/>
          <w:b/>
          <w:bCs/>
          <w:sz w:val="44"/>
          <w:szCs w:val="44"/>
        </w:rPr>
        <w:t>攀枝花市</w:t>
      </w:r>
      <w:r>
        <w:rPr>
          <w:rFonts w:hint="default" w:ascii="Times New Roman" w:hAnsi="Times New Roman" w:eastAsia="黑体" w:cs="Times New Roman"/>
          <w:b/>
          <w:bCs/>
          <w:sz w:val="44"/>
          <w:szCs w:val="44"/>
          <w:lang w:val="en-US" w:eastAsia="zh-CN"/>
        </w:rPr>
        <w:t>西区河门口街道办事处</w:t>
      </w:r>
    </w:p>
    <w:p w14:paraId="24122BE3">
      <w:pPr>
        <w:keepNext w:val="0"/>
        <w:keepLines w:val="0"/>
        <w:pageBreakBefore w:val="0"/>
        <w:widowControl w:val="0"/>
        <w:kinsoku/>
        <w:wordWrap/>
        <w:overflowPunct/>
        <w:topLinePunct w:val="0"/>
        <w:autoSpaceDE/>
        <w:autoSpaceDN/>
        <w:bidi w:val="0"/>
        <w:adjustRightInd w:val="0"/>
        <w:snapToGrid w:val="0"/>
        <w:spacing w:line="240" w:lineRule="auto"/>
        <w:ind w:leftChars="0" w:firstLine="883" w:firstLineChars="200"/>
        <w:jc w:val="center"/>
        <w:textAlignment w:val="auto"/>
        <w:outlineLvl w:val="0"/>
        <w:rPr>
          <w:rFonts w:hint="default" w:ascii="Times New Roman" w:hAnsi="Times New Roman" w:eastAsia="黑体" w:cs="Times New Roman"/>
          <w:b/>
          <w:bCs/>
          <w:sz w:val="44"/>
          <w:szCs w:val="44"/>
        </w:rPr>
      </w:pPr>
      <w:r>
        <w:rPr>
          <w:rFonts w:hint="eastAsia" w:eastAsia="黑体" w:cs="Times New Roman"/>
          <w:b/>
          <w:bCs/>
          <w:sz w:val="44"/>
          <w:szCs w:val="44"/>
          <w:lang w:eastAsia="zh-CN"/>
        </w:rPr>
        <w:t>单位</w:t>
      </w:r>
      <w:r>
        <w:rPr>
          <w:rFonts w:hint="default" w:ascii="Times New Roman" w:hAnsi="Times New Roman" w:eastAsia="黑体" w:cs="Times New Roman"/>
          <w:b/>
          <w:bCs/>
          <w:sz w:val="44"/>
          <w:szCs w:val="44"/>
        </w:rPr>
        <w:t>决算公开编制说明</w:t>
      </w:r>
    </w:p>
    <w:p w14:paraId="080A4054">
      <w:pPr>
        <w:pageBreakBefore w:val="0"/>
        <w:kinsoku/>
        <w:wordWrap/>
        <w:overflowPunct/>
        <w:topLinePunct w:val="0"/>
        <w:bidi w:val="0"/>
        <w:spacing w:line="240" w:lineRule="auto"/>
        <w:ind w:left="0" w:leftChars="0" w:firstLine="1440" w:firstLineChars="200"/>
        <w:jc w:val="center"/>
        <w:textAlignment w:val="auto"/>
        <w:outlineLvl w:val="0"/>
        <w:rPr>
          <w:rFonts w:hint="default" w:ascii="Times New Roman" w:hAnsi="Times New Roman" w:eastAsia="方正小标宋简体" w:cs="Times New Roman"/>
          <w:color w:val="auto"/>
          <w:sz w:val="72"/>
          <w:szCs w:val="72"/>
          <w:highlight w:val="none"/>
        </w:rPr>
      </w:pPr>
    </w:p>
    <w:p w14:paraId="005C94A1">
      <w:pPr>
        <w:pStyle w:val="23"/>
        <w:pageBreakBefore w:val="0"/>
        <w:kinsoku/>
        <w:wordWrap/>
        <w:overflowPunct/>
        <w:topLinePunct w:val="0"/>
        <w:bidi w:val="0"/>
        <w:spacing w:before="0" w:after="0" w:line="240" w:lineRule="auto"/>
        <w:ind w:left="0" w:leftChars="0" w:firstLine="482" w:firstLineChars="200"/>
        <w:textAlignment w:val="auto"/>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7117B06">
      <w:pPr>
        <w:pageBreakBefore w:val="0"/>
        <w:kinsoku/>
        <w:wordWrap/>
        <w:overflowPunct/>
        <w:topLinePunct w:val="0"/>
        <w:bidi w:val="0"/>
        <w:spacing w:line="240" w:lineRule="auto"/>
        <w:ind w:left="0" w:leftChars="0" w:firstLine="420" w:firstLineChars="200"/>
        <w:textAlignment w:val="auto"/>
        <w:rPr>
          <w:rFonts w:hint="default" w:ascii="Times New Roman" w:hAnsi="Times New Roman" w:cs="Times New Roman"/>
        </w:rPr>
      </w:pPr>
    </w:p>
    <w:bookmarkEnd w:id="0"/>
    <w:bookmarkEnd w:id="1"/>
    <w:bookmarkEnd w:id="2"/>
    <w:bookmarkEnd w:id="3"/>
    <w:bookmarkEnd w:id="4"/>
    <w:bookmarkEnd w:id="5"/>
    <w:p w14:paraId="5F3D977E">
      <w:pPr>
        <w:pageBreakBefore w:val="0"/>
        <w:widowControl/>
        <w:kinsoku/>
        <w:wordWrap/>
        <w:overflowPunct/>
        <w:topLinePunct w:val="0"/>
        <w:bidi w:val="0"/>
        <w:spacing w:line="240" w:lineRule="auto"/>
        <w:ind w:leftChars="0" w:firstLine="960" w:firstLineChars="200"/>
        <w:jc w:val="center"/>
        <w:textAlignment w:val="auto"/>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2D8AF643">
      <w:pPr>
        <w:pageBreakBefore w:val="0"/>
        <w:widowControl/>
        <w:kinsoku/>
        <w:wordWrap/>
        <w:overflowPunct/>
        <w:topLinePunct w:val="0"/>
        <w:bidi w:val="0"/>
        <w:spacing w:line="240" w:lineRule="auto"/>
        <w:ind w:left="0" w:leftChars="0" w:firstLine="560" w:firstLineChars="200"/>
        <w:jc w:val="center"/>
        <w:textAlignment w:val="auto"/>
        <w:rPr>
          <w:rFonts w:hint="default" w:ascii="Times New Roman" w:hAnsi="Times New Roman" w:eastAsia="黑体" w:cs="Times New Roman"/>
          <w:color w:val="auto"/>
          <w:sz w:val="28"/>
          <w:szCs w:val="28"/>
          <w:highlight w:val="none"/>
        </w:rPr>
      </w:pPr>
    </w:p>
    <w:p w14:paraId="029902FF">
      <w:pPr>
        <w:pStyle w:val="14"/>
        <w:keepNext w:val="0"/>
        <w:keepLines w:val="0"/>
        <w:pageBreakBefore w:val="0"/>
        <w:widowControl w:val="0"/>
        <w:kinsoku/>
        <w:wordWrap/>
        <w:overflowPunct/>
        <w:topLinePunct w:val="0"/>
        <w:autoSpaceDE/>
        <w:autoSpaceDN/>
        <w:bidi w:val="0"/>
        <w:spacing w:before="0" w:line="240" w:lineRule="auto"/>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公开时间：</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31</w:t>
      </w:r>
      <w:r>
        <w:rPr>
          <w:rFonts w:hint="eastAsia" w:ascii="方正仿宋_GBK" w:hAnsi="方正仿宋_GBK" w:eastAsia="方正仿宋_GBK" w:cs="方正仿宋_GBK"/>
          <w:color w:val="auto"/>
          <w:sz w:val="32"/>
          <w:szCs w:val="32"/>
          <w:highlight w:val="none"/>
        </w:rPr>
        <w:t>日</w:t>
      </w:r>
    </w:p>
    <w:p w14:paraId="7B2364C1">
      <w:pPr>
        <w:keepNext w:val="0"/>
        <w:keepLines w:val="0"/>
        <w:pageBreakBefore w:val="0"/>
        <w:widowControl w:val="0"/>
        <w:kinsoku/>
        <w:wordWrap/>
        <w:overflowPunct/>
        <w:topLinePunct w:val="0"/>
        <w:autoSpaceDE/>
        <w:autoSpaceDN/>
        <w:bidi w:val="0"/>
        <w:spacing w:line="240" w:lineRule="auto"/>
        <w:ind w:left="0" w:leftChars="0" w:firstLine="420" w:firstLineChars="200"/>
        <w:textAlignment w:val="auto"/>
        <w:rPr>
          <w:rFonts w:hint="default" w:ascii="Times New Roman" w:hAnsi="Times New Roman" w:cs="Times New Roman"/>
          <w:color w:val="auto"/>
          <w:highlight w:val="none"/>
        </w:rPr>
      </w:pPr>
    </w:p>
    <w:p w14:paraId="0EEA1BE8">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第一部分 </w:t>
      </w:r>
      <w:r>
        <w:rPr>
          <w:rFonts w:hint="eastAsia"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rPr>
        <w:t>概况</w:t>
      </w:r>
    </w:p>
    <w:p w14:paraId="3F3632CA">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一、</w:t>
      </w:r>
      <w:r>
        <w:rPr>
          <w:rFonts w:hint="eastAsia" w:eastAsia="方正仿宋_GBK" w:cs="Times New Roman"/>
          <w:color w:val="auto"/>
          <w:sz w:val="32"/>
          <w:szCs w:val="32"/>
          <w:highlight w:val="none"/>
          <w:lang w:eastAsia="zh-CN"/>
        </w:rPr>
        <w:t>主要</w:t>
      </w:r>
      <w:r>
        <w:rPr>
          <w:rFonts w:hint="default" w:ascii="Times New Roman" w:hAnsi="Times New Roman" w:eastAsia="方正仿宋_GBK" w:cs="Times New Roman"/>
          <w:color w:val="auto"/>
          <w:sz w:val="32"/>
          <w:szCs w:val="32"/>
          <w:highlight w:val="none"/>
          <w:lang w:eastAsia="zh-CN"/>
        </w:rPr>
        <w:t>职责</w:t>
      </w:r>
      <w:r>
        <w:rPr>
          <w:rFonts w:hint="eastAsia" w:ascii="方正仿宋_GBK" w:hAnsi="方正仿宋_GBK" w:eastAsia="方正仿宋_GBK" w:cs="方正仿宋_GBK"/>
          <w:color w:val="auto"/>
          <w:sz w:val="32"/>
          <w:szCs w:val="32"/>
          <w:highlight w:val="none"/>
          <w:lang w:val="en-US" w:eastAsia="zh-CN"/>
        </w:rPr>
        <w:t>...........................................................</w:t>
      </w:r>
      <w:r>
        <w:rPr>
          <w:rFonts w:hint="eastAsia" w:eastAsia="方正仿宋_GBK" w:cs="Times New Roman"/>
          <w:color w:val="auto"/>
          <w:sz w:val="32"/>
          <w:szCs w:val="32"/>
          <w:highlight w:val="none"/>
          <w:lang w:val="en-US" w:eastAsia="zh-CN"/>
        </w:rPr>
        <w:t>3</w:t>
      </w:r>
    </w:p>
    <w:p w14:paraId="2C433D70">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二、机构设置</w:t>
      </w:r>
      <w:r>
        <w:rPr>
          <w:rFonts w:hint="eastAsia" w:ascii="方正仿宋_GBK" w:hAnsi="方正仿宋_GBK" w:eastAsia="方正仿宋_GBK" w:cs="方正仿宋_GBK"/>
          <w:color w:val="auto"/>
          <w:sz w:val="32"/>
          <w:szCs w:val="32"/>
          <w:highlight w:val="none"/>
          <w:lang w:val="en-US" w:eastAsia="zh-CN"/>
        </w:rPr>
        <w:t>...........................................................</w:t>
      </w:r>
      <w:r>
        <w:rPr>
          <w:rFonts w:hint="eastAsia" w:eastAsia="方正仿宋_GBK" w:cs="Times New Roman"/>
          <w:color w:val="auto"/>
          <w:sz w:val="32"/>
          <w:szCs w:val="32"/>
          <w:highlight w:val="none"/>
          <w:lang w:val="en-US" w:eastAsia="zh-CN"/>
        </w:rPr>
        <w:t>3</w:t>
      </w:r>
    </w:p>
    <w:p w14:paraId="669C2DE7">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eastAsia"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rPr>
        <w:t>决算情况说明</w:t>
      </w: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Times New Roman" w:hAnsi="Times New Roman" w:eastAsia="黑体" w:cs="Times New Roman"/>
          <w:color w:val="auto"/>
          <w:sz w:val="32"/>
          <w:szCs w:val="32"/>
          <w:highlight w:val="none"/>
          <w:lang w:val="en-US" w:eastAsia="zh-CN"/>
        </w:rPr>
        <w:t>4</w:t>
      </w:r>
    </w:p>
    <w:p w14:paraId="5D60BFED">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eastAsia="方正仿宋_GBK"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一、收入支出决算总体情况说明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5</w:t>
      </w:r>
    </w:p>
    <w:p w14:paraId="16C9498D">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二、收入决算情况说明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5</w:t>
      </w:r>
    </w:p>
    <w:p w14:paraId="170839E7">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highlight w:val="none"/>
        </w:rPr>
        <w:t>三、支出决算情况说明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6</w:t>
      </w:r>
    </w:p>
    <w:p w14:paraId="48BF8116">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highlight w:val="none"/>
        </w:rPr>
        <w:t>四、财政拨款收入支出决算总体情况说明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7</w:t>
      </w:r>
    </w:p>
    <w:p w14:paraId="553685C1">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五、一般公共预算财政拨款支出决算情况说明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7</w:t>
      </w:r>
    </w:p>
    <w:p w14:paraId="35D7E7B7">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highlight w:val="none"/>
        </w:rPr>
        <w:t>六、一般公共预算财政拨款基本支出决算情况说明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12</w:t>
      </w:r>
    </w:p>
    <w:p w14:paraId="627BD4D5">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七、财政拨款“三公”经费支出决算情况说明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13</w:t>
      </w:r>
    </w:p>
    <w:p w14:paraId="3F9EEDFC">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八、政府性基金预算支出决算情况说明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15</w:t>
      </w:r>
    </w:p>
    <w:p w14:paraId="58003AC0">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九、国有资本经营预算支出决算情况说明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15</w:t>
      </w:r>
    </w:p>
    <w:p w14:paraId="58D33B18">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highlight w:val="none"/>
        </w:rPr>
        <w:t>十、其他重要事项的情况说明</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15</w:t>
      </w:r>
    </w:p>
    <w:p w14:paraId="05681D7B">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第三部分 名词解释</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kern w:val="2"/>
          <w:sz w:val="32"/>
          <w:szCs w:val="32"/>
          <w:highlight w:val="none"/>
          <w:lang w:val="en-US" w:eastAsia="zh-CN" w:bidi="ar-SA"/>
        </w:rPr>
        <w:t>17</w:t>
      </w:r>
    </w:p>
    <w:p w14:paraId="77496BCB">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Times New Roman" w:hAnsi="Times New Roman" w:eastAsia="黑体" w:cs="Times New Roman"/>
          <w:color w:val="auto"/>
          <w:sz w:val="32"/>
          <w:szCs w:val="32"/>
          <w:highlight w:val="none"/>
          <w:lang w:val="en-US" w:eastAsia="zh-CN"/>
        </w:rPr>
        <w:t>21</w:t>
      </w:r>
    </w:p>
    <w:p w14:paraId="3F4539DF">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Times New Roman" w:hAnsi="Times New Roman" w:eastAsia="黑体" w:cs="Times New Roman"/>
          <w:color w:val="auto"/>
          <w:sz w:val="32"/>
          <w:szCs w:val="32"/>
          <w:highlight w:val="none"/>
          <w:lang w:val="en-US" w:eastAsia="zh-CN"/>
        </w:rPr>
        <w:t>31</w:t>
      </w:r>
    </w:p>
    <w:p w14:paraId="1ADB8223">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一、收入支出决算总表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4C7313F8">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二、收入决算表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32DE2939">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三、支出决算表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118D947B">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四、财政拨款收入支出决算总表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73200CBE">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五、财政拨款支出决算明细表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1310BCF0">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六、一般公共预算财政拨款支出决算表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23E8984A">
      <w:pPr>
        <w:pStyle w:val="14"/>
        <w:keepNext w:val="0"/>
        <w:keepLines w:val="0"/>
        <w:pageBreakBefore w:val="0"/>
        <w:widowControl w:val="0"/>
        <w:kinsoku/>
        <w:wordWrap/>
        <w:overflowPunct/>
        <w:topLinePunct w:val="0"/>
        <w:autoSpaceDE/>
        <w:autoSpaceDN/>
        <w:bidi w:val="0"/>
        <w:adjustRightInd w:val="0"/>
        <w:snapToGrid w:val="0"/>
        <w:spacing w:before="0" w:line="240" w:lineRule="auto"/>
        <w:ind w:left="638" w:leftChars="304"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七、一般公共预算财政拨款支出决算明细表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338FD2D5">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八、一般公共预算财政拨款基本支出决算</w:t>
      </w:r>
      <w:r>
        <w:rPr>
          <w:rFonts w:hint="eastAsia" w:ascii="方正仿宋_GBK" w:hAnsi="方正仿宋_GBK" w:eastAsia="方正仿宋_GBK" w:cs="方正仿宋_GBK"/>
          <w:color w:val="auto"/>
          <w:sz w:val="32"/>
          <w:szCs w:val="32"/>
          <w:highlight w:val="none"/>
          <w:lang w:eastAsia="zh-CN"/>
        </w:rPr>
        <w:t>明细</w:t>
      </w:r>
      <w:r>
        <w:rPr>
          <w:rFonts w:hint="eastAsia" w:ascii="方正仿宋_GBK" w:hAnsi="方正仿宋_GBK" w:eastAsia="方正仿宋_GBK" w:cs="方正仿宋_GBK"/>
          <w:color w:val="auto"/>
          <w:sz w:val="32"/>
          <w:szCs w:val="32"/>
          <w:highlight w:val="none"/>
        </w:rPr>
        <w:t>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38C0AFAC">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九、一般公共预算财政拨款项目支出决算表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4F21BF2E">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十、政府性基金预算财政拨款收入支出决算表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20DF2EE1">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十一、国有资本经营预算财政拨款收入支出决算表</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1A601BEE">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十二、</w:t>
      </w:r>
      <w:r>
        <w:rPr>
          <w:rFonts w:hint="eastAsia" w:ascii="方正仿宋_GBK" w:hAnsi="方正仿宋_GBK" w:eastAsia="方正仿宋_GBK" w:cs="方正仿宋_GBK"/>
          <w:color w:val="auto"/>
          <w:sz w:val="32"/>
          <w:szCs w:val="32"/>
          <w:highlight w:val="none"/>
          <w:lang w:val="en-US" w:eastAsia="zh-CN"/>
        </w:rPr>
        <w:t>国有资本经营预算财政拨款支出决算表..........</w:t>
      </w:r>
      <w:r>
        <w:rPr>
          <w:rFonts w:hint="eastAsia" w:ascii="Times New Roman" w:hAnsi="Times New Roman" w:eastAsia="黑体" w:cs="Times New Roman"/>
          <w:color w:val="auto"/>
          <w:sz w:val="32"/>
          <w:szCs w:val="32"/>
          <w:highlight w:val="none"/>
          <w:lang w:val="en-US" w:eastAsia="zh-CN"/>
        </w:rPr>
        <w:t>31</w:t>
      </w:r>
    </w:p>
    <w:p w14:paraId="7B89AB21">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十三、财政拨款“三公”经费支出决算表</w:t>
      </w:r>
      <w:r>
        <w:rPr>
          <w:rFonts w:hint="eastAsia" w:ascii="方正仿宋_GBK" w:hAnsi="方正仿宋_GBK" w:eastAsia="方正仿宋_GBK" w:cs="方正仿宋_GBK"/>
          <w:color w:val="auto"/>
          <w:sz w:val="32"/>
          <w:szCs w:val="32"/>
          <w:highlight w:val="none"/>
          <w:lang w:val="en-US" w:eastAsia="zh-CN"/>
        </w:rPr>
        <w:t>...............</w:t>
      </w:r>
      <w:bookmarkStart w:id="67" w:name="_GoBack"/>
      <w:bookmarkEnd w:id="67"/>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31</w:t>
      </w:r>
    </w:p>
    <w:p w14:paraId="76CEE0E8">
      <w:pPr>
        <w:rPr>
          <w:rFonts w:hint="default" w:ascii="Times New Roman" w:hAnsi="Times New Roman" w:eastAsia="方正小标宋简体" w:cs="Times New Roman"/>
          <w:b w:val="0"/>
          <w:color w:val="auto"/>
          <w:highlight w:val="none"/>
        </w:rPr>
      </w:pPr>
      <w:bookmarkStart w:id="6" w:name="_Toc15377196"/>
      <w:bookmarkStart w:id="7" w:name="_Toc15396599"/>
      <w:r>
        <w:rPr>
          <w:rFonts w:hint="default" w:ascii="Times New Roman" w:hAnsi="Times New Roman" w:eastAsia="方正小标宋简体" w:cs="Times New Roman"/>
          <w:b w:val="0"/>
          <w:color w:val="auto"/>
          <w:highlight w:val="none"/>
        </w:rPr>
        <w:br w:type="page"/>
      </w:r>
    </w:p>
    <w:p w14:paraId="7EA3765F">
      <w:pPr>
        <w:pStyle w:val="3"/>
        <w:pageBreakBefore w:val="0"/>
        <w:kinsoku/>
        <w:wordWrap/>
        <w:overflowPunct/>
        <w:topLinePunct w:val="0"/>
        <w:autoSpaceDE/>
        <w:autoSpaceDN/>
        <w:bidi w:val="0"/>
        <w:adjustRightInd/>
        <w:snapToGrid/>
        <w:spacing w:before="0" w:after="0" w:line="240" w:lineRule="auto"/>
        <w:ind w:firstLine="2650" w:firstLineChars="600"/>
        <w:jc w:val="both"/>
        <w:textAlignment w:val="auto"/>
        <w:rPr>
          <w:rStyle w:val="32"/>
          <w:rFonts w:hint="eastAsia" w:ascii="黑体" w:hAnsi="黑体" w:eastAsia="黑体" w:cs="黑体"/>
          <w:b/>
          <w:bCs w:val="0"/>
          <w:color w:val="auto"/>
          <w:highlight w:val="none"/>
        </w:rPr>
      </w:pPr>
      <w:r>
        <w:rPr>
          <w:rFonts w:hint="eastAsia" w:ascii="黑体" w:hAnsi="黑体" w:eastAsia="黑体" w:cs="黑体"/>
          <w:b/>
          <w:bCs w:val="0"/>
          <w:color w:val="auto"/>
          <w:highlight w:val="none"/>
        </w:rPr>
        <w:t>第一部分</w:t>
      </w:r>
      <w:r>
        <w:rPr>
          <w:rFonts w:hint="eastAsia" w:ascii="黑体" w:hAnsi="黑体" w:eastAsia="黑体" w:cs="黑体"/>
          <w:b/>
          <w:bCs w:val="0"/>
          <w:color w:val="auto"/>
          <w:highlight w:val="none"/>
          <w:lang w:val="en-US" w:eastAsia="zh-CN"/>
        </w:rPr>
        <w:t xml:space="preserve"> </w:t>
      </w:r>
      <w:r>
        <w:rPr>
          <w:rFonts w:hint="eastAsia" w:ascii="黑体" w:hAnsi="黑体" w:eastAsia="黑体" w:cs="黑体"/>
          <w:b/>
          <w:bCs w:val="0"/>
          <w:color w:val="auto"/>
          <w:highlight w:val="none"/>
        </w:rPr>
        <w:t xml:space="preserve"> </w:t>
      </w:r>
      <w:r>
        <w:rPr>
          <w:rStyle w:val="32"/>
          <w:rFonts w:hint="eastAsia" w:ascii="黑体" w:hAnsi="黑体" w:eastAsia="黑体" w:cs="黑体"/>
          <w:b/>
          <w:bCs w:val="0"/>
          <w:color w:val="auto"/>
          <w:highlight w:val="none"/>
          <w:lang w:eastAsia="zh-CN"/>
        </w:rPr>
        <w:t>单位</w:t>
      </w:r>
      <w:r>
        <w:rPr>
          <w:rStyle w:val="32"/>
          <w:rFonts w:hint="eastAsia" w:ascii="黑体" w:hAnsi="黑体" w:eastAsia="黑体" w:cs="黑体"/>
          <w:b/>
          <w:bCs w:val="0"/>
          <w:color w:val="auto"/>
          <w:highlight w:val="none"/>
        </w:rPr>
        <w:t>概况</w:t>
      </w:r>
      <w:bookmarkEnd w:id="6"/>
      <w:bookmarkEnd w:id="7"/>
    </w:p>
    <w:p w14:paraId="13A2A004">
      <w:pPr>
        <w:pStyle w:val="4"/>
        <w:pageBreakBefore w:val="0"/>
        <w:numPr>
          <w:ilvl w:val="0"/>
          <w:numId w:val="1"/>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b w:val="0"/>
          <w:color w:val="auto"/>
          <w:highlight w:val="none"/>
          <w:lang w:eastAsia="zh-CN"/>
        </w:rPr>
      </w:pPr>
      <w:r>
        <w:rPr>
          <w:rFonts w:hint="eastAsia" w:ascii="Times New Roman" w:hAnsi="Times New Roman" w:eastAsia="黑体" w:cs="Times New Roman"/>
          <w:b w:val="0"/>
          <w:color w:val="auto"/>
          <w:highlight w:val="none"/>
          <w:lang w:val="en-US" w:eastAsia="zh-CN"/>
        </w:rPr>
        <w:t>主要</w:t>
      </w:r>
      <w:r>
        <w:rPr>
          <w:rFonts w:hint="default" w:ascii="Times New Roman" w:hAnsi="Times New Roman" w:eastAsia="黑体" w:cs="Times New Roman"/>
          <w:b w:val="0"/>
          <w:color w:val="auto"/>
          <w:highlight w:val="none"/>
          <w:lang w:eastAsia="zh-CN"/>
        </w:rPr>
        <w:t>职责</w:t>
      </w:r>
    </w:p>
    <w:p w14:paraId="2BD88678">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8" w:name="_Toc15396601"/>
      <w:bookmarkStart w:id="9" w:name="_Toc15377200"/>
      <w:r>
        <w:rPr>
          <w:rFonts w:hint="default" w:ascii="Times New Roman" w:hAnsi="Times New Roman" w:eastAsia="方正仿宋_GBK" w:cs="Times New Roman"/>
          <w:b w:val="0"/>
          <w:bCs w:val="0"/>
          <w:kern w:val="2"/>
          <w:sz w:val="32"/>
          <w:szCs w:val="32"/>
          <w:lang w:val="en-US" w:eastAsia="zh-CN" w:bidi="ar-SA"/>
        </w:rPr>
        <w:t>1.贯彻执行党和国家的各项法律法规、规章以及上级政府的决议、决定，依法管理基层公共事务。</w:t>
      </w:r>
    </w:p>
    <w:p w14:paraId="3483F0DA">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w:t>
      </w:r>
    </w:p>
    <w:p w14:paraId="24E3AED7">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负责辖区环境保护、秩序治理、物业管理、城乡环境综合治理等城市管理工作，开展爱国卫生、环境卫生监督检查，营造良好发展环境。整合基层一线执法力量，充分发挥属地管理优势，强化对辖区范围内执法力量的统一指挥和统筹协调。</w:t>
      </w:r>
    </w:p>
    <w:p w14:paraId="26D9F88D">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4.负责辖区平安建设、社会治安综合治理工作，处理群众来信来访，反映社情民意，建立社会矛盾纠纷排查调处机制，维护社会和谐稳定。</w:t>
      </w:r>
    </w:p>
    <w:p w14:paraId="3B7205DC">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5.负责辖区公共安全，协助做好安全生产、防汛、防火、防灾减灾等应急管理工作，构建公共安全防控体系，建立应对突发紧急事件的处理预案。</w:t>
      </w:r>
    </w:p>
    <w:p w14:paraId="769EA3F9">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6.领导社区居委会建设，指导社区居委会工作，培育、发展社区社会组织，组织社区居民参与社区建设和管理，健全完善自治、法治、德治相结合的城市基层治理体系。</w:t>
      </w:r>
    </w:p>
    <w:p w14:paraId="575B0359">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7.牵头协调职能</w:t>
      </w:r>
      <w:r>
        <w:rPr>
          <w:rFonts w:hint="eastAsia" w:ascii="Times New Roman" w:hAnsi="Times New Roman" w:eastAsia="方正仿宋_GBK" w:cs="Times New Roman"/>
          <w:b w:val="0"/>
          <w:bCs w:val="0"/>
          <w:kern w:val="2"/>
          <w:sz w:val="32"/>
          <w:szCs w:val="32"/>
          <w:lang w:val="en-US" w:eastAsia="zh-CN" w:bidi="ar-SA"/>
        </w:rPr>
        <w:t>单位</w:t>
      </w:r>
      <w:r>
        <w:rPr>
          <w:rFonts w:hint="default" w:ascii="Times New Roman" w:hAnsi="Times New Roman" w:eastAsia="方正仿宋_GBK" w:cs="Times New Roman"/>
          <w:b w:val="0"/>
          <w:bCs w:val="0"/>
          <w:kern w:val="2"/>
          <w:sz w:val="32"/>
          <w:szCs w:val="32"/>
          <w:lang w:val="en-US" w:eastAsia="zh-CN" w:bidi="ar-SA"/>
        </w:rPr>
        <w:t>及其派出机构，共同处理地区性、综合性社会管理事务。动员辖区各类单位、社会组织和社区居民等社会力量参与基层社会治理，引导辖区单位履行社会责任，统筹辖区资源，实现共建共治共享。</w:t>
      </w:r>
    </w:p>
    <w:p w14:paraId="4024CA42">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8.完成区委、区政府交办的其他工作。</w:t>
      </w:r>
    </w:p>
    <w:p w14:paraId="6008FB38">
      <w:pPr>
        <w:pStyle w:val="4"/>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Style w:val="33"/>
          <w:rFonts w:hint="default" w:ascii="Times New Roman" w:hAnsi="Times New Roman" w:cs="Times New Roman"/>
          <w:b w:val="0"/>
          <w:bCs w:val="0"/>
          <w:color w:val="auto"/>
          <w:highlight w:val="none"/>
        </w:rPr>
      </w:pPr>
      <w:r>
        <w:rPr>
          <w:rFonts w:hint="default" w:ascii="Times New Roman" w:hAnsi="Times New Roman" w:eastAsia="黑体" w:cs="Times New Roman"/>
          <w:b w:val="0"/>
          <w:color w:val="auto"/>
          <w:highlight w:val="none"/>
        </w:rPr>
        <w:t>二、机</w:t>
      </w:r>
      <w:r>
        <w:rPr>
          <w:rStyle w:val="33"/>
          <w:rFonts w:hint="default" w:ascii="Times New Roman" w:hAnsi="Times New Roman" w:eastAsia="黑体" w:cs="Times New Roman"/>
          <w:b w:val="0"/>
          <w:bCs w:val="0"/>
          <w:color w:val="auto"/>
          <w:highlight w:val="none"/>
        </w:rPr>
        <w:t>构设置</w:t>
      </w:r>
      <w:bookmarkEnd w:id="8"/>
      <w:bookmarkEnd w:id="9"/>
    </w:p>
    <w:p w14:paraId="09193E50">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bookmarkStart w:id="10" w:name="_Toc15377201"/>
      <w:bookmarkStart w:id="11" w:name="_Toc15306275"/>
      <w:bookmarkStart w:id="12" w:name="_Toc15377432"/>
      <w:bookmarkStart w:id="13" w:name="_Toc15378448"/>
      <w:r>
        <w:rPr>
          <w:rFonts w:hint="default" w:ascii="Times New Roman" w:hAnsi="Times New Roman" w:eastAsia="方正仿宋_GBK" w:cs="Times New Roman"/>
          <w:sz w:val="32"/>
          <w:szCs w:val="32"/>
        </w:rPr>
        <w:t>攀枝花市西区河门口街道办事处内设股室5个，下属二级单位3个，其中行政单位0个，参照公务员法管理的事业单位0个，其他事业单位3个，分别是：攀枝花市西区河门口街道便民服务中心、攀枝花市西区河门口街道党群服务中心、攀枝花市西区河门口街道社会治理事务中心，均为未独立核算事业单位。</w:t>
      </w:r>
    </w:p>
    <w:p w14:paraId="2AEBDC98">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纳入攀枝花市西区河门口街道办事处</w:t>
      </w:r>
      <w:r>
        <w:rPr>
          <w:rFonts w:hint="default" w:ascii="Times New Roman" w:hAnsi="Times New Roman" w:eastAsia="方正仿宋_GBK" w:cs="Times New Roman"/>
          <w:sz w:val="32"/>
          <w:szCs w:val="32"/>
          <w:lang w:eastAsia="zh-CN"/>
        </w:rPr>
        <w:t>2024年度</w:t>
      </w:r>
      <w:r>
        <w:rPr>
          <w:rFonts w:hint="eastAsia" w:eastAsia="方正仿宋_GBK" w:cs="Times New Roman"/>
          <w:sz w:val="32"/>
          <w:szCs w:val="32"/>
          <w:lang w:eastAsia="zh-CN"/>
        </w:rPr>
        <w:t>单位</w:t>
      </w:r>
      <w:r>
        <w:rPr>
          <w:rFonts w:hint="default" w:ascii="Times New Roman" w:hAnsi="Times New Roman" w:eastAsia="方正仿宋_GBK" w:cs="Times New Roman"/>
          <w:sz w:val="32"/>
          <w:szCs w:val="32"/>
        </w:rPr>
        <w:t>决算编制范围的二级预算单位包括：</w:t>
      </w:r>
    </w:p>
    <w:p w14:paraId="3F99CB1A">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攀枝花市西区河门口街道办事处。</w:t>
      </w:r>
    </w:p>
    <w:bookmarkEnd w:id="10"/>
    <w:bookmarkEnd w:id="11"/>
    <w:bookmarkEnd w:id="12"/>
    <w:bookmarkEnd w:id="13"/>
    <w:p w14:paraId="667CC9EF">
      <w:pPr>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br w:type="page"/>
      </w:r>
    </w:p>
    <w:p w14:paraId="0310D1D8">
      <w:pPr>
        <w:pStyle w:val="3"/>
        <w:pageBreakBefore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bCs w:val="0"/>
          <w:color w:val="auto"/>
          <w:highlight w:val="none"/>
        </w:rPr>
      </w:pPr>
      <w:bookmarkStart w:id="14" w:name="_Toc15377204"/>
      <w:bookmarkStart w:id="15" w:name="_Toc15396602"/>
      <w:r>
        <w:rPr>
          <w:rFonts w:hint="eastAsia" w:ascii="黑体" w:hAnsi="黑体" w:eastAsia="黑体" w:cs="黑体"/>
          <w:b/>
          <w:bCs w:val="0"/>
          <w:color w:val="auto"/>
          <w:highlight w:val="none"/>
        </w:rPr>
        <w:t>第二部分</w:t>
      </w:r>
      <w:r>
        <w:rPr>
          <w:rFonts w:hint="eastAsia" w:ascii="黑体" w:hAnsi="黑体" w:eastAsia="黑体" w:cs="黑体"/>
          <w:b/>
          <w:bCs w:val="0"/>
          <w:color w:val="auto"/>
          <w:highlight w:val="none"/>
          <w:lang w:val="en-US" w:eastAsia="zh-CN"/>
        </w:rPr>
        <w:t xml:space="preserve"> </w:t>
      </w:r>
      <w:r>
        <w:rPr>
          <w:rFonts w:hint="eastAsia" w:ascii="黑体" w:hAnsi="黑体" w:eastAsia="黑体" w:cs="黑体"/>
          <w:b/>
          <w:bCs w:val="0"/>
          <w:color w:val="auto"/>
          <w:highlight w:val="none"/>
        </w:rPr>
        <w:t xml:space="preserve"> </w:t>
      </w:r>
      <w:r>
        <w:rPr>
          <w:rFonts w:hint="eastAsia" w:ascii="黑体" w:hAnsi="黑体" w:eastAsia="黑体" w:cs="黑体"/>
          <w:b/>
          <w:bCs w:val="0"/>
          <w:color w:val="auto"/>
          <w:highlight w:val="none"/>
          <w:lang w:val="en-US" w:eastAsia="zh-CN"/>
        </w:rPr>
        <w:t>2024年度</w:t>
      </w:r>
      <w:r>
        <w:rPr>
          <w:rFonts w:hint="eastAsia" w:ascii="黑体" w:hAnsi="黑体" w:eastAsia="黑体" w:cs="黑体"/>
          <w:b/>
          <w:bCs w:val="0"/>
          <w:color w:val="auto"/>
          <w:highlight w:val="none"/>
          <w:lang w:eastAsia="zh-CN"/>
        </w:rPr>
        <w:t>单位</w:t>
      </w:r>
      <w:r>
        <w:rPr>
          <w:rFonts w:hint="eastAsia" w:ascii="黑体" w:hAnsi="黑体" w:eastAsia="黑体" w:cs="黑体"/>
          <w:b/>
          <w:bCs w:val="0"/>
          <w:color w:val="auto"/>
          <w:highlight w:val="none"/>
        </w:rPr>
        <w:t>决算情况说明</w:t>
      </w:r>
      <w:bookmarkEnd w:id="14"/>
      <w:bookmarkEnd w:id="15"/>
    </w:p>
    <w:p w14:paraId="7F578F85">
      <w:pPr>
        <w:pageBreakBefore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cs="Times New Roman"/>
          <w:color w:val="auto"/>
          <w:highlight w:val="none"/>
        </w:rPr>
      </w:pPr>
    </w:p>
    <w:p w14:paraId="187692C0">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Style w:val="33"/>
          <w:rFonts w:hint="default" w:ascii="Times New Roman" w:hAnsi="Times New Roman" w:eastAsia="黑体" w:cs="Times New Roman"/>
          <w:b w:val="0"/>
          <w:color w:val="auto"/>
          <w:highlight w:val="none"/>
        </w:rPr>
      </w:pPr>
      <w:bookmarkStart w:id="16" w:name="_Toc15377205"/>
      <w:bookmarkStart w:id="17"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3"/>
          <w:rFonts w:hint="default" w:ascii="Times New Roman" w:hAnsi="Times New Roman" w:eastAsia="黑体" w:cs="Times New Roman"/>
          <w:b w:val="0"/>
          <w:color w:val="auto"/>
          <w:highlight w:val="none"/>
        </w:rPr>
        <w:t>入支出决算总体情况说明</w:t>
      </w:r>
      <w:bookmarkEnd w:id="16"/>
      <w:bookmarkEnd w:id="17"/>
    </w:p>
    <w:p w14:paraId="486335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lang w:val="en-US" w:eastAsia="zh-CN"/>
        </w:rPr>
        <w:t>总计821.58万元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sz w:val="32"/>
          <w:szCs w:val="32"/>
          <w:lang w:val="en-US" w:eastAsia="zh-CN"/>
        </w:rPr>
        <w:t>1018.75</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lang w:val="en-US" w:eastAsia="zh-CN"/>
        </w:rPr>
        <w:t>总计增加79.2万元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增长10.67%</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val="en-US" w:eastAsia="zh-CN"/>
        </w:rPr>
        <w:t>减少28.48</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val="en-US" w:eastAsia="zh-CN"/>
        </w:rPr>
        <w:t>减少2.72</w:t>
      </w:r>
      <w:r>
        <w:rPr>
          <w:rFonts w:hint="default" w:ascii="Times New Roman" w:hAnsi="Times New Roman" w:eastAsia="方正仿宋_GBK" w:cs="Times New Roman"/>
          <w:color w:val="auto"/>
          <w:sz w:val="32"/>
          <w:szCs w:val="32"/>
          <w:highlight w:val="none"/>
        </w:rPr>
        <w:t>%。主要变动原因是省级财政城乡建设发展专项</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w:t>
      </w:r>
    </w:p>
    <w:p w14:paraId="6178D30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14:paraId="0074EA44">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黑体" w:cs="Times New Roman"/>
          <w:color w:val="auto"/>
          <w:sz w:val="32"/>
          <w:szCs w:val="32"/>
          <w:highlight w:val="none"/>
          <w:lang w:eastAsia="zh-CN"/>
        </w:rPr>
      </w:pPr>
      <w:bookmarkStart w:id="18" w:name="_Toc15396604"/>
      <w:bookmarkStart w:id="19" w:name="_Toc15377206"/>
      <w:r>
        <w:rPr>
          <w:rFonts w:hint="default" w:ascii="Times New Roman" w:hAnsi="Times New Roman" w:eastAsia="仿宋_GB2312" w:cs="Times New Roman"/>
          <w:sz w:val="32"/>
          <w:szCs w:val="32"/>
        </w:rPr>
        <w:drawing>
          <wp:inline distT="0" distB="0" distL="0" distR="0">
            <wp:extent cx="5191125" cy="2917825"/>
            <wp:effectExtent l="4445" t="4445" r="1651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8"/>
      <w:bookmarkEnd w:id="19"/>
    </w:p>
    <w:p w14:paraId="60FE18F1">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eastAsia="zh-CN"/>
        </w:rPr>
        <w:t>收入决算情况说明</w:t>
      </w:r>
    </w:p>
    <w:p w14:paraId="7BAD028F">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821.58万元，其中：一般公共预算财政拨款收入774.49</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94.2</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47.09</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5.73%</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p>
    <w:p w14:paraId="478B8622">
      <w:pPr>
        <w:pageBreakBefore w:val="0"/>
        <w:kinsoku/>
        <w:wordWrap/>
        <w:overflowPunct/>
        <w:topLinePunct w:val="0"/>
        <w:bidi w:val="0"/>
        <w:spacing w:line="240" w:lineRule="auto"/>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14:paraId="1D0F5C93">
      <w:pPr>
        <w:pageBreakBefore w:val="0"/>
        <w:kinsoku/>
        <w:wordWrap/>
        <w:overflowPunct/>
        <w:topLinePunct w:val="0"/>
        <w:bidi w:val="0"/>
        <w:spacing w:line="240" w:lineRule="auto"/>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rPr>
        <w:drawing>
          <wp:inline distT="0" distB="0" distL="0" distR="0">
            <wp:extent cx="4893310" cy="2990215"/>
            <wp:effectExtent l="4445" t="4445" r="9525"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2CA6D3">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Style w:val="33"/>
          <w:rFonts w:hint="default" w:ascii="Times New Roman" w:hAnsi="Times New Roman" w:eastAsia="黑体" w:cs="Times New Roman"/>
          <w:b w:val="0"/>
          <w:color w:val="auto"/>
          <w:highlight w:val="none"/>
        </w:rPr>
      </w:pPr>
      <w:bookmarkStart w:id="20" w:name="_Toc15396605"/>
      <w:bookmarkStart w:id="21"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3"/>
          <w:rFonts w:hint="default" w:ascii="Times New Roman" w:hAnsi="Times New Roman" w:eastAsia="黑体" w:cs="Times New Roman"/>
          <w:b w:val="0"/>
          <w:color w:val="auto"/>
          <w:highlight w:val="none"/>
        </w:rPr>
        <w:t>出决算情况说明</w:t>
      </w:r>
      <w:bookmarkEnd w:id="20"/>
      <w:bookmarkEnd w:id="21"/>
    </w:p>
    <w:p w14:paraId="132A7681">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1018.75</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554.54</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54.43</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464.21</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45.5</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color w:val="auto"/>
          <w:sz w:val="32"/>
          <w:szCs w:val="32"/>
          <w:highlight w:val="none"/>
          <w:lang w:eastAsia="zh-CN"/>
        </w:rPr>
        <w:t>%；上缴上级支出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万元，占0%。</w:t>
      </w:r>
    </w:p>
    <w:p w14:paraId="1B8F2955">
      <w:pPr>
        <w:pageBreakBefore w:val="0"/>
        <w:kinsoku/>
        <w:wordWrap/>
        <w:overflowPunct/>
        <w:topLinePunct w:val="0"/>
        <w:bidi w:val="0"/>
        <w:spacing w:line="240" w:lineRule="auto"/>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14:paraId="4E41453B">
      <w:pPr>
        <w:pageBreakBefore w:val="0"/>
        <w:kinsoku/>
        <w:wordWrap/>
        <w:overflowPunct/>
        <w:topLinePunct w:val="0"/>
        <w:bidi w:val="0"/>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rPr>
        <w:drawing>
          <wp:inline distT="0" distB="0" distL="0" distR="0">
            <wp:extent cx="4826000" cy="2613025"/>
            <wp:effectExtent l="4445" t="4445" r="15875"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DEF4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Style w:val="33"/>
          <w:rFonts w:hint="default" w:ascii="Times New Roman" w:hAnsi="Times New Roman" w:eastAsia="黑体" w:cs="Times New Roman"/>
          <w:b w:val="0"/>
          <w:color w:val="auto"/>
          <w:highlight w:val="none"/>
        </w:rPr>
      </w:pPr>
      <w:bookmarkStart w:id="22" w:name="_Toc15377208"/>
      <w:bookmarkStart w:id="23" w:name="_Toc15396606"/>
      <w:r>
        <w:rPr>
          <w:rFonts w:hint="default" w:ascii="Times New Roman" w:hAnsi="Times New Roman" w:eastAsia="黑体" w:cs="Times New Roman"/>
          <w:color w:val="auto"/>
          <w:sz w:val="32"/>
          <w:szCs w:val="32"/>
          <w:highlight w:val="none"/>
        </w:rPr>
        <w:t>四、财</w:t>
      </w:r>
      <w:r>
        <w:rPr>
          <w:rStyle w:val="33"/>
          <w:rFonts w:hint="default" w:ascii="Times New Roman" w:hAnsi="Times New Roman" w:eastAsia="黑体" w:cs="Times New Roman"/>
          <w:b w:val="0"/>
          <w:color w:val="auto"/>
          <w:highlight w:val="none"/>
        </w:rPr>
        <w:t>政拨款收入支出决算总体情况说明</w:t>
      </w:r>
      <w:bookmarkEnd w:id="22"/>
      <w:bookmarkEnd w:id="23"/>
    </w:p>
    <w:p w14:paraId="547234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2024年度财政拨款收入总计821.58万元、支出总计1018.75万元。</w:t>
      </w:r>
      <w:r>
        <w:rPr>
          <w:rFonts w:hint="default" w:ascii="Times New Roman" w:hAnsi="Times New Roman" w:eastAsia="方正仿宋_GBK" w:cs="Times New Roman"/>
          <w:color w:val="auto"/>
          <w:sz w:val="32"/>
          <w:szCs w:val="32"/>
          <w:highlight w:val="none"/>
        </w:rPr>
        <w:t>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lang w:val="en-US" w:eastAsia="zh-CN"/>
        </w:rPr>
        <w:t>总计增加79.2万元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增长10.67%</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val="en-US" w:eastAsia="zh-CN"/>
        </w:rPr>
        <w:t>减少28.48</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val="en-US" w:eastAsia="zh-CN"/>
        </w:rPr>
        <w:t>减少2.72</w:t>
      </w:r>
      <w:r>
        <w:rPr>
          <w:rFonts w:hint="default" w:ascii="Times New Roman" w:hAnsi="Times New Roman" w:eastAsia="方正仿宋_GBK" w:cs="Times New Roman"/>
          <w:color w:val="auto"/>
          <w:sz w:val="32"/>
          <w:szCs w:val="32"/>
          <w:highlight w:val="none"/>
        </w:rPr>
        <w:t>%。主要变动原因是省级财政城乡建设发展专项</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w:t>
      </w:r>
    </w:p>
    <w:p w14:paraId="1286E425">
      <w:pPr>
        <w:pageBreakBefore w:val="0"/>
        <w:kinsoku/>
        <w:wordWrap/>
        <w:overflowPunct/>
        <w:topLinePunct w:val="0"/>
        <w:bidi w:val="0"/>
        <w:spacing w:line="240" w:lineRule="auto"/>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14:paraId="1F60E3B6">
      <w:pPr>
        <w:pageBreakBefore w:val="0"/>
        <w:kinsoku/>
        <w:wordWrap/>
        <w:overflowPunct/>
        <w:topLinePunct w:val="0"/>
        <w:bidi w:val="0"/>
        <w:spacing w:line="240" w:lineRule="auto"/>
        <w:jc w:val="center"/>
        <w:textAlignment w:val="auto"/>
        <w:rPr>
          <w:rFonts w:hint="default" w:ascii="Times New Roman" w:hAnsi="Times New Roman" w:eastAsia="仿宋" w:cs="Times New Roman"/>
          <w:b/>
          <w:sz w:val="32"/>
          <w:szCs w:val="32"/>
        </w:rPr>
      </w:pPr>
      <w:bookmarkStart w:id="24" w:name="_Toc15396607"/>
      <w:bookmarkStart w:id="25" w:name="_Toc15377209"/>
      <w:r>
        <w:rPr>
          <w:rFonts w:hint="default" w:ascii="Times New Roman" w:hAnsi="Times New Roman" w:eastAsia="仿宋" w:cs="Times New Roman"/>
          <w:b/>
          <w:sz w:val="32"/>
          <w:szCs w:val="32"/>
        </w:rPr>
        <w:drawing>
          <wp:inline distT="0" distB="0" distL="0" distR="0">
            <wp:extent cx="5070475" cy="2854960"/>
            <wp:effectExtent l="4445" t="4445" r="15240"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B85B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Style w:val="33"/>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般公共预算财政拨款支出决算情况说明</w:t>
      </w:r>
      <w:bookmarkEnd w:id="24"/>
      <w:bookmarkEnd w:id="25"/>
    </w:p>
    <w:p w14:paraId="6C3857C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bookmarkStart w:id="26"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6"/>
    </w:p>
    <w:p w14:paraId="50DBB3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971.66</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95.37</w:t>
      </w:r>
      <w:r>
        <w:rPr>
          <w:rFonts w:hint="default" w:ascii="Times New Roman" w:hAnsi="Times New Roman" w:eastAsia="方正仿宋_GBK" w:cs="Times New Roman"/>
          <w:color w:val="auto"/>
          <w:kern w:val="2"/>
          <w:sz w:val="32"/>
          <w:szCs w:val="32"/>
          <w:highlight w:val="none"/>
          <w:lang w:val="en-US" w:eastAsia="zh-CN" w:bidi="ar-SA"/>
        </w:rPr>
        <w:t>%。与2023年度相比，一般公共预算财政拨款支出减少17.43万元，下降1.76%。主要变动原因是上年结转结余减少。</w:t>
      </w:r>
    </w:p>
    <w:p w14:paraId="119D46D5">
      <w:pPr>
        <w:pageBreakBefore w:val="0"/>
        <w:kinsoku/>
        <w:wordWrap/>
        <w:overflowPunct/>
        <w:topLinePunct w:val="0"/>
        <w:bidi w:val="0"/>
        <w:spacing w:line="240" w:lineRule="auto"/>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14:paraId="64B8877E">
      <w:pPr>
        <w:pStyle w:val="8"/>
        <w:pageBreakBefore w:val="0"/>
        <w:kinsoku/>
        <w:wordWrap/>
        <w:overflowPunct/>
        <w:topLinePunct w:val="0"/>
        <w:bidi w:val="0"/>
        <w:spacing w:after="0" w:line="240" w:lineRule="auto"/>
        <w:ind w:left="0" w:leftChars="0" w:firstLine="643" w:firstLineChars="200"/>
        <w:jc w:val="center"/>
        <w:textAlignment w:val="auto"/>
        <w:rPr>
          <w:rFonts w:hint="default" w:ascii="Times New Roman" w:hAnsi="Times New Roman" w:eastAsia="楷体_GB2312" w:cs="Times New Roman"/>
          <w:b/>
          <w:color w:val="auto"/>
          <w:sz w:val="32"/>
          <w:szCs w:val="32"/>
          <w:highlight w:val="none"/>
        </w:rPr>
      </w:pPr>
      <w:bookmarkStart w:id="27" w:name="_Toc15377211"/>
      <w:r>
        <w:rPr>
          <w:rFonts w:hint="default" w:ascii="Times New Roman" w:hAnsi="Times New Roman" w:eastAsia="仿宋" w:cs="Times New Roman"/>
          <w:b/>
          <w:sz w:val="32"/>
          <w:szCs w:val="32"/>
        </w:rPr>
        <w:drawing>
          <wp:inline distT="0" distB="0" distL="0" distR="0">
            <wp:extent cx="4662805" cy="2698750"/>
            <wp:effectExtent l="4445" t="4445" r="1143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C738C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27"/>
    </w:p>
    <w:p w14:paraId="1A8048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971.66</w:t>
      </w:r>
      <w:r>
        <w:rPr>
          <w:rFonts w:hint="default" w:ascii="Times New Roman" w:hAnsi="Times New Roman" w:eastAsia="方正仿宋_GBK" w:cs="Times New Roman"/>
          <w:color w:val="auto"/>
          <w:kern w:val="2"/>
          <w:sz w:val="32"/>
          <w:szCs w:val="32"/>
          <w:highlight w:val="none"/>
          <w:lang w:val="en-US" w:eastAsia="zh-CN" w:bidi="ar-SA"/>
        </w:rPr>
        <w:t>万元，主要用于以下方面：一般公共服务支出679.78万元，占69.96%；文化旅游体育与传媒支出76.9万元，占7.91%；社会保障和就业支出80.31万元，占8.27%；卫生健康支出31.20万元，占3.21%；城乡社区支出29.57万元，占3.04%；农林水支出11.89万元，占1.22%；资源勘探工业信息等支出1.00万元，占0.1%；住房保障支出28.01万元，占2.88%；灾害防治及应急管理支出20万元，占2.06%；其他支出13.00万元，占1.34%。</w:t>
      </w:r>
    </w:p>
    <w:p w14:paraId="475661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14:paraId="353E911E">
      <w:pPr>
        <w:pStyle w:val="8"/>
        <w:pageBreakBefore w:val="0"/>
        <w:kinsoku/>
        <w:wordWrap/>
        <w:overflowPunct/>
        <w:topLinePunct w:val="0"/>
        <w:bidi w:val="0"/>
        <w:spacing w:after="0" w:line="240" w:lineRule="auto"/>
        <w:ind w:left="0" w:leftChars="0" w:firstLine="640" w:firstLineChars="20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sz w:val="32"/>
          <w:szCs w:val="32"/>
        </w:rPr>
        <w:drawing>
          <wp:inline distT="0" distB="0" distL="0" distR="0">
            <wp:extent cx="4813300" cy="3134995"/>
            <wp:effectExtent l="4445" t="5080" r="20955" b="222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3B015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bookmarkStart w:id="28"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28"/>
    </w:p>
    <w:p w14:paraId="1E31DB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29" w:name="_Toc15377444"/>
      <w:bookmarkStart w:id="30" w:name="_Toc15378460"/>
      <w:bookmarkStart w:id="31" w:name="_Toc15377213"/>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971.66</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29"/>
      <w:bookmarkEnd w:id="30"/>
      <w:bookmarkEnd w:id="31"/>
    </w:p>
    <w:p w14:paraId="27142A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一般公共服务（类）政府办公厅（室）及相关机构事务（款）行政运行（项）：支出决算为131.22万元，完成预算100%</w:t>
      </w:r>
      <w:r>
        <w:rPr>
          <w:rFonts w:hint="eastAsia" w:ascii="Times New Roman" w:hAnsi="Times New Roman" w:eastAsia="方正仿宋_GBK" w:cs="Times New Roman"/>
          <w:color w:val="auto"/>
          <w:kern w:val="2"/>
          <w:sz w:val="32"/>
          <w:szCs w:val="32"/>
          <w:highlight w:val="none"/>
          <w:lang w:val="en-US" w:eastAsia="zh-CN" w:bidi="ar-SA"/>
        </w:rPr>
        <w:t xml:space="preserve">。 </w:t>
      </w:r>
    </w:p>
    <w:p w14:paraId="49133C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2.一般公共服务（类）政府办公厅（室）及相关机构事务（款）一般行政管理事务（项）：支出决算为212.17万元，完成预算100%。</w:t>
      </w:r>
    </w:p>
    <w:p w14:paraId="5229E4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3.一般公共服务</w:t>
      </w:r>
      <w:r>
        <w:rPr>
          <w:rStyle w:val="21"/>
          <w:rFonts w:hint="default" w:ascii="Times New Roman" w:hAnsi="Times New Roman" w:eastAsia="方正仿宋_GBK" w:cs="Times New Roman"/>
          <w:b w:val="0"/>
          <w:bCs/>
          <w:color w:val="000000"/>
          <w:sz w:val="32"/>
          <w:szCs w:val="32"/>
        </w:rPr>
        <w:t>（类）政府办公厅（室）及相关机构事务（款）事业运</w:t>
      </w:r>
      <w:r>
        <w:rPr>
          <w:rStyle w:val="21"/>
          <w:rFonts w:hint="default" w:ascii="Times New Roman" w:hAnsi="Times New Roman" w:eastAsia="方正仿宋_GBK" w:cs="Times New Roman"/>
          <w:b w:val="0"/>
          <w:bCs/>
          <w:color w:val="000000"/>
          <w:sz w:val="32"/>
          <w:szCs w:val="32"/>
          <w:lang w:val="en-US" w:eastAsia="zh-CN"/>
        </w:rPr>
        <w:t>行</w:t>
      </w:r>
      <w:r>
        <w:rPr>
          <w:rStyle w:val="21"/>
          <w:rFonts w:hint="default" w:ascii="Times New Roman" w:hAnsi="Times New Roman" w:eastAsia="方正仿宋_GBK" w:cs="Times New Roman"/>
          <w:b w:val="0"/>
          <w:bCs/>
          <w:color w:val="000000"/>
          <w:sz w:val="32"/>
          <w:szCs w:val="32"/>
        </w:rPr>
        <w:t>（项）</w:t>
      </w:r>
      <w:r>
        <w:rPr>
          <w:rFonts w:hint="default" w:ascii="Times New Roman" w:hAnsi="Times New Roman" w:eastAsia="方正仿宋_GBK" w:cs="Times New Roman"/>
          <w:color w:val="auto"/>
          <w:kern w:val="2"/>
          <w:sz w:val="32"/>
          <w:szCs w:val="32"/>
          <w:highlight w:val="none"/>
          <w:lang w:val="en-US" w:eastAsia="zh-CN" w:bidi="ar-SA"/>
        </w:rPr>
        <w:t>：支出决算为143.43万元，完成预算100%。</w:t>
      </w:r>
    </w:p>
    <w:p w14:paraId="41F6C0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4.一般公共服务</w:t>
      </w:r>
      <w:r>
        <w:rPr>
          <w:rStyle w:val="21"/>
          <w:rFonts w:hint="default" w:ascii="Times New Roman" w:hAnsi="Times New Roman" w:eastAsia="方正仿宋_GBK" w:cs="Times New Roman"/>
          <w:b w:val="0"/>
          <w:bCs/>
          <w:color w:val="000000"/>
          <w:sz w:val="32"/>
          <w:szCs w:val="32"/>
        </w:rPr>
        <w:t>（类）政府办公厅（室）及相关机构事务（款）其他政府办公厅（室）及相关机构事务支出（项）</w:t>
      </w:r>
      <w:r>
        <w:rPr>
          <w:rFonts w:hint="default" w:ascii="Times New Roman" w:hAnsi="Times New Roman" w:eastAsia="方正仿宋_GBK" w:cs="Times New Roman"/>
          <w:color w:val="auto"/>
          <w:kern w:val="2"/>
          <w:sz w:val="32"/>
          <w:szCs w:val="32"/>
          <w:highlight w:val="none"/>
          <w:lang w:val="en-US" w:eastAsia="zh-CN" w:bidi="ar-SA"/>
        </w:rPr>
        <w:t>：支出决算为176.37万元，完成预算100%。</w:t>
      </w:r>
    </w:p>
    <w:p w14:paraId="6BA1B8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sz w:val="32"/>
          <w:szCs w:val="32"/>
        </w:rPr>
        <w:t>一般公共服务（类）群众团体事务（款）一般行政管理事务支出</w:t>
      </w:r>
      <w:r>
        <w:rPr>
          <w:rFonts w:hint="default" w:ascii="Times New Roman" w:hAnsi="Times New Roman" w:eastAsia="方正仿宋_GBK" w:cs="Times New Roman"/>
          <w:color w:val="auto"/>
          <w:kern w:val="2"/>
          <w:sz w:val="32"/>
          <w:szCs w:val="32"/>
          <w:highlight w:val="none"/>
          <w:lang w:val="en-US" w:eastAsia="zh-CN" w:bidi="ar-SA"/>
        </w:rPr>
        <w:t>（项）：支出决算为0.2万元，完成预算100%。</w:t>
      </w:r>
    </w:p>
    <w:p w14:paraId="703931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sz w:val="32"/>
          <w:szCs w:val="32"/>
        </w:rPr>
        <w:t>一般公共服务（类）宣传事务支出（款）其他宣传事务支出（项）</w:t>
      </w:r>
      <w:r>
        <w:rPr>
          <w:rFonts w:hint="default" w:ascii="Times New Roman" w:hAnsi="Times New Roman" w:eastAsia="方正仿宋_GBK" w:cs="Times New Roman"/>
          <w:color w:val="auto"/>
          <w:kern w:val="2"/>
          <w:sz w:val="32"/>
          <w:szCs w:val="32"/>
          <w:highlight w:val="none"/>
          <w:lang w:val="en-US" w:eastAsia="zh-CN" w:bidi="ar-SA"/>
        </w:rPr>
        <w:t>：支出决算为5万元，完成预算100%。</w:t>
      </w:r>
    </w:p>
    <w:p w14:paraId="048895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.一般公共服务（类）其他共产党事务支出（款）一般行政管理事务（项）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支出决算为</w:t>
      </w:r>
      <w:r>
        <w:rPr>
          <w:rFonts w:hint="default" w:ascii="Times New Roman" w:hAnsi="Times New Roman" w:eastAsia="方正仿宋_GBK" w:cs="Times New Roman"/>
          <w:color w:val="auto"/>
          <w:sz w:val="32"/>
          <w:szCs w:val="32"/>
          <w:lang w:val="en-US" w:eastAsia="zh-CN"/>
        </w:rPr>
        <w:t>5.49</w:t>
      </w:r>
      <w:r>
        <w:rPr>
          <w:rFonts w:hint="default" w:ascii="Times New Roman" w:hAnsi="Times New Roman" w:eastAsia="方正仿宋_GBK" w:cs="Times New Roman"/>
          <w:color w:val="auto"/>
          <w:sz w:val="32"/>
          <w:szCs w:val="32"/>
        </w:rPr>
        <w:t>万元，完成预算100%。</w:t>
      </w:r>
    </w:p>
    <w:p w14:paraId="4EB937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.一般公共服务（类）</w:t>
      </w:r>
      <w:r>
        <w:rPr>
          <w:rFonts w:hint="default" w:ascii="Times New Roman" w:hAnsi="Times New Roman" w:eastAsia="方正仿宋_GBK" w:cs="Times New Roman"/>
          <w:color w:val="auto"/>
          <w:sz w:val="32"/>
          <w:szCs w:val="32"/>
          <w:lang w:eastAsia="zh-CN"/>
        </w:rPr>
        <w:t>信访事务</w:t>
      </w:r>
      <w:r>
        <w:rPr>
          <w:rFonts w:hint="default" w:ascii="Times New Roman" w:hAnsi="Times New Roman" w:eastAsia="方正仿宋_GBK" w:cs="Times New Roman"/>
          <w:color w:val="auto"/>
          <w:sz w:val="32"/>
          <w:szCs w:val="32"/>
        </w:rPr>
        <w:t>（款）</w:t>
      </w:r>
      <w:r>
        <w:rPr>
          <w:rFonts w:hint="default" w:ascii="Times New Roman" w:hAnsi="Times New Roman" w:eastAsia="方正仿宋_GBK" w:cs="Times New Roman"/>
          <w:color w:val="auto"/>
          <w:sz w:val="32"/>
          <w:szCs w:val="32"/>
          <w:lang w:eastAsia="zh-CN"/>
        </w:rPr>
        <w:t>一般行政管理事务</w:t>
      </w:r>
      <w:r>
        <w:rPr>
          <w:rFonts w:hint="default" w:ascii="Times New Roman" w:hAnsi="Times New Roman" w:eastAsia="方正仿宋_GBK" w:cs="Times New Roman"/>
          <w:color w:val="auto"/>
          <w:sz w:val="32"/>
          <w:szCs w:val="32"/>
        </w:rPr>
        <w:t>（项）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支出决算为</w:t>
      </w:r>
      <w:r>
        <w:rPr>
          <w:rFonts w:hint="default" w:ascii="Times New Roman" w:hAnsi="Times New Roman" w:eastAsia="方正仿宋_GBK" w:cs="Times New Roman"/>
          <w:color w:val="auto"/>
          <w:sz w:val="32"/>
          <w:szCs w:val="32"/>
          <w:lang w:val="en-US" w:eastAsia="zh-CN"/>
        </w:rPr>
        <w:t>2.9</w:t>
      </w:r>
      <w:r>
        <w:rPr>
          <w:rFonts w:hint="default" w:ascii="Times New Roman" w:hAnsi="Times New Roman" w:eastAsia="方正仿宋_GBK" w:cs="Times New Roman"/>
          <w:color w:val="auto"/>
          <w:sz w:val="32"/>
          <w:szCs w:val="32"/>
        </w:rPr>
        <w:t>万元，完成预算100%。</w:t>
      </w:r>
    </w:p>
    <w:p w14:paraId="102720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.一般公共服务（类）</w:t>
      </w:r>
      <w:r>
        <w:rPr>
          <w:rFonts w:hint="default" w:ascii="Times New Roman" w:hAnsi="Times New Roman" w:eastAsia="方正仿宋_GBK" w:cs="Times New Roman"/>
          <w:color w:val="auto"/>
          <w:sz w:val="32"/>
          <w:szCs w:val="32"/>
          <w:lang w:eastAsia="zh-CN"/>
        </w:rPr>
        <w:t>信访事务</w:t>
      </w:r>
      <w:r>
        <w:rPr>
          <w:rFonts w:hint="default" w:ascii="Times New Roman" w:hAnsi="Times New Roman" w:eastAsia="方正仿宋_GBK" w:cs="Times New Roman"/>
          <w:color w:val="auto"/>
          <w:sz w:val="32"/>
          <w:szCs w:val="32"/>
        </w:rPr>
        <w:t>（款）</w:t>
      </w:r>
      <w:r>
        <w:rPr>
          <w:rFonts w:hint="default" w:ascii="Times New Roman" w:hAnsi="Times New Roman" w:eastAsia="方正仿宋_GBK" w:cs="Times New Roman"/>
          <w:color w:val="auto"/>
          <w:sz w:val="32"/>
          <w:szCs w:val="32"/>
          <w:lang w:eastAsia="zh-CN"/>
        </w:rPr>
        <w:t>其他信访事务支出</w:t>
      </w:r>
      <w:r>
        <w:rPr>
          <w:rFonts w:hint="default" w:ascii="Times New Roman" w:hAnsi="Times New Roman" w:eastAsia="方正仿宋_GBK" w:cs="Times New Roman"/>
          <w:color w:val="auto"/>
          <w:sz w:val="32"/>
          <w:szCs w:val="32"/>
        </w:rPr>
        <w:t>（项）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支出决算为</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万元，完成预算100%。</w:t>
      </w:r>
    </w:p>
    <w:p w14:paraId="0D6014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.文化旅游体育与传媒（类）文化和旅游（款）其他文化和旅游支出（项）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支出决算为</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万元，完成预算100%。</w:t>
      </w:r>
    </w:p>
    <w:p w14:paraId="45A521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文化旅游体育与传媒（类）</w:t>
      </w:r>
      <w:r>
        <w:rPr>
          <w:rFonts w:hint="default" w:ascii="Times New Roman" w:hAnsi="Times New Roman" w:eastAsia="方正仿宋_GBK" w:cs="Times New Roman"/>
          <w:color w:val="auto"/>
          <w:sz w:val="32"/>
          <w:szCs w:val="32"/>
          <w:lang w:val="en-US" w:eastAsia="zh-CN"/>
        </w:rPr>
        <w:t>文物</w:t>
      </w:r>
      <w:r>
        <w:rPr>
          <w:rFonts w:hint="default" w:ascii="Times New Roman" w:hAnsi="Times New Roman" w:eastAsia="方正仿宋_GBK" w:cs="Times New Roman"/>
          <w:color w:val="auto"/>
          <w:sz w:val="32"/>
          <w:szCs w:val="32"/>
        </w:rPr>
        <w:t>（款）博物馆（项）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支出决算为</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万元，完成预算100%。</w:t>
      </w:r>
    </w:p>
    <w:p w14:paraId="70BF82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文化旅游体育与传媒（类）其他文化旅游体育与传媒支出（款）其他文化旅游体育与传媒支出（项）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支出决算为</w:t>
      </w:r>
      <w:r>
        <w:rPr>
          <w:rFonts w:hint="default" w:ascii="Times New Roman" w:hAnsi="Times New Roman" w:eastAsia="方正仿宋_GBK" w:cs="Times New Roman"/>
          <w:color w:val="auto"/>
          <w:sz w:val="32"/>
          <w:szCs w:val="32"/>
          <w:lang w:val="en-US" w:eastAsia="zh-CN"/>
        </w:rPr>
        <w:t>25.40</w:t>
      </w:r>
      <w:r>
        <w:rPr>
          <w:rFonts w:hint="default" w:ascii="Times New Roman" w:hAnsi="Times New Roman" w:eastAsia="方正仿宋_GBK" w:cs="Times New Roman"/>
          <w:color w:val="auto"/>
          <w:sz w:val="32"/>
          <w:szCs w:val="32"/>
        </w:rPr>
        <w:t>万元，完成预算100%。</w:t>
      </w:r>
    </w:p>
    <w:p w14:paraId="3E31E6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.社会保障和就业（类）民政管理事务（款）</w:t>
      </w:r>
      <w:r>
        <w:rPr>
          <w:rStyle w:val="21"/>
          <w:rFonts w:hint="default" w:ascii="Times New Roman" w:hAnsi="Times New Roman" w:eastAsia="方正仿宋_GBK" w:cs="Times New Roman"/>
          <w:b w:val="0"/>
          <w:bCs/>
          <w:color w:val="auto"/>
          <w:sz w:val="32"/>
          <w:szCs w:val="32"/>
        </w:rPr>
        <w:t>其他民政管理事务支出（项）</w:t>
      </w:r>
      <w:r>
        <w:rPr>
          <w:rStyle w:val="21"/>
          <w:rFonts w:hint="default" w:ascii="Times New Roman" w:hAnsi="Times New Roman" w:eastAsia="方正仿宋_GBK" w:cs="Times New Roman"/>
          <w:b w:val="0"/>
          <w:bCs/>
          <w:color w:val="auto"/>
          <w:sz w:val="32"/>
          <w:szCs w:val="32"/>
          <w:lang w:eastAsia="zh-CN"/>
        </w:rPr>
        <w:t>：</w:t>
      </w:r>
      <w:r>
        <w:rPr>
          <w:rStyle w:val="21"/>
          <w:rFonts w:hint="default" w:ascii="Times New Roman" w:hAnsi="Times New Roman" w:eastAsia="方正仿宋_GBK" w:cs="Times New Roman"/>
          <w:b w:val="0"/>
          <w:bCs/>
          <w:color w:val="auto"/>
          <w:sz w:val="32"/>
          <w:szCs w:val="32"/>
        </w:rPr>
        <w:t>支出决算为</w:t>
      </w:r>
      <w:r>
        <w:rPr>
          <w:rStyle w:val="21"/>
          <w:rFonts w:hint="default" w:ascii="Times New Roman" w:hAnsi="Times New Roman" w:eastAsia="方正仿宋_GBK" w:cs="Times New Roman"/>
          <w:b w:val="0"/>
          <w:bCs/>
          <w:color w:val="auto"/>
          <w:sz w:val="32"/>
          <w:szCs w:val="32"/>
          <w:lang w:val="en-US" w:eastAsia="zh-CN"/>
        </w:rPr>
        <w:t>0.7</w:t>
      </w:r>
      <w:r>
        <w:rPr>
          <w:rStyle w:val="21"/>
          <w:rFonts w:hint="default" w:ascii="Times New Roman" w:hAnsi="Times New Roman" w:eastAsia="方正仿宋_GBK" w:cs="Times New Roman"/>
          <w:b w:val="0"/>
          <w:bCs/>
          <w:color w:val="auto"/>
          <w:sz w:val="32"/>
          <w:szCs w:val="32"/>
        </w:rPr>
        <w:t>万元，完成预算100%。</w:t>
      </w:r>
    </w:p>
    <w:p w14:paraId="66E9F720">
      <w:pPr>
        <w:keepNext w:val="0"/>
        <w:keepLines w:val="0"/>
        <w:pageBreakBefore w:val="0"/>
        <w:widowControl w:val="0"/>
        <w:kinsoku/>
        <w:wordWrap/>
        <w:overflowPunct/>
        <w:topLinePunct w:val="0"/>
        <w:autoSpaceDE/>
        <w:autoSpaceDN/>
        <w:bidi w:val="0"/>
        <w:adjustRightInd/>
        <w:snapToGrid/>
        <w:spacing w:line="560" w:lineRule="exact"/>
        <w:ind w:right="210" w:rightChars="10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color w:val="auto"/>
          <w:sz w:val="32"/>
          <w:szCs w:val="32"/>
        </w:rPr>
        <w:t>14.社会保障和就业（类）行政事业单位养老支出（款）行政单位离退休（项）：支出决算为4.06万元，完成预算100%。</w:t>
      </w:r>
    </w:p>
    <w:p w14:paraId="6173FA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color w:val="auto"/>
          <w:sz w:val="32"/>
          <w:szCs w:val="32"/>
        </w:rPr>
        <w:t>15.社会保障和就业（类）行政事业单位养老支出（款）机关事业单位基本养老保险缴费支出（项）：支出决算为31.54万元，完成预算100%。</w:t>
      </w:r>
    </w:p>
    <w:p w14:paraId="22F3E2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color w:val="auto"/>
          <w:sz w:val="32"/>
          <w:szCs w:val="32"/>
        </w:rPr>
        <w:t>16.社会保障和就业（类）行政事业单位养老支出（款）机关事业单位职业年金缴费支出（项）：支出决算为8.94万元，完成预算100%。</w:t>
      </w:r>
    </w:p>
    <w:p w14:paraId="7C4A92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color w:val="auto"/>
          <w:sz w:val="32"/>
          <w:szCs w:val="32"/>
        </w:rPr>
        <w:t>17.社会保障和就业（类）社会福利（款）</w:t>
      </w:r>
      <w:r>
        <w:rPr>
          <w:rStyle w:val="21"/>
          <w:rFonts w:hint="default" w:ascii="Times New Roman" w:hAnsi="Times New Roman" w:eastAsia="方正仿宋_GBK" w:cs="Times New Roman"/>
          <w:b w:val="0"/>
          <w:color w:val="auto"/>
          <w:sz w:val="32"/>
          <w:szCs w:val="32"/>
          <w:lang w:val="en-US" w:eastAsia="zh-CN"/>
        </w:rPr>
        <w:t>儿童</w:t>
      </w:r>
      <w:r>
        <w:rPr>
          <w:rStyle w:val="21"/>
          <w:rFonts w:hint="default" w:ascii="Times New Roman" w:hAnsi="Times New Roman" w:eastAsia="方正仿宋_GBK" w:cs="Times New Roman"/>
          <w:b w:val="0"/>
          <w:color w:val="auto"/>
          <w:sz w:val="32"/>
          <w:szCs w:val="32"/>
        </w:rPr>
        <w:t>福利（项）：支出决算为34万元，完成预算100%。</w:t>
      </w:r>
    </w:p>
    <w:p w14:paraId="3FD49E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color w:val="auto"/>
          <w:sz w:val="32"/>
          <w:szCs w:val="32"/>
        </w:rPr>
        <w:t>18.社会保障和就业（类）退役军人管理事务（款）拥军优属（项）：支出决算为1.07万元，完成预算100%。</w:t>
      </w:r>
    </w:p>
    <w:p w14:paraId="2573DE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Style w:val="21"/>
          <w:rFonts w:hint="default" w:ascii="Times New Roman" w:hAnsi="Times New Roman" w:eastAsia="方正仿宋_GBK" w:cs="Times New Roman"/>
          <w:b w:val="0"/>
          <w:color w:val="auto"/>
          <w:sz w:val="32"/>
          <w:szCs w:val="32"/>
        </w:rPr>
        <w:t>19.卫生健康（类）公共卫生（款）重大公共卫生服务（项）：支出决算为</w:t>
      </w:r>
      <w:r>
        <w:rPr>
          <w:rStyle w:val="21"/>
          <w:rFonts w:hint="default" w:ascii="Times New Roman" w:hAnsi="Times New Roman" w:eastAsia="方正仿宋_GBK" w:cs="Times New Roman"/>
          <w:b w:val="0"/>
          <w:color w:val="auto"/>
          <w:sz w:val="32"/>
          <w:szCs w:val="32"/>
          <w:lang w:val="en-US" w:eastAsia="zh-CN"/>
        </w:rPr>
        <w:t>0.23</w:t>
      </w:r>
      <w:r>
        <w:rPr>
          <w:rStyle w:val="21"/>
          <w:rFonts w:hint="default" w:ascii="Times New Roman" w:hAnsi="Times New Roman" w:eastAsia="方正仿宋_GBK" w:cs="Times New Roman"/>
          <w:b w:val="0"/>
          <w:color w:val="auto"/>
          <w:sz w:val="32"/>
          <w:szCs w:val="32"/>
        </w:rPr>
        <w:t>万元，完成预算100%。</w:t>
      </w:r>
    </w:p>
    <w:p w14:paraId="75CE3D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Style w:val="21"/>
          <w:rFonts w:hint="default" w:ascii="Times New Roman" w:hAnsi="Times New Roman" w:eastAsia="方正仿宋_GBK" w:cs="Times New Roman"/>
          <w:b w:val="0"/>
          <w:bCs/>
          <w:color w:val="auto"/>
          <w:sz w:val="32"/>
          <w:szCs w:val="32"/>
          <w:lang w:val="en-US" w:eastAsia="zh-CN"/>
        </w:rPr>
        <w:t>20</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卫生健康</w:t>
      </w:r>
      <w:r>
        <w:rPr>
          <w:rStyle w:val="21"/>
          <w:rFonts w:hint="default" w:ascii="Times New Roman" w:hAnsi="Times New Roman" w:eastAsia="方正仿宋_GBK" w:cs="Times New Roman"/>
          <w:b w:val="0"/>
          <w:color w:val="auto"/>
          <w:sz w:val="32"/>
          <w:szCs w:val="32"/>
        </w:rPr>
        <w:t>（类）行政事业单位医疗（款）行政单位医疗（项）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8.03</w:t>
      </w:r>
      <w:r>
        <w:rPr>
          <w:rStyle w:val="21"/>
          <w:rFonts w:hint="default" w:ascii="Times New Roman" w:hAnsi="Times New Roman" w:eastAsia="方正仿宋_GBK" w:cs="Times New Roman"/>
          <w:b w:val="0"/>
          <w:color w:val="auto"/>
          <w:sz w:val="32"/>
          <w:szCs w:val="32"/>
        </w:rPr>
        <w:t>万元，完成预算100%。</w:t>
      </w:r>
    </w:p>
    <w:p w14:paraId="352372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bCs/>
          <w:color w:val="auto"/>
          <w:sz w:val="32"/>
          <w:szCs w:val="32"/>
          <w:lang w:val="en-US" w:eastAsia="zh-CN"/>
        </w:rPr>
        <w:t>21</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卫生健康</w:t>
      </w:r>
      <w:r>
        <w:rPr>
          <w:rStyle w:val="21"/>
          <w:rFonts w:hint="default" w:ascii="Times New Roman" w:hAnsi="Times New Roman" w:eastAsia="方正仿宋_GBK" w:cs="Times New Roman"/>
          <w:b w:val="0"/>
          <w:color w:val="auto"/>
          <w:sz w:val="32"/>
          <w:szCs w:val="32"/>
        </w:rPr>
        <w:t>（类）行政事业单位医疗（款）事业单位医疗（项）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10.97</w:t>
      </w:r>
      <w:r>
        <w:rPr>
          <w:rStyle w:val="21"/>
          <w:rFonts w:hint="default" w:ascii="Times New Roman" w:hAnsi="Times New Roman" w:eastAsia="方正仿宋_GBK" w:cs="Times New Roman"/>
          <w:b w:val="0"/>
          <w:color w:val="auto"/>
          <w:sz w:val="32"/>
          <w:szCs w:val="32"/>
        </w:rPr>
        <w:t>万元，完成预算100%。</w:t>
      </w:r>
    </w:p>
    <w:p w14:paraId="1A604B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bCs/>
          <w:color w:val="auto"/>
          <w:sz w:val="32"/>
          <w:szCs w:val="32"/>
          <w:lang w:val="en-US" w:eastAsia="zh-CN"/>
        </w:rPr>
        <w:t>22</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卫生健康</w:t>
      </w:r>
      <w:r>
        <w:rPr>
          <w:rStyle w:val="21"/>
          <w:rFonts w:hint="default" w:ascii="Times New Roman" w:hAnsi="Times New Roman" w:eastAsia="方正仿宋_GBK" w:cs="Times New Roman"/>
          <w:b w:val="0"/>
          <w:color w:val="auto"/>
          <w:sz w:val="32"/>
          <w:szCs w:val="32"/>
        </w:rPr>
        <w:t>（类）行政事业单位医疗（款）公务员医疗补助（项）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6.28</w:t>
      </w:r>
      <w:r>
        <w:rPr>
          <w:rStyle w:val="21"/>
          <w:rFonts w:hint="default" w:ascii="Times New Roman" w:hAnsi="Times New Roman" w:eastAsia="方正仿宋_GBK" w:cs="Times New Roman"/>
          <w:b w:val="0"/>
          <w:color w:val="auto"/>
          <w:sz w:val="32"/>
          <w:szCs w:val="32"/>
        </w:rPr>
        <w:t>万元，完成预算100%。</w:t>
      </w:r>
    </w:p>
    <w:p w14:paraId="5AD67F46">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textAlignment w:val="auto"/>
        <w:rPr>
          <w:rFonts w:hint="eastAsia"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23.卫生健康（类）行政事业单位医疗（款）其他行政事业单位医疗支出（项）：支出决算为5.71万元，完成预算100%。</w:t>
      </w:r>
      <w:r>
        <w:rPr>
          <w:rFonts w:hint="eastAsia" w:eastAsia="方正仿宋_GBK" w:cs="Times New Roman"/>
          <w:bCs/>
          <w:color w:val="auto"/>
          <w:sz w:val="32"/>
          <w:szCs w:val="32"/>
          <w:lang w:val="en-US" w:eastAsia="zh-CN"/>
        </w:rPr>
        <w:t xml:space="preserve"> </w:t>
      </w:r>
    </w:p>
    <w:p w14:paraId="1099EB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.城乡社区支出（类）城乡社区管理事务（款）其他城乡社区管理事务支出（项）</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支出决算为</w:t>
      </w:r>
      <w:r>
        <w:rPr>
          <w:rFonts w:hint="default" w:ascii="Times New Roman" w:hAnsi="Times New Roman" w:eastAsia="方正仿宋_GBK" w:cs="Times New Roman"/>
          <w:bCs/>
          <w:color w:val="auto"/>
          <w:sz w:val="32"/>
          <w:szCs w:val="32"/>
          <w:lang w:val="en-US" w:eastAsia="zh-CN"/>
        </w:rPr>
        <w:t>9.57</w:t>
      </w:r>
      <w:r>
        <w:rPr>
          <w:rFonts w:hint="default" w:ascii="Times New Roman" w:hAnsi="Times New Roman" w:eastAsia="方正仿宋_GBK" w:cs="Times New Roman"/>
          <w:bCs/>
          <w:color w:val="auto"/>
          <w:sz w:val="32"/>
          <w:szCs w:val="32"/>
        </w:rPr>
        <w:t>万元，完成预算100%。</w:t>
      </w:r>
    </w:p>
    <w:p w14:paraId="47AE18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auto"/>
          <w:sz w:val="32"/>
          <w:szCs w:val="32"/>
        </w:rPr>
      </w:pPr>
      <w:r>
        <w:rPr>
          <w:rStyle w:val="21"/>
          <w:rFonts w:hint="default" w:ascii="Times New Roman" w:hAnsi="Times New Roman" w:eastAsia="方正仿宋_GBK" w:cs="Times New Roman"/>
          <w:b w:val="0"/>
          <w:bCs/>
          <w:color w:val="auto"/>
          <w:sz w:val="32"/>
          <w:szCs w:val="32"/>
        </w:rPr>
        <w:t>2</w:t>
      </w:r>
      <w:r>
        <w:rPr>
          <w:rStyle w:val="21"/>
          <w:rFonts w:hint="default" w:ascii="Times New Roman" w:hAnsi="Times New Roman" w:eastAsia="方正仿宋_GBK" w:cs="Times New Roman"/>
          <w:b w:val="0"/>
          <w:bCs/>
          <w:color w:val="auto"/>
          <w:sz w:val="32"/>
          <w:szCs w:val="32"/>
          <w:lang w:val="en-US" w:eastAsia="zh-CN"/>
        </w:rPr>
        <w:t>5</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城乡社区支出</w:t>
      </w:r>
      <w:r>
        <w:rPr>
          <w:rStyle w:val="21"/>
          <w:rFonts w:hint="default" w:ascii="Times New Roman" w:hAnsi="Times New Roman" w:eastAsia="方正仿宋_GBK" w:cs="Times New Roman"/>
          <w:b w:val="0"/>
          <w:color w:val="auto"/>
          <w:sz w:val="32"/>
          <w:szCs w:val="32"/>
        </w:rPr>
        <w:t>（类）其他城乡社区支出（款）其他城乡社区支出（项）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20</w:t>
      </w:r>
      <w:r>
        <w:rPr>
          <w:rStyle w:val="21"/>
          <w:rFonts w:hint="default" w:ascii="Times New Roman" w:hAnsi="Times New Roman" w:eastAsia="方正仿宋_GBK" w:cs="Times New Roman"/>
          <w:b w:val="0"/>
          <w:color w:val="auto"/>
          <w:sz w:val="32"/>
          <w:szCs w:val="32"/>
        </w:rPr>
        <w:t>万元，完成预算100%。</w:t>
      </w:r>
    </w:p>
    <w:p w14:paraId="695AC1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bCs/>
          <w:color w:val="auto"/>
          <w:sz w:val="32"/>
          <w:szCs w:val="32"/>
        </w:rPr>
        <w:t>2</w:t>
      </w:r>
      <w:r>
        <w:rPr>
          <w:rStyle w:val="21"/>
          <w:rFonts w:hint="default" w:ascii="Times New Roman" w:hAnsi="Times New Roman" w:eastAsia="方正仿宋_GBK" w:cs="Times New Roman"/>
          <w:b w:val="0"/>
          <w:bCs/>
          <w:color w:val="auto"/>
          <w:sz w:val="32"/>
          <w:szCs w:val="32"/>
          <w:lang w:val="en-US" w:eastAsia="zh-CN"/>
        </w:rPr>
        <w:t>6</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农林水支出</w:t>
      </w:r>
      <w:r>
        <w:rPr>
          <w:rStyle w:val="21"/>
          <w:rFonts w:hint="default" w:ascii="Times New Roman" w:hAnsi="Times New Roman" w:eastAsia="方正仿宋_GBK" w:cs="Times New Roman"/>
          <w:b w:val="0"/>
          <w:color w:val="auto"/>
          <w:sz w:val="32"/>
          <w:szCs w:val="32"/>
        </w:rPr>
        <w:t>（类）林业和草原（款）林业草原防灾减灾（项）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3</w:t>
      </w:r>
      <w:r>
        <w:rPr>
          <w:rStyle w:val="21"/>
          <w:rFonts w:hint="default" w:ascii="Times New Roman" w:hAnsi="Times New Roman" w:eastAsia="方正仿宋_GBK" w:cs="Times New Roman"/>
          <w:b w:val="0"/>
          <w:color w:val="auto"/>
          <w:sz w:val="32"/>
          <w:szCs w:val="32"/>
        </w:rPr>
        <w:t>万元，完成预算100%。</w:t>
      </w:r>
    </w:p>
    <w:p w14:paraId="1C010C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color w:val="auto"/>
          <w:sz w:val="32"/>
          <w:szCs w:val="32"/>
          <w:lang w:val="en-US" w:eastAsia="zh-CN"/>
        </w:rPr>
        <w:t>27.</w:t>
      </w:r>
      <w:r>
        <w:rPr>
          <w:rFonts w:hint="default" w:ascii="Times New Roman" w:hAnsi="Times New Roman" w:eastAsia="方正仿宋_GBK" w:cs="Times New Roman"/>
          <w:bCs/>
          <w:color w:val="auto"/>
          <w:sz w:val="32"/>
          <w:szCs w:val="32"/>
        </w:rPr>
        <w:t>农林水支出</w:t>
      </w:r>
      <w:r>
        <w:rPr>
          <w:rStyle w:val="21"/>
          <w:rFonts w:hint="default" w:ascii="Times New Roman" w:hAnsi="Times New Roman" w:eastAsia="方正仿宋_GBK" w:cs="Times New Roman"/>
          <w:b w:val="0"/>
          <w:color w:val="auto"/>
          <w:sz w:val="32"/>
          <w:szCs w:val="32"/>
        </w:rPr>
        <w:t>（类）林业和草原（款）其他林业和草原支出（项）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3.89</w:t>
      </w:r>
      <w:r>
        <w:rPr>
          <w:rStyle w:val="21"/>
          <w:rFonts w:hint="default" w:ascii="Times New Roman" w:hAnsi="Times New Roman" w:eastAsia="方正仿宋_GBK" w:cs="Times New Roman"/>
          <w:b w:val="0"/>
          <w:color w:val="auto"/>
          <w:sz w:val="32"/>
          <w:szCs w:val="32"/>
        </w:rPr>
        <w:t>万元，完成预算100%。</w:t>
      </w:r>
    </w:p>
    <w:p w14:paraId="5F5A676B">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bCs/>
          <w:color w:val="auto"/>
          <w:sz w:val="32"/>
          <w:szCs w:val="32"/>
        </w:rPr>
        <w:t>2</w:t>
      </w:r>
      <w:r>
        <w:rPr>
          <w:rStyle w:val="21"/>
          <w:rFonts w:hint="default" w:ascii="Times New Roman" w:hAnsi="Times New Roman" w:eastAsia="方正仿宋_GBK" w:cs="Times New Roman"/>
          <w:b w:val="0"/>
          <w:bCs/>
          <w:color w:val="auto"/>
          <w:sz w:val="32"/>
          <w:szCs w:val="32"/>
          <w:lang w:val="en-US" w:eastAsia="zh-CN"/>
        </w:rPr>
        <w:t>8</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农林水支出</w:t>
      </w:r>
      <w:r>
        <w:rPr>
          <w:rStyle w:val="21"/>
          <w:rFonts w:hint="default" w:ascii="Times New Roman" w:hAnsi="Times New Roman" w:eastAsia="方正仿宋_GBK" w:cs="Times New Roman"/>
          <w:b w:val="0"/>
          <w:color w:val="auto"/>
          <w:sz w:val="32"/>
          <w:szCs w:val="32"/>
        </w:rPr>
        <w:t>（类）农村综合改革（款）对村民委员会和村党支部的补助（项）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5</w:t>
      </w:r>
      <w:r>
        <w:rPr>
          <w:rStyle w:val="21"/>
          <w:rFonts w:hint="default" w:ascii="Times New Roman" w:hAnsi="Times New Roman" w:eastAsia="方正仿宋_GBK" w:cs="Times New Roman"/>
          <w:b w:val="0"/>
          <w:color w:val="auto"/>
          <w:sz w:val="32"/>
          <w:szCs w:val="32"/>
        </w:rPr>
        <w:t>万元，完成预算100%。</w:t>
      </w:r>
    </w:p>
    <w:p w14:paraId="15AB9456">
      <w:pPr>
        <w:keepNext w:val="0"/>
        <w:keepLines w:val="0"/>
        <w:pageBreakBefore w:val="0"/>
        <w:widowControl w:val="0"/>
        <w:kinsoku/>
        <w:wordWrap/>
        <w:overflowPunct/>
        <w:topLinePunct w:val="0"/>
        <w:autoSpaceDE/>
        <w:autoSpaceDN/>
        <w:bidi w:val="0"/>
        <w:adjustRightInd/>
        <w:snapToGrid/>
        <w:spacing w:line="560" w:lineRule="exact"/>
        <w:ind w:left="210" w:leftChars="100" w:firstLine="640" w:firstLineChars="200"/>
        <w:textAlignment w:val="auto"/>
        <w:rPr>
          <w:rFonts w:hint="default" w:ascii="Times New Roman" w:hAnsi="Times New Roman" w:eastAsia="方正仿宋_GBK" w:cs="Times New Roman"/>
          <w:color w:val="auto"/>
          <w:sz w:val="32"/>
          <w:szCs w:val="32"/>
          <w:lang w:eastAsia="zh-CN"/>
        </w:rPr>
      </w:pPr>
      <w:r>
        <w:rPr>
          <w:rStyle w:val="21"/>
          <w:rFonts w:hint="default" w:ascii="Times New Roman" w:hAnsi="Times New Roman" w:eastAsia="方正仿宋_GBK" w:cs="Times New Roman"/>
          <w:b w:val="0"/>
          <w:bCs/>
          <w:color w:val="auto"/>
          <w:sz w:val="32"/>
          <w:szCs w:val="32"/>
        </w:rPr>
        <w:t>2</w:t>
      </w:r>
      <w:r>
        <w:rPr>
          <w:rStyle w:val="21"/>
          <w:rFonts w:hint="default" w:ascii="Times New Roman" w:hAnsi="Times New Roman" w:eastAsia="方正仿宋_GBK" w:cs="Times New Roman"/>
          <w:b w:val="0"/>
          <w:bCs/>
          <w:color w:val="auto"/>
          <w:sz w:val="32"/>
          <w:szCs w:val="32"/>
          <w:lang w:val="en-US" w:eastAsia="zh-CN"/>
        </w:rPr>
        <w:t>9</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资源勘探工业信息等支出</w:t>
      </w:r>
      <w:r>
        <w:rPr>
          <w:rStyle w:val="21"/>
          <w:rFonts w:hint="default" w:ascii="Times New Roman" w:hAnsi="Times New Roman" w:eastAsia="方正仿宋_GBK" w:cs="Times New Roman"/>
          <w:b w:val="0"/>
          <w:color w:val="auto"/>
          <w:sz w:val="32"/>
          <w:szCs w:val="32"/>
        </w:rPr>
        <w:t>（类）支持中小企业发展和管理支出（款）中小企业发展专项（项）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1</w:t>
      </w:r>
      <w:r>
        <w:rPr>
          <w:rStyle w:val="21"/>
          <w:rFonts w:hint="default" w:ascii="Times New Roman" w:hAnsi="Times New Roman" w:eastAsia="方正仿宋_GBK" w:cs="Times New Roman"/>
          <w:b w:val="0"/>
          <w:color w:val="auto"/>
          <w:sz w:val="32"/>
          <w:szCs w:val="32"/>
        </w:rPr>
        <w:t>万元，完成预算100%</w:t>
      </w:r>
      <w:r>
        <w:rPr>
          <w:rStyle w:val="21"/>
          <w:rFonts w:hint="default" w:ascii="Times New Roman" w:hAnsi="Times New Roman" w:eastAsia="方正仿宋_GBK" w:cs="Times New Roman"/>
          <w:b w:val="0"/>
          <w:color w:val="auto"/>
          <w:sz w:val="32"/>
          <w:szCs w:val="32"/>
          <w:lang w:eastAsia="zh-CN"/>
        </w:rPr>
        <w:t>。</w:t>
      </w:r>
    </w:p>
    <w:p w14:paraId="09406F71">
      <w:pPr>
        <w:pStyle w:val="18"/>
        <w:keepNext w:val="0"/>
        <w:keepLines w:val="0"/>
        <w:pageBreakBefore w:val="0"/>
        <w:widowControl w:val="0"/>
        <w:kinsoku/>
        <w:wordWrap/>
        <w:overflowPunct/>
        <w:topLinePunct w:val="0"/>
        <w:autoSpaceDE/>
        <w:autoSpaceDN/>
        <w:bidi w:val="0"/>
        <w:adjustRightInd/>
        <w:snapToGrid/>
        <w:spacing w:beforeLines="0" w:after="0"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bCs/>
          <w:color w:val="auto"/>
          <w:sz w:val="32"/>
          <w:szCs w:val="32"/>
          <w:lang w:val="en-US" w:eastAsia="zh-CN"/>
        </w:rPr>
        <w:t>30</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住房保障支出</w:t>
      </w:r>
      <w:r>
        <w:rPr>
          <w:rStyle w:val="21"/>
          <w:rFonts w:hint="default" w:ascii="Times New Roman" w:hAnsi="Times New Roman" w:eastAsia="方正仿宋_GBK" w:cs="Times New Roman"/>
          <w:b w:val="0"/>
          <w:color w:val="auto"/>
          <w:sz w:val="32"/>
          <w:szCs w:val="32"/>
        </w:rPr>
        <w:t>（类）住房改革</w:t>
      </w:r>
      <w:r>
        <w:rPr>
          <w:rStyle w:val="21"/>
          <w:rFonts w:hint="default" w:ascii="Times New Roman" w:hAnsi="Times New Roman" w:eastAsia="方正仿宋_GBK" w:cs="Times New Roman"/>
          <w:b w:val="0"/>
          <w:color w:val="auto"/>
          <w:sz w:val="32"/>
          <w:szCs w:val="32"/>
          <w:lang w:eastAsia="zh-CN"/>
        </w:rPr>
        <w:t>支出</w:t>
      </w:r>
      <w:r>
        <w:rPr>
          <w:rStyle w:val="21"/>
          <w:rFonts w:hint="default" w:ascii="Times New Roman" w:hAnsi="Times New Roman" w:eastAsia="方正仿宋_GBK" w:cs="Times New Roman"/>
          <w:b w:val="0"/>
          <w:color w:val="auto"/>
          <w:sz w:val="32"/>
          <w:szCs w:val="32"/>
        </w:rPr>
        <w:t>（款）住房公积金（项）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28.01</w:t>
      </w:r>
      <w:r>
        <w:rPr>
          <w:rStyle w:val="21"/>
          <w:rFonts w:hint="default" w:ascii="Times New Roman" w:hAnsi="Times New Roman" w:eastAsia="方正仿宋_GBK" w:cs="Times New Roman"/>
          <w:b w:val="0"/>
          <w:color w:val="auto"/>
          <w:sz w:val="32"/>
          <w:szCs w:val="32"/>
        </w:rPr>
        <w:t>万元，完成预算100%。</w:t>
      </w:r>
    </w:p>
    <w:p w14:paraId="30AB1AEF">
      <w:pPr>
        <w:pStyle w:val="18"/>
        <w:keepNext w:val="0"/>
        <w:keepLines w:val="0"/>
        <w:pageBreakBefore w:val="0"/>
        <w:widowControl w:val="0"/>
        <w:kinsoku/>
        <w:wordWrap/>
        <w:overflowPunct/>
        <w:topLinePunct w:val="0"/>
        <w:autoSpaceDE/>
        <w:autoSpaceDN/>
        <w:bidi w:val="0"/>
        <w:adjustRightInd/>
        <w:snapToGrid/>
        <w:spacing w:beforeLines="0" w:after="0" w:line="560" w:lineRule="exact"/>
        <w:ind w:left="210" w:leftChars="100" w:right="210" w:rightChars="10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bCs/>
          <w:color w:val="auto"/>
          <w:sz w:val="32"/>
          <w:szCs w:val="32"/>
          <w:lang w:val="en-US" w:eastAsia="zh-CN"/>
        </w:rPr>
        <w:t>31</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灾害防治及应急管理支出</w:t>
      </w:r>
      <w:r>
        <w:rPr>
          <w:rStyle w:val="21"/>
          <w:rFonts w:hint="default" w:ascii="Times New Roman" w:hAnsi="Times New Roman" w:eastAsia="方正仿宋_GBK" w:cs="Times New Roman"/>
          <w:b w:val="0"/>
          <w:color w:val="auto"/>
          <w:sz w:val="32"/>
          <w:szCs w:val="32"/>
        </w:rPr>
        <w:t>（类）应急管理事务（款）其他应急管理支出（项）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20</w:t>
      </w:r>
      <w:r>
        <w:rPr>
          <w:rStyle w:val="21"/>
          <w:rFonts w:hint="default" w:ascii="Times New Roman" w:hAnsi="Times New Roman" w:eastAsia="方正仿宋_GBK" w:cs="Times New Roman"/>
          <w:b w:val="0"/>
          <w:color w:val="auto"/>
          <w:sz w:val="32"/>
          <w:szCs w:val="32"/>
        </w:rPr>
        <w:t>万元，完成预算100%。</w:t>
      </w:r>
    </w:p>
    <w:p w14:paraId="686C3C34">
      <w:pPr>
        <w:pStyle w:val="18"/>
        <w:keepNext w:val="0"/>
        <w:keepLines w:val="0"/>
        <w:pageBreakBefore w:val="0"/>
        <w:widowControl w:val="0"/>
        <w:kinsoku/>
        <w:wordWrap/>
        <w:overflowPunct/>
        <w:topLinePunct w:val="0"/>
        <w:autoSpaceDE/>
        <w:autoSpaceDN/>
        <w:bidi w:val="0"/>
        <w:adjustRightInd/>
        <w:snapToGrid/>
        <w:spacing w:beforeLines="0" w:after="0" w:line="560" w:lineRule="exact"/>
        <w:ind w:left="0" w:leftChars="0" w:firstLine="640" w:firstLineChars="200"/>
        <w:textAlignment w:val="auto"/>
        <w:rPr>
          <w:rStyle w:val="21"/>
          <w:rFonts w:hint="default" w:ascii="Times New Roman" w:hAnsi="Times New Roman" w:eastAsia="方正仿宋_GBK" w:cs="Times New Roman"/>
          <w:b w:val="0"/>
          <w:color w:val="auto"/>
          <w:sz w:val="32"/>
          <w:szCs w:val="32"/>
        </w:rPr>
      </w:pPr>
      <w:r>
        <w:rPr>
          <w:rStyle w:val="21"/>
          <w:rFonts w:hint="default" w:ascii="Times New Roman" w:hAnsi="Times New Roman" w:eastAsia="方正仿宋_GBK" w:cs="Times New Roman"/>
          <w:b w:val="0"/>
          <w:bCs/>
          <w:color w:val="auto"/>
          <w:sz w:val="32"/>
          <w:szCs w:val="32"/>
          <w:lang w:val="en-US" w:eastAsia="zh-CN"/>
        </w:rPr>
        <w:t>32</w:t>
      </w:r>
      <w:r>
        <w:rPr>
          <w:rStyle w:val="21"/>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其他支出</w:t>
      </w:r>
      <w:r>
        <w:rPr>
          <w:rStyle w:val="21"/>
          <w:rFonts w:hint="default" w:ascii="Times New Roman" w:hAnsi="Times New Roman" w:eastAsia="方正仿宋_GBK" w:cs="Times New Roman"/>
          <w:b w:val="0"/>
          <w:color w:val="auto"/>
          <w:sz w:val="32"/>
          <w:szCs w:val="32"/>
        </w:rPr>
        <w:t>（类）其他支出（款）其他支出（项）</w:t>
      </w:r>
      <w:r>
        <w:rPr>
          <w:rStyle w:val="21"/>
          <w:rFonts w:hint="default" w:ascii="Times New Roman" w:hAnsi="Times New Roman" w:eastAsia="方正仿宋_GBK" w:cs="Times New Roman"/>
          <w:b w:val="0"/>
          <w:color w:val="auto"/>
          <w:sz w:val="32"/>
          <w:szCs w:val="32"/>
          <w:lang w:eastAsia="zh-CN"/>
        </w:rPr>
        <w:t>：</w:t>
      </w:r>
      <w:r>
        <w:rPr>
          <w:rStyle w:val="21"/>
          <w:rFonts w:hint="default" w:ascii="Times New Roman" w:hAnsi="Times New Roman" w:eastAsia="方正仿宋_GBK" w:cs="Times New Roman"/>
          <w:b w:val="0"/>
          <w:color w:val="auto"/>
          <w:sz w:val="32"/>
          <w:szCs w:val="32"/>
        </w:rPr>
        <w:t>支出决算为</w:t>
      </w:r>
      <w:r>
        <w:rPr>
          <w:rStyle w:val="21"/>
          <w:rFonts w:hint="default" w:ascii="Times New Roman" w:hAnsi="Times New Roman" w:eastAsia="方正仿宋_GBK" w:cs="Times New Roman"/>
          <w:b w:val="0"/>
          <w:color w:val="auto"/>
          <w:sz w:val="32"/>
          <w:szCs w:val="32"/>
          <w:lang w:val="en-US" w:eastAsia="zh-CN"/>
        </w:rPr>
        <w:t>13</w:t>
      </w:r>
      <w:r>
        <w:rPr>
          <w:rStyle w:val="21"/>
          <w:rFonts w:hint="default" w:ascii="Times New Roman" w:hAnsi="Times New Roman" w:eastAsia="方正仿宋_GBK" w:cs="Times New Roman"/>
          <w:b w:val="0"/>
          <w:color w:val="auto"/>
          <w:sz w:val="32"/>
          <w:szCs w:val="32"/>
        </w:rPr>
        <w:t>万元，完成预算100%。</w:t>
      </w:r>
    </w:p>
    <w:p w14:paraId="12A386FB">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leftChars="0" w:firstLine="640" w:firstLineChars="200"/>
        <w:textAlignment w:val="auto"/>
        <w:outlineLvl w:val="1"/>
        <w:rPr>
          <w:rStyle w:val="33"/>
          <w:rFonts w:hint="default" w:ascii="Times New Roman" w:hAnsi="Times New Roman" w:cs="Times New Roman"/>
          <w:color w:val="auto"/>
          <w:highlight w:val="none"/>
        </w:rPr>
      </w:pPr>
      <w:bookmarkStart w:id="32" w:name="_Toc15377214"/>
      <w:bookmarkStart w:id="33"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般公共预算财政拨款基本支出决算情况说明</w:t>
      </w:r>
      <w:bookmarkEnd w:id="32"/>
      <w:bookmarkEnd w:id="33"/>
      <w:r>
        <w:rPr>
          <w:rStyle w:val="33"/>
          <w:rFonts w:hint="default" w:ascii="Times New Roman" w:hAnsi="Times New Roman" w:eastAsia="黑体" w:cs="Times New Roman"/>
          <w:b w:val="0"/>
          <w:color w:val="auto"/>
          <w:highlight w:val="none"/>
        </w:rPr>
        <w:tab/>
      </w:r>
    </w:p>
    <w:p w14:paraId="19EC91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554.54</w:t>
      </w:r>
      <w:r>
        <w:rPr>
          <w:rFonts w:hint="default" w:ascii="Times New Roman" w:hAnsi="Times New Roman" w:eastAsia="方正仿宋_GBK" w:cs="Times New Roman"/>
          <w:color w:val="auto"/>
          <w:kern w:val="2"/>
          <w:sz w:val="32"/>
          <w:szCs w:val="32"/>
          <w:highlight w:val="none"/>
          <w:lang w:val="en-US" w:eastAsia="zh-CN" w:bidi="ar-SA"/>
        </w:rPr>
        <w:t>万元，其中：</w:t>
      </w:r>
    </w:p>
    <w:p w14:paraId="73C4BE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526.01</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14:paraId="2C6E48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公用经费</w:t>
      </w:r>
      <w:r>
        <w:rPr>
          <w:rFonts w:hint="default" w:ascii="Times New Roman" w:hAnsi="Times New Roman" w:eastAsia="方正仿宋_GBK" w:cs="Times New Roman"/>
          <w:sz w:val="32"/>
          <w:szCs w:val="32"/>
        </w:rPr>
        <w:t>28.53</w:t>
      </w:r>
      <w:r>
        <w:rPr>
          <w:rFonts w:hint="default" w:ascii="Times New Roman" w:hAnsi="Times New Roman" w:eastAsia="方正仿宋_GBK" w:cs="Times New Roman"/>
          <w:color w:val="auto"/>
          <w:kern w:val="2"/>
          <w:sz w:val="32"/>
          <w:szCs w:val="32"/>
          <w:highlight w:val="none"/>
          <w:lang w:val="en-US" w:eastAsia="zh-CN" w:bidi="ar-SA"/>
        </w:rPr>
        <w:t>万元，主要包括：办公费、印刷费、咨询费、手续费、水费、电费、邮电费、差旅费、维修（护）费、租赁费、会议费、培训费、公务接待费、劳务费、委托业务费、工会经费、福利费、公务用车运行维护费、其他交通费、其他商品和服务支出、办公设备购置、专用设备购置、信息网络及软件购置更新、其他资本性支出等。</w:t>
      </w:r>
    </w:p>
    <w:p w14:paraId="1E22A7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Style w:val="33"/>
          <w:rFonts w:hint="default" w:ascii="Times New Roman" w:hAnsi="Times New Roman" w:eastAsia="黑体" w:cs="Times New Roman"/>
          <w:b w:val="0"/>
          <w:color w:val="auto"/>
          <w:highlight w:val="none"/>
        </w:rPr>
      </w:pPr>
      <w:bookmarkStart w:id="34" w:name="_Toc15396609"/>
      <w:bookmarkStart w:id="35" w:name="_Toc15377215"/>
      <w:r>
        <w:rPr>
          <w:rFonts w:hint="default" w:ascii="Times New Roman" w:hAnsi="Times New Roman" w:eastAsia="黑体" w:cs="Times New Roman"/>
          <w:color w:val="auto"/>
          <w:sz w:val="32"/>
          <w:szCs w:val="32"/>
          <w:highlight w:val="none"/>
        </w:rPr>
        <w:t>七、</w:t>
      </w:r>
      <w:r>
        <w:rPr>
          <w:rStyle w:val="33"/>
          <w:rFonts w:hint="default" w:ascii="Times New Roman" w:hAnsi="Times New Roman" w:eastAsia="黑体" w:cs="Times New Roman"/>
          <w:b w:val="0"/>
          <w:color w:val="auto"/>
          <w:highlight w:val="none"/>
        </w:rPr>
        <w:t>财政拨款</w:t>
      </w:r>
      <w:r>
        <w:rPr>
          <w:rStyle w:val="33"/>
          <w:rFonts w:hint="default" w:ascii="Times New Roman" w:hAnsi="Times New Roman" w:eastAsia="黑体" w:cs="Times New Roman"/>
          <w:color w:val="auto"/>
          <w:highlight w:val="none"/>
        </w:rPr>
        <w:t>“</w:t>
      </w:r>
      <w:r>
        <w:rPr>
          <w:rStyle w:val="33"/>
          <w:rFonts w:hint="default" w:ascii="Times New Roman" w:hAnsi="Times New Roman" w:eastAsia="黑体" w:cs="Times New Roman"/>
          <w:b w:val="0"/>
          <w:color w:val="auto"/>
          <w:highlight w:val="none"/>
        </w:rPr>
        <w:t>三公”经费支出决算情况说明</w:t>
      </w:r>
      <w:bookmarkEnd w:id="34"/>
      <w:bookmarkEnd w:id="35"/>
    </w:p>
    <w:p w14:paraId="2E68400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6"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6"/>
    </w:p>
    <w:p w14:paraId="113669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4.97</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%，较上年度减少13.67万元，下降73.34%，主要原因是街道2023年购置公务用车一辆。决算数小于预算数的主要原因是</w:t>
      </w:r>
      <w:r>
        <w:rPr>
          <w:rFonts w:hint="default" w:ascii="Times New Roman" w:hAnsi="Times New Roman" w:eastAsia="方正仿宋_GBK" w:cs="Times New Roman"/>
          <w:color w:val="auto"/>
          <w:sz w:val="32"/>
          <w:szCs w:val="32"/>
        </w:rPr>
        <w:t>街道厉行节约，缩减了公务用车运行费。</w:t>
      </w:r>
    </w:p>
    <w:p w14:paraId="188A57D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7"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37"/>
    </w:p>
    <w:p w14:paraId="18240A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4.97</w:t>
      </w:r>
      <w:r>
        <w:rPr>
          <w:rFonts w:hint="default" w:ascii="Times New Roman" w:hAnsi="Times New Roman" w:eastAsia="方正仿宋_GBK" w:cs="Times New Roman"/>
          <w:color w:val="auto"/>
          <w:kern w:val="2"/>
          <w:sz w:val="32"/>
          <w:szCs w:val="32"/>
          <w:highlight w:val="none"/>
          <w:lang w:val="en-US" w:eastAsia="zh-CN" w:bidi="ar-SA"/>
        </w:rPr>
        <w:t>万元，占100%；公务接待费支出决算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万元，占0%。具体情况如下：</w:t>
      </w:r>
    </w:p>
    <w:p w14:paraId="365CB7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（图7：“三公”经费财政拨款支出结构）（饼状图）</w:t>
      </w:r>
    </w:p>
    <w:p w14:paraId="7A46636E">
      <w:pPr>
        <w:pStyle w:val="15"/>
        <w:pageBreakBefore w:val="0"/>
        <w:kinsoku/>
        <w:wordWrap/>
        <w:overflowPunct/>
        <w:topLinePunct w:val="0"/>
        <w:bidi w:val="0"/>
        <w:spacing w:line="240" w:lineRule="auto"/>
        <w:ind w:left="0" w:leftChars="0" w:firstLine="360"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rPr>
        <w:drawing>
          <wp:inline distT="0" distB="0" distL="0" distR="0">
            <wp:extent cx="4474210" cy="2902585"/>
            <wp:effectExtent l="4445" t="5080" r="17145"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599902">
      <w:pPr>
        <w:keepNext w:val="0"/>
        <w:keepLines w:val="0"/>
        <w:pageBreakBefore w:val="0"/>
        <w:numPr>
          <w:ilvl w:val="0"/>
          <w:numId w:val="0"/>
        </w:numPr>
        <w:kinsoku/>
        <w:wordWrap/>
        <w:overflowPunct/>
        <w:topLinePunct w:val="0"/>
        <w:bidi w:val="0"/>
        <w:spacing w:line="560" w:lineRule="exact"/>
        <w:ind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kern w:val="2"/>
          <w:sz w:val="32"/>
          <w:szCs w:val="32"/>
          <w:highlight w:val="none"/>
          <w:lang w:val="en-US" w:eastAsia="zh-CN" w:bidi="ar-SA"/>
        </w:rPr>
        <w:t xml:space="preserve">1.因公出国（境）经费支出0万元，完成预算0%。 </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w:t>
      </w:r>
      <w:r>
        <w:rPr>
          <w:rFonts w:hint="default" w:ascii="Times New Roman" w:hAnsi="Times New Roman" w:eastAsia="方正仿宋_GBK" w:cs="Times New Roman"/>
          <w:sz w:val="32"/>
          <w:szCs w:val="32"/>
        </w:rPr>
        <w:t>决算数持平</w:t>
      </w:r>
      <w:r>
        <w:rPr>
          <w:rFonts w:hint="default" w:ascii="Times New Roman" w:hAnsi="Times New Roman" w:eastAsia="方正仿宋_GBK" w:cs="Times New Roman"/>
          <w:sz w:val="32"/>
          <w:szCs w:val="32"/>
          <w:lang w:eastAsia="zh-CN"/>
        </w:rPr>
        <w:t>。</w:t>
      </w:r>
    </w:p>
    <w:p w14:paraId="546D789A">
      <w:pPr>
        <w:keepNext w:val="0"/>
        <w:keepLines w:val="0"/>
        <w:pageBreakBefore w:val="0"/>
        <w:numPr>
          <w:ilvl w:val="0"/>
          <w:numId w:val="0"/>
        </w:numPr>
        <w:kinsoku/>
        <w:wordWrap/>
        <w:overflowPunct/>
        <w:topLinePunct w:val="0"/>
        <w:bidi w:val="0"/>
        <w:spacing w:line="560" w:lineRule="exact"/>
        <w:ind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2.公务用车购置及运行维护费支出4.97万元，完成预算</w:t>
      </w:r>
      <w:r>
        <w:rPr>
          <w:rFonts w:hint="default" w:ascii="Times New Roman" w:hAnsi="Times New Roman" w:eastAsia="方正仿宋_GBK" w:cs="Times New Roman"/>
          <w:color w:val="auto"/>
          <w:kern w:val="2"/>
          <w:sz w:val="32"/>
          <w:szCs w:val="32"/>
          <w:highlight w:val="none"/>
          <w:lang w:val="en-US" w:eastAsia="zh-CN" w:bidi="ar-SA"/>
        </w:rPr>
        <w:t>100%</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公务用车购置及运行维护费支出决算比2023年度减少13.67万元，下降73.34%。主要原因是</w:t>
      </w:r>
      <w:r>
        <w:rPr>
          <w:rFonts w:hint="default" w:ascii="Times New Roman" w:hAnsi="Times New Roman" w:eastAsia="方正仿宋_GBK" w:cs="Times New Roman"/>
          <w:sz w:val="32"/>
          <w:szCs w:val="32"/>
          <w:lang w:val="en-US" w:eastAsia="zh-CN"/>
        </w:rPr>
        <w:t>2023年新增公务用车一辆。</w:t>
      </w:r>
    </w:p>
    <w:p w14:paraId="4CCF82FA">
      <w:pPr>
        <w:keepNext w:val="0"/>
        <w:keepLines w:val="0"/>
        <w:pageBreakBefore w:val="0"/>
        <w:numPr>
          <w:ilvl w:val="0"/>
          <w:numId w:val="0"/>
        </w:numPr>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万元。全年按规定更新购置公务用车0辆，其中：轿车0辆、金额0万元，越野车0辆、金额0万元，载客汽车0辆、金额0万元。截至2024年12月31日，单位共有公务用车2辆，其中：</w:t>
      </w:r>
      <w:r>
        <w:rPr>
          <w:rFonts w:hint="default" w:ascii="Times New Roman" w:hAnsi="Times New Roman" w:eastAsia="方正仿宋_GBK" w:cs="Times New Roman"/>
          <w:color w:val="000000"/>
          <w:sz w:val="32"/>
          <w:szCs w:val="32"/>
        </w:rPr>
        <w:t>小型货车</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辆</w:t>
      </w:r>
      <w:r>
        <w:rPr>
          <w:rFonts w:hint="default" w:ascii="Times New Roman" w:hAnsi="Times New Roman" w:eastAsia="方正仿宋_GBK" w:cs="Times New Roman"/>
          <w:color w:val="auto"/>
          <w:kern w:val="2"/>
          <w:sz w:val="32"/>
          <w:szCs w:val="32"/>
          <w:highlight w:val="none"/>
          <w:lang w:val="en-US" w:eastAsia="zh-CN" w:bidi="ar-SA"/>
        </w:rPr>
        <w:t>。</w:t>
      </w:r>
    </w:p>
    <w:p w14:paraId="37866F1B">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4.97</w:t>
      </w:r>
      <w:r>
        <w:rPr>
          <w:rFonts w:hint="default" w:ascii="Times New Roman" w:hAnsi="Times New Roman" w:eastAsia="方正仿宋_GBK" w:cs="Times New Roman"/>
          <w:color w:val="auto"/>
          <w:kern w:val="2"/>
          <w:sz w:val="32"/>
          <w:szCs w:val="32"/>
          <w:highlight w:val="none"/>
          <w:lang w:val="en-US" w:eastAsia="zh-CN" w:bidi="ar-SA"/>
        </w:rPr>
        <w:t>万元。主要用于</w:t>
      </w:r>
      <w:r>
        <w:rPr>
          <w:rFonts w:hint="default" w:ascii="Times New Roman" w:hAnsi="Times New Roman" w:eastAsia="方正仿宋_GBK" w:cs="Times New Roman"/>
          <w:color w:val="000000"/>
          <w:sz w:val="32"/>
          <w:szCs w:val="32"/>
        </w:rPr>
        <w:t>街道机关及事业单位日常</w:t>
      </w:r>
      <w:r>
        <w:rPr>
          <w:rFonts w:hint="default" w:ascii="Times New Roman" w:hAnsi="Times New Roman" w:eastAsia="方正仿宋_GBK" w:cs="Times New Roman"/>
          <w:color w:val="000000"/>
          <w:sz w:val="32"/>
          <w:szCs w:val="32"/>
          <w:lang w:eastAsia="zh-CN"/>
        </w:rPr>
        <w:t>办公</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社会管理、</w:t>
      </w:r>
      <w:r>
        <w:rPr>
          <w:rFonts w:hint="default" w:ascii="Times New Roman" w:hAnsi="Times New Roman" w:eastAsia="方正仿宋_GBK" w:cs="Times New Roman"/>
          <w:color w:val="000000"/>
          <w:sz w:val="32"/>
          <w:szCs w:val="32"/>
        </w:rPr>
        <w:t>基层政权建设、</w:t>
      </w:r>
      <w:r>
        <w:rPr>
          <w:rFonts w:hint="default" w:ascii="Times New Roman" w:hAnsi="Times New Roman" w:eastAsia="方正仿宋_GBK" w:cs="Times New Roman"/>
          <w:color w:val="000000"/>
          <w:sz w:val="32"/>
          <w:szCs w:val="32"/>
          <w:lang w:eastAsia="zh-CN"/>
        </w:rPr>
        <w:t>防汛防火</w:t>
      </w:r>
      <w:r>
        <w:rPr>
          <w:rFonts w:hint="default" w:ascii="Times New Roman" w:hAnsi="Times New Roman" w:eastAsia="方正仿宋_GBK" w:cs="Times New Roman"/>
          <w:color w:val="000000"/>
          <w:sz w:val="32"/>
          <w:szCs w:val="32"/>
          <w:lang w:val="en-US" w:eastAsia="zh-CN"/>
        </w:rPr>
        <w:t>等工作</w:t>
      </w:r>
      <w:r>
        <w:rPr>
          <w:rFonts w:hint="default" w:ascii="Times New Roman" w:hAnsi="Times New Roman" w:eastAsia="方正仿宋_GBK" w:cs="Times New Roman"/>
          <w:color w:val="auto"/>
          <w:kern w:val="2"/>
          <w:sz w:val="32"/>
          <w:szCs w:val="32"/>
          <w:highlight w:val="none"/>
          <w:lang w:val="en-US" w:eastAsia="zh-CN" w:bidi="ar-SA"/>
        </w:rPr>
        <w:t>所需的公务用车燃料费、维修费、过路过桥费、保险费等支出。</w:t>
      </w:r>
    </w:p>
    <w:p w14:paraId="429E223C">
      <w:pPr>
        <w:keepNext w:val="0"/>
        <w:keepLines w:val="0"/>
        <w:pageBreakBefore w:val="0"/>
        <w:kinsoku/>
        <w:wordWrap/>
        <w:overflowPunct/>
        <w:topLinePunct w:val="0"/>
        <w:bidi w:val="0"/>
        <w:spacing w:line="560" w:lineRule="exact"/>
        <w:ind w:left="0" w:leftChars="0"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公务接待费支出决算与2023年度持平。其中：</w:t>
      </w:r>
    </w:p>
    <w:p w14:paraId="1CA34263">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14:paraId="272ED9D8">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14:paraId="0BD35CE5">
      <w:pPr>
        <w:keepNext w:val="0"/>
        <w:keepLines w:val="0"/>
        <w:pageBreakBefore w:val="0"/>
        <w:kinsoku/>
        <w:wordWrap/>
        <w:overflowPunct/>
        <w:topLinePunct w:val="0"/>
        <w:bidi w:val="0"/>
        <w:spacing w:line="560" w:lineRule="exact"/>
        <w:ind w:left="0" w:leftChars="0" w:firstLine="640" w:firstLineChars="200"/>
        <w:textAlignment w:val="auto"/>
        <w:outlineLvl w:val="1"/>
        <w:rPr>
          <w:rStyle w:val="33"/>
          <w:rFonts w:hint="default" w:ascii="Times New Roman" w:hAnsi="Times New Roman" w:eastAsia="黑体" w:cs="Times New Roman"/>
          <w:color w:val="auto"/>
          <w:highlight w:val="none"/>
        </w:rPr>
      </w:pPr>
      <w:bookmarkStart w:id="38" w:name="_Toc15396610"/>
      <w:bookmarkStart w:id="39" w:name="_Toc15377218"/>
      <w:r>
        <w:rPr>
          <w:rFonts w:hint="default" w:ascii="Times New Roman" w:hAnsi="Times New Roman" w:eastAsia="黑体" w:cs="Times New Roman"/>
          <w:color w:val="auto"/>
          <w:sz w:val="32"/>
          <w:szCs w:val="32"/>
          <w:highlight w:val="none"/>
        </w:rPr>
        <w:t>八、</w:t>
      </w:r>
      <w:r>
        <w:rPr>
          <w:rStyle w:val="33"/>
          <w:rFonts w:hint="default" w:ascii="Times New Roman" w:hAnsi="Times New Roman" w:eastAsia="黑体" w:cs="Times New Roman"/>
          <w:b w:val="0"/>
          <w:color w:val="auto"/>
          <w:highlight w:val="none"/>
        </w:rPr>
        <w:t>政府性基金预算支出决算情况说明</w:t>
      </w:r>
      <w:bookmarkEnd w:id="38"/>
      <w:bookmarkEnd w:id="39"/>
    </w:p>
    <w:p w14:paraId="22DBAB29">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color w:val="auto"/>
          <w:sz w:val="32"/>
          <w:szCs w:val="32"/>
        </w:rPr>
        <w:t>47.09</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color w:val="auto"/>
          <w:sz w:val="32"/>
          <w:szCs w:val="32"/>
        </w:rPr>
        <w:t>4.62</w:t>
      </w:r>
      <w:r>
        <w:rPr>
          <w:rFonts w:hint="default" w:ascii="Times New Roman" w:hAnsi="Times New Roman" w:eastAsia="方正仿宋_GBK" w:cs="Times New Roman"/>
          <w:color w:val="auto"/>
          <w:kern w:val="2"/>
          <w:sz w:val="32"/>
          <w:szCs w:val="32"/>
          <w:highlight w:val="none"/>
          <w:lang w:val="en-US" w:eastAsia="zh-CN" w:bidi="ar-SA"/>
        </w:rPr>
        <w:t>%。与2023年度相比，政府性基金预算财政拨款支出增加11.02万元，下降18.96%。主要变动原因是基金预算项目减少。</w:t>
      </w:r>
    </w:p>
    <w:p w14:paraId="5EC64902">
      <w:pPr>
        <w:keepNext w:val="0"/>
        <w:keepLines w:val="0"/>
        <w:pageBreakBefore w:val="0"/>
        <w:numPr>
          <w:ilvl w:val="0"/>
          <w:numId w:val="0"/>
        </w:numPr>
        <w:kinsoku/>
        <w:wordWrap/>
        <w:overflowPunct/>
        <w:topLinePunct w:val="0"/>
        <w:bidi w:val="0"/>
        <w:spacing w:line="560" w:lineRule="exact"/>
        <w:ind w:left="0" w:leftChars="0" w:firstLine="640" w:firstLineChars="200"/>
        <w:textAlignment w:val="auto"/>
        <w:outlineLvl w:val="1"/>
        <w:rPr>
          <w:rStyle w:val="33"/>
          <w:rFonts w:hint="default" w:ascii="Times New Roman" w:hAnsi="Times New Roman" w:eastAsia="黑体" w:cs="Times New Roman"/>
          <w:b w:val="0"/>
          <w:color w:val="auto"/>
          <w:highlight w:val="none"/>
        </w:rPr>
      </w:pPr>
      <w:bookmarkStart w:id="40" w:name="_Toc15377219"/>
      <w:bookmarkStart w:id="41" w:name="_Toc15396611"/>
      <w:r>
        <w:rPr>
          <w:rStyle w:val="33"/>
          <w:rFonts w:hint="default" w:ascii="Times New Roman" w:hAnsi="Times New Roman" w:eastAsia="黑体" w:cs="Times New Roman"/>
          <w:b w:val="0"/>
          <w:color w:val="auto"/>
          <w:highlight w:val="none"/>
          <w:lang w:eastAsia="zh-CN"/>
        </w:rPr>
        <w:t>九、</w:t>
      </w:r>
      <w:r>
        <w:rPr>
          <w:rStyle w:val="33"/>
          <w:rFonts w:hint="default" w:ascii="Times New Roman" w:hAnsi="Times New Roman" w:eastAsia="黑体" w:cs="Times New Roman"/>
          <w:b w:val="0"/>
          <w:color w:val="auto"/>
          <w:highlight w:val="none"/>
        </w:rPr>
        <w:t>国有资本经营预算支出决算情况说明</w:t>
      </w:r>
      <w:bookmarkEnd w:id="40"/>
      <w:bookmarkEnd w:id="41"/>
    </w:p>
    <w:p w14:paraId="22D99629">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%。与2023年度相比持平。</w:t>
      </w:r>
    </w:p>
    <w:p w14:paraId="46E38206">
      <w:pPr>
        <w:keepNext w:val="0"/>
        <w:keepLines w:val="0"/>
        <w:pageBreakBefore w:val="0"/>
        <w:numPr>
          <w:ilvl w:val="0"/>
          <w:numId w:val="0"/>
        </w:numPr>
        <w:kinsoku/>
        <w:wordWrap/>
        <w:overflowPunct/>
        <w:topLinePunct w:val="0"/>
        <w:bidi w:val="0"/>
        <w:spacing w:line="560" w:lineRule="exact"/>
        <w:ind w:left="0" w:leftChars="0" w:firstLine="640" w:firstLineChars="200"/>
        <w:textAlignment w:val="auto"/>
        <w:outlineLvl w:val="1"/>
        <w:rPr>
          <w:rStyle w:val="33"/>
          <w:rFonts w:hint="default" w:ascii="Times New Roman" w:hAnsi="Times New Roman" w:eastAsia="黑体" w:cs="Times New Roman"/>
          <w:b w:val="0"/>
          <w:color w:val="auto"/>
          <w:highlight w:val="none"/>
        </w:rPr>
      </w:pPr>
      <w:bookmarkStart w:id="42" w:name="_Toc15377221"/>
      <w:bookmarkStart w:id="43" w:name="_Toc15396612"/>
      <w:r>
        <w:rPr>
          <w:rStyle w:val="33"/>
          <w:rFonts w:hint="default" w:ascii="Times New Roman" w:hAnsi="Times New Roman" w:eastAsia="黑体" w:cs="Times New Roman"/>
          <w:b w:val="0"/>
          <w:color w:val="auto"/>
          <w:highlight w:val="none"/>
          <w:lang w:eastAsia="zh-CN"/>
        </w:rPr>
        <w:t>十、</w:t>
      </w:r>
      <w:r>
        <w:rPr>
          <w:rStyle w:val="33"/>
          <w:rFonts w:hint="default" w:ascii="Times New Roman" w:hAnsi="Times New Roman" w:eastAsia="黑体" w:cs="Times New Roman"/>
          <w:b w:val="0"/>
          <w:color w:val="auto"/>
          <w:highlight w:val="none"/>
        </w:rPr>
        <w:t>其他重要事项的情况说明</w:t>
      </w:r>
      <w:bookmarkEnd w:id="42"/>
      <w:bookmarkEnd w:id="43"/>
    </w:p>
    <w:p w14:paraId="44D51DAB">
      <w:pPr>
        <w:keepNext w:val="0"/>
        <w:keepLines w:val="0"/>
        <w:pageBreakBefore w:val="0"/>
        <w:kinsoku/>
        <w:wordWrap/>
        <w:overflowPunct/>
        <w:topLinePunct w:val="0"/>
        <w:bidi w:val="0"/>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4" w:name="_Toc15377222"/>
      <w:r>
        <w:rPr>
          <w:rFonts w:hint="default" w:ascii="Times New Roman" w:hAnsi="Times New Roman" w:eastAsia="楷体_GB2312" w:cs="Times New Roman"/>
          <w:b/>
          <w:color w:val="auto"/>
          <w:sz w:val="32"/>
          <w:szCs w:val="32"/>
          <w:highlight w:val="none"/>
        </w:rPr>
        <w:t>（一）机关运行经费支出情况</w:t>
      </w:r>
      <w:bookmarkEnd w:id="44"/>
    </w:p>
    <w:p w14:paraId="014BBE8C">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攀枝花市西区河门口街道办事处</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sz w:val="32"/>
          <w:szCs w:val="32"/>
        </w:rPr>
        <w:t>28.53</w:t>
      </w:r>
      <w:r>
        <w:rPr>
          <w:rFonts w:hint="default" w:ascii="Times New Roman" w:hAnsi="Times New Roman" w:eastAsia="方正仿宋_GBK" w:cs="Times New Roman"/>
          <w:color w:val="auto"/>
          <w:kern w:val="2"/>
          <w:sz w:val="32"/>
          <w:szCs w:val="32"/>
          <w:highlight w:val="none"/>
          <w:lang w:val="en-US" w:eastAsia="zh-CN" w:bidi="ar-SA"/>
        </w:rPr>
        <w:t>万元，比2023年度增加4.11万元，增长16.83%。主要原因是防汛、森林防火等应急工作支出增加。</w:t>
      </w:r>
    </w:p>
    <w:p w14:paraId="1AD95398">
      <w:pPr>
        <w:keepNext w:val="0"/>
        <w:keepLines w:val="0"/>
        <w:pageBreakBefore w:val="0"/>
        <w:kinsoku/>
        <w:wordWrap/>
        <w:overflowPunct/>
        <w:topLinePunct w:val="0"/>
        <w:bidi w:val="0"/>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5" w:name="_Toc15377223"/>
      <w:r>
        <w:rPr>
          <w:rFonts w:hint="default" w:ascii="Times New Roman" w:hAnsi="Times New Roman" w:eastAsia="楷体_GB2312" w:cs="Times New Roman"/>
          <w:b/>
          <w:color w:val="auto"/>
          <w:sz w:val="32"/>
          <w:szCs w:val="32"/>
          <w:highlight w:val="none"/>
        </w:rPr>
        <w:t>（二）政府采购支出情况</w:t>
      </w:r>
      <w:bookmarkEnd w:id="45"/>
    </w:p>
    <w:p w14:paraId="3258C19B">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攀枝花市西区河门口街道办事处</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49.87</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49.87</w:t>
      </w:r>
      <w:r>
        <w:rPr>
          <w:rFonts w:hint="default" w:ascii="Times New Roman" w:hAnsi="Times New Roman" w:eastAsia="方正仿宋_GBK" w:cs="Times New Roman"/>
          <w:color w:val="auto"/>
          <w:kern w:val="2"/>
          <w:sz w:val="32"/>
          <w:szCs w:val="32"/>
          <w:highlight w:val="none"/>
          <w:lang w:val="en-US" w:eastAsia="zh-CN" w:bidi="ar-SA"/>
        </w:rPr>
        <w:t>万元。主要用于三线红色文化公共服务设施社会化运营管理费用。授予中小企业合同金额</w:t>
      </w:r>
      <w:r>
        <w:rPr>
          <w:rFonts w:hint="default" w:ascii="Times New Roman" w:hAnsi="Times New Roman" w:eastAsia="方正仿宋_GBK" w:cs="Times New Roman"/>
          <w:sz w:val="32"/>
          <w:szCs w:val="32"/>
        </w:rPr>
        <w:t>49.87</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49.87</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w:t>
      </w:r>
    </w:p>
    <w:p w14:paraId="3975BB92">
      <w:pPr>
        <w:keepNext w:val="0"/>
        <w:keepLines w:val="0"/>
        <w:pageBreakBefore w:val="0"/>
        <w:kinsoku/>
        <w:wordWrap/>
        <w:overflowPunct/>
        <w:topLinePunct w:val="0"/>
        <w:bidi w:val="0"/>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6" w:name="_Toc15377224"/>
      <w:r>
        <w:rPr>
          <w:rFonts w:hint="default" w:ascii="Times New Roman" w:hAnsi="Times New Roman" w:eastAsia="楷体_GB2312" w:cs="Times New Roman"/>
          <w:b/>
          <w:color w:val="auto"/>
          <w:sz w:val="32"/>
          <w:szCs w:val="32"/>
          <w:highlight w:val="none"/>
        </w:rPr>
        <w:t>（三）国有资产占有使用情况</w:t>
      </w:r>
      <w:bookmarkEnd w:id="46"/>
    </w:p>
    <w:p w14:paraId="0630D3DE">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攀枝花市西区河门口街道办事处</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kern w:val="2"/>
          <w:sz w:val="32"/>
          <w:szCs w:val="32"/>
          <w:highlight w:val="none"/>
          <w:lang w:val="en-US" w:eastAsia="zh-CN" w:bidi="ar-SA"/>
        </w:rPr>
        <w:t>辆，其他用车主要是用于保障公务活动以及</w:t>
      </w:r>
      <w:r>
        <w:rPr>
          <w:rFonts w:hint="default" w:ascii="Times New Roman" w:hAnsi="Times New Roman" w:eastAsia="方正仿宋_GBK" w:cs="Times New Roman"/>
          <w:sz w:val="32"/>
          <w:szCs w:val="32"/>
        </w:rPr>
        <w:t>防汛、防火</w:t>
      </w:r>
      <w:r>
        <w:rPr>
          <w:rFonts w:hint="default" w:ascii="Times New Roman" w:hAnsi="Times New Roman" w:eastAsia="方正仿宋_GBK" w:cs="Times New Roman"/>
          <w:sz w:val="32"/>
          <w:szCs w:val="32"/>
          <w:lang w:val="en-US" w:eastAsia="zh-CN"/>
        </w:rPr>
        <w:t>等工作</w:t>
      </w:r>
      <w:r>
        <w:rPr>
          <w:rFonts w:hint="default" w:ascii="Times New Roman" w:hAnsi="Times New Roman" w:eastAsia="方正仿宋_GBK" w:cs="Times New Roman"/>
          <w:color w:val="auto"/>
          <w:kern w:val="2"/>
          <w:sz w:val="32"/>
          <w:szCs w:val="32"/>
          <w:highlight w:val="none"/>
          <w:lang w:val="en-US" w:eastAsia="zh-CN" w:bidi="ar-SA"/>
        </w:rPr>
        <w:t>。单价100万元（含）以上设备（不含车辆）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14:paraId="02BE68D9">
      <w:pPr>
        <w:keepNext w:val="0"/>
        <w:keepLines w:val="0"/>
        <w:pageBreakBefore w:val="0"/>
        <w:kinsoku/>
        <w:wordWrap/>
        <w:overflowPunct/>
        <w:topLinePunct w:val="0"/>
        <w:bidi w:val="0"/>
        <w:spacing w:line="560" w:lineRule="exact"/>
        <w:ind w:left="0" w:leftChars="0"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27B979AD">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河门口街道办事处在2024年度预算编制阶段，对55个项目开展了预算事前绩效评估，对公共文化服务体系建设专项预算项目、博物馆免开资金等55个项目编制了绩效目标，预算执行过程中，选取55个项目开展绩效监控。</w:t>
      </w:r>
    </w:p>
    <w:p w14:paraId="79BA5BE1">
      <w:pPr>
        <w:pStyle w:val="17"/>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组织对2024年度一般公共预算、政府性基金预算、国有资本经营预算、社会保险基金预算以及资本资产、债券资金等全面开展绩效自评，形成河门口街道整体绩效自评报告，河门口街道</w:t>
      </w:r>
      <w:r>
        <w:rPr>
          <w:rFonts w:hint="eastAsia" w:eastAsia="方正仿宋_GBK" w:cs="Times New Roman"/>
          <w:color w:val="auto"/>
          <w:kern w:val="2"/>
          <w:sz w:val="32"/>
          <w:szCs w:val="32"/>
          <w:highlight w:val="none"/>
          <w:lang w:val="en-US" w:eastAsia="zh-CN" w:bidi="ar-SA"/>
        </w:rPr>
        <w:t>单位</w:t>
      </w:r>
      <w:r>
        <w:rPr>
          <w:rFonts w:hint="default" w:ascii="Times New Roman" w:hAnsi="Times New Roman" w:eastAsia="方正仿宋_GBK" w:cs="Times New Roman"/>
          <w:color w:val="auto"/>
          <w:kern w:val="2"/>
          <w:sz w:val="32"/>
          <w:szCs w:val="32"/>
          <w:highlight w:val="none"/>
          <w:lang w:val="en-US" w:eastAsia="zh-CN" w:bidi="ar-SA"/>
        </w:rPr>
        <w:t>整体绩效自评得分为97分。绩效自评综述，河门口街道</w:t>
      </w:r>
      <w:r>
        <w:rPr>
          <w:rFonts w:hint="default" w:ascii="Times New Roman" w:hAnsi="Times New Roman" w:eastAsia="方正仿宋_GBK" w:cs="Times New Roman"/>
          <w:sz w:val="32"/>
          <w:szCs w:val="32"/>
          <w:highlight w:val="none"/>
          <w:lang w:val="en-US" w:eastAsia="zh-CN"/>
        </w:rPr>
        <w:t>通过绩效评价树立了绩效理念，加强了对资金的监管，全年项目支出达到预期绩效目标，提高了财政资金的使用效率。</w:t>
      </w:r>
    </w:p>
    <w:p w14:paraId="29535A26">
      <w:pPr>
        <w:pStyle w:val="17"/>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《2024年攀枝花市西区河门口街道办事处</w:t>
      </w:r>
      <w:r>
        <w:rPr>
          <w:rFonts w:hint="eastAsia"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lang w:val="en-US" w:eastAsia="zh-CN"/>
        </w:rPr>
        <w:t>整体绩效自评报告》详见附件</w:t>
      </w:r>
    </w:p>
    <w:p w14:paraId="195C3440">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p>
    <w:p w14:paraId="5D2F3415">
      <w:pPr>
        <w:keepNext w:val="0"/>
        <w:keepLines w:val="0"/>
        <w:pageBreakBefore w:val="0"/>
        <w:numPr>
          <w:ilvl w:val="0"/>
          <w:numId w:val="0"/>
        </w:numPr>
        <w:kinsoku/>
        <w:wordWrap/>
        <w:overflowPunct/>
        <w:topLinePunct w:val="0"/>
        <w:bidi w:val="0"/>
        <w:spacing w:line="560" w:lineRule="exact"/>
        <w:ind w:firstLine="2200" w:firstLineChars="500"/>
        <w:jc w:val="both"/>
        <w:textAlignment w:val="auto"/>
        <w:outlineLvl w:val="0"/>
        <w:rPr>
          <w:rFonts w:hint="default" w:ascii="Times New Roman" w:hAnsi="Times New Roman" w:eastAsia="黑体" w:cs="Times New Roman"/>
          <w:color w:val="auto"/>
          <w:sz w:val="44"/>
          <w:szCs w:val="44"/>
          <w:highlight w:val="none"/>
        </w:rPr>
      </w:pPr>
      <w:bookmarkStart w:id="47" w:name="_Toc15377225"/>
      <w:bookmarkStart w:id="48" w:name="_Toc15396613"/>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47"/>
      <w:bookmarkEnd w:id="48"/>
    </w:p>
    <w:p w14:paraId="0FF32A50">
      <w:pPr>
        <w:keepNext w:val="0"/>
        <w:keepLines w:val="0"/>
        <w:pageBreakBefore w:val="0"/>
        <w:kinsoku/>
        <w:wordWrap/>
        <w:overflowPunct/>
        <w:topLinePunct w:val="0"/>
        <w:bidi w:val="0"/>
        <w:spacing w:line="560" w:lineRule="exact"/>
        <w:ind w:left="0" w:leftChars="0" w:firstLine="883" w:firstLineChars="200"/>
        <w:jc w:val="left"/>
        <w:textAlignment w:val="auto"/>
        <w:rPr>
          <w:rFonts w:hint="default" w:ascii="Times New Roman" w:hAnsi="Times New Roman" w:cs="Times New Roman"/>
          <w:b/>
          <w:color w:val="auto"/>
          <w:sz w:val="44"/>
          <w:szCs w:val="44"/>
          <w:highlight w:val="none"/>
        </w:rPr>
      </w:pPr>
    </w:p>
    <w:p w14:paraId="0BBE9A7F">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w:t>
      </w:r>
      <w:r>
        <w:rPr>
          <w:rFonts w:hint="eastAsia" w:eastAsia="方正仿宋_GBK" w:cs="Times New Roman"/>
          <w:color w:val="auto"/>
          <w:kern w:val="2"/>
          <w:sz w:val="32"/>
          <w:szCs w:val="32"/>
          <w:highlight w:val="none"/>
          <w:lang w:val="en-US" w:eastAsia="zh-CN" w:bidi="ar-SA"/>
        </w:rPr>
        <w:t>单位</w:t>
      </w:r>
      <w:r>
        <w:rPr>
          <w:rFonts w:hint="default" w:ascii="Times New Roman" w:hAnsi="Times New Roman" w:eastAsia="方正仿宋_GBK" w:cs="Times New Roman"/>
          <w:color w:val="auto"/>
          <w:kern w:val="2"/>
          <w:sz w:val="32"/>
          <w:szCs w:val="32"/>
          <w:highlight w:val="none"/>
          <w:lang w:val="en-US" w:eastAsia="zh-CN" w:bidi="ar-SA"/>
        </w:rPr>
        <w:t>取得的财政预算资金。</w:t>
      </w:r>
    </w:p>
    <w:p w14:paraId="7D3CCC81">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.其他收入：指单位取得的除上述收入以外的各项收入。</w:t>
      </w:r>
    </w:p>
    <w:p w14:paraId="0CDF6C1B">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3.使用非财政拨款结余（含专用结余）：指事业单位使用以前年度积累的非财政拨款结余弥补当年收支差额的金额。</w:t>
      </w:r>
    </w:p>
    <w:p w14:paraId="78FA3E51">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4.年初结转和结余：指以前年度尚未完成、结转到本年按有关规定继续使用的资金。</w:t>
      </w:r>
    </w:p>
    <w:p w14:paraId="0908733B">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5.结余分配：指事业单位按照会计制度规定缴纳的所得税、提取的专用结余以及转入非财政拨款结余的金额等。</w:t>
      </w:r>
    </w:p>
    <w:p w14:paraId="141ABF65">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6.年末结转和结余：指单位按有关规定结转到下年或以后年度继续使用的资金。</w:t>
      </w:r>
    </w:p>
    <w:p w14:paraId="7E484EA0">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.一般公共服务（类）政府办公厅（室）及相关机构事务（款）行政运行（项）：指行政单位的基本支出。</w:t>
      </w:r>
    </w:p>
    <w:p w14:paraId="23C06DBB">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.一般公共服务（类）政府办公厅（室）及相关机构事务（款）一般行政管理事务（项）：指行政单位未单独设置项级科目的其他项目支出。</w:t>
      </w:r>
    </w:p>
    <w:p w14:paraId="7A70A157">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.一般公共服务（类）统计信息事务（款）专项统计业务（项）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指行政单位开展专项统计工作的支出。</w:t>
      </w:r>
    </w:p>
    <w:p w14:paraId="2EBE7A5D">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.一般公共服务（类）政府办公厅（室）及相关机构事务（款）事业运行（项）：指事业单位的基本支出。</w:t>
      </w:r>
    </w:p>
    <w:p w14:paraId="7D40BBD3">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.一般公共服务（类）政府办公厅（室）及相关机构事务（款）其他政府办公厅（室）及相关机构事务支出（项）：其他政府办公厅及相关机构事务支出。</w:t>
      </w:r>
    </w:p>
    <w:p w14:paraId="004F7943">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.文化体育与传媒支出（类）其他文化体育与传媒支出（款）宣传文化发展专项支出（项）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指按照国家有关政策支持宣传文化单位发展的专项支出。</w:t>
      </w:r>
    </w:p>
    <w:p w14:paraId="2CC98BE6">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.社会保障和就业支出（类）行政事业单位离退休（款）机关事业单位基本养老保险缴费支出（项）：指机关事业单位实施养老保险制度由单位缴纳的基本养老保险费支出。</w:t>
      </w:r>
    </w:p>
    <w:p w14:paraId="43A0B4D6">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.社会保障和就业支出（类）其他社会保障和就业支出（款）其他社会保障和就业支出（项）：指其他用于社会保障和就业方面的支出。</w:t>
      </w:r>
    </w:p>
    <w:p w14:paraId="368486DC">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.医疗卫生与计划生育（类）行政事业单位医疗（款）行政单位医疗（项）：指财政</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集中安排的行政单位基本医疗保险缴费经费。</w:t>
      </w:r>
    </w:p>
    <w:p w14:paraId="32537BCA">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.医疗卫生与计划生育（类）行政事业单位医疗（款）事业单位医疗（项）：指财政</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集中安排的事业单位基本医疗保险缴费经费。</w:t>
      </w:r>
    </w:p>
    <w:p w14:paraId="5EE99DA6">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.医疗卫生与计划生育（类）行政事业单位医疗（款）公务员医疗补助（项）：指财政</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集中安排的公务员医疗补助经费。</w:t>
      </w:r>
    </w:p>
    <w:p w14:paraId="3D09D08E">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.城乡社区支出（类）城乡社区管理事务（款）其他城乡社区管理事务（项）：指其他用于城乡社区管理事务方面的支出。</w:t>
      </w:r>
    </w:p>
    <w:p w14:paraId="4CFD7B2C">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.城乡社区支出（类）城乡社区公共设施（款）其他城乡社区公共设施支出（项）：指其他用于城乡社区公共设施方面的支出。</w:t>
      </w:r>
    </w:p>
    <w:p w14:paraId="53E7112E">
      <w:pPr>
        <w:pStyle w:val="3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.住房保障支出（类）住房改革支出（款）住房公积金（项）：指反映行政事业单位按人事、财政</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规定的基本工资和津贴补贴以及规定比例为职工缴纳的住房公积金。</w:t>
      </w:r>
    </w:p>
    <w:p w14:paraId="278FEEAF">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21.基本支出：指为保障机构正常运转、完成日常工作任务而发生的人员支出和公用支出。</w:t>
      </w:r>
    </w:p>
    <w:p w14:paraId="1CB4FF66">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22.项目支出：指在基本支出之外为完成特定行政任务和事业发展目标所发生的支出。</w:t>
      </w:r>
    </w:p>
    <w:p w14:paraId="3AFD1736">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23.经营支出：指事业单位在专业业务活动及其辅助活动之外开展非独立核算经营活动发生的支出。</w:t>
      </w:r>
    </w:p>
    <w:p w14:paraId="694060B8">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24.“三公”经费：指</w:t>
      </w:r>
      <w:r>
        <w:rPr>
          <w:rFonts w:hint="eastAsia" w:eastAsia="方正仿宋_GBK" w:cs="Times New Roman"/>
          <w:color w:val="auto"/>
          <w:kern w:val="2"/>
          <w:sz w:val="32"/>
          <w:szCs w:val="32"/>
          <w:highlight w:val="none"/>
          <w:lang w:val="en-US" w:eastAsia="zh-CN" w:bidi="ar-SA"/>
        </w:rPr>
        <w:t>单位</w:t>
      </w:r>
      <w:r>
        <w:rPr>
          <w:rFonts w:hint="default" w:ascii="Times New Roman" w:hAnsi="Times New Roman" w:eastAsia="方正仿宋_GBK" w:cs="Times New Roman"/>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CBF4E13">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890782">
      <w:pPr>
        <w:keepNext w:val="0"/>
        <w:keepLines w:val="0"/>
        <w:pageBreakBefore w:val="0"/>
        <w:kinsoku/>
        <w:wordWrap/>
        <w:overflowPunct/>
        <w:topLinePunct w:val="0"/>
        <w:bidi w:val="0"/>
        <w:spacing w:line="560" w:lineRule="exact"/>
        <w:ind w:left="0" w:leftChars="0" w:firstLine="640" w:firstLineChars="200"/>
        <w:jc w:val="center"/>
        <w:textAlignment w:val="auto"/>
        <w:rPr>
          <w:rFonts w:hint="default" w:ascii="Times New Roman" w:hAnsi="Times New Roman" w:eastAsia="黑体" w:cs="Times New Roman"/>
          <w:color w:val="auto"/>
          <w:sz w:val="44"/>
          <w:szCs w:val="44"/>
          <w:highlight w:val="none"/>
        </w:rPr>
      </w:pPr>
      <w:bookmarkStart w:id="49" w:name="_Toc15377226"/>
      <w:r>
        <w:rPr>
          <w:rFonts w:hint="default" w:ascii="Times New Roman" w:hAnsi="Times New Roman" w:eastAsia="方正仿宋_GBK" w:cs="Times New Roman"/>
          <w:color w:val="auto"/>
          <w:kern w:val="2"/>
          <w:sz w:val="32"/>
          <w:szCs w:val="32"/>
          <w:highlight w:val="none"/>
          <w:lang w:val="en-US" w:eastAsia="zh-CN" w:bidi="ar-SA"/>
        </w:rPr>
        <w:br w:type="page"/>
      </w:r>
      <w:bookmarkStart w:id="50" w:name="_Toc15396614"/>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50"/>
    </w:p>
    <w:p w14:paraId="14B38C4F">
      <w:pPr>
        <w:pStyle w:val="6"/>
        <w:keepNext w:val="0"/>
        <w:keepLines w:val="0"/>
        <w:pageBreakBefore w:val="0"/>
        <w:kinsoku/>
        <w:wordWrap/>
        <w:overflowPunct/>
        <w:autoSpaceDE/>
        <w:autoSpaceDN/>
        <w:bidi w:val="0"/>
        <w:spacing w:line="560" w:lineRule="exact"/>
        <w:rPr>
          <w:rFonts w:hint="default" w:ascii="Times New Roman" w:hAnsi="Times New Roman" w:eastAsia="黑体" w:cs="Times New Roman"/>
          <w:color w:val="auto"/>
          <w:kern w:val="0"/>
          <w:sz w:val="32"/>
          <w:szCs w:val="32"/>
          <w:highlight w:val="none"/>
          <w:shd w:val="clear" w:color="auto" w:fill="FFFFFF"/>
          <w:lang w:val="en-US" w:eastAsia="zh-CN"/>
        </w:rPr>
      </w:pPr>
      <w:r>
        <w:rPr>
          <w:rFonts w:hint="eastAsia" w:ascii="Times New Roman" w:hAnsi="Times New Roman" w:eastAsia="黑体" w:cs="Times New Roman"/>
          <w:color w:val="auto"/>
          <w:kern w:val="0"/>
          <w:sz w:val="32"/>
          <w:szCs w:val="32"/>
          <w:highlight w:val="none"/>
          <w:shd w:val="clear" w:color="auto" w:fill="FFFFFF"/>
          <w:lang w:val="en-US" w:eastAsia="zh-CN"/>
        </w:rPr>
        <w:t>附件1</w:t>
      </w:r>
    </w:p>
    <w:p w14:paraId="3F3006E6">
      <w:pPr>
        <w:pStyle w:val="38"/>
        <w:keepNext w:val="0"/>
        <w:keepLines w:val="0"/>
        <w:pageBreakBefore w:val="0"/>
        <w:widowControl w:val="0"/>
        <w:kinsoku/>
        <w:wordWrap/>
        <w:overflowPunct/>
        <w:topLinePunct w:val="0"/>
        <w:autoSpaceDE/>
        <w:autoSpaceDN/>
        <w:bidi w:val="0"/>
        <w:spacing w:line="560" w:lineRule="exact"/>
        <w:ind w:left="0" w:leftChars="0" w:firstLine="883" w:firstLineChars="200"/>
        <w:jc w:val="center"/>
        <w:textAlignment w:val="auto"/>
        <w:rPr>
          <w:rFonts w:hint="default" w:ascii="Times New Roman" w:hAnsi="Times New Roman" w:eastAsia="方正小标宋简体" w:cs="Times New Roman"/>
          <w:b/>
          <w:bCs/>
          <w:color w:val="auto"/>
          <w:kern w:val="2"/>
          <w:sz w:val="44"/>
          <w:szCs w:val="44"/>
          <w:highlight w:val="none"/>
          <w:lang w:val="en-US" w:eastAsia="zh-CN"/>
        </w:rPr>
      </w:pPr>
      <w:r>
        <w:rPr>
          <w:rFonts w:hint="default" w:ascii="Times New Roman" w:hAnsi="Times New Roman" w:eastAsia="方正小标宋简体" w:cs="Times New Roman"/>
          <w:b/>
          <w:bCs/>
          <w:color w:val="auto"/>
          <w:kern w:val="2"/>
          <w:sz w:val="44"/>
          <w:szCs w:val="44"/>
          <w:highlight w:val="none"/>
          <w:lang w:val="en-US" w:eastAsia="zh-CN"/>
        </w:rPr>
        <w:t>攀枝花市西区河门口街道办事处</w:t>
      </w:r>
    </w:p>
    <w:p w14:paraId="2D0D48BF">
      <w:pPr>
        <w:pStyle w:val="38"/>
        <w:keepNext w:val="0"/>
        <w:keepLines w:val="0"/>
        <w:pageBreakBefore w:val="0"/>
        <w:widowControl w:val="0"/>
        <w:kinsoku/>
        <w:wordWrap/>
        <w:overflowPunct/>
        <w:topLinePunct w:val="0"/>
        <w:autoSpaceDE/>
        <w:autoSpaceDN/>
        <w:bidi w:val="0"/>
        <w:spacing w:line="560" w:lineRule="exact"/>
        <w:ind w:left="0" w:leftChars="0" w:firstLine="883" w:firstLineChars="200"/>
        <w:jc w:val="center"/>
        <w:textAlignment w:val="auto"/>
        <w:rPr>
          <w:rFonts w:hint="default" w:ascii="Times New Roman" w:hAnsi="Times New Roman" w:eastAsia="方正小标宋简体" w:cs="Times New Roman"/>
          <w:b/>
          <w:bCs/>
          <w:color w:val="auto"/>
          <w:kern w:val="2"/>
          <w:sz w:val="44"/>
          <w:szCs w:val="44"/>
          <w:highlight w:val="none"/>
          <w:lang w:val="en-US" w:eastAsia="zh-CN"/>
        </w:rPr>
      </w:pPr>
      <w:r>
        <w:rPr>
          <w:rFonts w:hint="eastAsia" w:ascii="Times New Roman" w:hAnsi="Times New Roman" w:eastAsia="方正小标宋简体" w:cs="Times New Roman"/>
          <w:b/>
          <w:bCs/>
          <w:color w:val="auto"/>
          <w:kern w:val="2"/>
          <w:sz w:val="44"/>
          <w:szCs w:val="44"/>
          <w:highlight w:val="none"/>
          <w:lang w:val="en-US" w:eastAsia="zh-CN"/>
        </w:rPr>
        <w:t>单位</w:t>
      </w:r>
      <w:r>
        <w:rPr>
          <w:rFonts w:hint="default" w:ascii="Times New Roman" w:hAnsi="Times New Roman" w:eastAsia="方正小标宋简体" w:cs="Times New Roman"/>
          <w:b/>
          <w:bCs/>
          <w:color w:val="auto"/>
          <w:kern w:val="2"/>
          <w:sz w:val="44"/>
          <w:szCs w:val="44"/>
          <w:highlight w:val="none"/>
          <w:lang w:val="en-US" w:eastAsia="zh-CN"/>
        </w:rPr>
        <w:t>整体绩效自评报告</w:t>
      </w:r>
    </w:p>
    <w:p w14:paraId="7F90F67E">
      <w:pPr>
        <w:pStyle w:val="38"/>
        <w:keepNext w:val="0"/>
        <w:keepLines w:val="0"/>
        <w:pageBreakBefore w:val="0"/>
        <w:widowControl w:val="0"/>
        <w:kinsoku/>
        <w:wordWrap/>
        <w:overflowPunct/>
        <w:topLinePunct w:val="0"/>
        <w:autoSpaceDE/>
        <w:autoSpaceDN/>
        <w:bidi w:val="0"/>
        <w:spacing w:line="560" w:lineRule="exact"/>
        <w:ind w:left="0" w:leftChars="0" w:firstLine="883" w:firstLineChars="200"/>
        <w:jc w:val="center"/>
        <w:textAlignment w:val="auto"/>
        <w:rPr>
          <w:rFonts w:hint="default" w:ascii="Times New Roman" w:hAnsi="Times New Roman" w:eastAsia="方正小标宋简体" w:cs="Times New Roman"/>
          <w:b/>
          <w:bCs/>
          <w:color w:val="auto"/>
          <w:kern w:val="2"/>
          <w:sz w:val="44"/>
          <w:szCs w:val="44"/>
          <w:highlight w:val="none"/>
          <w:lang w:val="en-US" w:eastAsia="zh-CN"/>
        </w:rPr>
      </w:pPr>
    </w:p>
    <w:p w14:paraId="361EA25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单位</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5888868E">
      <w:pPr>
        <w:keepNext w:val="0"/>
        <w:keepLines w:val="0"/>
        <w:pageBreakBefore w:val="0"/>
        <w:kinsoku/>
        <w:wordWrap/>
        <w:overflowPunct/>
        <w:topLinePunct w:val="0"/>
        <w:bidi w:val="0"/>
        <w:spacing w:line="560" w:lineRule="exact"/>
        <w:ind w:left="0" w:leftChars="0" w:firstLine="643" w:firstLineChars="20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（一）机构组成。</w:t>
      </w:r>
    </w:p>
    <w:p w14:paraId="3AA60E1F">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预算单位数1个，无二级预算单位。    </w:t>
      </w:r>
    </w:p>
    <w:p w14:paraId="4B44E8F4">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街道设置有5个综合办事机构，2个公益一类事业单位。事业单位分别为：便民服务中心（挂退役军人服务站牌子）、综合事务中心（挂新时代文明实践所牌子）。</w:t>
      </w:r>
    </w:p>
    <w:p w14:paraId="4153367C">
      <w:pPr>
        <w:keepNext w:val="0"/>
        <w:keepLines w:val="0"/>
        <w:pageBreakBefore w:val="0"/>
        <w:numPr>
          <w:ilvl w:val="0"/>
          <w:numId w:val="2"/>
        </w:numPr>
        <w:kinsoku/>
        <w:wordWrap/>
        <w:overflowPunct/>
        <w:topLinePunct w:val="0"/>
        <w:bidi w:val="0"/>
        <w:spacing w:line="560" w:lineRule="exact"/>
        <w:ind w:left="0" w:leftChars="0" w:firstLine="643" w:firstLineChars="20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机构职能。</w:t>
      </w:r>
    </w:p>
    <w:p w14:paraId="6B964131">
      <w:pPr>
        <w:keepNext w:val="0"/>
        <w:keepLines w:val="0"/>
        <w:pageBreakBefore w:val="0"/>
        <w:numPr>
          <w:ilvl w:val="0"/>
          <w:numId w:val="0"/>
        </w:numPr>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（1）贯彻执行党和国家的各项法律法规、规章以及上级政府的决议、决定，依法管理基层公共事务。</w:t>
      </w:r>
    </w:p>
    <w:p w14:paraId="35374D09">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w:t>
      </w:r>
    </w:p>
    <w:p w14:paraId="1EF2C382">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负责辖区环境保护、秩序治理、物业管理、城乡环境综合治理等城市管理工作，开展爱国卫生、环境卫生监督检查，营造良好发展环境。整合基层一线执法力量，充分发挥属地管理优势，强化对辖区范围内执法力量的统一指挥和统筹协调。</w:t>
      </w:r>
    </w:p>
    <w:p w14:paraId="2F829AC9">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（4）负责辖区平安建设、社会治安综合治理工作，处理群众来信来访，反映社情民意，建立社会矛盾纠纷排查调处机制，维护社会和谐稳定。</w:t>
      </w:r>
    </w:p>
    <w:p w14:paraId="41A61175">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（5）负责辖区公共安全，协助做好安全生产、防汛、防火、防灾减灾等应急管理工作，构建公共安全防控体系，建立应对突发紧急事件的处理预案。</w:t>
      </w:r>
    </w:p>
    <w:p w14:paraId="689E4AFE">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（6）领导社区居委会建设，指导社区居委会工作，培育、发展社区社会组织，组织社区居民参与社区建设和管理，健全完善自治、法治、德治相结合的城市基层治理体系。</w:t>
      </w:r>
    </w:p>
    <w:p w14:paraId="6C442D32">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（7）牵头协调职能</w:t>
      </w:r>
      <w:r>
        <w:rPr>
          <w:rFonts w:hint="eastAsia" w:eastAsia="方正仿宋_GBK" w:cs="Times New Roman"/>
          <w:sz w:val="32"/>
          <w:szCs w:val="32"/>
          <w:lang w:val="en-US" w:eastAsia="zh-CN"/>
        </w:rPr>
        <w:t>单位</w:t>
      </w:r>
      <w:r>
        <w:rPr>
          <w:rFonts w:hint="default" w:ascii="Times New Roman" w:hAnsi="Times New Roman" w:eastAsia="方正仿宋_GBK" w:cs="Times New Roman"/>
          <w:sz w:val="32"/>
          <w:szCs w:val="32"/>
          <w:lang w:val="en-US" w:eastAsia="zh-CN"/>
        </w:rPr>
        <w:t>及其派出机构，共同处理地区性、综合性社会管理事务。动员辖区各类单位、社会组织和社区居民等社会力量参与基层社会治理，引导辖区单位履行社会责任，统筹辖区资源，实现共建共治共享。</w:t>
      </w:r>
    </w:p>
    <w:p w14:paraId="2FC2E386">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（8）完成区委、区政府交办的其他工作。</w:t>
      </w:r>
    </w:p>
    <w:p w14:paraId="428D48B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14:paraId="60DBCF3E">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上年行政人员</w:t>
      </w:r>
      <w:bookmarkStart w:id="51" w:name="OLE_LINK1"/>
      <w:r>
        <w:rPr>
          <w:rFonts w:hint="default" w:ascii="Times New Roman" w:hAnsi="Times New Roman" w:eastAsia="方正仿宋_GBK" w:cs="Times New Roman"/>
          <w:sz w:val="32"/>
          <w:szCs w:val="32"/>
          <w:lang w:val="en-US" w:eastAsia="zh-CN"/>
        </w:rPr>
        <w:t>年末在职人数</w:t>
      </w:r>
      <w:bookmarkEnd w:id="51"/>
      <w:r>
        <w:rPr>
          <w:rFonts w:hint="default" w:ascii="Times New Roman" w:hAnsi="Times New Roman" w:eastAsia="方正仿宋_GBK" w:cs="Times New Roman"/>
          <w:sz w:val="32"/>
          <w:szCs w:val="32"/>
          <w:lang w:val="en-US" w:eastAsia="zh-CN"/>
        </w:rPr>
        <w:t>11人（含编内聘用人员4人），本年行政人员年末在职人数11人（含编内聘用人员4人），与上年持平；上年事业人员年末在职人数11人，本年事业人员年末在职人数11人，与上年持平；上年退休人员年末人数4人，本年退休人员年末人数4人，较上年无增减变化；本年末遗属人员0人，上年末遗属人员0人。</w:t>
      </w:r>
    </w:p>
    <w:p w14:paraId="1B9F82D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7C840ED4">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p>
    <w:p w14:paraId="4E835A42">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1.上年结转结余</w:t>
      </w:r>
      <w:r>
        <w:rPr>
          <w:rFonts w:hint="default" w:ascii="Times New Roman" w:hAnsi="Times New Roman" w:eastAsia="方正仿宋_GBK" w:cs="Times New Roman"/>
          <w:sz w:val="32"/>
          <w:szCs w:val="32"/>
          <w:lang w:val="en-US" w:eastAsia="zh-CN"/>
        </w:rPr>
        <w:t>221.79</w:t>
      </w:r>
      <w:r>
        <w:rPr>
          <w:rFonts w:hint="default" w:ascii="Times New Roman" w:hAnsi="Times New Roman" w:eastAsia="方正仿宋_GBK" w:cs="Times New Roman"/>
          <w:sz w:val="32"/>
          <w:szCs w:val="32"/>
          <w:lang w:val="zh-CN" w:eastAsia="zh-CN"/>
        </w:rPr>
        <w:t>万元。</w:t>
      </w:r>
    </w:p>
    <w:p w14:paraId="5230FEC5">
      <w:pPr>
        <w:keepNext w:val="0"/>
        <w:keepLines w:val="0"/>
        <w:pageBreakBefore w:val="0"/>
        <w:kinsoku/>
        <w:wordWrap/>
        <w:overflowPunct/>
        <w:topLinePunct w:val="0"/>
        <w:bidi w:val="0"/>
        <w:spacing w:line="560" w:lineRule="exact"/>
        <w:ind w:left="0" w:leftChars="0"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2.本年收入合计</w:t>
      </w:r>
      <w:r>
        <w:rPr>
          <w:rFonts w:hint="default" w:ascii="Times New Roman" w:hAnsi="Times New Roman" w:eastAsia="方正仿宋_GBK" w:cs="Times New Roman"/>
          <w:sz w:val="32"/>
          <w:szCs w:val="32"/>
          <w:lang w:val="en-US" w:eastAsia="zh-CN"/>
        </w:rPr>
        <w:t>821.58</w:t>
      </w:r>
      <w:r>
        <w:rPr>
          <w:rFonts w:hint="default" w:ascii="Times New Roman" w:hAnsi="Times New Roman" w:eastAsia="方正仿宋_GBK" w:cs="Times New Roman"/>
          <w:sz w:val="32"/>
          <w:szCs w:val="32"/>
          <w:lang w:val="zh-CN" w:eastAsia="zh-CN"/>
        </w:rPr>
        <w:t>万元。其中，一般公共预算财政拨款收入</w:t>
      </w:r>
      <w:r>
        <w:rPr>
          <w:rFonts w:hint="default" w:ascii="Times New Roman" w:hAnsi="Times New Roman" w:eastAsia="方正仿宋_GBK" w:cs="Times New Roman"/>
          <w:sz w:val="32"/>
          <w:szCs w:val="32"/>
          <w:lang w:val="en-US" w:eastAsia="zh-CN"/>
        </w:rPr>
        <w:t>774.49</w:t>
      </w:r>
      <w:r>
        <w:rPr>
          <w:rFonts w:hint="default" w:ascii="Times New Roman" w:hAnsi="Times New Roman" w:eastAsia="方正仿宋_GBK" w:cs="Times New Roman"/>
          <w:sz w:val="32"/>
          <w:szCs w:val="32"/>
          <w:lang w:val="zh-CN" w:eastAsia="zh-CN"/>
        </w:rPr>
        <w:t>万元，占总收入的</w:t>
      </w:r>
      <w:r>
        <w:rPr>
          <w:rFonts w:hint="default" w:ascii="Times New Roman" w:hAnsi="Times New Roman" w:eastAsia="方正仿宋_GBK" w:cs="Times New Roman"/>
          <w:sz w:val="32"/>
          <w:szCs w:val="32"/>
          <w:lang w:val="en-US" w:eastAsia="zh-CN"/>
        </w:rPr>
        <w:t>94.27</w:t>
      </w:r>
      <w:r>
        <w:rPr>
          <w:rFonts w:hint="default" w:ascii="Times New Roman" w:hAnsi="Times New Roman" w:eastAsia="方正仿宋_GBK" w:cs="Times New Roman"/>
          <w:sz w:val="32"/>
          <w:szCs w:val="32"/>
          <w:lang w:val="zh-CN" w:eastAsia="zh-CN"/>
        </w:rPr>
        <w:t>%，政府性基金预算财政拨款收入</w:t>
      </w:r>
      <w:r>
        <w:rPr>
          <w:rFonts w:hint="default" w:ascii="Times New Roman" w:hAnsi="Times New Roman" w:eastAsia="方正仿宋_GBK" w:cs="Times New Roman"/>
          <w:sz w:val="32"/>
          <w:szCs w:val="32"/>
          <w:lang w:val="en-US" w:eastAsia="zh-CN"/>
        </w:rPr>
        <w:t>47.09</w:t>
      </w:r>
      <w:r>
        <w:rPr>
          <w:rFonts w:hint="default" w:ascii="Times New Roman" w:hAnsi="Times New Roman" w:eastAsia="方正仿宋_GBK" w:cs="Times New Roman"/>
          <w:sz w:val="32"/>
          <w:szCs w:val="32"/>
          <w:lang w:val="zh-CN" w:eastAsia="zh-CN"/>
        </w:rPr>
        <w:t>万元，占总收入的</w:t>
      </w:r>
      <w:r>
        <w:rPr>
          <w:rFonts w:hint="default" w:ascii="Times New Roman" w:hAnsi="Times New Roman" w:eastAsia="方正仿宋_GBK" w:cs="Times New Roman"/>
          <w:sz w:val="32"/>
          <w:szCs w:val="32"/>
          <w:lang w:val="en-US" w:eastAsia="zh-CN"/>
        </w:rPr>
        <w:t>5.73</w:t>
      </w:r>
      <w:r>
        <w:rPr>
          <w:rFonts w:hint="default" w:ascii="Times New Roman" w:hAnsi="Times New Roman" w:eastAsia="方正仿宋_GBK" w:cs="Times New Roman"/>
          <w:sz w:val="32"/>
          <w:szCs w:val="32"/>
          <w:lang w:val="zh-CN" w:eastAsia="zh-CN"/>
        </w:rPr>
        <w:t>%。</w:t>
      </w:r>
    </w:p>
    <w:p w14:paraId="796E2D90">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p>
    <w:p w14:paraId="45442C78">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zh-CN" w:eastAsia="zh-CN"/>
        </w:rPr>
        <w:t>本年支出合计</w:t>
      </w:r>
      <w:r>
        <w:rPr>
          <w:rFonts w:hint="default" w:ascii="Times New Roman" w:hAnsi="Times New Roman" w:eastAsia="方正仿宋_GBK" w:cs="Times New Roman"/>
          <w:sz w:val="32"/>
          <w:szCs w:val="32"/>
          <w:highlight w:val="none"/>
          <w:lang w:val="en-US" w:eastAsia="zh-CN"/>
        </w:rPr>
        <w:t>1018.75</w:t>
      </w:r>
      <w:r>
        <w:rPr>
          <w:rFonts w:hint="default" w:ascii="Times New Roman" w:hAnsi="Times New Roman" w:eastAsia="方正仿宋_GBK" w:cs="Times New Roman"/>
          <w:sz w:val="32"/>
          <w:szCs w:val="32"/>
          <w:highlight w:val="none"/>
          <w:lang w:val="zh-CN" w:eastAsia="zh-CN"/>
        </w:rPr>
        <w:t>万元。</w:t>
      </w:r>
      <w:r>
        <w:rPr>
          <w:rFonts w:hint="default" w:ascii="Times New Roman" w:hAnsi="Times New Roman" w:eastAsia="方正仿宋_GBK" w:cs="Times New Roman"/>
          <w:sz w:val="32"/>
          <w:szCs w:val="32"/>
          <w:highlight w:val="none"/>
          <w:lang w:val="en-US" w:eastAsia="zh-CN"/>
        </w:rPr>
        <w:t>其中，</w:t>
      </w:r>
      <w:r>
        <w:rPr>
          <w:rFonts w:hint="default" w:ascii="Times New Roman" w:hAnsi="Times New Roman" w:eastAsia="方正仿宋_GBK" w:cs="Times New Roman"/>
          <w:sz w:val="32"/>
          <w:szCs w:val="32"/>
          <w:highlight w:val="none"/>
          <w:lang w:val="zh-CN" w:eastAsia="zh-CN"/>
        </w:rPr>
        <w:t>其中一般公共服务支出</w:t>
      </w:r>
      <w:r>
        <w:rPr>
          <w:rFonts w:hint="default" w:ascii="Times New Roman" w:hAnsi="Times New Roman" w:eastAsia="方正仿宋_GBK" w:cs="Times New Roman"/>
          <w:sz w:val="32"/>
          <w:szCs w:val="32"/>
          <w:highlight w:val="none"/>
          <w:lang w:val="en-US" w:eastAsia="zh-CN"/>
        </w:rPr>
        <w:t>679.78</w:t>
      </w:r>
      <w:r>
        <w:rPr>
          <w:rFonts w:hint="default" w:ascii="Times New Roman" w:hAnsi="Times New Roman" w:eastAsia="方正仿宋_GBK" w:cs="Times New Roman"/>
          <w:sz w:val="32"/>
          <w:szCs w:val="32"/>
          <w:highlight w:val="none"/>
          <w:lang w:val="zh-CN" w:eastAsia="zh-CN"/>
        </w:rPr>
        <w:t>万元，占比</w:t>
      </w:r>
      <w:r>
        <w:rPr>
          <w:rFonts w:hint="default" w:ascii="Times New Roman" w:hAnsi="Times New Roman" w:eastAsia="方正仿宋_GBK" w:cs="Times New Roman"/>
          <w:sz w:val="32"/>
          <w:szCs w:val="32"/>
          <w:highlight w:val="none"/>
          <w:lang w:val="en-US" w:eastAsia="zh-CN"/>
        </w:rPr>
        <w:t>66.73</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文化旅游体育与传媒支出76.9</w:t>
      </w:r>
      <w:r>
        <w:rPr>
          <w:rFonts w:hint="default" w:ascii="Times New Roman" w:hAnsi="Times New Roman" w:eastAsia="方正仿宋_GBK" w:cs="Times New Roman"/>
          <w:sz w:val="32"/>
          <w:szCs w:val="32"/>
          <w:highlight w:val="none"/>
          <w:lang w:val="zh-CN" w:eastAsia="zh-CN"/>
        </w:rPr>
        <w:t>万元，占比</w:t>
      </w:r>
      <w:r>
        <w:rPr>
          <w:rFonts w:hint="default" w:ascii="Times New Roman" w:hAnsi="Times New Roman" w:eastAsia="方正仿宋_GBK" w:cs="Times New Roman"/>
          <w:sz w:val="32"/>
          <w:szCs w:val="32"/>
          <w:highlight w:val="none"/>
          <w:lang w:val="en-US" w:eastAsia="zh-CN"/>
        </w:rPr>
        <w:t>7.55</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zh-CN" w:eastAsia="zh-CN"/>
        </w:rPr>
        <w:t>社会保障和就业支出</w:t>
      </w:r>
      <w:r>
        <w:rPr>
          <w:rFonts w:hint="default" w:ascii="Times New Roman" w:hAnsi="Times New Roman" w:eastAsia="方正仿宋_GBK" w:cs="Times New Roman"/>
          <w:sz w:val="32"/>
          <w:szCs w:val="32"/>
          <w:highlight w:val="none"/>
          <w:lang w:val="en-US" w:eastAsia="zh-CN"/>
        </w:rPr>
        <w:t>80.31</w:t>
      </w:r>
      <w:r>
        <w:rPr>
          <w:rFonts w:hint="default" w:ascii="Times New Roman" w:hAnsi="Times New Roman" w:eastAsia="方正仿宋_GBK" w:cs="Times New Roman"/>
          <w:sz w:val="32"/>
          <w:szCs w:val="32"/>
          <w:highlight w:val="none"/>
          <w:lang w:val="zh-CN" w:eastAsia="zh-CN"/>
        </w:rPr>
        <w:t>万元，占比</w:t>
      </w:r>
      <w:r>
        <w:rPr>
          <w:rFonts w:hint="default" w:ascii="Times New Roman" w:hAnsi="Times New Roman" w:eastAsia="方正仿宋_GBK" w:cs="Times New Roman"/>
          <w:sz w:val="32"/>
          <w:szCs w:val="32"/>
          <w:highlight w:val="none"/>
          <w:lang w:val="en-US" w:eastAsia="zh-CN"/>
        </w:rPr>
        <w:t>7.88</w:t>
      </w:r>
      <w:r>
        <w:rPr>
          <w:rFonts w:hint="default" w:ascii="Times New Roman" w:hAnsi="Times New Roman" w:eastAsia="方正仿宋_GBK" w:cs="Times New Roman"/>
          <w:sz w:val="32"/>
          <w:szCs w:val="32"/>
          <w:highlight w:val="none"/>
          <w:lang w:val="zh-CN" w:eastAsia="zh-CN"/>
        </w:rPr>
        <w:t>%，卫生健康支出</w:t>
      </w:r>
      <w:r>
        <w:rPr>
          <w:rFonts w:hint="default" w:ascii="Times New Roman" w:hAnsi="Times New Roman" w:eastAsia="方正仿宋_GBK" w:cs="Times New Roman"/>
          <w:sz w:val="32"/>
          <w:szCs w:val="32"/>
          <w:highlight w:val="none"/>
          <w:lang w:val="en-US" w:eastAsia="zh-CN"/>
        </w:rPr>
        <w:t>31.21</w:t>
      </w:r>
      <w:r>
        <w:rPr>
          <w:rFonts w:hint="default" w:ascii="Times New Roman" w:hAnsi="Times New Roman" w:eastAsia="方正仿宋_GBK" w:cs="Times New Roman"/>
          <w:sz w:val="32"/>
          <w:szCs w:val="32"/>
          <w:highlight w:val="none"/>
          <w:lang w:val="zh-CN" w:eastAsia="zh-CN"/>
        </w:rPr>
        <w:t>万元，占比</w:t>
      </w:r>
      <w:r>
        <w:rPr>
          <w:rFonts w:hint="default" w:ascii="Times New Roman" w:hAnsi="Times New Roman" w:eastAsia="方正仿宋_GBK" w:cs="Times New Roman"/>
          <w:sz w:val="32"/>
          <w:szCs w:val="32"/>
          <w:highlight w:val="none"/>
          <w:lang w:val="en-US" w:eastAsia="zh-CN"/>
        </w:rPr>
        <w:t>3.06</w:t>
      </w:r>
      <w:r>
        <w:rPr>
          <w:rFonts w:hint="default" w:ascii="Times New Roman" w:hAnsi="Times New Roman" w:eastAsia="方正仿宋_GBK" w:cs="Times New Roman"/>
          <w:sz w:val="32"/>
          <w:szCs w:val="32"/>
          <w:highlight w:val="none"/>
          <w:lang w:val="zh-CN" w:eastAsia="zh-CN"/>
        </w:rPr>
        <w:t>%；城乡社区支出</w:t>
      </w:r>
      <w:r>
        <w:rPr>
          <w:rFonts w:hint="default" w:ascii="Times New Roman" w:hAnsi="Times New Roman" w:eastAsia="方正仿宋_GBK" w:cs="Times New Roman"/>
          <w:sz w:val="32"/>
          <w:szCs w:val="32"/>
          <w:highlight w:val="none"/>
          <w:lang w:val="en-US" w:eastAsia="zh-CN"/>
        </w:rPr>
        <w:t>64.86</w:t>
      </w:r>
      <w:r>
        <w:rPr>
          <w:rFonts w:hint="default" w:ascii="Times New Roman" w:hAnsi="Times New Roman" w:eastAsia="方正仿宋_GBK" w:cs="Times New Roman"/>
          <w:sz w:val="32"/>
          <w:szCs w:val="32"/>
          <w:highlight w:val="none"/>
          <w:lang w:val="zh-CN" w:eastAsia="zh-CN"/>
        </w:rPr>
        <w:t>万元，占比</w:t>
      </w:r>
      <w:r>
        <w:rPr>
          <w:rFonts w:hint="default" w:ascii="Times New Roman" w:hAnsi="Times New Roman" w:eastAsia="方正仿宋_GBK" w:cs="Times New Roman"/>
          <w:sz w:val="32"/>
          <w:szCs w:val="32"/>
          <w:highlight w:val="none"/>
          <w:lang w:val="en-US" w:eastAsia="zh-CN"/>
        </w:rPr>
        <w:t>6.37</w:t>
      </w:r>
      <w:r>
        <w:rPr>
          <w:rFonts w:hint="default" w:ascii="Times New Roman" w:hAnsi="Times New Roman" w:eastAsia="方正仿宋_GBK" w:cs="Times New Roman"/>
          <w:sz w:val="32"/>
          <w:szCs w:val="32"/>
          <w:highlight w:val="none"/>
          <w:lang w:val="zh-CN" w:eastAsia="zh-CN"/>
        </w:rPr>
        <w:t>%；农林水支出</w:t>
      </w:r>
      <w:r>
        <w:rPr>
          <w:rFonts w:hint="default" w:ascii="Times New Roman" w:hAnsi="Times New Roman" w:eastAsia="方正仿宋_GBK" w:cs="Times New Roman"/>
          <w:sz w:val="32"/>
          <w:szCs w:val="32"/>
          <w:highlight w:val="none"/>
          <w:lang w:val="en-US" w:eastAsia="zh-CN"/>
        </w:rPr>
        <w:t>11.89</w:t>
      </w:r>
      <w:r>
        <w:rPr>
          <w:rFonts w:hint="default" w:ascii="Times New Roman" w:hAnsi="Times New Roman" w:eastAsia="方正仿宋_GBK" w:cs="Times New Roman"/>
          <w:sz w:val="32"/>
          <w:szCs w:val="32"/>
          <w:highlight w:val="none"/>
          <w:lang w:val="zh-CN" w:eastAsia="zh-CN"/>
        </w:rPr>
        <w:t>万元，占比</w:t>
      </w:r>
      <w:r>
        <w:rPr>
          <w:rFonts w:hint="default" w:ascii="Times New Roman" w:hAnsi="Times New Roman" w:eastAsia="方正仿宋_GBK" w:cs="Times New Roman"/>
          <w:sz w:val="32"/>
          <w:szCs w:val="32"/>
          <w:highlight w:val="none"/>
          <w:lang w:val="en-US" w:eastAsia="zh-CN"/>
        </w:rPr>
        <w:t>1.17</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资源勘探工业信息等支出1万元，</w:t>
      </w:r>
      <w:r>
        <w:rPr>
          <w:rFonts w:hint="default" w:ascii="Times New Roman" w:hAnsi="Times New Roman" w:eastAsia="方正仿宋_GBK" w:cs="Times New Roman"/>
          <w:sz w:val="32"/>
          <w:szCs w:val="32"/>
          <w:highlight w:val="none"/>
          <w:lang w:val="zh-CN" w:eastAsia="zh-CN"/>
        </w:rPr>
        <w:t>占比</w:t>
      </w:r>
      <w:r>
        <w:rPr>
          <w:rFonts w:hint="default" w:ascii="Times New Roman" w:hAnsi="Times New Roman" w:eastAsia="方正仿宋_GBK" w:cs="Times New Roman"/>
          <w:sz w:val="32"/>
          <w:szCs w:val="32"/>
          <w:highlight w:val="none"/>
          <w:lang w:val="en-US" w:eastAsia="zh-CN"/>
        </w:rPr>
        <w:t>0.1</w:t>
      </w:r>
      <w:r>
        <w:rPr>
          <w:rFonts w:hint="default" w:ascii="Times New Roman" w:hAnsi="Times New Roman" w:eastAsia="方正仿宋_GBK" w:cs="Times New Roman"/>
          <w:sz w:val="32"/>
          <w:szCs w:val="32"/>
          <w:highlight w:val="none"/>
          <w:lang w:val="zh-CN" w:eastAsia="zh-CN"/>
        </w:rPr>
        <w:t>%；住房保障支出</w:t>
      </w:r>
      <w:r>
        <w:rPr>
          <w:rFonts w:hint="default" w:ascii="Times New Roman" w:hAnsi="Times New Roman" w:eastAsia="方正仿宋_GBK" w:cs="Times New Roman"/>
          <w:sz w:val="32"/>
          <w:szCs w:val="32"/>
          <w:highlight w:val="none"/>
          <w:lang w:val="en-US" w:eastAsia="zh-CN"/>
        </w:rPr>
        <w:t>28</w:t>
      </w:r>
      <w:r>
        <w:rPr>
          <w:rFonts w:hint="default" w:ascii="Times New Roman" w:hAnsi="Times New Roman" w:eastAsia="方正仿宋_GBK" w:cs="Times New Roman"/>
          <w:sz w:val="32"/>
          <w:szCs w:val="32"/>
          <w:highlight w:val="none"/>
          <w:lang w:val="zh-CN" w:eastAsia="zh-CN"/>
        </w:rPr>
        <w:t>万元，占比</w:t>
      </w:r>
      <w:r>
        <w:rPr>
          <w:rFonts w:hint="default" w:ascii="Times New Roman" w:hAnsi="Times New Roman" w:eastAsia="方正仿宋_GBK" w:cs="Times New Roman"/>
          <w:sz w:val="32"/>
          <w:szCs w:val="32"/>
          <w:highlight w:val="none"/>
          <w:lang w:val="en-US" w:eastAsia="zh-CN"/>
        </w:rPr>
        <w:t>2.75</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灾害防治及应急管理支出20万元，占比1.96%；其他支出24.8万元，占比2.43</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w:t>
      </w:r>
    </w:p>
    <w:p w14:paraId="7D325B3A">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14:paraId="1D0BFF5C">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本年财政拨款结转24.62万元（2012年以前，区财政按分税制核定街道收入，财政拨款是以调拨方式拨付到街道财政所，2012年财政拨款结转结余24.62万元。2013年起，街道财政拨款实行国库集中支付后，无经费对以前年度结转结余项目进行支付），因此，本年财政拨款结转</w:t>
      </w:r>
      <w:r>
        <w:rPr>
          <w:rFonts w:hint="default" w:ascii="Times New Roman" w:hAnsi="Times New Roman" w:eastAsia="方正仿宋_GBK" w:cs="Times New Roman"/>
          <w:sz w:val="32"/>
          <w:szCs w:val="32"/>
          <w:highlight w:val="none"/>
          <w:lang w:val="en-US" w:eastAsia="zh-CN"/>
        </w:rPr>
        <w:t>为</w:t>
      </w:r>
      <w:r>
        <w:rPr>
          <w:rFonts w:hint="default" w:ascii="Times New Roman" w:hAnsi="Times New Roman" w:eastAsia="方正仿宋_GBK" w:cs="Times New Roman"/>
          <w:sz w:val="32"/>
          <w:szCs w:val="32"/>
          <w:highlight w:val="none"/>
          <w:lang w:val="zh-CN" w:eastAsia="zh-CN"/>
        </w:rPr>
        <w:t>2012年前的财政拨款结转结余数。</w:t>
      </w:r>
    </w:p>
    <w:p w14:paraId="20C1897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5E10B5DB">
      <w:pPr>
        <w:keepNext w:val="0"/>
        <w:keepLines w:val="0"/>
        <w:pageBreakBefore w:val="0"/>
        <w:kinsoku/>
        <w:wordWrap/>
        <w:overflowPunct/>
        <w:topLinePunct w:val="0"/>
        <w:bidi w:val="0"/>
        <w:spacing w:line="560" w:lineRule="exact"/>
        <w:ind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预算总体绩效分析。</w:t>
      </w:r>
    </w:p>
    <w:p w14:paraId="1B400611">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eastAsia" w:ascii="方正仿宋_GBK" w:hAnsi="方正仿宋_GBK" w:eastAsia="方正仿宋_GBK" w:cs="方正仿宋_GBK"/>
          <w:b/>
          <w:bCs/>
          <w:sz w:val="32"/>
          <w:szCs w:val="32"/>
          <w:highlight w:val="none"/>
          <w:lang w:val="zh-CN" w:eastAsia="zh-CN"/>
        </w:rPr>
      </w:pPr>
      <w:r>
        <w:rPr>
          <w:rFonts w:hint="eastAsia" w:ascii="方正仿宋_GBK" w:hAnsi="方正仿宋_GBK" w:eastAsia="方正仿宋_GBK" w:cs="方正仿宋_GBK"/>
          <w:b/>
          <w:bCs/>
          <w:sz w:val="32"/>
          <w:szCs w:val="32"/>
          <w:highlight w:val="none"/>
          <w:lang w:val="en-US" w:eastAsia="zh-CN"/>
        </w:rPr>
        <w:t>1.</w:t>
      </w:r>
      <w:r>
        <w:rPr>
          <w:rFonts w:hint="eastAsia" w:ascii="方正仿宋_GBK" w:hAnsi="方正仿宋_GBK" w:eastAsia="方正仿宋_GBK" w:cs="方正仿宋_GBK"/>
          <w:b/>
          <w:bCs/>
          <w:sz w:val="32"/>
          <w:szCs w:val="32"/>
          <w:highlight w:val="none"/>
          <w:lang w:val="zh-CN" w:eastAsia="zh-CN"/>
        </w:rPr>
        <w:t>履职效能。</w:t>
      </w:r>
    </w:p>
    <w:p w14:paraId="5EFF9F09">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2024年街道预算执行，做到支出有预算，预算有绩效，绩效有监督，工作取得了较好的成效，效能得到了提高，取得的主要事业成效有：</w:t>
      </w:r>
    </w:p>
    <w:p w14:paraId="59AB7C54">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七条“共富微路径”经验做法入选2024年度全省改革典型案例，受到省委主要领导赞赏，评为全市“十佳微改革案例”。通过深化地企、地校、地地合作，不断推动资源整合，促进产业发展、形象提升、低收入群体增收。今年以来，慈善共富基金筹集款物26万余元，共富薪空间培训成熟手工艺人5名，共富大联盟成功解决占道经营、自建房危房住户搬迁安置等问题30余个。</w:t>
      </w:r>
    </w:p>
    <w:p w14:paraId="222E6635">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三线五老’雷永工作室”荣获2024年度中国关工委“五老”工作室优秀案例。通过强化组织保障、筑牢阵地建设、创新服务模式等措施，积极推进“‘三线五老’雷永工作室”建设，激发内生活力、助力基层发展。</w:t>
      </w:r>
    </w:p>
    <w:p w14:paraId="0172F3E5">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河门口街道退役军人服务站荣获省级“百家优秀退役军人服务站”荣誉称号。河门口街道退役军人服务站以服务退役军人为中心，充分发挥退役军人作用，落实各项优抚政策，促进辖区军民关系和谐融洽。2024年作为西区唯一站点，荣获全省“百家优秀退役军人服务站”称号。</w:t>
      </w:r>
    </w:p>
    <w:p w14:paraId="0C374AB3">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（4）攀枝花市共同富裕试验区研究中心首个理论实践基地在河门口社区党群服务中心挂牌。通过地校合作模式，整合攀枝花学院智库资源，深化调查研究，推动共同富裕理论创新和实践探索。</w:t>
      </w:r>
    </w:p>
    <w:p w14:paraId="2FAE881A">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（5）顺利通过四川省安全社区复评。积极落实属地安全管理责任，统筹发展和安全，全力抓好“大安全”格局，不断完善安全社区建设体系。</w:t>
      </w:r>
    </w:p>
    <w:p w14:paraId="2EB7AC21">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（6）创新传承方式，彰显三线文化。组织开展河门口“10个50”系列活动，总结回顾河门口街道50年来的发展历程，谱写共同富裕进程中“好耍还是河门口”时代新篇章。联合区委宣传部等单位，开展“三线时光 共富西区”全国诗词大赛。共富大舞台评选出街道、社区LOGO，创作《好耍还是河门口》、喊麦共富《我姓河》等短视频。举行“河我在一起”集章打卡系列活动，通过升级打卡形式、研发文创产品，持续宣传河门口形象，再现“好耍还是河门口”风尚。</w:t>
      </w:r>
    </w:p>
    <w:p w14:paraId="6C0F88BD">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统筹资源力量，壮大社区经济。依托“时光·里”三线特色文旅研学基地建设、苏铁自然遗产保护展示区建设等项目建设，不断拓展充实社区公司物业、超市、餐饮和文旅研学四大板块业务内容，在参与基层治理、拓展文旅融合、促进就业增收等方面起到良好促进作用。开发家门口就业岗位80余个，促进就业群众每年人均增收2.6万元。</w:t>
      </w:r>
    </w:p>
    <w:p w14:paraId="14688B2C">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eastAsia" w:ascii="方正仿宋_GBK" w:hAnsi="方正仿宋_GBK" w:eastAsia="方正仿宋_GBK" w:cs="方正仿宋_GBK"/>
          <w:b/>
          <w:bCs/>
          <w:sz w:val="32"/>
          <w:szCs w:val="32"/>
          <w:highlight w:val="none"/>
          <w:lang w:val="zh-CN" w:eastAsia="zh-CN"/>
        </w:rPr>
        <w:t>2.预算管理。</w:t>
      </w:r>
    </w:p>
    <w:p w14:paraId="5BD8875E">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为了进一步加强本</w:t>
      </w:r>
      <w:r>
        <w:rPr>
          <w:rFonts w:hint="default" w:ascii="Times New Roman" w:hAnsi="Times New Roman" w:eastAsia="方正仿宋_GBK" w:cs="Times New Roman"/>
          <w:sz w:val="32"/>
          <w:szCs w:val="32"/>
          <w:highlight w:val="none"/>
          <w:lang w:val="en-US" w:eastAsia="zh-CN"/>
        </w:rPr>
        <w:t>街道</w:t>
      </w:r>
      <w:r>
        <w:rPr>
          <w:rFonts w:hint="default" w:ascii="Times New Roman" w:hAnsi="Times New Roman" w:eastAsia="方正仿宋_GBK" w:cs="Times New Roman"/>
          <w:sz w:val="32"/>
          <w:szCs w:val="32"/>
          <w:highlight w:val="none"/>
          <w:lang w:val="zh-CN" w:eastAsia="zh-CN"/>
        </w:rPr>
        <w:t>财务管理，健全财务制度，杜绝违纪违法行为，从源头上预防腐败，促进党风廉政建设有序健康发展，完善内部监控制度，防止财产、资金流失、浪费，结合街道实际制定</w:t>
      </w:r>
      <w:r>
        <w:rPr>
          <w:rFonts w:hint="default" w:ascii="Times New Roman" w:hAnsi="Times New Roman" w:eastAsia="方正仿宋_GBK" w:cs="Times New Roman"/>
          <w:sz w:val="32"/>
          <w:szCs w:val="32"/>
          <w:highlight w:val="none"/>
          <w:lang w:val="en-US" w:eastAsia="zh-CN"/>
        </w:rPr>
        <w:t>有《预算管理内部控制》手册</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街道</w:t>
      </w:r>
      <w:r>
        <w:rPr>
          <w:rFonts w:hint="default" w:ascii="Times New Roman" w:hAnsi="Times New Roman" w:eastAsia="方正仿宋_GBK" w:cs="Times New Roman"/>
          <w:sz w:val="32"/>
          <w:szCs w:val="32"/>
          <w:highlight w:val="none"/>
          <w:lang w:val="zh-CN" w:eastAsia="zh-CN"/>
        </w:rPr>
        <w:t>按照规定编制年度</w:t>
      </w:r>
      <w:r>
        <w:rPr>
          <w:rFonts w:hint="eastAsia" w:eastAsia="方正仿宋_GBK" w:cs="Times New Roman"/>
          <w:sz w:val="32"/>
          <w:szCs w:val="32"/>
          <w:highlight w:val="none"/>
          <w:lang w:val="zh-CN" w:eastAsia="zh-CN"/>
        </w:rPr>
        <w:t>单位</w:t>
      </w:r>
      <w:r>
        <w:rPr>
          <w:rFonts w:hint="default" w:ascii="Times New Roman" w:hAnsi="Times New Roman" w:eastAsia="方正仿宋_GBK" w:cs="Times New Roman"/>
          <w:sz w:val="32"/>
          <w:szCs w:val="32"/>
          <w:highlight w:val="none"/>
          <w:lang w:val="zh-CN" w:eastAsia="zh-CN"/>
        </w:rPr>
        <w:t>预算，</w:t>
      </w:r>
      <w:r>
        <w:rPr>
          <w:rFonts w:hint="default" w:ascii="Times New Roman" w:hAnsi="Times New Roman" w:eastAsia="方正仿宋_GBK" w:cs="Times New Roman"/>
          <w:sz w:val="32"/>
          <w:szCs w:val="32"/>
          <w:highlight w:val="none"/>
          <w:lang w:val="en-US" w:eastAsia="zh-CN"/>
        </w:rPr>
        <w:t>并</w:t>
      </w:r>
      <w:r>
        <w:rPr>
          <w:rFonts w:hint="default" w:ascii="Times New Roman" w:hAnsi="Times New Roman" w:eastAsia="方正仿宋_GBK" w:cs="Times New Roman"/>
          <w:sz w:val="32"/>
          <w:szCs w:val="32"/>
          <w:highlight w:val="none"/>
          <w:lang w:val="zh-CN" w:eastAsia="zh-CN"/>
        </w:rPr>
        <w:t>报</w:t>
      </w:r>
      <w:r>
        <w:rPr>
          <w:rFonts w:hint="default" w:ascii="Times New Roman" w:hAnsi="Times New Roman" w:eastAsia="方正仿宋_GBK" w:cs="Times New Roman"/>
          <w:sz w:val="32"/>
          <w:szCs w:val="32"/>
          <w:highlight w:val="none"/>
          <w:lang w:val="en-US" w:eastAsia="zh-CN"/>
        </w:rPr>
        <w:t>区</w:t>
      </w:r>
      <w:r>
        <w:rPr>
          <w:rFonts w:hint="default" w:ascii="Times New Roman" w:hAnsi="Times New Roman" w:eastAsia="方正仿宋_GBK" w:cs="Times New Roman"/>
          <w:sz w:val="32"/>
          <w:szCs w:val="32"/>
          <w:highlight w:val="none"/>
          <w:lang w:val="zh-CN" w:eastAsia="zh-CN"/>
        </w:rPr>
        <w:t>财政审核、报批。人员支出预算的编制严格按照</w:t>
      </w:r>
      <w:r>
        <w:rPr>
          <w:rFonts w:hint="default"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lang w:val="zh-CN" w:eastAsia="zh-CN"/>
        </w:rPr>
        <w:t>政策规定和标准，逐项核定，没有政策规定的项目，</w:t>
      </w:r>
      <w:r>
        <w:rPr>
          <w:rFonts w:hint="default" w:ascii="Times New Roman" w:hAnsi="Times New Roman" w:eastAsia="方正仿宋_GBK" w:cs="Times New Roman"/>
          <w:sz w:val="32"/>
          <w:szCs w:val="32"/>
          <w:highlight w:val="none"/>
          <w:lang w:val="en-US" w:eastAsia="zh-CN"/>
        </w:rPr>
        <w:t>未</w:t>
      </w:r>
      <w:r>
        <w:rPr>
          <w:rFonts w:hint="default" w:ascii="Times New Roman" w:hAnsi="Times New Roman" w:eastAsia="方正仿宋_GBK" w:cs="Times New Roman"/>
          <w:sz w:val="32"/>
          <w:szCs w:val="32"/>
          <w:highlight w:val="none"/>
          <w:lang w:val="zh-CN" w:eastAsia="zh-CN"/>
        </w:rPr>
        <w:t>列入预算。日常公用支出预算、</w:t>
      </w:r>
      <w:r>
        <w:rPr>
          <w:rFonts w:hint="default" w:ascii="Times New Roman" w:hAnsi="Times New Roman" w:eastAsia="方正仿宋_GBK" w:cs="Times New Roman"/>
          <w:sz w:val="32"/>
          <w:szCs w:val="32"/>
          <w:highlight w:val="none"/>
          <w:lang w:val="en-US" w:eastAsia="zh-CN"/>
        </w:rPr>
        <w:t>项目预算</w:t>
      </w:r>
      <w:r>
        <w:rPr>
          <w:rFonts w:hint="default" w:ascii="Times New Roman" w:hAnsi="Times New Roman" w:eastAsia="方正仿宋_GBK" w:cs="Times New Roman"/>
          <w:sz w:val="32"/>
          <w:szCs w:val="32"/>
          <w:highlight w:val="none"/>
          <w:lang w:val="zh-CN" w:eastAsia="zh-CN"/>
        </w:rPr>
        <w:t>的编制本着节约、从简的原则编报。深入分析了预算设定的合规性、合理性和完整性，提升了财政资金使用效率。</w:t>
      </w:r>
    </w:p>
    <w:p w14:paraId="3CCCCE84">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eastAsia" w:ascii="方正仿宋_GBK" w:hAnsi="方正仿宋_GBK" w:eastAsia="方正仿宋_GBK" w:cs="方正仿宋_GBK"/>
          <w:b/>
          <w:bCs/>
          <w:i w:val="0"/>
          <w:iCs w:val="0"/>
          <w:sz w:val="32"/>
          <w:szCs w:val="32"/>
          <w:highlight w:val="none"/>
          <w:lang w:val="zh-CN" w:eastAsia="zh-CN"/>
        </w:rPr>
      </w:pPr>
      <w:r>
        <w:rPr>
          <w:rFonts w:hint="eastAsia" w:ascii="方正仿宋_GBK" w:hAnsi="方正仿宋_GBK" w:eastAsia="方正仿宋_GBK" w:cs="方正仿宋_GBK"/>
          <w:b/>
          <w:bCs/>
          <w:i w:val="0"/>
          <w:iCs w:val="0"/>
          <w:sz w:val="32"/>
          <w:szCs w:val="32"/>
          <w:highlight w:val="none"/>
          <w:lang w:val="zh-CN" w:eastAsia="zh-CN"/>
        </w:rPr>
        <w:t>3.财务管理。</w:t>
      </w:r>
    </w:p>
    <w:p w14:paraId="599933DA">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一是</w:t>
      </w:r>
      <w:r>
        <w:rPr>
          <w:rFonts w:hint="default" w:ascii="Times New Roman" w:hAnsi="Times New Roman" w:eastAsia="方正仿宋_GBK" w:cs="Times New Roman"/>
          <w:sz w:val="32"/>
          <w:szCs w:val="32"/>
          <w:highlight w:val="none"/>
          <w:lang w:val="zh-CN" w:eastAsia="zh-CN"/>
        </w:rPr>
        <w:t>财务管理制度方面，</w:t>
      </w:r>
      <w:r>
        <w:rPr>
          <w:rFonts w:hint="default" w:ascii="Times New Roman" w:hAnsi="Times New Roman" w:eastAsia="方正仿宋_GBK" w:cs="Times New Roman"/>
          <w:sz w:val="32"/>
          <w:szCs w:val="32"/>
          <w:highlight w:val="none"/>
          <w:lang w:val="en-US" w:eastAsia="zh-CN"/>
        </w:rPr>
        <w:t>街道制定的《西区河门口街道办事处财务管理制度（试行）》明确了经费报销流程，</w:t>
      </w:r>
      <w:r>
        <w:rPr>
          <w:rFonts w:hint="default" w:ascii="Times New Roman" w:hAnsi="Times New Roman" w:eastAsia="方正仿宋_GBK" w:cs="Times New Roman"/>
          <w:sz w:val="32"/>
          <w:szCs w:val="32"/>
          <w:highlight w:val="none"/>
          <w:lang w:val="zh-CN" w:eastAsia="zh-CN"/>
        </w:rPr>
        <w:t>在预算管理、会计核算、内部控制等方面均有明确规定，能够有效指导日常财务工作。</w:t>
      </w:r>
      <w:r>
        <w:rPr>
          <w:rFonts w:hint="default" w:ascii="Times New Roman" w:hAnsi="Times New Roman" w:eastAsia="方正仿宋_GBK" w:cs="Times New Roman"/>
          <w:b/>
          <w:bCs/>
          <w:sz w:val="32"/>
          <w:szCs w:val="32"/>
          <w:highlight w:val="none"/>
          <w:lang w:val="zh-CN" w:eastAsia="zh-CN"/>
        </w:rPr>
        <w:t>二是</w:t>
      </w:r>
      <w:r>
        <w:rPr>
          <w:rFonts w:hint="default" w:ascii="Times New Roman" w:hAnsi="Times New Roman" w:eastAsia="方正仿宋_GBK" w:cs="Times New Roman"/>
          <w:sz w:val="32"/>
          <w:szCs w:val="32"/>
          <w:highlight w:val="none"/>
          <w:lang w:val="zh-CN" w:eastAsia="zh-CN"/>
        </w:rPr>
        <w:t>财务岗位设置方面，街</w:t>
      </w:r>
      <w:r>
        <w:rPr>
          <w:rFonts w:hint="default" w:ascii="Times New Roman" w:hAnsi="Times New Roman" w:eastAsia="方正仿宋_GBK" w:cs="Times New Roman"/>
          <w:sz w:val="32"/>
          <w:szCs w:val="32"/>
          <w:highlight w:val="none"/>
          <w:lang w:val="en-US" w:eastAsia="zh-CN"/>
        </w:rPr>
        <w:t>道</w:t>
      </w:r>
      <w:r>
        <w:rPr>
          <w:rFonts w:hint="default" w:ascii="Times New Roman" w:hAnsi="Times New Roman" w:eastAsia="方正仿宋_GBK" w:cs="Times New Roman"/>
          <w:sz w:val="32"/>
          <w:szCs w:val="32"/>
          <w:highlight w:val="none"/>
          <w:lang w:val="zh-CN" w:eastAsia="zh-CN"/>
        </w:rPr>
        <w:t>设置财务分管领导</w:t>
      </w:r>
      <w:r>
        <w:rPr>
          <w:rFonts w:hint="default" w:ascii="Times New Roman" w:hAnsi="Times New Roman" w:eastAsia="方正仿宋_GBK" w:cs="Times New Roman"/>
          <w:sz w:val="32"/>
          <w:szCs w:val="32"/>
          <w:highlight w:val="none"/>
          <w:lang w:val="en-US" w:eastAsia="zh-CN"/>
        </w:rPr>
        <w:t>1人</w:t>
      </w:r>
      <w:r>
        <w:rPr>
          <w:rFonts w:hint="default" w:ascii="Times New Roman" w:hAnsi="Times New Roman" w:eastAsia="方正仿宋_GBK" w:cs="Times New Roman"/>
          <w:sz w:val="32"/>
          <w:szCs w:val="32"/>
          <w:highlight w:val="none"/>
          <w:lang w:val="zh-CN" w:eastAsia="zh-CN"/>
        </w:rPr>
        <w:t>，会计</w:t>
      </w:r>
      <w:r>
        <w:rPr>
          <w:rFonts w:hint="default" w:ascii="Times New Roman" w:hAnsi="Times New Roman" w:eastAsia="方正仿宋_GBK" w:cs="Times New Roman"/>
          <w:sz w:val="32"/>
          <w:szCs w:val="32"/>
          <w:highlight w:val="none"/>
          <w:lang w:val="en-US" w:eastAsia="zh-CN"/>
        </w:rPr>
        <w:t>1人、出纳1人、资产管理员1人，分工细化，提升专业性和效率性，同时强化内部控制与风险防范。</w:t>
      </w:r>
      <w:r>
        <w:rPr>
          <w:rFonts w:hint="default" w:ascii="Times New Roman" w:hAnsi="Times New Roman" w:eastAsia="方正仿宋_GBK" w:cs="Times New Roman"/>
          <w:b/>
          <w:bCs/>
          <w:sz w:val="32"/>
          <w:szCs w:val="32"/>
          <w:highlight w:val="none"/>
          <w:lang w:val="en-US" w:eastAsia="zh-CN"/>
        </w:rPr>
        <w:t>三是</w:t>
      </w:r>
      <w:r>
        <w:rPr>
          <w:rFonts w:hint="default" w:ascii="Times New Roman" w:hAnsi="Times New Roman" w:eastAsia="方正仿宋_GBK" w:cs="Times New Roman"/>
          <w:sz w:val="32"/>
          <w:szCs w:val="32"/>
          <w:highlight w:val="none"/>
          <w:lang w:val="zh-CN" w:eastAsia="zh-CN"/>
        </w:rPr>
        <w:t>资金使用规范方面，2024年度资金支出符合</w:t>
      </w:r>
      <w:r>
        <w:rPr>
          <w:rFonts w:hint="eastAsia" w:eastAsia="方正仿宋_GBK" w:cs="Times New Roman"/>
          <w:sz w:val="32"/>
          <w:szCs w:val="32"/>
          <w:highlight w:val="none"/>
          <w:lang w:val="zh-CN" w:eastAsia="zh-CN"/>
        </w:rPr>
        <w:t>单位</w:t>
      </w:r>
      <w:r>
        <w:rPr>
          <w:rFonts w:hint="default" w:ascii="Times New Roman" w:hAnsi="Times New Roman" w:eastAsia="方正仿宋_GBK" w:cs="Times New Roman"/>
          <w:sz w:val="32"/>
          <w:szCs w:val="32"/>
          <w:highlight w:val="none"/>
          <w:lang w:val="zh-CN" w:eastAsia="zh-CN"/>
        </w:rPr>
        <w:t>预算批复的支出范围，未发现资金挤占、截留、挪用及虚列支出等情况，资金使用合规，财务制度执行有效。</w:t>
      </w:r>
    </w:p>
    <w:p w14:paraId="3F7AB68F">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eastAsia" w:ascii="方正仿宋_GBK" w:hAnsi="方正仿宋_GBK" w:eastAsia="方正仿宋_GBK" w:cs="方正仿宋_GBK"/>
          <w:b/>
          <w:bCs/>
          <w:sz w:val="32"/>
          <w:szCs w:val="32"/>
          <w:highlight w:val="none"/>
          <w:lang w:val="zh-CN" w:eastAsia="zh-CN"/>
        </w:rPr>
      </w:pPr>
      <w:r>
        <w:rPr>
          <w:rFonts w:hint="eastAsia" w:ascii="方正仿宋_GBK" w:hAnsi="方正仿宋_GBK" w:eastAsia="方正仿宋_GBK" w:cs="方正仿宋_GBK"/>
          <w:b/>
          <w:bCs/>
          <w:sz w:val="32"/>
          <w:szCs w:val="32"/>
          <w:highlight w:val="none"/>
          <w:lang w:val="en-US" w:eastAsia="zh-CN"/>
        </w:rPr>
        <w:t>4.</w:t>
      </w:r>
      <w:r>
        <w:rPr>
          <w:rFonts w:hint="eastAsia" w:ascii="方正仿宋_GBK" w:hAnsi="方正仿宋_GBK" w:eastAsia="方正仿宋_GBK" w:cs="方正仿宋_GBK"/>
          <w:b/>
          <w:bCs/>
          <w:sz w:val="32"/>
          <w:szCs w:val="32"/>
          <w:highlight w:val="none"/>
          <w:lang w:val="zh-CN" w:eastAsia="zh-CN"/>
        </w:rPr>
        <w:t>资产管理。</w:t>
      </w:r>
    </w:p>
    <w:p w14:paraId="37A5CA2B">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街道</w:t>
      </w:r>
      <w:r>
        <w:rPr>
          <w:rFonts w:hint="default" w:ascii="Times New Roman" w:hAnsi="Times New Roman" w:eastAsia="方正仿宋_GBK" w:cs="Times New Roman"/>
          <w:sz w:val="32"/>
          <w:szCs w:val="32"/>
          <w:highlight w:val="none"/>
          <w:lang w:val="zh-CN" w:eastAsia="zh-CN"/>
        </w:rPr>
        <w:t>严格资产使用、购置、处置审批程序，建立完善资产管理制度，明确资产业务控制范围及控制目标，设置不相容岗位职能职责，梳理资产管理业务流程与关键环节，进一步合理使用资产，严格监管资产配置，保证国有资产安全完整，不断提高资产运行效率。严格按照相关会计规定计提国有资产折旧，资产及时纳入了四川省行政事业单位资产管理信息系统进行动态管理。</w:t>
      </w:r>
    </w:p>
    <w:p w14:paraId="4CDE62B0">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zh-CN" w:eastAsia="zh-CN"/>
        </w:rPr>
        <w:t>一是</w:t>
      </w:r>
      <w:r>
        <w:rPr>
          <w:rFonts w:hint="default" w:ascii="Times New Roman" w:hAnsi="Times New Roman" w:eastAsia="方正仿宋_GBK" w:cs="Times New Roman"/>
          <w:sz w:val="32"/>
          <w:szCs w:val="32"/>
          <w:highlight w:val="none"/>
          <w:lang w:val="zh-CN" w:eastAsia="zh-CN"/>
        </w:rPr>
        <w:t>人均资产变化率方面，</w:t>
      </w:r>
      <w:r>
        <w:rPr>
          <w:rFonts w:hint="default" w:ascii="Times New Roman" w:hAnsi="Times New Roman" w:eastAsia="方正仿宋_GBK" w:cs="Times New Roman"/>
          <w:sz w:val="32"/>
          <w:szCs w:val="32"/>
          <w:highlight w:val="none"/>
          <w:lang w:val="en-US" w:eastAsia="zh-CN"/>
        </w:rPr>
        <w:t>较2024年，人均资产变化率增长15.24%，主要是因为火红年华廉洁教育基地、老旧小区群众活动中心等专项项目资产增加。</w:t>
      </w:r>
      <w:r>
        <w:rPr>
          <w:rFonts w:hint="default" w:ascii="Times New Roman" w:hAnsi="Times New Roman" w:eastAsia="方正仿宋_GBK" w:cs="Times New Roman"/>
          <w:b/>
          <w:bCs/>
          <w:sz w:val="32"/>
          <w:szCs w:val="32"/>
          <w:highlight w:val="none"/>
          <w:lang w:val="en-US" w:eastAsia="zh-CN"/>
        </w:rPr>
        <w:t>二是</w:t>
      </w:r>
      <w:r>
        <w:rPr>
          <w:rFonts w:hint="default" w:ascii="Times New Roman" w:hAnsi="Times New Roman" w:eastAsia="方正仿宋_GBK" w:cs="Times New Roman"/>
          <w:sz w:val="32"/>
          <w:szCs w:val="32"/>
          <w:highlight w:val="none"/>
          <w:lang w:val="zh-CN" w:eastAsia="zh-CN"/>
        </w:rPr>
        <w:t>资产利用率方面</w:t>
      </w:r>
      <w:r>
        <w:rPr>
          <w:rFonts w:hint="default" w:ascii="Times New Roman" w:hAnsi="Times New Roman" w:eastAsia="方正仿宋_GBK" w:cs="Times New Roman"/>
          <w:sz w:val="32"/>
          <w:szCs w:val="32"/>
          <w:highlight w:val="none"/>
          <w:lang w:val="en-US" w:eastAsia="zh-CN"/>
        </w:rPr>
        <w:t>，街道加强了对资产的监督和管理，提高了资产使用效率。并通过优化资产配置，提高了资产利用率，降低了资产的损耗和浪费</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b/>
          <w:bCs/>
          <w:sz w:val="32"/>
          <w:szCs w:val="32"/>
          <w:highlight w:val="none"/>
          <w:lang w:val="en-US" w:eastAsia="zh-CN"/>
        </w:rPr>
        <w:t>三是</w:t>
      </w:r>
      <w:r>
        <w:rPr>
          <w:rFonts w:hint="default" w:ascii="Times New Roman" w:hAnsi="Times New Roman" w:eastAsia="方正仿宋_GBK" w:cs="Times New Roman"/>
          <w:sz w:val="32"/>
          <w:szCs w:val="32"/>
          <w:highlight w:val="none"/>
          <w:lang w:val="en-US" w:eastAsia="zh-CN"/>
        </w:rPr>
        <w:t>资产盘活率方面，街道创新思路，积极盘活闲置资产，利用棚改区域拆迁后的闲置空地，打造“河井花社”等景点。</w:t>
      </w:r>
    </w:p>
    <w:p w14:paraId="0856C950">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sz w:val="32"/>
          <w:szCs w:val="32"/>
          <w:highlight w:val="none"/>
          <w:lang w:val="zh-CN" w:eastAsia="zh-CN"/>
        </w:rPr>
        <w:t>采购管理。</w:t>
      </w:r>
    </w:p>
    <w:p w14:paraId="087A1D8A">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zh-CN" w:eastAsia="zh-CN"/>
        </w:rPr>
        <w:t>一是</w:t>
      </w:r>
      <w:r>
        <w:rPr>
          <w:rFonts w:hint="default" w:ascii="Times New Roman" w:hAnsi="Times New Roman" w:eastAsia="方正仿宋_GBK" w:cs="Times New Roman"/>
          <w:sz w:val="32"/>
          <w:szCs w:val="32"/>
          <w:highlight w:val="none"/>
          <w:lang w:val="zh-CN" w:eastAsia="zh-CN"/>
        </w:rPr>
        <w:t>支持中小企业发展方面，</w:t>
      </w:r>
      <w:r>
        <w:rPr>
          <w:rFonts w:hint="default" w:ascii="Times New Roman" w:hAnsi="Times New Roman" w:eastAsia="方正仿宋_GBK" w:cs="Times New Roman"/>
          <w:sz w:val="32"/>
          <w:szCs w:val="32"/>
          <w:highlight w:val="none"/>
          <w:lang w:val="en-US" w:eastAsia="zh-CN"/>
        </w:rPr>
        <w:t>2024年街道政府采购支出合计49.87万元，授予中小企业49.87万元。</w:t>
      </w:r>
      <w:r>
        <w:rPr>
          <w:rFonts w:hint="default" w:ascii="Times New Roman" w:hAnsi="Times New Roman" w:eastAsia="方正仿宋_GBK" w:cs="Times New Roman"/>
          <w:b/>
          <w:bCs/>
          <w:sz w:val="32"/>
          <w:szCs w:val="32"/>
          <w:highlight w:val="none"/>
          <w:lang w:val="en-US" w:eastAsia="zh-CN"/>
        </w:rPr>
        <w:t>二是</w:t>
      </w:r>
      <w:r>
        <w:rPr>
          <w:rFonts w:hint="default" w:ascii="Times New Roman" w:hAnsi="Times New Roman" w:eastAsia="方正仿宋_GBK" w:cs="Times New Roman"/>
          <w:sz w:val="32"/>
          <w:szCs w:val="32"/>
          <w:highlight w:val="none"/>
          <w:lang w:val="zh-CN" w:eastAsia="zh-CN"/>
        </w:rPr>
        <w:t>采购执行率方面，</w:t>
      </w:r>
      <w:r>
        <w:rPr>
          <w:rFonts w:hint="default" w:ascii="Times New Roman" w:hAnsi="Times New Roman" w:eastAsia="方正仿宋_GBK" w:cs="Times New Roman"/>
          <w:sz w:val="32"/>
          <w:szCs w:val="32"/>
          <w:highlight w:val="none"/>
          <w:lang w:val="en-US" w:eastAsia="zh-CN"/>
        </w:rPr>
        <w:t>街道科学合理编制政府采购预算，确保预算与采购计划目录一致，避免因预算编制不准确影响采购活动。</w:t>
      </w:r>
    </w:p>
    <w:p w14:paraId="57823C9F">
      <w:pPr>
        <w:keepNext w:val="0"/>
        <w:keepLines w:val="0"/>
        <w:pageBreakBefore w:val="0"/>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（二）</w:t>
      </w:r>
      <w:r>
        <w:rPr>
          <w:rFonts w:hint="eastAsia" w:eastAsia="方正楷体_GBK" w:cs="Times New Roman"/>
          <w:b/>
          <w:bCs/>
          <w:color w:val="000000"/>
          <w:kern w:val="0"/>
          <w:sz w:val="32"/>
          <w:szCs w:val="32"/>
          <w:shd w:val="clear" w:color="auto" w:fill="FFFFFF"/>
          <w:lang w:val="zh-CN"/>
        </w:rPr>
        <w:t>单位</w:t>
      </w:r>
      <w:r>
        <w:rPr>
          <w:rFonts w:hint="default" w:ascii="Times New Roman" w:hAnsi="Times New Roman" w:eastAsia="方正楷体_GBK" w:cs="Times New Roman"/>
          <w:b/>
          <w:bCs/>
          <w:color w:val="000000"/>
          <w:kern w:val="0"/>
          <w:sz w:val="32"/>
          <w:szCs w:val="32"/>
          <w:shd w:val="clear" w:color="auto" w:fill="FFFFFF"/>
          <w:lang w:val="zh-CN"/>
        </w:rPr>
        <w:t>预算项目绩效分析。</w:t>
      </w:r>
    </w:p>
    <w:p w14:paraId="124A60F0">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街道对2024年55个项目进行数量指标、效益指标、时效指标和成本指标的分析，</w:t>
      </w:r>
      <w:r>
        <w:rPr>
          <w:rFonts w:hint="default" w:ascii="Times New Roman" w:hAnsi="Times New Roman" w:eastAsia="方正仿宋_GBK" w:cs="Times New Roman"/>
          <w:sz w:val="32"/>
          <w:szCs w:val="32"/>
          <w:highlight w:val="none"/>
          <w:lang w:val="zh-CN" w:eastAsia="zh-CN"/>
        </w:rPr>
        <w:t>预算执行总体进度为</w:t>
      </w:r>
      <w:r>
        <w:rPr>
          <w:rFonts w:hint="default" w:ascii="Times New Roman" w:hAnsi="Times New Roman"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lang w:val="zh-CN" w:eastAsia="zh-CN"/>
        </w:rPr>
        <w:t>%。</w:t>
      </w:r>
    </w:p>
    <w:p w14:paraId="4077767A">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eastAsia" w:ascii="方正仿宋_GBK" w:hAnsi="方正仿宋_GBK" w:eastAsia="方正仿宋_GBK" w:cs="方正仿宋_GBK"/>
          <w:b/>
          <w:bCs/>
          <w:sz w:val="32"/>
          <w:szCs w:val="32"/>
          <w:highlight w:val="none"/>
          <w:lang w:val="zh-CN" w:eastAsia="zh-CN"/>
        </w:rPr>
        <w:t>1.项目决策。</w:t>
      </w:r>
      <w:r>
        <w:rPr>
          <w:rFonts w:hint="default" w:ascii="Times New Roman" w:hAnsi="Times New Roman" w:eastAsia="方正仿宋_GBK" w:cs="Times New Roman"/>
          <w:sz w:val="32"/>
          <w:szCs w:val="32"/>
          <w:highlight w:val="none"/>
          <w:lang w:val="zh-CN" w:eastAsia="zh-CN"/>
        </w:rPr>
        <w:t>在项目决策过程中，绩效分析是评估项目决策效果的关键工具，它不仅有助于确保项目目标的实现，还能提高资源利用效率和项目决策的透明度。</w:t>
      </w:r>
      <w:r>
        <w:rPr>
          <w:rFonts w:hint="default" w:ascii="Times New Roman" w:hAnsi="Times New Roman" w:eastAsia="方正仿宋_GBK" w:cs="Times New Roman"/>
          <w:sz w:val="32"/>
          <w:szCs w:val="32"/>
          <w:highlight w:val="none"/>
          <w:lang w:val="en-US" w:eastAsia="zh-CN"/>
        </w:rPr>
        <w:t>街道</w:t>
      </w:r>
      <w:r>
        <w:rPr>
          <w:rFonts w:hint="default" w:ascii="Times New Roman" w:hAnsi="Times New Roman" w:eastAsia="方正仿宋_GBK" w:cs="Times New Roman"/>
          <w:sz w:val="32"/>
          <w:szCs w:val="32"/>
          <w:highlight w:val="none"/>
          <w:lang w:val="zh-CN" w:eastAsia="zh-CN"/>
        </w:rPr>
        <w:t>在分析决策流程时，决策包括五个关键步骤：问题识别、方案制定、风险评估、决策制定和执行。并预测项目实施后的直接经济</w:t>
      </w:r>
      <w:r>
        <w:rPr>
          <w:rFonts w:hint="default" w:ascii="Times New Roman" w:hAnsi="Times New Roman" w:eastAsia="方正仿宋_GBK" w:cs="Times New Roman"/>
          <w:sz w:val="32"/>
          <w:szCs w:val="32"/>
          <w:highlight w:val="none"/>
          <w:lang w:val="en-US" w:eastAsia="zh-CN"/>
        </w:rPr>
        <w:t>成本</w:t>
      </w:r>
      <w:r>
        <w:rPr>
          <w:rFonts w:hint="default" w:ascii="Times New Roman" w:hAnsi="Times New Roman" w:eastAsia="方正仿宋_GBK" w:cs="Times New Roman"/>
          <w:sz w:val="32"/>
          <w:szCs w:val="32"/>
          <w:highlight w:val="none"/>
          <w:lang w:val="zh-CN" w:eastAsia="zh-CN"/>
        </w:rPr>
        <w:t>和社会价值，该项目可能带来的社会效益。</w:t>
      </w:r>
    </w:p>
    <w:p w14:paraId="3EFC25F6">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eastAsia" w:ascii="方正仿宋_GBK" w:hAnsi="方正仿宋_GBK" w:eastAsia="方正仿宋_GBK" w:cs="方正仿宋_GBK"/>
          <w:b/>
          <w:bCs/>
          <w:sz w:val="32"/>
          <w:szCs w:val="32"/>
          <w:highlight w:val="none"/>
          <w:lang w:val="en-US" w:eastAsia="zh-CN"/>
        </w:rPr>
        <w:t>2</w:t>
      </w:r>
      <w:r>
        <w:rPr>
          <w:rFonts w:hint="eastAsia" w:ascii="方正仿宋_GBK" w:hAnsi="方正仿宋_GBK" w:eastAsia="方正仿宋_GBK" w:cs="方正仿宋_GBK"/>
          <w:b/>
          <w:bCs/>
          <w:sz w:val="32"/>
          <w:szCs w:val="32"/>
          <w:highlight w:val="none"/>
          <w:lang w:val="zh-CN" w:eastAsia="zh-CN"/>
        </w:rPr>
        <w:t>.项目</w:t>
      </w:r>
      <w:r>
        <w:rPr>
          <w:rFonts w:hint="eastAsia" w:ascii="方正仿宋_GBK" w:hAnsi="方正仿宋_GBK" w:eastAsia="方正仿宋_GBK" w:cs="方正仿宋_GBK"/>
          <w:b/>
          <w:bCs/>
          <w:sz w:val="32"/>
          <w:szCs w:val="32"/>
          <w:highlight w:val="none"/>
          <w:lang w:val="en-US" w:eastAsia="zh-CN"/>
        </w:rPr>
        <w:t>执行</w:t>
      </w:r>
      <w:r>
        <w:rPr>
          <w:rFonts w:hint="eastAsia" w:ascii="方正仿宋_GBK" w:hAnsi="方正仿宋_GBK" w:eastAsia="方正仿宋_GBK" w:cs="方正仿宋_GBK"/>
          <w:b/>
          <w:bCs/>
          <w:sz w:val="32"/>
          <w:szCs w:val="32"/>
          <w:highlight w:val="none"/>
          <w:lang w:val="zh-CN" w:eastAsia="zh-CN"/>
        </w:rPr>
        <w:t>。</w:t>
      </w:r>
      <w:r>
        <w:rPr>
          <w:rFonts w:hint="default" w:ascii="Times New Roman" w:hAnsi="Times New Roman" w:eastAsia="方正仿宋_GBK" w:cs="Times New Roman"/>
          <w:sz w:val="32"/>
          <w:szCs w:val="32"/>
          <w:highlight w:val="none"/>
          <w:lang w:val="zh-CN" w:eastAsia="zh-CN"/>
        </w:rPr>
        <w:t>2024年人员类经费预算</w:t>
      </w:r>
      <w:r>
        <w:rPr>
          <w:rFonts w:hint="default" w:ascii="Times New Roman" w:hAnsi="Times New Roman" w:eastAsia="方正仿宋_GBK" w:cs="Times New Roman"/>
          <w:sz w:val="32"/>
          <w:szCs w:val="32"/>
          <w:highlight w:val="none"/>
          <w:lang w:val="en-US" w:eastAsia="zh-CN"/>
        </w:rPr>
        <w:t>526</w:t>
      </w:r>
      <w:r>
        <w:rPr>
          <w:rFonts w:hint="default" w:ascii="Times New Roman" w:hAnsi="Times New Roman" w:eastAsia="方正仿宋_GBK" w:cs="Times New Roman"/>
          <w:sz w:val="32"/>
          <w:szCs w:val="32"/>
          <w:highlight w:val="none"/>
          <w:lang w:val="zh-CN" w:eastAsia="zh-CN"/>
        </w:rPr>
        <w:t>万元，支出完成</w:t>
      </w:r>
      <w:r>
        <w:rPr>
          <w:rFonts w:hint="default" w:ascii="Times New Roman" w:hAnsi="Times New Roman" w:eastAsia="方正仿宋_GBK" w:cs="Times New Roman"/>
          <w:sz w:val="32"/>
          <w:szCs w:val="32"/>
          <w:highlight w:val="none"/>
          <w:lang w:val="en-US" w:eastAsia="zh-CN"/>
        </w:rPr>
        <w:t>526</w:t>
      </w:r>
      <w:r>
        <w:rPr>
          <w:rFonts w:hint="default" w:ascii="Times New Roman" w:hAnsi="Times New Roman" w:eastAsia="方正仿宋_GBK" w:cs="Times New Roman"/>
          <w:sz w:val="32"/>
          <w:szCs w:val="32"/>
          <w:highlight w:val="none"/>
          <w:lang w:val="zh-CN" w:eastAsia="zh-CN"/>
        </w:rPr>
        <w:t>万元，执行率100%。绩效管理：按时完成了街道职工及社区干部的工资发放、社会保障缴费、住房公积金的缴纳。预算真实、准确。</w:t>
      </w:r>
    </w:p>
    <w:p w14:paraId="4067D3AD">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2024年公用经费预算</w:t>
      </w:r>
      <w:r>
        <w:rPr>
          <w:rFonts w:hint="default" w:ascii="Times New Roman" w:hAnsi="Times New Roman" w:eastAsia="方正仿宋_GBK" w:cs="Times New Roman"/>
          <w:sz w:val="32"/>
          <w:szCs w:val="32"/>
          <w:highlight w:val="none"/>
          <w:lang w:val="en-US" w:eastAsia="zh-CN"/>
        </w:rPr>
        <w:t>28.53</w:t>
      </w:r>
      <w:r>
        <w:rPr>
          <w:rFonts w:hint="default" w:ascii="Times New Roman" w:hAnsi="Times New Roman" w:eastAsia="方正仿宋_GBK" w:cs="Times New Roman"/>
          <w:sz w:val="32"/>
          <w:szCs w:val="32"/>
          <w:highlight w:val="none"/>
          <w:lang w:val="zh-CN" w:eastAsia="zh-CN"/>
        </w:rPr>
        <w:t>万元，支出完成</w:t>
      </w:r>
      <w:r>
        <w:rPr>
          <w:rFonts w:hint="default" w:ascii="Times New Roman" w:hAnsi="Times New Roman" w:eastAsia="方正仿宋_GBK" w:cs="Times New Roman"/>
          <w:sz w:val="32"/>
          <w:szCs w:val="32"/>
          <w:highlight w:val="none"/>
          <w:lang w:val="en-US" w:eastAsia="zh-CN"/>
        </w:rPr>
        <w:t>28.53</w:t>
      </w:r>
      <w:r>
        <w:rPr>
          <w:rFonts w:hint="default" w:ascii="Times New Roman" w:hAnsi="Times New Roman" w:eastAsia="方正仿宋_GBK" w:cs="Times New Roman"/>
          <w:sz w:val="32"/>
          <w:szCs w:val="32"/>
          <w:highlight w:val="none"/>
          <w:lang w:val="zh-CN" w:eastAsia="zh-CN"/>
        </w:rPr>
        <w:t>万元，执行率100%。绩效管理：公用经费按定额和定员标准进行编制。预算真实、准确。</w:t>
      </w:r>
    </w:p>
    <w:p w14:paraId="0846960A">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2024年项目</w:t>
      </w:r>
      <w:r>
        <w:rPr>
          <w:rFonts w:hint="default" w:ascii="Times New Roman" w:hAnsi="Times New Roman" w:eastAsia="方正仿宋_GBK" w:cs="Times New Roman"/>
          <w:sz w:val="32"/>
          <w:szCs w:val="32"/>
          <w:highlight w:val="none"/>
          <w:lang w:val="en-US" w:eastAsia="zh-CN"/>
        </w:rPr>
        <w:t>调整</w:t>
      </w:r>
      <w:r>
        <w:rPr>
          <w:rFonts w:hint="default" w:ascii="Times New Roman" w:hAnsi="Times New Roman" w:eastAsia="方正仿宋_GBK" w:cs="Times New Roman"/>
          <w:sz w:val="32"/>
          <w:szCs w:val="32"/>
          <w:highlight w:val="none"/>
          <w:lang w:val="zh-CN" w:eastAsia="zh-CN"/>
        </w:rPr>
        <w:t>预算</w:t>
      </w:r>
      <w:r>
        <w:rPr>
          <w:rFonts w:hint="default" w:ascii="Times New Roman" w:hAnsi="Times New Roman" w:eastAsia="方正仿宋_GBK" w:cs="Times New Roman"/>
          <w:sz w:val="32"/>
          <w:szCs w:val="32"/>
          <w:highlight w:val="none"/>
          <w:lang w:val="en-US" w:eastAsia="zh-CN"/>
        </w:rPr>
        <w:t>数为464.21</w:t>
      </w:r>
      <w:r>
        <w:rPr>
          <w:rFonts w:hint="default" w:ascii="Times New Roman" w:hAnsi="Times New Roman" w:eastAsia="方正仿宋_GBK" w:cs="Times New Roman"/>
          <w:sz w:val="32"/>
          <w:szCs w:val="32"/>
          <w:highlight w:val="none"/>
          <w:lang w:val="zh-CN" w:eastAsia="zh-CN"/>
        </w:rPr>
        <w:t>万元，支出完成</w:t>
      </w:r>
      <w:r>
        <w:rPr>
          <w:rFonts w:hint="default" w:ascii="Times New Roman" w:hAnsi="Times New Roman" w:eastAsia="方正仿宋_GBK" w:cs="Times New Roman"/>
          <w:sz w:val="32"/>
          <w:szCs w:val="32"/>
          <w:highlight w:val="none"/>
          <w:lang w:val="en-US" w:eastAsia="zh-CN"/>
        </w:rPr>
        <w:t>464.21</w:t>
      </w:r>
      <w:r>
        <w:rPr>
          <w:rFonts w:hint="default" w:ascii="Times New Roman" w:hAnsi="Times New Roman" w:eastAsia="方正仿宋_GBK" w:cs="Times New Roman"/>
          <w:sz w:val="32"/>
          <w:szCs w:val="32"/>
          <w:highlight w:val="none"/>
          <w:lang w:val="zh-CN" w:eastAsia="zh-CN"/>
        </w:rPr>
        <w:t>万元，执行率</w:t>
      </w:r>
      <w:r>
        <w:rPr>
          <w:rFonts w:hint="default" w:ascii="Times New Roman" w:hAnsi="Times New Roman"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lang w:val="zh-CN" w:eastAsia="zh-CN"/>
        </w:rPr>
        <w:t>%。其中：预算结余率大于</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zh-CN" w:eastAsia="zh-CN"/>
        </w:rPr>
        <w:t>的项目共计</w:t>
      </w:r>
      <w:r>
        <w:rPr>
          <w:rFonts w:hint="default"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val="zh-CN" w:eastAsia="zh-CN"/>
        </w:rPr>
        <w:t>个。绩效管理：项目严格按照绩效目标申报，做到事前有审批，事中有监控，事后形成整体绩效报告。</w:t>
      </w:r>
    </w:p>
    <w:p w14:paraId="17EE1F36">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eastAsia" w:ascii="方正仿宋_GBK" w:hAnsi="方正仿宋_GBK" w:eastAsia="方正仿宋_GBK" w:cs="方正仿宋_GBK"/>
          <w:b/>
          <w:bCs/>
          <w:sz w:val="32"/>
          <w:szCs w:val="32"/>
          <w:highlight w:val="none"/>
          <w:lang w:val="zh-CN" w:eastAsia="zh-CN"/>
        </w:rPr>
        <w:t>3.目标实现。</w:t>
      </w:r>
      <w:r>
        <w:rPr>
          <w:rFonts w:hint="default" w:ascii="Times New Roman" w:hAnsi="Times New Roman" w:eastAsia="方正仿宋_GBK" w:cs="Times New Roman"/>
          <w:sz w:val="32"/>
          <w:szCs w:val="32"/>
          <w:highlight w:val="none"/>
          <w:lang w:val="zh-CN" w:eastAsia="zh-CN"/>
        </w:rPr>
        <w:t>预算安排支出主要用于保障</w:t>
      </w:r>
      <w:r>
        <w:rPr>
          <w:rFonts w:hint="default" w:ascii="Times New Roman" w:hAnsi="Times New Roman" w:eastAsia="方正仿宋_GBK" w:cs="Times New Roman"/>
          <w:sz w:val="32"/>
          <w:szCs w:val="32"/>
          <w:highlight w:val="none"/>
          <w:lang w:val="en-US" w:eastAsia="zh-CN"/>
        </w:rPr>
        <w:t>街道</w:t>
      </w:r>
      <w:r>
        <w:rPr>
          <w:rFonts w:hint="default" w:ascii="Times New Roman" w:hAnsi="Times New Roman" w:eastAsia="方正仿宋_GBK" w:cs="Times New Roman"/>
          <w:sz w:val="32"/>
          <w:szCs w:val="32"/>
          <w:highlight w:val="none"/>
          <w:lang w:val="zh-CN" w:eastAsia="zh-CN"/>
        </w:rPr>
        <w:t>正常运转、完成日常工作任务以及本单位承担的区委、区政府交办的其他事项。街道均衡安排各个项目资金的执行进度，贯彻落实过紧日子的要求，预算控制较好，</w:t>
      </w:r>
      <w:r>
        <w:rPr>
          <w:rFonts w:hint="default" w:ascii="Times New Roman" w:hAnsi="Times New Roman" w:eastAsia="方正仿宋_GBK" w:cs="Times New Roman"/>
          <w:sz w:val="32"/>
          <w:szCs w:val="32"/>
          <w:highlight w:val="none"/>
          <w:lang w:val="en-US" w:eastAsia="zh-CN"/>
        </w:rPr>
        <w:t>完成了年度职能目标任务。</w:t>
      </w:r>
    </w:p>
    <w:p w14:paraId="2536D7FA">
      <w:pPr>
        <w:keepNext w:val="0"/>
        <w:keepLines w:val="0"/>
        <w:pageBreakBefore w:val="0"/>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b/>
          <w:bCs/>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lang w:val="zh-CN"/>
        </w:rPr>
        <w:t>（</w:t>
      </w:r>
      <w:r>
        <w:rPr>
          <w:rFonts w:hint="default" w:ascii="Times New Roman" w:hAnsi="Times New Roman" w:eastAsia="方正仿宋_GBK" w:cs="Times New Roman"/>
          <w:b/>
          <w:bCs/>
          <w:color w:val="000000"/>
          <w:kern w:val="0"/>
          <w:sz w:val="32"/>
          <w:szCs w:val="32"/>
          <w:shd w:val="clear" w:color="auto" w:fill="FFFFFF"/>
          <w:lang w:val="en-US" w:eastAsia="zh-CN"/>
        </w:rPr>
        <w:t>三</w:t>
      </w:r>
      <w:r>
        <w:rPr>
          <w:rFonts w:hint="default" w:ascii="Times New Roman" w:hAnsi="Times New Roman" w:eastAsia="方正仿宋_GBK" w:cs="Times New Roman"/>
          <w:b/>
          <w:bCs/>
          <w:color w:val="000000"/>
          <w:kern w:val="0"/>
          <w:sz w:val="32"/>
          <w:szCs w:val="32"/>
          <w:shd w:val="clear" w:color="auto" w:fill="FFFFFF"/>
          <w:lang w:val="zh-CN"/>
        </w:rPr>
        <w:t>）绩效结果应用情况。</w:t>
      </w:r>
    </w:p>
    <w:p w14:paraId="22253B7B">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通过绩效评价，街道进一步掌握了项目经费使用情况和取得的效果，总结了项目资金管理经验，为下一年提高项目资金的使用效益，加强财政支出的规范管理，完善预算编制和加强绩效目标管理等工作提供重要的参考依据。</w:t>
      </w:r>
    </w:p>
    <w:p w14:paraId="41F4CA8F">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eastAsia" w:ascii="方正仿宋_GBK" w:hAnsi="方正仿宋_GBK" w:eastAsia="方正仿宋_GBK" w:cs="方正仿宋_GBK"/>
          <w:b/>
          <w:bCs/>
          <w:sz w:val="32"/>
          <w:szCs w:val="32"/>
          <w:highlight w:val="none"/>
          <w:lang w:val="zh-CN" w:eastAsia="zh-CN"/>
        </w:rPr>
        <w:t>1.内部应用方面。</w:t>
      </w:r>
      <w:r>
        <w:rPr>
          <w:rFonts w:hint="default" w:ascii="Times New Roman" w:hAnsi="Times New Roman" w:eastAsia="方正仿宋_GBK" w:cs="Times New Roman"/>
          <w:sz w:val="32"/>
          <w:szCs w:val="32"/>
          <w:highlight w:val="none"/>
          <w:lang w:val="zh-CN" w:eastAsia="zh-CN"/>
        </w:rPr>
        <w:t>街道按照区财政局下发《攀枝花市西区单位财政资金绩效管理工作考评细则》，将各项目绩效目标制定和自评情况纳入</w:t>
      </w:r>
      <w:r>
        <w:rPr>
          <w:rFonts w:hint="eastAsia" w:eastAsia="方正仿宋_GBK" w:cs="Times New Roman"/>
          <w:sz w:val="32"/>
          <w:szCs w:val="32"/>
          <w:highlight w:val="none"/>
          <w:lang w:val="zh-CN" w:eastAsia="zh-CN"/>
        </w:rPr>
        <w:t>单位</w:t>
      </w:r>
      <w:r>
        <w:rPr>
          <w:rFonts w:hint="default" w:ascii="Times New Roman" w:hAnsi="Times New Roman" w:eastAsia="方正仿宋_GBK" w:cs="Times New Roman"/>
          <w:sz w:val="32"/>
          <w:szCs w:val="32"/>
          <w:highlight w:val="none"/>
          <w:lang w:val="zh-CN" w:eastAsia="zh-CN"/>
        </w:rPr>
        <w:t>绩效目标考核体系，考核结果作为项目资金安排的重要依据。</w:t>
      </w:r>
    </w:p>
    <w:p w14:paraId="11C860DB">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eastAsia" w:ascii="方正仿宋_GBK" w:hAnsi="方正仿宋_GBK" w:eastAsia="方正仿宋_GBK" w:cs="方正仿宋_GBK"/>
          <w:b/>
          <w:bCs/>
          <w:sz w:val="32"/>
          <w:szCs w:val="32"/>
          <w:highlight w:val="none"/>
          <w:lang w:val="zh-CN" w:eastAsia="zh-CN"/>
        </w:rPr>
        <w:t>2.信息公开方面。</w:t>
      </w:r>
      <w:r>
        <w:rPr>
          <w:rFonts w:hint="default" w:ascii="Times New Roman" w:hAnsi="Times New Roman" w:eastAsia="方正仿宋_GBK" w:cs="Times New Roman"/>
          <w:sz w:val="32"/>
          <w:szCs w:val="32"/>
          <w:highlight w:val="none"/>
          <w:lang w:val="en-US" w:eastAsia="zh-CN"/>
        </w:rPr>
        <w:t>按照规定时间、内容及时收集、整理、分析与</w:t>
      </w:r>
      <w:r>
        <w:rPr>
          <w:rFonts w:hint="eastAsia"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lang w:val="en-US" w:eastAsia="zh-CN"/>
        </w:rPr>
        <w:t>整体阶段性资金支出及绩效目标完成相关的数据、信息并上报，按时限要求公开单位预算决算信息。</w:t>
      </w:r>
    </w:p>
    <w:p w14:paraId="3856E6DE">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b/>
          <w:bCs/>
          <w:sz w:val="32"/>
          <w:szCs w:val="32"/>
          <w:highlight w:val="none"/>
          <w:lang w:val="zh-CN" w:eastAsia="zh-CN"/>
        </w:rPr>
      </w:pPr>
      <w:r>
        <w:rPr>
          <w:rFonts w:hint="eastAsia" w:ascii="方正仿宋_GBK" w:hAnsi="方正仿宋_GBK" w:eastAsia="方正仿宋_GBK" w:cs="方正仿宋_GBK"/>
          <w:b/>
          <w:bCs/>
          <w:sz w:val="32"/>
          <w:szCs w:val="32"/>
          <w:highlight w:val="none"/>
          <w:lang w:val="zh-CN" w:eastAsia="zh-CN"/>
        </w:rPr>
        <w:t>3.应用反馈方面。</w:t>
      </w:r>
    </w:p>
    <w:p w14:paraId="71C82647">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（1）加强支出绩效管理。对纳入</w:t>
      </w:r>
      <w:r>
        <w:rPr>
          <w:rFonts w:hint="eastAsia"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lang w:val="en-US" w:eastAsia="zh-CN"/>
        </w:rPr>
        <w:t>预算管理的项目，在年度执行中，跟踪了解每一项目的进展情况，及时申请用款计划，保证各项款项及时支付。</w:t>
      </w:r>
    </w:p>
    <w:p w14:paraId="329F1B49">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严格执行“三公”经费预算。2024年街道继续认真贯彻中央八项规定及其实施细则、省十项规定及其实施细则，以及《党政机关厉行节约反对浪费条例》，加强“三公”经费管理，使其支出范围得到有效控制。</w:t>
      </w:r>
    </w:p>
    <w:p w14:paraId="30FD4A6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C55DAA1">
      <w:pPr>
        <w:keepNext w:val="0"/>
        <w:keepLines w:val="0"/>
        <w:pageBreakBefore w:val="0"/>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（一）评价结论。</w:t>
      </w:r>
    </w:p>
    <w:p w14:paraId="646BDA81">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根据</w:t>
      </w:r>
      <w:r>
        <w:rPr>
          <w:rFonts w:hint="eastAsia" w:eastAsia="方正仿宋_GBK" w:cs="Times New Roman"/>
          <w:sz w:val="32"/>
          <w:szCs w:val="32"/>
          <w:highlight w:val="none"/>
          <w:lang w:val="zh-CN" w:eastAsia="zh-CN"/>
        </w:rPr>
        <w:t>单位</w:t>
      </w:r>
      <w:r>
        <w:rPr>
          <w:rFonts w:hint="default" w:ascii="Times New Roman" w:hAnsi="Times New Roman" w:eastAsia="方正仿宋_GBK" w:cs="Times New Roman"/>
          <w:sz w:val="32"/>
          <w:szCs w:val="32"/>
          <w:highlight w:val="none"/>
          <w:lang w:val="zh-CN" w:eastAsia="zh-CN"/>
        </w:rPr>
        <w:t>整体支出绩效评价指标规定的内容，街道认真自评，2024年度</w:t>
      </w:r>
      <w:r>
        <w:rPr>
          <w:rFonts w:hint="eastAsia" w:eastAsia="方正仿宋_GBK" w:cs="Times New Roman"/>
          <w:sz w:val="32"/>
          <w:szCs w:val="32"/>
          <w:highlight w:val="none"/>
          <w:lang w:val="zh-CN" w:eastAsia="zh-CN"/>
        </w:rPr>
        <w:t>单位</w:t>
      </w:r>
      <w:r>
        <w:rPr>
          <w:rFonts w:hint="default" w:ascii="Times New Roman" w:hAnsi="Times New Roman" w:eastAsia="方正仿宋_GBK" w:cs="Times New Roman"/>
          <w:sz w:val="32"/>
          <w:szCs w:val="32"/>
          <w:highlight w:val="none"/>
          <w:lang w:val="zh-CN" w:eastAsia="zh-CN"/>
        </w:rPr>
        <w:t>整体绩效评价得分为</w:t>
      </w:r>
      <w:r>
        <w:rPr>
          <w:rFonts w:hint="default" w:ascii="Times New Roman" w:hAnsi="Times New Roman" w:eastAsia="方正仿宋_GBK" w:cs="Times New Roman"/>
          <w:sz w:val="32"/>
          <w:szCs w:val="32"/>
          <w:highlight w:val="none"/>
          <w:lang w:val="en-US" w:eastAsia="zh-CN"/>
        </w:rPr>
        <w:t>97</w:t>
      </w:r>
      <w:r>
        <w:rPr>
          <w:rFonts w:hint="default" w:ascii="Times New Roman" w:hAnsi="Times New Roman" w:eastAsia="方正仿宋_GBK" w:cs="Times New Roman"/>
          <w:sz w:val="32"/>
          <w:szCs w:val="32"/>
          <w:highlight w:val="none"/>
          <w:lang w:val="zh-CN" w:eastAsia="zh-CN"/>
        </w:rPr>
        <w:t>分。</w:t>
      </w:r>
      <w:r>
        <w:rPr>
          <w:rFonts w:hint="default" w:ascii="Times New Roman" w:hAnsi="Times New Roman" w:eastAsia="方正仿宋_GBK" w:cs="Times New Roman"/>
          <w:b/>
          <w:bCs/>
          <w:sz w:val="32"/>
          <w:szCs w:val="32"/>
          <w:highlight w:val="none"/>
          <w:lang w:val="en-US" w:eastAsia="zh-CN"/>
        </w:rPr>
        <w:t>一是</w:t>
      </w:r>
      <w:r>
        <w:rPr>
          <w:rFonts w:hint="default" w:ascii="Times New Roman" w:hAnsi="Times New Roman" w:eastAsia="方正仿宋_GBK" w:cs="Times New Roman"/>
          <w:sz w:val="32"/>
          <w:szCs w:val="32"/>
          <w:highlight w:val="none"/>
          <w:lang w:val="en-US" w:eastAsia="zh-CN"/>
        </w:rPr>
        <w:t>预算编制方面。及时做好年度财政资金预算编制工作，做到应编尽编。</w:t>
      </w:r>
      <w:r>
        <w:rPr>
          <w:rFonts w:hint="default" w:ascii="Times New Roman" w:hAnsi="Times New Roman" w:eastAsia="方正仿宋_GBK" w:cs="Times New Roman"/>
          <w:b/>
          <w:bCs/>
          <w:sz w:val="32"/>
          <w:szCs w:val="32"/>
          <w:highlight w:val="none"/>
          <w:lang w:val="en-US" w:eastAsia="zh-CN"/>
        </w:rPr>
        <w:t>二是</w:t>
      </w:r>
      <w:r>
        <w:rPr>
          <w:rFonts w:hint="default" w:ascii="Times New Roman" w:hAnsi="Times New Roman" w:eastAsia="方正仿宋_GBK" w:cs="Times New Roman"/>
          <w:sz w:val="32"/>
          <w:szCs w:val="32"/>
          <w:highlight w:val="none"/>
          <w:lang w:val="en-US" w:eastAsia="zh-CN"/>
        </w:rPr>
        <w:t>在资金使用和管理方面。进一步强化资金统筹，优化资金结构，明确开支范围，细化资金用途，确保</w:t>
      </w:r>
      <w:r>
        <w:rPr>
          <w:rFonts w:hint="eastAsia"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lang w:val="en-US" w:eastAsia="zh-CN"/>
        </w:rPr>
        <w:t>职责任务顺利完成。</w:t>
      </w:r>
      <w:r>
        <w:rPr>
          <w:rFonts w:hint="default" w:ascii="Times New Roman" w:hAnsi="Times New Roman" w:eastAsia="方正仿宋_GBK" w:cs="Times New Roman"/>
          <w:b/>
          <w:bCs/>
          <w:sz w:val="32"/>
          <w:szCs w:val="32"/>
          <w:highlight w:val="none"/>
          <w:lang w:val="en-US" w:eastAsia="zh-CN"/>
        </w:rPr>
        <w:t>三是</w:t>
      </w:r>
      <w:r>
        <w:rPr>
          <w:rFonts w:hint="default" w:ascii="Times New Roman" w:hAnsi="Times New Roman" w:eastAsia="方正仿宋_GBK" w:cs="Times New Roman"/>
          <w:sz w:val="32"/>
          <w:szCs w:val="32"/>
          <w:highlight w:val="none"/>
          <w:lang w:val="en-US" w:eastAsia="zh-CN"/>
        </w:rPr>
        <w:t>资产管理方面。</w:t>
      </w:r>
      <w:r>
        <w:rPr>
          <w:rFonts w:hint="default" w:ascii="Times New Roman" w:hAnsi="Times New Roman" w:eastAsia="方正仿宋_GBK" w:cs="Times New Roman"/>
          <w:sz w:val="32"/>
          <w:szCs w:val="32"/>
          <w:highlight w:val="none"/>
          <w:lang w:val="zh-CN" w:eastAsia="zh-CN"/>
        </w:rPr>
        <w:t>准确、全面开展资产清查工作，及时足额将非税收入缴入财政国库。</w:t>
      </w:r>
    </w:p>
    <w:p w14:paraId="226E431A">
      <w:pPr>
        <w:keepNext w:val="0"/>
        <w:keepLines w:val="0"/>
        <w:pageBreakBefore w:val="0"/>
        <w:suppressAutoHyphens/>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综合2024年度财政预决算项目绩效评价情况认为，通过绩效评价树立了绩效理念，加强了对资金的监管，全年项目支出达到预期绩效目标，提高了财政资金的使用效率。</w:t>
      </w:r>
    </w:p>
    <w:p w14:paraId="241FE1DE">
      <w:pPr>
        <w:keepNext w:val="0"/>
        <w:keepLines w:val="0"/>
        <w:pageBreakBefore w:val="0"/>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（二）存在问题。</w:t>
      </w:r>
    </w:p>
    <w:p w14:paraId="790F9A31">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一是</w:t>
      </w:r>
      <w:r>
        <w:rPr>
          <w:rFonts w:hint="default" w:ascii="Times New Roman" w:hAnsi="Times New Roman" w:eastAsia="方正仿宋_GBK" w:cs="Times New Roman"/>
          <w:sz w:val="32"/>
          <w:szCs w:val="32"/>
          <w:highlight w:val="none"/>
          <w:lang w:val="en-US" w:eastAsia="zh-CN"/>
        </w:rPr>
        <w:t>预算绩效指标设置的科学性还需进一步加强。</w:t>
      </w:r>
      <w:r>
        <w:rPr>
          <w:rFonts w:hint="default" w:ascii="Times New Roman" w:hAnsi="Times New Roman" w:eastAsia="方正仿宋_GBK" w:cs="Times New Roman"/>
          <w:b/>
          <w:bCs/>
          <w:sz w:val="32"/>
          <w:szCs w:val="32"/>
          <w:highlight w:val="none"/>
          <w:lang w:val="en-US" w:eastAsia="zh-CN"/>
        </w:rPr>
        <w:t>二</w:t>
      </w:r>
      <w:r>
        <w:rPr>
          <w:rFonts w:hint="default" w:ascii="Times New Roman" w:hAnsi="Times New Roman" w:eastAsia="方正仿宋_GBK" w:cs="Times New Roman"/>
          <w:b/>
          <w:bCs/>
          <w:sz w:val="32"/>
          <w:szCs w:val="32"/>
          <w:highlight w:val="none"/>
          <w:lang w:val="zh-CN" w:eastAsia="zh-CN"/>
        </w:rPr>
        <w:t>是</w:t>
      </w:r>
      <w:r>
        <w:rPr>
          <w:rFonts w:hint="default" w:ascii="Times New Roman" w:hAnsi="Times New Roman" w:eastAsia="方正仿宋_GBK" w:cs="Times New Roman"/>
          <w:sz w:val="32"/>
          <w:szCs w:val="32"/>
          <w:highlight w:val="none"/>
          <w:lang w:val="zh-CN" w:eastAsia="zh-CN"/>
        </w:rPr>
        <w:t>需进一步强化财务约束监督体制。</w:t>
      </w:r>
    </w:p>
    <w:p w14:paraId="0B485039">
      <w:pPr>
        <w:keepNext w:val="0"/>
        <w:keepLines w:val="0"/>
        <w:pageBreakBefore w:val="0"/>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（三）改进建议。</w:t>
      </w:r>
      <w:bookmarkStart w:id="52" w:name="_Hlk110546638"/>
    </w:p>
    <w:bookmarkEnd w:id="52"/>
    <w:p w14:paraId="5B459D80">
      <w:pPr>
        <w:keepNext w:val="0"/>
        <w:keepLines w:val="0"/>
        <w:pageBreakBefore w:val="0"/>
        <w:suppressAutoHyphens/>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b/>
          <w:bCs/>
          <w:sz w:val="32"/>
          <w:szCs w:val="32"/>
          <w:highlight w:val="none"/>
          <w:lang w:val="en-US" w:eastAsia="zh-CN"/>
        </w:rPr>
        <w:t>一是</w:t>
      </w:r>
      <w:r>
        <w:rPr>
          <w:rFonts w:hint="default" w:ascii="Times New Roman" w:hAnsi="Times New Roman" w:eastAsia="方正仿宋_GBK" w:cs="Times New Roman"/>
          <w:sz w:val="32"/>
          <w:szCs w:val="32"/>
          <w:highlight w:val="none"/>
          <w:lang w:val="en-US" w:eastAsia="zh-CN"/>
        </w:rPr>
        <w:t>完善内部监督控制制度</w:t>
      </w:r>
      <w:r>
        <w:rPr>
          <w:rFonts w:hint="default" w:ascii="Times New Roman" w:hAnsi="Times New Roman" w:eastAsia="方正仿宋_GBK" w:cs="Times New Roman"/>
          <w:sz w:val="32"/>
          <w:szCs w:val="32"/>
          <w:highlight w:val="none"/>
          <w:lang w:val="zh-CN" w:eastAsia="zh-CN"/>
        </w:rPr>
        <w:t>。把绩效评价作为</w:t>
      </w:r>
      <w:r>
        <w:rPr>
          <w:rFonts w:hint="eastAsia" w:eastAsia="方正仿宋_GBK" w:cs="Times New Roman"/>
          <w:sz w:val="32"/>
          <w:szCs w:val="32"/>
          <w:highlight w:val="none"/>
          <w:lang w:val="zh-CN" w:eastAsia="zh-CN"/>
        </w:rPr>
        <w:t>单位</w:t>
      </w:r>
      <w:r>
        <w:rPr>
          <w:rFonts w:hint="default" w:ascii="Times New Roman" w:hAnsi="Times New Roman" w:eastAsia="方正仿宋_GBK" w:cs="Times New Roman"/>
          <w:sz w:val="32"/>
          <w:szCs w:val="32"/>
          <w:highlight w:val="none"/>
          <w:lang w:val="zh-CN" w:eastAsia="zh-CN"/>
        </w:rPr>
        <w:t>内控的日常工作，建立绩效评价管理工作考核长效机制。科学设定绩效目标，加强预算执行管理。</w:t>
      </w:r>
      <w:r>
        <w:rPr>
          <w:rFonts w:hint="default" w:ascii="Times New Roman" w:hAnsi="Times New Roman" w:eastAsia="方正仿宋_GBK" w:cs="Times New Roman"/>
          <w:b/>
          <w:bCs/>
          <w:sz w:val="32"/>
          <w:szCs w:val="32"/>
          <w:highlight w:val="none"/>
          <w:lang w:val="en-US" w:eastAsia="zh-CN"/>
        </w:rPr>
        <w:t>二是</w:t>
      </w:r>
      <w:r>
        <w:rPr>
          <w:rFonts w:hint="default" w:ascii="Times New Roman" w:hAnsi="Times New Roman" w:eastAsia="方正仿宋_GBK" w:cs="Times New Roman"/>
          <w:sz w:val="32"/>
          <w:szCs w:val="32"/>
          <w:highlight w:val="none"/>
          <w:lang w:val="en-US" w:eastAsia="zh-CN"/>
        </w:rPr>
        <w:t>强化</w:t>
      </w:r>
      <w:r>
        <w:rPr>
          <w:rFonts w:hint="default" w:ascii="Times New Roman" w:hAnsi="Times New Roman" w:eastAsia="方正仿宋_GBK" w:cs="Times New Roman"/>
          <w:sz w:val="32"/>
          <w:szCs w:val="32"/>
          <w:highlight w:val="none"/>
          <w:lang w:val="zh-CN" w:eastAsia="zh-CN"/>
        </w:rPr>
        <w:t>绩效管理。街道内</w:t>
      </w:r>
      <w:r>
        <w:rPr>
          <w:rFonts w:hint="default" w:ascii="Times New Roman" w:hAnsi="Times New Roman" w:eastAsia="方正仿宋_GBK" w:cs="Times New Roman"/>
          <w:sz w:val="32"/>
          <w:szCs w:val="32"/>
          <w:highlight w:val="none"/>
          <w:lang w:val="en-US" w:eastAsia="zh-CN"/>
        </w:rPr>
        <w:t>设</w:t>
      </w:r>
      <w:r>
        <w:rPr>
          <w:rFonts w:hint="default" w:ascii="Times New Roman" w:hAnsi="Times New Roman" w:eastAsia="方正仿宋_GBK" w:cs="Times New Roman"/>
          <w:sz w:val="32"/>
          <w:szCs w:val="32"/>
          <w:highlight w:val="none"/>
          <w:lang w:val="zh-CN" w:eastAsia="zh-CN"/>
        </w:rPr>
        <w:t>机构进行相应的优化，</w:t>
      </w:r>
      <w:r>
        <w:rPr>
          <w:rFonts w:hint="default" w:ascii="Times New Roman" w:hAnsi="Times New Roman" w:eastAsia="方正仿宋_GBK" w:cs="Times New Roman"/>
          <w:sz w:val="32"/>
          <w:szCs w:val="32"/>
          <w:highlight w:val="none"/>
          <w:lang w:val="en-US" w:eastAsia="zh-CN"/>
        </w:rPr>
        <w:t>合理设置不相容岗位，</w:t>
      </w:r>
      <w:r>
        <w:rPr>
          <w:rFonts w:hint="default" w:ascii="Times New Roman" w:hAnsi="Times New Roman" w:eastAsia="方正仿宋_GBK" w:cs="Times New Roman"/>
          <w:sz w:val="32"/>
          <w:szCs w:val="32"/>
          <w:highlight w:val="none"/>
          <w:lang w:val="zh-CN" w:eastAsia="zh-CN"/>
        </w:rPr>
        <w:t>发挥好监督作用，努力提升工作绩效。</w:t>
      </w:r>
    </w:p>
    <w:p w14:paraId="018FA535">
      <w:pPr>
        <w:pStyle w:val="15"/>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7FC5EB67">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2CBB0B76">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6896D011">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3E6A7981">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1C7ACB39">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0435BB90">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4D06B306">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04464C2D">
      <w:pPr>
        <w:pStyle w:val="8"/>
        <w:keepNext w:val="0"/>
        <w:keepLines w:val="0"/>
        <w:pageBreakBefore w:val="0"/>
        <w:kinsoku/>
        <w:wordWrap/>
        <w:overflowPunct/>
        <w:topLinePunct w:val="0"/>
        <w:bidi w:val="0"/>
        <w:spacing w:line="560" w:lineRule="exact"/>
        <w:ind w:leftChars="0" w:firstLine="640" w:firstLineChars="200"/>
        <w:textAlignment w:val="auto"/>
        <w:rPr>
          <w:rFonts w:hint="default" w:ascii="Times New Roman" w:hAnsi="Times New Roman" w:eastAsia="方正仿宋_GBK" w:cs="Times New Roman"/>
          <w:sz w:val="32"/>
          <w:szCs w:val="32"/>
          <w:highlight w:val="none"/>
          <w:lang w:val="zh-CN" w:eastAsia="zh-CN"/>
        </w:rPr>
      </w:pPr>
    </w:p>
    <w:p w14:paraId="61273FDA">
      <w:pPr>
        <w:pStyle w:val="8"/>
        <w:pageBreakBefore w:val="0"/>
        <w:kinsoku/>
        <w:wordWrap/>
        <w:overflowPunct/>
        <w:bidi w:val="0"/>
        <w:spacing w:line="240" w:lineRule="auto"/>
        <w:ind w:leftChars="0" w:firstLine="640" w:firstLineChars="200"/>
        <w:rPr>
          <w:rFonts w:hint="default" w:ascii="Times New Roman" w:hAnsi="Times New Roman" w:eastAsia="方正仿宋_GBK" w:cs="Times New Roman"/>
          <w:sz w:val="32"/>
          <w:szCs w:val="32"/>
          <w:highlight w:val="none"/>
          <w:lang w:val="zh-CN" w:eastAsia="zh-CN"/>
        </w:rPr>
      </w:pPr>
    </w:p>
    <w:p w14:paraId="72F9456F">
      <w:pPr>
        <w:pStyle w:val="8"/>
        <w:pageBreakBefore w:val="0"/>
        <w:kinsoku/>
        <w:wordWrap/>
        <w:overflowPunct/>
        <w:bidi w:val="0"/>
        <w:spacing w:line="240" w:lineRule="auto"/>
        <w:ind w:leftChars="0" w:firstLine="640" w:firstLineChars="200"/>
        <w:rPr>
          <w:rFonts w:hint="default" w:ascii="Times New Roman" w:hAnsi="Times New Roman" w:eastAsia="方正仿宋_GBK" w:cs="Times New Roman"/>
          <w:sz w:val="32"/>
          <w:szCs w:val="32"/>
          <w:highlight w:val="none"/>
          <w:lang w:val="zh-CN" w:eastAsia="zh-CN"/>
        </w:rPr>
      </w:pPr>
    </w:p>
    <w:p w14:paraId="7B2FA3F2">
      <w:pPr>
        <w:pStyle w:val="8"/>
        <w:pageBreakBefore w:val="0"/>
        <w:kinsoku/>
        <w:wordWrap/>
        <w:overflowPunct/>
        <w:bidi w:val="0"/>
        <w:spacing w:line="240" w:lineRule="auto"/>
        <w:ind w:leftChars="0" w:firstLine="640" w:firstLineChars="200"/>
        <w:rPr>
          <w:rFonts w:hint="default" w:ascii="Times New Roman" w:hAnsi="Times New Roman" w:eastAsia="方正仿宋_GBK" w:cs="Times New Roman"/>
          <w:sz w:val="32"/>
          <w:szCs w:val="32"/>
          <w:highlight w:val="none"/>
          <w:lang w:val="zh-CN" w:eastAsia="zh-CN"/>
        </w:rPr>
      </w:pPr>
    </w:p>
    <w:p w14:paraId="1A900352">
      <w:pPr>
        <w:pStyle w:val="8"/>
        <w:pageBreakBefore w:val="0"/>
        <w:kinsoku/>
        <w:wordWrap/>
        <w:overflowPunct/>
        <w:bidi w:val="0"/>
        <w:spacing w:line="240" w:lineRule="auto"/>
        <w:ind w:leftChars="0" w:firstLine="640" w:firstLineChars="200"/>
        <w:rPr>
          <w:rFonts w:hint="default" w:ascii="Times New Roman" w:hAnsi="Times New Roman" w:eastAsia="方正仿宋_GBK" w:cs="Times New Roman"/>
          <w:sz w:val="32"/>
          <w:szCs w:val="32"/>
          <w:highlight w:val="none"/>
          <w:lang w:val="zh-CN" w:eastAsia="zh-CN"/>
        </w:rPr>
      </w:pPr>
    </w:p>
    <w:p w14:paraId="22F4352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 w:cs="Times New Roman"/>
          <w:b w:val="0"/>
          <w:color w:val="auto"/>
          <w:sz w:val="44"/>
          <w:szCs w:val="44"/>
          <w:highlight w:val="none"/>
        </w:rPr>
      </w:pPr>
      <w:bookmarkStart w:id="53" w:name="_Toc15396618"/>
      <w:r>
        <w:rPr>
          <w:rFonts w:hint="default" w:ascii="Times New Roman" w:hAnsi="Times New Roman" w:eastAsia="黑体" w:cs="Times New Roman"/>
          <w:color w:val="auto"/>
          <w:sz w:val="44"/>
          <w:szCs w:val="44"/>
          <w:highlight w:val="none"/>
        </w:rPr>
        <w:t>第</w:t>
      </w:r>
      <w:r>
        <w:rPr>
          <w:rStyle w:val="32"/>
          <w:rFonts w:hint="default" w:ascii="Times New Roman" w:hAnsi="Times New Roman" w:eastAsia="黑体" w:cs="Times New Roman"/>
          <w:b w:val="0"/>
          <w:color w:val="auto"/>
          <w:sz w:val="44"/>
          <w:szCs w:val="44"/>
          <w:highlight w:val="none"/>
        </w:rPr>
        <w:t>五部分 附表</w:t>
      </w:r>
      <w:bookmarkEnd w:id="49"/>
      <w:bookmarkEnd w:id="53"/>
      <w:bookmarkStart w:id="54" w:name="_Toc15396619"/>
    </w:p>
    <w:p w14:paraId="3F1E2B6C">
      <w:pPr>
        <w:pStyle w:val="16"/>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p>
    <w:p w14:paraId="16C965E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一、收入支出决算总表</w:t>
      </w:r>
      <w:bookmarkEnd w:id="54"/>
    </w:p>
    <w:p w14:paraId="64B9A1C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55" w:name="_Toc15396620"/>
      <w:r>
        <w:rPr>
          <w:rFonts w:hint="eastAsia" w:ascii="方正仿宋_GBK" w:hAnsi="方正仿宋_GBK" w:eastAsia="方正仿宋_GBK" w:cs="方正仿宋_GBK"/>
          <w:color w:val="auto"/>
          <w:sz w:val="32"/>
          <w:szCs w:val="32"/>
          <w:highlight w:val="none"/>
        </w:rPr>
        <w:t>二、收入决算表</w:t>
      </w:r>
      <w:bookmarkEnd w:id="55"/>
    </w:p>
    <w:p w14:paraId="30A90C1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56" w:name="_Toc15396621"/>
      <w:r>
        <w:rPr>
          <w:rFonts w:hint="eastAsia" w:ascii="方正仿宋_GBK" w:hAnsi="方正仿宋_GBK" w:eastAsia="方正仿宋_GBK" w:cs="方正仿宋_GBK"/>
          <w:color w:val="auto"/>
          <w:sz w:val="32"/>
          <w:szCs w:val="32"/>
          <w:highlight w:val="none"/>
        </w:rPr>
        <w:t>三、支出决算表</w:t>
      </w:r>
      <w:bookmarkEnd w:id="56"/>
    </w:p>
    <w:p w14:paraId="4362D0A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57" w:name="_Toc15396622"/>
      <w:r>
        <w:rPr>
          <w:rFonts w:hint="eastAsia" w:ascii="方正仿宋_GBK" w:hAnsi="方正仿宋_GBK" w:eastAsia="方正仿宋_GBK" w:cs="方正仿宋_GBK"/>
          <w:color w:val="auto"/>
          <w:sz w:val="32"/>
          <w:szCs w:val="32"/>
          <w:highlight w:val="none"/>
        </w:rPr>
        <w:t>四、财政拨款收入支出决算总表</w:t>
      </w:r>
      <w:bookmarkEnd w:id="57"/>
    </w:p>
    <w:p w14:paraId="4DEF887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58" w:name="_Toc15396623"/>
      <w:r>
        <w:rPr>
          <w:rFonts w:hint="eastAsia" w:ascii="方正仿宋_GBK" w:hAnsi="方正仿宋_GBK" w:eastAsia="方正仿宋_GBK" w:cs="方正仿宋_GBK"/>
          <w:color w:val="auto"/>
          <w:sz w:val="32"/>
          <w:szCs w:val="32"/>
          <w:highlight w:val="none"/>
        </w:rPr>
        <w:t>五、财政拨款支出决算明细表</w:t>
      </w:r>
      <w:bookmarkEnd w:id="58"/>
      <w:bookmarkStart w:id="59" w:name="_Toc15396624"/>
    </w:p>
    <w:p w14:paraId="43F10BF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六、一般公共预算财政拨款支出决算表</w:t>
      </w:r>
      <w:bookmarkEnd w:id="59"/>
    </w:p>
    <w:p w14:paraId="23FFFD8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60" w:name="_Toc15396625"/>
      <w:r>
        <w:rPr>
          <w:rFonts w:hint="eastAsia" w:ascii="方正仿宋_GBK" w:hAnsi="方正仿宋_GBK" w:eastAsia="方正仿宋_GBK" w:cs="方正仿宋_GBK"/>
          <w:color w:val="auto"/>
          <w:sz w:val="32"/>
          <w:szCs w:val="32"/>
          <w:highlight w:val="none"/>
        </w:rPr>
        <w:t>七、一般公共预算财政拨款支出决算明细表</w:t>
      </w:r>
      <w:bookmarkEnd w:id="60"/>
    </w:p>
    <w:p w14:paraId="7738968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61" w:name="_Toc15396626"/>
      <w:r>
        <w:rPr>
          <w:rFonts w:hint="eastAsia" w:ascii="方正仿宋_GBK" w:hAnsi="方正仿宋_GBK" w:eastAsia="方正仿宋_GBK" w:cs="方正仿宋_GBK"/>
          <w:color w:val="auto"/>
          <w:sz w:val="32"/>
          <w:szCs w:val="32"/>
          <w:highlight w:val="none"/>
        </w:rPr>
        <w:t>八、一般公共预算财政拨款基本支出决算表</w:t>
      </w:r>
      <w:bookmarkEnd w:id="61"/>
    </w:p>
    <w:p w14:paraId="4FDB2B4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62" w:name="_Toc15396627"/>
      <w:r>
        <w:rPr>
          <w:rFonts w:hint="eastAsia" w:ascii="方正仿宋_GBK" w:hAnsi="方正仿宋_GBK" w:eastAsia="方正仿宋_GBK" w:cs="方正仿宋_GBK"/>
          <w:color w:val="auto"/>
          <w:sz w:val="32"/>
          <w:szCs w:val="32"/>
          <w:highlight w:val="none"/>
        </w:rPr>
        <w:t>九、一般公共预算财政拨款项目支出决算表</w:t>
      </w:r>
      <w:bookmarkEnd w:id="62"/>
    </w:p>
    <w:p w14:paraId="647608B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63" w:name="_Toc15396628"/>
      <w:r>
        <w:rPr>
          <w:rFonts w:hint="eastAsia" w:ascii="方正仿宋_GBK" w:hAnsi="方正仿宋_GBK" w:eastAsia="方正仿宋_GBK" w:cs="方正仿宋_GBK"/>
          <w:color w:val="auto"/>
          <w:sz w:val="32"/>
          <w:szCs w:val="32"/>
          <w:highlight w:val="none"/>
        </w:rPr>
        <w:t>十、</w:t>
      </w:r>
      <w:bookmarkEnd w:id="63"/>
      <w:r>
        <w:rPr>
          <w:rFonts w:hint="eastAsia" w:ascii="方正仿宋_GBK" w:hAnsi="方正仿宋_GBK" w:eastAsia="方正仿宋_GBK" w:cs="方正仿宋_GBK"/>
          <w:color w:val="auto"/>
          <w:sz w:val="32"/>
          <w:szCs w:val="32"/>
          <w:highlight w:val="none"/>
        </w:rPr>
        <w:t>政府性基金预算财政拨款收入支出决算表</w:t>
      </w:r>
    </w:p>
    <w:p w14:paraId="0BAA181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64" w:name="_Toc15396629"/>
      <w:r>
        <w:rPr>
          <w:rFonts w:hint="eastAsia" w:ascii="方正仿宋_GBK" w:hAnsi="方正仿宋_GBK" w:eastAsia="方正仿宋_GBK" w:cs="方正仿宋_GBK"/>
          <w:color w:val="auto"/>
          <w:sz w:val="32"/>
          <w:szCs w:val="32"/>
          <w:highlight w:val="none"/>
        </w:rPr>
        <w:t>十一、</w:t>
      </w:r>
      <w:bookmarkEnd w:id="64"/>
      <w:r>
        <w:rPr>
          <w:rFonts w:hint="eastAsia" w:ascii="方正仿宋_GBK" w:hAnsi="方正仿宋_GBK" w:eastAsia="方正仿宋_GBK" w:cs="方正仿宋_GBK"/>
          <w:color w:val="auto"/>
          <w:sz w:val="32"/>
          <w:szCs w:val="32"/>
          <w:highlight w:val="none"/>
        </w:rPr>
        <w:t>国有资本经营预算</w:t>
      </w:r>
      <w:r>
        <w:rPr>
          <w:rFonts w:hint="eastAsia" w:ascii="方正仿宋_GBK" w:hAnsi="方正仿宋_GBK" w:eastAsia="方正仿宋_GBK" w:cs="方正仿宋_GBK"/>
          <w:color w:val="auto"/>
          <w:sz w:val="32"/>
          <w:szCs w:val="32"/>
          <w:highlight w:val="none"/>
          <w:lang w:eastAsia="zh-CN"/>
        </w:rPr>
        <w:t>财政拨款收入</w:t>
      </w:r>
      <w:r>
        <w:rPr>
          <w:rFonts w:hint="eastAsia" w:ascii="方正仿宋_GBK" w:hAnsi="方正仿宋_GBK" w:eastAsia="方正仿宋_GBK" w:cs="方正仿宋_GBK"/>
          <w:color w:val="auto"/>
          <w:sz w:val="32"/>
          <w:szCs w:val="32"/>
          <w:highlight w:val="none"/>
        </w:rPr>
        <w:t>支出决算表</w:t>
      </w:r>
    </w:p>
    <w:p w14:paraId="339B4AE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bookmarkStart w:id="65" w:name="_Toc15396630"/>
      <w:r>
        <w:rPr>
          <w:rFonts w:hint="eastAsia" w:ascii="方正仿宋_GBK" w:hAnsi="方正仿宋_GBK" w:eastAsia="方正仿宋_GBK" w:cs="方正仿宋_GBK"/>
          <w:color w:val="auto"/>
          <w:sz w:val="32"/>
          <w:szCs w:val="32"/>
          <w:highlight w:val="none"/>
        </w:rPr>
        <w:t>十二、</w:t>
      </w:r>
      <w:bookmarkEnd w:id="65"/>
      <w:r>
        <w:rPr>
          <w:rFonts w:hint="eastAsia" w:ascii="方正仿宋_GBK" w:hAnsi="方正仿宋_GBK" w:eastAsia="方正仿宋_GBK" w:cs="方正仿宋_GBK"/>
          <w:color w:val="auto"/>
          <w:sz w:val="32"/>
          <w:szCs w:val="32"/>
          <w:highlight w:val="none"/>
          <w:lang w:eastAsia="zh-CN"/>
        </w:rPr>
        <w:t>国有资本经营预算财政拨款支出决算表</w:t>
      </w:r>
    </w:p>
    <w:p w14:paraId="6ADDABB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bookmarkStart w:id="66" w:name="_Toc15396631"/>
      <w:r>
        <w:rPr>
          <w:rFonts w:hint="eastAsia" w:ascii="方正仿宋_GBK" w:hAnsi="方正仿宋_GBK" w:eastAsia="方正仿宋_GBK" w:cs="方正仿宋_GBK"/>
          <w:color w:val="auto"/>
          <w:sz w:val="32"/>
          <w:szCs w:val="32"/>
          <w:highlight w:val="none"/>
        </w:rPr>
        <w:t>十三、</w:t>
      </w:r>
      <w:bookmarkEnd w:id="66"/>
      <w:r>
        <w:rPr>
          <w:rFonts w:hint="eastAsia" w:ascii="方正仿宋_GBK" w:hAnsi="方正仿宋_GBK" w:eastAsia="方正仿宋_GBK" w:cs="方正仿宋_GBK"/>
          <w:color w:val="auto"/>
          <w:sz w:val="32"/>
          <w:szCs w:val="32"/>
          <w:highlight w:val="none"/>
          <w:lang w:eastAsia="zh-CN"/>
        </w:rPr>
        <w:t>财政拨款“三公”经费支出决算表</w:t>
      </w:r>
    </w:p>
    <w:p w14:paraId="79D0DA04">
      <w:pPr>
        <w:keepNext w:val="0"/>
        <w:keepLines w:val="0"/>
        <w:pageBreakBefore w:val="0"/>
        <w:kinsoku/>
        <w:wordWrap/>
        <w:overflowPunct/>
        <w:topLinePunct w:val="0"/>
        <w:autoSpaceDE/>
        <w:autoSpaceDN/>
        <w:bidi w:val="0"/>
        <w:spacing w:line="560" w:lineRule="exact"/>
        <w:ind w:left="0" w:leftChars="0" w:firstLine="420" w:firstLineChars="200"/>
        <w:textAlignment w:val="auto"/>
        <w:rPr>
          <w:rFonts w:hint="eastAsia" w:ascii="方正仿宋_GBK" w:hAnsi="方正仿宋_GBK" w:eastAsia="方正仿宋_GBK" w:cs="方正仿宋_GBK"/>
          <w:lang w:eastAsia="zh-CN"/>
        </w:rPr>
      </w:pPr>
    </w:p>
    <w:sectPr>
      <w:footerReference r:id="rId7" w:type="first"/>
      <w:footerReference r:id="rId6" w:type="default"/>
      <w:pgSz w:w="11906" w:h="16838"/>
      <w:pgMar w:top="2098" w:right="1800" w:bottom="1440"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3A5AE9-9B50-48ED-860B-28AC51D594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73DB2F8-133F-4F4B-AE5D-B0FCF5936C56}"/>
  </w:font>
  <w:font w:name="仿宋">
    <w:panose1 w:val="02010609060101010101"/>
    <w:charset w:val="86"/>
    <w:family w:val="modern"/>
    <w:pitch w:val="default"/>
    <w:sig w:usb0="800002BF" w:usb1="38CF7CFA" w:usb2="00000016" w:usb3="00000000" w:csb0="00040001" w:csb1="00000000"/>
    <w:embedRegular r:id="rId3" w:fontKey="{C3F4713B-E12B-4C7E-9C6A-953F7BAA90C5}"/>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A47BD58A-118D-4F90-BD45-23A92A74E1A2}"/>
  </w:font>
  <w:font w:name="楷体_GB2312">
    <w:panose1 w:val="02010609030101010101"/>
    <w:charset w:val="86"/>
    <w:family w:val="auto"/>
    <w:pitch w:val="default"/>
    <w:sig w:usb0="00000001" w:usb1="080E0000" w:usb2="00000000" w:usb3="00000000" w:csb0="00040000" w:csb1="00000000"/>
    <w:embedRegular r:id="rId5" w:fontKey="{68D3E8F3-84A2-48F9-ACCF-F1C4DD944C5C}"/>
  </w:font>
  <w:font w:name="方正楷体_GBK">
    <w:panose1 w:val="03000509000000000000"/>
    <w:charset w:val="86"/>
    <w:family w:val="auto"/>
    <w:pitch w:val="default"/>
    <w:sig w:usb0="00000001" w:usb1="080E0000" w:usb2="00000000" w:usb3="00000000" w:csb0="00040000" w:csb1="00000000"/>
    <w:embedRegular r:id="rId6" w:fontKey="{3470942A-EEA3-4071-A787-74B52317787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307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00275D">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00275D">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463FAED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565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4C8626">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0E4C8626">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A11B">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8FFE99">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38FFE99">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127DD74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648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D80F55">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19D80F55">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EB9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89073"/>
    <w:multiLevelType w:val="singleLevel"/>
    <w:tmpl w:val="EF689073"/>
    <w:lvl w:ilvl="0" w:tentative="0">
      <w:start w:val="2"/>
      <w:numFmt w:val="chineseCounting"/>
      <w:suff w:val="nothing"/>
      <w:lvlText w:val="（%1）"/>
      <w:lvlJc w:val="left"/>
      <w:rPr>
        <w:rFonts w:hint="eastAsia"/>
      </w:rPr>
    </w:lvl>
  </w:abstractNum>
  <w:abstractNum w:abstractNumId="1">
    <w:nsid w:val="619CF94E"/>
    <w:multiLevelType w:val="singleLevel"/>
    <w:tmpl w:val="619CF9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Y2FkMWJhZmJmOTJiMTA2YjQxZDY2NTBjOTlkY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75C7B"/>
    <w:rsid w:val="00F81FD9"/>
    <w:rsid w:val="00F841AA"/>
    <w:rsid w:val="00F84A94"/>
    <w:rsid w:val="00F87E96"/>
    <w:rsid w:val="00FA23E8"/>
    <w:rsid w:val="00FD3CC1"/>
    <w:rsid w:val="00FF1E02"/>
    <w:rsid w:val="00FF30B4"/>
    <w:rsid w:val="012A5EC2"/>
    <w:rsid w:val="013E4AD1"/>
    <w:rsid w:val="015975B8"/>
    <w:rsid w:val="01AB67C5"/>
    <w:rsid w:val="0252745F"/>
    <w:rsid w:val="02785724"/>
    <w:rsid w:val="02FEBE30"/>
    <w:rsid w:val="030761E7"/>
    <w:rsid w:val="04916F1E"/>
    <w:rsid w:val="061E35DE"/>
    <w:rsid w:val="066E0107"/>
    <w:rsid w:val="07996F6E"/>
    <w:rsid w:val="07DFD8BA"/>
    <w:rsid w:val="08BF3DA2"/>
    <w:rsid w:val="090F79F0"/>
    <w:rsid w:val="09867E8F"/>
    <w:rsid w:val="0A2032A3"/>
    <w:rsid w:val="0A950566"/>
    <w:rsid w:val="0B7E024F"/>
    <w:rsid w:val="0CA8290A"/>
    <w:rsid w:val="0D35B1ED"/>
    <w:rsid w:val="0E254B6B"/>
    <w:rsid w:val="0ED44466"/>
    <w:rsid w:val="0F98263C"/>
    <w:rsid w:val="101860EC"/>
    <w:rsid w:val="101F47CC"/>
    <w:rsid w:val="10600639"/>
    <w:rsid w:val="10C055FF"/>
    <w:rsid w:val="11694EBD"/>
    <w:rsid w:val="11772AA4"/>
    <w:rsid w:val="118107EC"/>
    <w:rsid w:val="12E24EE2"/>
    <w:rsid w:val="13D50BC4"/>
    <w:rsid w:val="14B17F78"/>
    <w:rsid w:val="165E0673"/>
    <w:rsid w:val="16B831D5"/>
    <w:rsid w:val="16BB723D"/>
    <w:rsid w:val="17315C8A"/>
    <w:rsid w:val="17C65383"/>
    <w:rsid w:val="17E50567"/>
    <w:rsid w:val="186504BB"/>
    <w:rsid w:val="190873AA"/>
    <w:rsid w:val="19A445FC"/>
    <w:rsid w:val="1BA96672"/>
    <w:rsid w:val="1BE8440E"/>
    <w:rsid w:val="1C2E1D26"/>
    <w:rsid w:val="1D155CEE"/>
    <w:rsid w:val="1D1638FE"/>
    <w:rsid w:val="1E312DEB"/>
    <w:rsid w:val="1E740ACF"/>
    <w:rsid w:val="1EEE013D"/>
    <w:rsid w:val="1FF35744"/>
    <w:rsid w:val="1FF6BC77"/>
    <w:rsid w:val="2186353C"/>
    <w:rsid w:val="219916AD"/>
    <w:rsid w:val="23860B96"/>
    <w:rsid w:val="240371BF"/>
    <w:rsid w:val="24132208"/>
    <w:rsid w:val="244F3473"/>
    <w:rsid w:val="247D54F3"/>
    <w:rsid w:val="24C97D99"/>
    <w:rsid w:val="25571C3E"/>
    <w:rsid w:val="25A718F0"/>
    <w:rsid w:val="25BB59F6"/>
    <w:rsid w:val="260F557C"/>
    <w:rsid w:val="26970054"/>
    <w:rsid w:val="281408E2"/>
    <w:rsid w:val="297A0BF5"/>
    <w:rsid w:val="29FD04D3"/>
    <w:rsid w:val="2BFF7BC6"/>
    <w:rsid w:val="2C8A61B5"/>
    <w:rsid w:val="2D091E2F"/>
    <w:rsid w:val="2DF04E50"/>
    <w:rsid w:val="2E586DFA"/>
    <w:rsid w:val="2EB3170E"/>
    <w:rsid w:val="2F040D46"/>
    <w:rsid w:val="2F6B035B"/>
    <w:rsid w:val="2F903918"/>
    <w:rsid w:val="2FAE5751"/>
    <w:rsid w:val="2FB1A395"/>
    <w:rsid w:val="2FD9A7D8"/>
    <w:rsid w:val="2FDBF714"/>
    <w:rsid w:val="30AB6865"/>
    <w:rsid w:val="319F7F4E"/>
    <w:rsid w:val="32BD1EF1"/>
    <w:rsid w:val="3304709D"/>
    <w:rsid w:val="33A773CB"/>
    <w:rsid w:val="34805682"/>
    <w:rsid w:val="349D6851"/>
    <w:rsid w:val="35325FF6"/>
    <w:rsid w:val="366258F4"/>
    <w:rsid w:val="36AA5135"/>
    <w:rsid w:val="36BE0DA7"/>
    <w:rsid w:val="376B6AA6"/>
    <w:rsid w:val="376D39B2"/>
    <w:rsid w:val="37C346DD"/>
    <w:rsid w:val="37E16F03"/>
    <w:rsid w:val="37F53A3B"/>
    <w:rsid w:val="388D3EE0"/>
    <w:rsid w:val="389B6C89"/>
    <w:rsid w:val="38D469F0"/>
    <w:rsid w:val="38EF57D4"/>
    <w:rsid w:val="392E296D"/>
    <w:rsid w:val="39627CCD"/>
    <w:rsid w:val="397BAF1F"/>
    <w:rsid w:val="39AE3B0A"/>
    <w:rsid w:val="3A184C65"/>
    <w:rsid w:val="3AB79AF3"/>
    <w:rsid w:val="3AE834C0"/>
    <w:rsid w:val="3B7EF35A"/>
    <w:rsid w:val="3B9FDB6C"/>
    <w:rsid w:val="3BC33E98"/>
    <w:rsid w:val="3BF5BC2F"/>
    <w:rsid w:val="3CEBA265"/>
    <w:rsid w:val="3D98207C"/>
    <w:rsid w:val="3DEE7CF3"/>
    <w:rsid w:val="3E740A63"/>
    <w:rsid w:val="3E78745D"/>
    <w:rsid w:val="3EE17838"/>
    <w:rsid w:val="3F55381A"/>
    <w:rsid w:val="3F7F7599"/>
    <w:rsid w:val="3FF4CAE0"/>
    <w:rsid w:val="3FF7B227"/>
    <w:rsid w:val="428C098D"/>
    <w:rsid w:val="44E268DA"/>
    <w:rsid w:val="450D13D7"/>
    <w:rsid w:val="45506656"/>
    <w:rsid w:val="45F709E5"/>
    <w:rsid w:val="463A4797"/>
    <w:rsid w:val="47503547"/>
    <w:rsid w:val="486A6C7A"/>
    <w:rsid w:val="4A627F82"/>
    <w:rsid w:val="4AA30A32"/>
    <w:rsid w:val="4B0E749A"/>
    <w:rsid w:val="4B2477C4"/>
    <w:rsid w:val="4B4F25DA"/>
    <w:rsid w:val="4BE068DB"/>
    <w:rsid w:val="4D577224"/>
    <w:rsid w:val="4D676102"/>
    <w:rsid w:val="4DBF1CEB"/>
    <w:rsid w:val="4DF0007C"/>
    <w:rsid w:val="4EAB630A"/>
    <w:rsid w:val="4EAC7653"/>
    <w:rsid w:val="4ECE2238"/>
    <w:rsid w:val="4F833267"/>
    <w:rsid w:val="4FAA710F"/>
    <w:rsid w:val="4FE9BD67"/>
    <w:rsid w:val="4FFB052F"/>
    <w:rsid w:val="51970A86"/>
    <w:rsid w:val="537E6D0A"/>
    <w:rsid w:val="53F74C96"/>
    <w:rsid w:val="55170BA8"/>
    <w:rsid w:val="553218C9"/>
    <w:rsid w:val="567E1AA5"/>
    <w:rsid w:val="56E47B74"/>
    <w:rsid w:val="57175D52"/>
    <w:rsid w:val="57601B83"/>
    <w:rsid w:val="57BD3DD4"/>
    <w:rsid w:val="594F1629"/>
    <w:rsid w:val="5A974C33"/>
    <w:rsid w:val="5AF92295"/>
    <w:rsid w:val="5B250254"/>
    <w:rsid w:val="5BDD79E6"/>
    <w:rsid w:val="5BF561CA"/>
    <w:rsid w:val="5BFF5DFC"/>
    <w:rsid w:val="5CD71FC4"/>
    <w:rsid w:val="5CD93CC5"/>
    <w:rsid w:val="5D107299"/>
    <w:rsid w:val="5D1F11B5"/>
    <w:rsid w:val="5D684447"/>
    <w:rsid w:val="5D695134"/>
    <w:rsid w:val="5DAE1B18"/>
    <w:rsid w:val="5DE7D9E5"/>
    <w:rsid w:val="5ECEC941"/>
    <w:rsid w:val="5F3C2ED6"/>
    <w:rsid w:val="5F85487D"/>
    <w:rsid w:val="5FBF9FF3"/>
    <w:rsid w:val="5FCD4E2C"/>
    <w:rsid w:val="5FEF394A"/>
    <w:rsid w:val="5FF67715"/>
    <w:rsid w:val="62BF3928"/>
    <w:rsid w:val="63B3701E"/>
    <w:rsid w:val="647F5392"/>
    <w:rsid w:val="65E66580"/>
    <w:rsid w:val="664B1D71"/>
    <w:rsid w:val="664B4E8E"/>
    <w:rsid w:val="667C4DB6"/>
    <w:rsid w:val="66F66280"/>
    <w:rsid w:val="67277B67"/>
    <w:rsid w:val="67601A84"/>
    <w:rsid w:val="67AA3209"/>
    <w:rsid w:val="67F24FFE"/>
    <w:rsid w:val="68BF33A8"/>
    <w:rsid w:val="695543A0"/>
    <w:rsid w:val="698D0931"/>
    <w:rsid w:val="6A2133F4"/>
    <w:rsid w:val="6A7FE5F3"/>
    <w:rsid w:val="6B053271"/>
    <w:rsid w:val="6BDD78B3"/>
    <w:rsid w:val="6C4A05C8"/>
    <w:rsid w:val="6C8742B8"/>
    <w:rsid w:val="6C9B0944"/>
    <w:rsid w:val="6D632B13"/>
    <w:rsid w:val="6DBF5E93"/>
    <w:rsid w:val="6DFF077E"/>
    <w:rsid w:val="6E712EA7"/>
    <w:rsid w:val="6E714EF0"/>
    <w:rsid w:val="6E7E3605"/>
    <w:rsid w:val="6E7FDCC7"/>
    <w:rsid w:val="6E807CD8"/>
    <w:rsid w:val="6ED6A62E"/>
    <w:rsid w:val="6EE00B15"/>
    <w:rsid w:val="6F0134C5"/>
    <w:rsid w:val="6F6FB3EB"/>
    <w:rsid w:val="6F8731EA"/>
    <w:rsid w:val="6FCE6052"/>
    <w:rsid w:val="6FD57C00"/>
    <w:rsid w:val="6FEFFFD8"/>
    <w:rsid w:val="6FF5CC65"/>
    <w:rsid w:val="6FFB47EC"/>
    <w:rsid w:val="6FFF034A"/>
    <w:rsid w:val="70484440"/>
    <w:rsid w:val="712A28F1"/>
    <w:rsid w:val="715C0E4B"/>
    <w:rsid w:val="716F668E"/>
    <w:rsid w:val="71992E7C"/>
    <w:rsid w:val="72233669"/>
    <w:rsid w:val="72734D90"/>
    <w:rsid w:val="73160E6D"/>
    <w:rsid w:val="7332FE48"/>
    <w:rsid w:val="73AB01D2"/>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8861BD"/>
    <w:rsid w:val="7CBFC87B"/>
    <w:rsid w:val="7CFE0F48"/>
    <w:rsid w:val="7D272ABC"/>
    <w:rsid w:val="7D7EC23E"/>
    <w:rsid w:val="7E8ADEBF"/>
    <w:rsid w:val="7EEF11D3"/>
    <w:rsid w:val="7EFE4840"/>
    <w:rsid w:val="7F0971A6"/>
    <w:rsid w:val="7F1D62E7"/>
    <w:rsid w:val="7F3F679B"/>
    <w:rsid w:val="7F4679B7"/>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仿宋_GB2312"/>
      <w:spacing w:val="-70"/>
      <w:szCs w:val="32"/>
    </w:r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6"/>
    <w:unhideWhenUsed/>
    <w:qFormat/>
    <w:uiPriority w:val="99"/>
    <w:pPr>
      <w:spacing w:beforeLines="0" w:after="120"/>
      <w:ind w:firstLine="420" w:firstLineChars="100"/>
    </w:pPr>
    <w:rPr>
      <w:rFonts w:ascii="Times New Roman" w:eastAsia="宋体"/>
      <w:kern w:val="2"/>
      <w:sz w:val="21"/>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3"/>
    <w:qFormat/>
    <w:uiPriority w:val="9"/>
    <w:rPr>
      <w:rFonts w:ascii="Times New Roman" w:hAnsi="Times New Roman"/>
      <w:b/>
      <w:bCs/>
      <w:kern w:val="44"/>
      <w:sz w:val="44"/>
      <w:szCs w:val="44"/>
    </w:rPr>
  </w:style>
  <w:style w:type="character" w:customStyle="1" w:styleId="33">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1"/>
    <w:semiHidden/>
    <w:qFormat/>
    <w:uiPriority w:val="99"/>
    <w:rPr>
      <w:rFonts w:ascii="Times New Roman" w:hAnsi="Times New Roman"/>
      <w:kern w:val="2"/>
      <w:sz w:val="18"/>
      <w:szCs w:val="18"/>
    </w:rPr>
  </w:style>
  <w:style w:type="character" w:customStyle="1" w:styleId="36">
    <w:name w:val="标题 3 Char"/>
    <w:basedOn w:val="20"/>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c:v>
                </c:pt>
                <c:pt idx="1">
                  <c:v>支出总计</c:v>
                </c:pt>
              </c:strCache>
            </c:strRef>
          </c:cat>
          <c:val>
            <c:numRef>
              <c:f>Sheet1!$B$2:$B$3</c:f>
              <c:numCache>
                <c:formatCode>General</c:formatCode>
                <c:ptCount val="2"/>
                <c:pt idx="0">
                  <c:v>821.58</c:v>
                </c:pt>
                <c:pt idx="1" c:formatCode="#,##0.00">
                  <c:v>1018.75</c:v>
                </c:pt>
              </c:numCache>
            </c:numRef>
          </c:val>
        </c:ser>
        <c:ser>
          <c:idx val="1"/>
          <c:order val="1"/>
          <c:tx>
            <c:strRef>
              <c:f>Sheet1!$C$1</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c:v>
                </c:pt>
                <c:pt idx="1">
                  <c:v>支出总计</c:v>
                </c:pt>
              </c:strCache>
            </c:strRef>
          </c:cat>
          <c:val>
            <c:numRef>
              <c:f>Sheet1!$C$2:$C$3</c:f>
              <c:numCache>
                <c:formatCode>General</c:formatCode>
                <c:ptCount val="2"/>
                <c:pt idx="0">
                  <c:v>742.38</c:v>
                </c:pt>
                <c:pt idx="1">
                  <c:v>1047.2</c:v>
                </c:pt>
              </c:numCache>
            </c:numRef>
          </c:val>
        </c:ser>
        <c:dLbls>
          <c:showLegendKey val="0"/>
          <c:showVal val="1"/>
          <c:showCatName val="0"/>
          <c:showSerName val="0"/>
          <c:showPercent val="0"/>
          <c:showBubbleSize val="0"/>
        </c:dLbls>
        <c:gapWidth val="150"/>
        <c:axId val="172369792"/>
        <c:axId val="172373120"/>
      </c:barChart>
      <c:catAx>
        <c:axId val="1723697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373120"/>
        <c:crosses val="autoZero"/>
        <c:auto val="1"/>
        <c:lblAlgn val="ctr"/>
        <c:lblOffset val="100"/>
        <c:noMultiLvlLbl val="0"/>
      </c:catAx>
      <c:valAx>
        <c:axId val="1723731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3697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ec90760-443b-4ef5-ac05-c062b17ab81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774.49</c:v>
                </c:pt>
                <c:pt idx="1">
                  <c:v>47.09</c:v>
                </c:pt>
              </c:numCache>
            </c:numRef>
          </c:val>
        </c:ser>
        <c:dLbls>
          <c:showLegendKey val="0"/>
          <c:showVal val="0"/>
          <c:showCatName val="1"/>
          <c:showSerName val="0"/>
          <c:showPercent val="1"/>
          <c:showBubbleSize val="0"/>
          <c:showLeaderLines val="1"/>
        </c:dLbls>
        <c:firstSliceAng val="3"/>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a2c82ad-4c55-4ac5-ade4-af6b3c1aaa3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554.54</c:v>
                </c:pt>
                <c:pt idx="1">
                  <c:v>464.21</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9387735-bdc4-4d14-876e-d82f6defc32e}"/>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政拨款收入总计</c:v>
                </c:pt>
                <c:pt idx="1">
                  <c:v>财政拨款支出总计</c:v>
                </c:pt>
              </c:strCache>
            </c:strRef>
          </c:cat>
          <c:val>
            <c:numRef>
              <c:f>Sheet1!$B$2:$B$3</c:f>
              <c:numCache>
                <c:formatCode>General</c:formatCode>
                <c:ptCount val="2"/>
                <c:pt idx="0">
                  <c:v>821.58</c:v>
                </c:pt>
                <c:pt idx="1" c:formatCode="#,##0.00">
                  <c:v>1018.75</c:v>
                </c:pt>
              </c:numCache>
            </c:numRef>
          </c:val>
        </c:ser>
        <c:ser>
          <c:idx val="1"/>
          <c:order val="1"/>
          <c:tx>
            <c:strRef>
              <c:f>Sheet1!$C$1</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政拨款收入总计</c:v>
                </c:pt>
                <c:pt idx="1">
                  <c:v>财政拨款支出总计</c:v>
                </c:pt>
              </c:strCache>
            </c:strRef>
          </c:cat>
          <c:val>
            <c:numRef>
              <c:f>Sheet1!$C$2:$C$3</c:f>
              <c:numCache>
                <c:formatCode>General</c:formatCode>
                <c:ptCount val="2"/>
                <c:pt idx="0">
                  <c:v>742.38</c:v>
                </c:pt>
                <c:pt idx="1">
                  <c:v>1047.2</c:v>
                </c:pt>
              </c:numCache>
            </c:numRef>
          </c:val>
        </c:ser>
        <c:dLbls>
          <c:showLegendKey val="0"/>
          <c:showVal val="1"/>
          <c:showCatName val="0"/>
          <c:showSerName val="0"/>
          <c:showPercent val="0"/>
          <c:showBubbleSize val="0"/>
        </c:dLbls>
        <c:gapWidth val="150"/>
        <c:axId val="221755648"/>
        <c:axId val="218292224"/>
      </c:barChart>
      <c:catAx>
        <c:axId val="2217556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292224"/>
        <c:crosses val="autoZero"/>
        <c:auto val="1"/>
        <c:lblAlgn val="ctr"/>
        <c:lblOffset val="100"/>
        <c:noMultiLvlLbl val="0"/>
      </c:catAx>
      <c:valAx>
        <c:axId val="218292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7556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8e2dae2-ef18-4a4d-85cf-a13124ee5ed4}"/>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971.66</c:v>
                </c:pt>
              </c:numCache>
            </c:numRef>
          </c:val>
        </c:ser>
        <c:ser>
          <c:idx val="1"/>
          <c:order val="1"/>
          <c:tx>
            <c:strRef>
              <c:f>Sheet1!$C$1</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989.09</c:v>
                </c:pt>
              </c:numCache>
            </c:numRef>
          </c:val>
        </c:ser>
        <c:dLbls>
          <c:showLegendKey val="0"/>
          <c:showVal val="1"/>
          <c:showCatName val="0"/>
          <c:showSerName val="0"/>
          <c:showPercent val="0"/>
          <c:showBubbleSize val="0"/>
        </c:dLbls>
        <c:gapWidth val="150"/>
        <c:axId val="221755648"/>
        <c:axId val="218292224"/>
      </c:barChart>
      <c:catAx>
        <c:axId val="2217556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292224"/>
        <c:crosses val="autoZero"/>
        <c:auto val="1"/>
        <c:lblAlgn val="ctr"/>
        <c:lblOffset val="100"/>
        <c:noMultiLvlLbl val="0"/>
      </c:catAx>
      <c:valAx>
        <c:axId val="218292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7556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adb7a67-dab4-494e-ba83-e209be002763}"/>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6179419525066"/>
          <c:y val="0.194308093994778"/>
          <c:w val="0.521730870712401"/>
          <c:h val="0.607390569804945"/>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2"/>
              <c:layout>
                <c:manualLayout>
                  <c:x val="-0.0130606860158311"/>
                  <c:y val="0.00044710050344156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72559366754618"/>
                      <c:h val="0.116962741707278"/>
                    </c:manualLayout>
                  </c15:layout>
                </c:ext>
              </c:extLst>
            </c:dLbl>
            <c:dLbl>
              <c:idx val="3"/>
              <c:layout>
                <c:manualLayout>
                  <c:x val="-0.0056593790672717"/>
                  <c:y val="-0.02822894036066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00303157765358"/>
                  <c:y val="-0.052533450209785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8245382585752"/>
                      <c:h val="0.0737213945630471"/>
                    </c:manualLayout>
                  </c15:layout>
                </c:ext>
              </c:extLst>
            </c:dLbl>
            <c:dLbl>
              <c:idx val="5"/>
              <c:layout>
                <c:manualLayout>
                  <c:x val="-0.0630409330835881"/>
                  <c:y val="-0.097143640247233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8410787382615"/>
                      <c:h val="0.0881294964028777"/>
                    </c:manualLayout>
                  </c15:layout>
                </c:ext>
              </c:extLst>
            </c:dLbl>
            <c:dLbl>
              <c:idx val="6"/>
              <c:layout>
                <c:manualLayout>
                  <c:x val="0.0485645081628773"/>
                  <c:y val="-0.10091449855241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124400612424724"/>
                  <c:y val="-0.049811686754973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278344027167102"/>
                  <c:y val="0.031573557418838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303430079155673"/>
                      <c:h val="0.101827676240209"/>
                    </c:manualLayout>
                  </c15:layout>
                </c:ext>
              </c:extLst>
            </c:dLbl>
            <c:dLbl>
              <c:idx val="9"/>
              <c:layout/>
              <c:dLblPos val="bestFit"/>
              <c:showLegendKey val="1"/>
              <c:showVal val="0"/>
              <c:showCatName val="1"/>
              <c:showSerName val="0"/>
              <c:showPercent val="1"/>
              <c:showBubbleSize val="1"/>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p>
            </c:txPr>
            <c:dLblPos val="bestFit"/>
            <c:showLegendKey val="1"/>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Sheet1!$A$2:$A$11</c:f>
              <c:strCache>
                <c:ptCount val="10"/>
                <c:pt idx="0">
                  <c:v>一般公共服务支出</c:v>
                </c:pt>
                <c:pt idx="1">
                  <c:v>文化旅游体育与传媒支出</c:v>
                </c:pt>
                <c:pt idx="2">
                  <c:v>社会保障和就业支出</c:v>
                </c:pt>
                <c:pt idx="3">
                  <c:v>卫生健康支出</c:v>
                </c:pt>
                <c:pt idx="4">
                  <c:v>城乡社区支出</c:v>
                </c:pt>
                <c:pt idx="5">
                  <c:v>农林水支出</c:v>
                </c:pt>
                <c:pt idx="6">
                  <c:v>资源勘探工业信息等支出</c:v>
                </c:pt>
                <c:pt idx="7">
                  <c:v>住房保障支出</c:v>
                </c:pt>
                <c:pt idx="8">
                  <c:v>灾害防治及应急管理支出</c:v>
                </c:pt>
                <c:pt idx="9">
                  <c:v>其他支出</c:v>
                </c:pt>
              </c:strCache>
            </c:strRef>
          </c:cat>
          <c:val>
            <c:numRef>
              <c:f>Sheet1!$B$2:$B$11</c:f>
              <c:numCache>
                <c:formatCode>General</c:formatCode>
                <c:ptCount val="10"/>
                <c:pt idx="0">
                  <c:v>679.78</c:v>
                </c:pt>
                <c:pt idx="1">
                  <c:v>76.9</c:v>
                </c:pt>
                <c:pt idx="2">
                  <c:v>80.31</c:v>
                </c:pt>
                <c:pt idx="3">
                  <c:v>31.2</c:v>
                </c:pt>
                <c:pt idx="4">
                  <c:v>29.57</c:v>
                </c:pt>
                <c:pt idx="5">
                  <c:v>11.89</c:v>
                </c:pt>
                <c:pt idx="6">
                  <c:v>1</c:v>
                </c:pt>
                <c:pt idx="7">
                  <c:v>28.01</c:v>
                </c:pt>
                <c:pt idx="8">
                  <c:v>20</c:v>
                </c:pt>
                <c:pt idx="9">
                  <c:v>13</c:v>
                </c:pt>
              </c:numCache>
            </c:numRef>
          </c:val>
        </c:ser>
        <c:ser>
          <c:idx val="1"/>
          <c:order val="1"/>
          <c:tx>
            <c:strRef>
              <c:f>Sheet1!$C$1</c:f>
              <c:strCache>
                <c:ptCount val="1"/>
                <c:pt idx="0">
                  <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Sheet1!$A$2:$A$11</c:f>
              <c:strCache>
                <c:ptCount val="10"/>
                <c:pt idx="0">
                  <c:v>一般公共服务支出</c:v>
                </c:pt>
                <c:pt idx="1">
                  <c:v>文化旅游体育与传媒支出</c:v>
                </c:pt>
                <c:pt idx="2">
                  <c:v>社会保障和就业支出</c:v>
                </c:pt>
                <c:pt idx="3">
                  <c:v>卫生健康支出</c:v>
                </c:pt>
                <c:pt idx="4">
                  <c:v>城乡社区支出</c:v>
                </c:pt>
                <c:pt idx="5">
                  <c:v>农林水支出</c:v>
                </c:pt>
                <c:pt idx="6">
                  <c:v>资源勘探工业信息等支出</c:v>
                </c:pt>
                <c:pt idx="7">
                  <c:v>住房保障支出</c:v>
                </c:pt>
                <c:pt idx="8">
                  <c:v>灾害防治及应急管理支出</c:v>
                </c:pt>
                <c:pt idx="9">
                  <c:v>其他支出</c:v>
                </c:pt>
              </c:strCache>
            </c:strRef>
          </c:cat>
          <c:val>
            <c:numRef>
              <c:f>Sheet1!$C$2:$C$11</c:f>
              <c:numCache>
                <c:formatCode>General</c:formatCode>
                <c:ptCount val="10"/>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9fdc9d4-0eb4-46b3-8f01-f918f9aed1a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dLbl>
              <c:idx val="2"/>
              <c:layout>
                <c:manualLayout>
                  <c:x val="0.241650294695481"/>
                  <c:y val="0.195090909084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4.97</c:v>
                </c:pt>
                <c:pt idx="2">
                  <c:v>0</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c6dcac0-89ff-473b-a6e4-61d54d670ca2}"/>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9353</Words>
  <Characters>10236</Characters>
  <Lines>61</Lines>
  <Paragraphs>17</Paragraphs>
  <TotalTime>7</TotalTime>
  <ScaleCrop>false</ScaleCrop>
  <LinksUpToDate>false</LinksUpToDate>
  <CharactersWithSpaces>10264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2025-10-31T03:26:48Z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616110716DAE4F968A4FB34881B1C36B_13</vt:lpwstr>
  </property>
  <property fmtid="{D5CDD505-2E9C-101B-9397-08002B2CF9AE}" pid="4" name="KSOTemplateDocerSaveRecord">
    <vt:lpwstr>eyJoZGlkIjoiOGM0NmU5MmRiZmMxOGY1NjkyMWJlNjU4ODQ2MDJhM2UiLCJ1c2VySWQiOiIzMTkwNTc5MjcifQ==</vt:lpwstr>
  </property>
</Properties>
</file>