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48ACB">
      <w:pPr>
        <w:adjustRightInd w:val="0"/>
        <w:snapToGrid w:val="0"/>
        <w:spacing w:line="360" w:lineRule="auto"/>
        <w:jc w:val="center"/>
        <w:outlineLvl w:val="0"/>
        <w:rPr>
          <w:rFonts w:eastAsia="方正小标宋_GBK"/>
          <w:sz w:val="72"/>
          <w:szCs w:val="72"/>
        </w:rPr>
      </w:pPr>
      <w:bookmarkStart w:id="0" w:name="_Toc15377426"/>
      <w:bookmarkStart w:id="1" w:name="_Toc15396598"/>
      <w:bookmarkStart w:id="2" w:name="_Toc15377194"/>
      <w:bookmarkStart w:id="3" w:name="_Toc15378442"/>
      <w:bookmarkStart w:id="4" w:name="_Toc15396476"/>
      <w:bookmarkStart w:id="5" w:name="_Toc15306267"/>
      <w:bookmarkStart w:id="6" w:name="_Toc15396597"/>
      <w:bookmarkStart w:id="7" w:name="_Toc15377425"/>
      <w:bookmarkStart w:id="8" w:name="_Toc15396475"/>
      <w:bookmarkStart w:id="9" w:name="_Toc15378441"/>
      <w:bookmarkStart w:id="10" w:name="_Toc15377193"/>
    </w:p>
    <w:p w14:paraId="3DEBFA0C">
      <w:pPr>
        <w:adjustRightInd w:val="0"/>
        <w:snapToGrid w:val="0"/>
        <w:spacing w:line="360" w:lineRule="auto"/>
        <w:jc w:val="center"/>
        <w:outlineLvl w:val="0"/>
        <w:rPr>
          <w:rFonts w:eastAsia="方正小标宋_GBK"/>
          <w:sz w:val="72"/>
          <w:szCs w:val="72"/>
        </w:rPr>
      </w:pPr>
    </w:p>
    <w:p w14:paraId="1766666C">
      <w:pPr>
        <w:adjustRightInd w:val="0"/>
        <w:snapToGrid w:val="0"/>
        <w:spacing w:line="360" w:lineRule="auto"/>
        <w:jc w:val="center"/>
        <w:outlineLvl w:val="0"/>
        <w:rPr>
          <w:rFonts w:eastAsia="方正小标宋_GBK"/>
          <w:sz w:val="72"/>
          <w:szCs w:val="72"/>
        </w:rPr>
      </w:pPr>
    </w:p>
    <w:p w14:paraId="4B46786A">
      <w:pPr>
        <w:adjustRightInd w:val="0"/>
        <w:snapToGrid w:val="0"/>
        <w:spacing w:line="360" w:lineRule="auto"/>
        <w:jc w:val="center"/>
        <w:outlineLvl w:val="0"/>
        <w:rPr>
          <w:rFonts w:eastAsia="方正小标宋_GBK"/>
          <w:sz w:val="72"/>
          <w:szCs w:val="72"/>
        </w:rPr>
      </w:pPr>
      <w:r>
        <w:rPr>
          <w:rFonts w:eastAsia="方正小标宋_GBK"/>
          <w:sz w:val="72"/>
          <w:szCs w:val="72"/>
        </w:rPr>
        <w:t>2024</w:t>
      </w:r>
      <w:r>
        <w:rPr>
          <w:rFonts w:hAnsi="方正小标宋_GBK" w:eastAsia="方正小标宋_GBK"/>
          <w:sz w:val="72"/>
          <w:szCs w:val="72"/>
        </w:rPr>
        <w:t>年度四川省</w:t>
      </w:r>
      <w:bookmarkStart w:id="11" w:name="_Toc15306268"/>
    </w:p>
    <w:p w14:paraId="0390D99D">
      <w:pPr>
        <w:adjustRightInd w:val="0"/>
        <w:snapToGrid w:val="0"/>
        <w:spacing w:line="360" w:lineRule="auto"/>
        <w:jc w:val="center"/>
        <w:outlineLvl w:val="0"/>
        <w:rPr>
          <w:rFonts w:eastAsia="方正小标宋_GBK"/>
          <w:sz w:val="72"/>
          <w:szCs w:val="72"/>
        </w:rPr>
      </w:pPr>
      <w:r>
        <w:rPr>
          <w:rFonts w:hAnsi="方正小标宋_GBK" w:eastAsia="方正小标宋_GBK"/>
          <w:sz w:val="72"/>
          <w:szCs w:val="72"/>
        </w:rPr>
        <w:t>中共攀枝花市西区区委</w:t>
      </w:r>
    </w:p>
    <w:p w14:paraId="3952FCCD">
      <w:pPr>
        <w:adjustRightInd w:val="0"/>
        <w:snapToGrid w:val="0"/>
        <w:spacing w:line="360" w:lineRule="auto"/>
        <w:jc w:val="center"/>
        <w:outlineLvl w:val="0"/>
        <w:rPr>
          <w:rFonts w:eastAsia="方正小标宋_GBK"/>
          <w:sz w:val="72"/>
          <w:szCs w:val="7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r>
        <w:rPr>
          <w:rFonts w:hAnsi="方正小标宋_GBK" w:eastAsia="方正小标宋_GBK"/>
          <w:sz w:val="72"/>
          <w:szCs w:val="72"/>
        </w:rPr>
        <w:t>统一战线工作部部门决算</w:t>
      </w:r>
      <w:bookmarkEnd w:id="0"/>
      <w:bookmarkEnd w:id="1"/>
      <w:bookmarkEnd w:id="2"/>
      <w:bookmarkEnd w:id="3"/>
      <w:bookmarkEnd w:id="4"/>
      <w:bookmarkEnd w:id="11"/>
    </w:p>
    <w:bookmarkEnd w:id="5"/>
    <w:bookmarkEnd w:id="6"/>
    <w:bookmarkEnd w:id="7"/>
    <w:bookmarkEnd w:id="8"/>
    <w:bookmarkEnd w:id="9"/>
    <w:bookmarkEnd w:id="10"/>
    <w:p w14:paraId="26A9946F">
      <w:pPr>
        <w:widowControl/>
        <w:jc w:val="center"/>
        <w:rPr>
          <w:rFonts w:eastAsia="黑体"/>
          <w:sz w:val="48"/>
          <w:szCs w:val="48"/>
        </w:rPr>
      </w:pPr>
      <w:r>
        <w:rPr>
          <w:rFonts w:eastAsia="黑体"/>
          <w:sz w:val="48"/>
          <w:szCs w:val="48"/>
        </w:rPr>
        <w:t>目录</w:t>
      </w:r>
    </w:p>
    <w:p w14:paraId="74FD12EA">
      <w:pPr>
        <w:widowControl/>
        <w:jc w:val="center"/>
        <w:rPr>
          <w:rFonts w:eastAsia="黑体"/>
          <w:sz w:val="28"/>
          <w:szCs w:val="28"/>
        </w:rPr>
      </w:pPr>
    </w:p>
    <w:p w14:paraId="192DE24A">
      <w:pPr>
        <w:pStyle w:val="14"/>
        <w:rPr>
          <w:rFonts w:ascii="Times New Roman" w:hAnsi="Times New Roman" w:eastAsia="仿宋_GB2312"/>
          <w:sz w:val="32"/>
          <w:szCs w:val="32"/>
        </w:rPr>
      </w:pPr>
      <w:r>
        <w:rPr>
          <w:rFonts w:ascii="Times New Roman" w:hAnsi="Times New Roman" w:eastAsia="仿宋_GB2312"/>
          <w:sz w:val="32"/>
          <w:szCs w:val="32"/>
        </w:rPr>
        <w:t>公开时间：2025年10月</w:t>
      </w: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1</w:t>
      </w:r>
      <w:bookmarkStart w:id="68" w:name="_GoBack"/>
      <w:bookmarkEnd w:id="68"/>
      <w:r>
        <w:rPr>
          <w:rFonts w:ascii="Times New Roman" w:hAnsi="Times New Roman" w:eastAsia="仿宋_GB2312"/>
          <w:sz w:val="32"/>
          <w:szCs w:val="32"/>
        </w:rPr>
        <w:t>日</w:t>
      </w:r>
    </w:p>
    <w:p w14:paraId="7A9F1C8A"/>
    <w:p w14:paraId="73F5436C">
      <w:pPr>
        <w:pStyle w:val="14"/>
        <w:adjustRightInd w:val="0"/>
        <w:snapToGrid w:val="0"/>
        <w:spacing w:before="0" w:line="560" w:lineRule="exact"/>
        <w:jc w:val="left"/>
        <w:rPr>
          <w:rFonts w:ascii="Times New Roman" w:hAnsi="Times New Roman" w:eastAsia="黑体"/>
          <w:sz w:val="32"/>
          <w:szCs w:val="32"/>
        </w:rPr>
      </w:pPr>
      <w:r>
        <w:rPr>
          <w:rFonts w:hint="eastAsia" w:ascii="方正黑体_GBK" w:hAnsi="Times New Roman" w:eastAsia="方正黑体_GBK"/>
          <w:sz w:val="32"/>
          <w:szCs w:val="32"/>
        </w:rPr>
        <w:t>第一部分 部门概况</w:t>
      </w:r>
      <w:r>
        <w:rPr>
          <w:rFonts w:ascii="Times New Roman" w:hAnsi="Times New Roman"/>
          <w:sz w:val="24"/>
          <w:szCs w:val="24"/>
        </w:rPr>
        <w:tab/>
      </w:r>
      <w:r>
        <w:rPr>
          <w:rFonts w:ascii="Times New Roman" w:hAnsi="Times New Roman"/>
          <w:sz w:val="24"/>
          <w:szCs w:val="24"/>
        </w:rPr>
        <w:t>01</w:t>
      </w:r>
    </w:p>
    <w:p w14:paraId="24D3B43B">
      <w:pPr>
        <w:pStyle w:val="16"/>
        <w:adjustRightInd w:val="0"/>
        <w:snapToGrid w:val="0"/>
        <w:spacing w:line="560" w:lineRule="exact"/>
        <w:ind w:left="0" w:leftChars="0" w:firstLine="640" w:firstLineChars="200"/>
        <w:jc w:val="left"/>
        <w:rPr>
          <w:rFonts w:eastAsia="仿宋_GB2312"/>
          <w:sz w:val="32"/>
          <w:szCs w:val="32"/>
        </w:rPr>
      </w:pPr>
      <w:r>
        <w:rPr>
          <w:rFonts w:eastAsia="方正仿宋_GBK"/>
          <w:sz w:val="32"/>
          <w:szCs w:val="32"/>
        </w:rPr>
        <w:t>一、部门职责</w:t>
      </w:r>
      <w:r>
        <w:rPr>
          <w:sz w:val="24"/>
        </w:rPr>
        <w:tab/>
      </w:r>
      <w:r>
        <w:rPr>
          <w:sz w:val="24"/>
        </w:rPr>
        <w:t>01</w:t>
      </w:r>
    </w:p>
    <w:p w14:paraId="06C446AB">
      <w:pPr>
        <w:pStyle w:val="16"/>
        <w:adjustRightInd w:val="0"/>
        <w:snapToGrid w:val="0"/>
        <w:spacing w:line="560" w:lineRule="exact"/>
        <w:ind w:left="0" w:leftChars="0" w:firstLine="640" w:firstLineChars="200"/>
        <w:jc w:val="left"/>
        <w:rPr>
          <w:rFonts w:eastAsia="仿宋_GB2312"/>
          <w:sz w:val="32"/>
          <w:szCs w:val="32"/>
        </w:rPr>
      </w:pPr>
      <w:r>
        <w:rPr>
          <w:rFonts w:eastAsia="方正仿宋_GBK"/>
          <w:sz w:val="32"/>
          <w:szCs w:val="32"/>
        </w:rPr>
        <w:t>二、机构设置</w:t>
      </w:r>
      <w:r>
        <w:rPr>
          <w:sz w:val="24"/>
        </w:rPr>
        <w:tab/>
      </w:r>
      <w:r>
        <w:rPr>
          <w:sz w:val="24"/>
        </w:rPr>
        <w:t>01</w:t>
      </w:r>
    </w:p>
    <w:p w14:paraId="5A376A59">
      <w:pPr>
        <w:pStyle w:val="14"/>
        <w:adjustRightInd w:val="0"/>
        <w:snapToGrid w:val="0"/>
        <w:spacing w:before="0" w:line="560" w:lineRule="exact"/>
        <w:jc w:val="left"/>
        <w:rPr>
          <w:rFonts w:ascii="Times New Roman" w:hAnsi="Times New Roman" w:eastAsia="黑体"/>
          <w:sz w:val="32"/>
          <w:szCs w:val="32"/>
        </w:rPr>
      </w:pPr>
      <w:r>
        <w:rPr>
          <w:rFonts w:ascii="方正黑体_GBK" w:hAnsi="Times New Roman" w:eastAsia="方正黑体_GBK"/>
          <w:sz w:val="32"/>
          <w:szCs w:val="32"/>
        </w:rPr>
        <w:t>第二部分 2024年度部门决算情况说明</w:t>
      </w:r>
      <w:r>
        <w:rPr>
          <w:rFonts w:ascii="Times New Roman" w:hAnsi="Times New Roman"/>
          <w:sz w:val="24"/>
          <w:szCs w:val="24"/>
        </w:rPr>
        <w:tab/>
      </w:r>
      <w:r>
        <w:rPr>
          <w:rFonts w:ascii="Times New Roman" w:hAnsi="Times New Roman"/>
          <w:sz w:val="24"/>
          <w:szCs w:val="24"/>
        </w:rPr>
        <w:t>02</w:t>
      </w:r>
    </w:p>
    <w:p w14:paraId="5AEF4D32">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一、收入支出决算总体情况说明</w:t>
      </w:r>
      <w:r>
        <w:rPr>
          <w:rFonts w:eastAsia="方正仿宋_GBK"/>
          <w:sz w:val="32"/>
          <w:szCs w:val="32"/>
        </w:rPr>
        <w:tab/>
      </w:r>
      <w:r>
        <w:rPr>
          <w:rFonts w:eastAsia="方正仿宋_GBK"/>
          <w:sz w:val="24"/>
        </w:rPr>
        <w:t>02</w:t>
      </w:r>
    </w:p>
    <w:p w14:paraId="2CEF5366">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二、收入决算情况说明</w:t>
      </w:r>
      <w:r>
        <w:rPr>
          <w:rFonts w:eastAsia="方正仿宋_GBK"/>
          <w:sz w:val="32"/>
          <w:szCs w:val="32"/>
        </w:rPr>
        <w:tab/>
      </w:r>
      <w:r>
        <w:rPr>
          <w:rFonts w:eastAsia="方正仿宋_GBK"/>
          <w:sz w:val="24"/>
        </w:rPr>
        <w:t>02</w:t>
      </w:r>
    </w:p>
    <w:p w14:paraId="62084B33">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三、支出决算情况说明</w:t>
      </w:r>
      <w:r>
        <w:rPr>
          <w:rFonts w:eastAsia="方正仿宋_GBK"/>
          <w:sz w:val="32"/>
          <w:szCs w:val="32"/>
        </w:rPr>
        <w:tab/>
      </w:r>
      <w:r>
        <w:rPr>
          <w:rFonts w:eastAsia="方正仿宋_GBK"/>
          <w:sz w:val="24"/>
        </w:rPr>
        <w:t>03</w:t>
      </w:r>
    </w:p>
    <w:p w14:paraId="4C677806">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四、财政拨款收入支出决算总体情况说明</w:t>
      </w:r>
      <w:r>
        <w:rPr>
          <w:rFonts w:eastAsia="方正仿宋_GBK"/>
          <w:sz w:val="32"/>
          <w:szCs w:val="32"/>
        </w:rPr>
        <w:tab/>
      </w:r>
      <w:r>
        <w:rPr>
          <w:rFonts w:eastAsia="方正仿宋_GBK"/>
          <w:sz w:val="24"/>
        </w:rPr>
        <w:t>04</w:t>
      </w:r>
    </w:p>
    <w:p w14:paraId="1B7D0630">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五、一般公共预算财政拨款支出决算情况说明</w:t>
      </w:r>
      <w:r>
        <w:rPr>
          <w:rFonts w:eastAsia="方正仿宋_GBK"/>
          <w:sz w:val="32"/>
          <w:szCs w:val="32"/>
        </w:rPr>
        <w:tab/>
      </w:r>
      <w:r>
        <w:rPr>
          <w:rFonts w:eastAsia="方正仿宋_GBK"/>
          <w:sz w:val="24"/>
        </w:rPr>
        <w:t>04</w:t>
      </w:r>
    </w:p>
    <w:p w14:paraId="3656E154">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六、一般公共预算财政拨款基本支出决算情况说明</w:t>
      </w:r>
      <w:r>
        <w:rPr>
          <w:rFonts w:eastAsia="方正仿宋_GBK"/>
          <w:sz w:val="32"/>
          <w:szCs w:val="32"/>
        </w:rPr>
        <w:tab/>
      </w:r>
      <w:r>
        <w:rPr>
          <w:rFonts w:eastAsia="方正仿宋_GBK"/>
          <w:sz w:val="24"/>
        </w:rPr>
        <w:t>07</w:t>
      </w:r>
    </w:p>
    <w:p w14:paraId="3CBE0FCF">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七、财政拨款“三公”经费支出决算情况说明</w:t>
      </w:r>
      <w:r>
        <w:rPr>
          <w:rFonts w:eastAsia="方正仿宋_GBK"/>
          <w:sz w:val="32"/>
          <w:szCs w:val="32"/>
        </w:rPr>
        <w:tab/>
      </w:r>
      <w:r>
        <w:rPr>
          <w:rFonts w:eastAsia="方正仿宋_GBK"/>
          <w:sz w:val="24"/>
        </w:rPr>
        <w:t>08</w:t>
      </w:r>
    </w:p>
    <w:p w14:paraId="264E3649">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八、政府性基金预算支出决算情况说明</w:t>
      </w:r>
      <w:r>
        <w:rPr>
          <w:rFonts w:eastAsia="方正仿宋_GBK"/>
          <w:sz w:val="32"/>
          <w:szCs w:val="32"/>
        </w:rPr>
        <w:tab/>
      </w:r>
      <w:r>
        <w:rPr>
          <w:rFonts w:eastAsia="方正仿宋_GBK"/>
          <w:sz w:val="24"/>
        </w:rPr>
        <w:t>10</w:t>
      </w:r>
    </w:p>
    <w:p w14:paraId="61219858">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九、国有资本经营预算支出决算情况说明</w:t>
      </w:r>
      <w:r>
        <w:rPr>
          <w:rFonts w:eastAsia="方正仿宋_GBK"/>
          <w:sz w:val="32"/>
          <w:szCs w:val="32"/>
        </w:rPr>
        <w:tab/>
      </w:r>
      <w:r>
        <w:rPr>
          <w:rFonts w:eastAsia="方正仿宋_GBK"/>
          <w:sz w:val="24"/>
        </w:rPr>
        <w:t>10</w:t>
      </w:r>
    </w:p>
    <w:p w14:paraId="750532A7">
      <w:pPr>
        <w:pStyle w:val="16"/>
        <w:adjustRightInd w:val="0"/>
        <w:snapToGrid w:val="0"/>
        <w:spacing w:line="560" w:lineRule="exact"/>
        <w:ind w:left="0" w:leftChars="0" w:firstLine="640" w:firstLineChars="200"/>
        <w:jc w:val="left"/>
        <w:rPr>
          <w:rFonts w:eastAsia="仿宋_GB2312"/>
          <w:sz w:val="32"/>
          <w:szCs w:val="32"/>
        </w:rPr>
      </w:pPr>
      <w:r>
        <w:rPr>
          <w:rFonts w:eastAsia="方正仿宋_GBK"/>
          <w:sz w:val="32"/>
          <w:szCs w:val="32"/>
        </w:rPr>
        <w:t>十、其他重要事项的情况说明</w:t>
      </w:r>
      <w:r>
        <w:rPr>
          <w:sz w:val="24"/>
        </w:rPr>
        <w:tab/>
      </w:r>
      <w:r>
        <w:rPr>
          <w:sz w:val="24"/>
        </w:rPr>
        <w:t>10</w:t>
      </w:r>
    </w:p>
    <w:p w14:paraId="218E8CE7">
      <w:pPr>
        <w:pStyle w:val="14"/>
        <w:adjustRightInd w:val="0"/>
        <w:snapToGrid w:val="0"/>
        <w:spacing w:before="0" w:line="560" w:lineRule="exact"/>
        <w:jc w:val="left"/>
        <w:rPr>
          <w:rFonts w:ascii="Times New Roman" w:hAnsi="Times New Roman" w:eastAsia="黑体"/>
          <w:sz w:val="32"/>
          <w:szCs w:val="32"/>
        </w:rPr>
      </w:pPr>
      <w:r>
        <w:rPr>
          <w:rFonts w:ascii="方正黑体_GBK" w:hAnsi="Times New Roman" w:eastAsia="方正黑体_GBK"/>
          <w:sz w:val="32"/>
          <w:szCs w:val="32"/>
        </w:rPr>
        <w:t>第三部分 名词解释</w:t>
      </w:r>
      <w:r>
        <w:rPr>
          <w:rFonts w:ascii="Times New Roman" w:hAnsi="Times New Roman"/>
          <w:sz w:val="24"/>
          <w:szCs w:val="24"/>
        </w:rPr>
        <w:tab/>
      </w:r>
      <w:r>
        <w:rPr>
          <w:rFonts w:ascii="Times New Roman" w:hAnsi="Times New Roman"/>
          <w:sz w:val="24"/>
          <w:szCs w:val="24"/>
        </w:rPr>
        <w:t>13</w:t>
      </w:r>
    </w:p>
    <w:p w14:paraId="5F79A8C1">
      <w:pPr>
        <w:pStyle w:val="14"/>
        <w:adjustRightInd w:val="0"/>
        <w:snapToGrid w:val="0"/>
        <w:spacing w:before="0" w:line="560" w:lineRule="exact"/>
        <w:jc w:val="left"/>
        <w:rPr>
          <w:rFonts w:ascii="Times New Roman" w:hAnsi="Times New Roman"/>
          <w:sz w:val="32"/>
          <w:szCs w:val="32"/>
        </w:rPr>
      </w:pPr>
      <w:r>
        <w:rPr>
          <w:rFonts w:ascii="方正黑体_GBK" w:hAnsi="Times New Roman" w:eastAsia="方正黑体_GBK"/>
          <w:sz w:val="32"/>
          <w:szCs w:val="32"/>
        </w:rPr>
        <w:t>第四部分 附件</w:t>
      </w:r>
      <w:r>
        <w:rPr>
          <w:rFonts w:ascii="Times New Roman" w:hAnsi="Times New Roman"/>
          <w:sz w:val="24"/>
          <w:szCs w:val="24"/>
        </w:rPr>
        <w:tab/>
      </w:r>
      <w:r>
        <w:rPr>
          <w:rFonts w:ascii="Times New Roman" w:hAnsi="Times New Roman"/>
          <w:sz w:val="24"/>
          <w:szCs w:val="24"/>
        </w:rPr>
        <w:t>16</w:t>
      </w:r>
    </w:p>
    <w:p w14:paraId="5BB89F2F">
      <w:pPr>
        <w:pStyle w:val="14"/>
        <w:adjustRightInd w:val="0"/>
        <w:snapToGrid w:val="0"/>
        <w:spacing w:before="0" w:line="560" w:lineRule="exact"/>
        <w:jc w:val="left"/>
        <w:rPr>
          <w:rFonts w:ascii="Times New Roman" w:hAnsi="Times New Roman"/>
          <w:sz w:val="32"/>
          <w:szCs w:val="32"/>
        </w:rPr>
      </w:pPr>
      <w:r>
        <w:rPr>
          <w:rFonts w:ascii="方正黑体_GBK" w:hAnsi="Times New Roman" w:eastAsia="方正黑体_GBK"/>
          <w:sz w:val="32"/>
          <w:szCs w:val="32"/>
        </w:rPr>
        <w:t>第五部分 附表</w:t>
      </w:r>
      <w:r>
        <w:rPr>
          <w:rFonts w:ascii="Times New Roman" w:hAnsi="Times New Roman"/>
          <w:sz w:val="24"/>
          <w:szCs w:val="24"/>
        </w:rPr>
        <w:tab/>
      </w:r>
      <w:r>
        <w:rPr>
          <w:rFonts w:ascii="Times New Roman" w:hAnsi="Times New Roman"/>
          <w:sz w:val="24"/>
          <w:szCs w:val="24"/>
        </w:rPr>
        <w:t>30</w:t>
      </w:r>
    </w:p>
    <w:p w14:paraId="25646041">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一、收入支出决算总表</w:t>
      </w:r>
      <w:r>
        <w:rPr>
          <w:rFonts w:eastAsia="方正仿宋_GBK"/>
          <w:sz w:val="24"/>
        </w:rPr>
        <w:tab/>
      </w:r>
      <w:r>
        <w:rPr>
          <w:rFonts w:eastAsia="方正仿宋_GBK"/>
          <w:sz w:val="24"/>
        </w:rPr>
        <w:t>30</w:t>
      </w:r>
    </w:p>
    <w:p w14:paraId="6DCE15E0">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二、收入决算表</w:t>
      </w:r>
      <w:r>
        <w:rPr>
          <w:rFonts w:eastAsia="方正仿宋_GBK"/>
          <w:sz w:val="24"/>
        </w:rPr>
        <w:tab/>
      </w:r>
      <w:r>
        <w:rPr>
          <w:rFonts w:eastAsia="方正仿宋_GBK"/>
          <w:sz w:val="24"/>
        </w:rPr>
        <w:t>30</w:t>
      </w:r>
    </w:p>
    <w:p w14:paraId="63336E05">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三、支出决算表</w:t>
      </w:r>
      <w:r>
        <w:rPr>
          <w:rFonts w:eastAsia="方正仿宋_GBK"/>
          <w:sz w:val="24"/>
        </w:rPr>
        <w:tab/>
      </w:r>
      <w:r>
        <w:rPr>
          <w:rFonts w:eastAsia="方正仿宋_GBK"/>
          <w:sz w:val="24"/>
        </w:rPr>
        <w:t>30</w:t>
      </w:r>
    </w:p>
    <w:p w14:paraId="6D1E32A1">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四、财政拨款收入支出决算总表</w:t>
      </w:r>
      <w:r>
        <w:rPr>
          <w:rFonts w:eastAsia="方正仿宋_GBK"/>
          <w:sz w:val="24"/>
        </w:rPr>
        <w:tab/>
      </w:r>
      <w:r>
        <w:rPr>
          <w:rFonts w:eastAsia="方正仿宋_GBK"/>
          <w:sz w:val="24"/>
        </w:rPr>
        <w:t>30</w:t>
      </w:r>
    </w:p>
    <w:p w14:paraId="74D25736">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五、财政拨款支出决算明细表</w:t>
      </w:r>
      <w:r>
        <w:rPr>
          <w:rFonts w:eastAsia="方正仿宋_GBK"/>
          <w:sz w:val="24"/>
        </w:rPr>
        <w:tab/>
      </w:r>
      <w:r>
        <w:rPr>
          <w:rFonts w:eastAsia="方正仿宋_GBK"/>
          <w:sz w:val="24"/>
        </w:rPr>
        <w:t>30</w:t>
      </w:r>
    </w:p>
    <w:p w14:paraId="527A81CB">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六、一般公共预算财政拨款支出决算表</w:t>
      </w:r>
      <w:r>
        <w:rPr>
          <w:rFonts w:eastAsia="方正仿宋_GBK"/>
          <w:sz w:val="24"/>
        </w:rPr>
        <w:tab/>
      </w:r>
      <w:r>
        <w:rPr>
          <w:rFonts w:eastAsia="方正仿宋_GBK"/>
          <w:sz w:val="24"/>
        </w:rPr>
        <w:t>30</w:t>
      </w:r>
    </w:p>
    <w:p w14:paraId="2D450246">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七、一般公共预算财政拨款支出决算明细表</w:t>
      </w:r>
      <w:r>
        <w:rPr>
          <w:rFonts w:eastAsia="方正仿宋_GBK"/>
          <w:sz w:val="24"/>
        </w:rPr>
        <w:tab/>
      </w:r>
      <w:r>
        <w:rPr>
          <w:rFonts w:eastAsia="方正仿宋_GBK"/>
          <w:sz w:val="24"/>
        </w:rPr>
        <w:t>30</w:t>
      </w:r>
    </w:p>
    <w:p w14:paraId="0597AF43">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八、一般公共预算财政拨款基本支出决算明细表</w:t>
      </w:r>
      <w:r>
        <w:rPr>
          <w:rFonts w:eastAsia="方正仿宋_GBK"/>
          <w:sz w:val="24"/>
        </w:rPr>
        <w:tab/>
      </w:r>
      <w:r>
        <w:rPr>
          <w:rFonts w:eastAsia="方正仿宋_GBK"/>
          <w:sz w:val="24"/>
        </w:rPr>
        <w:t>30</w:t>
      </w:r>
    </w:p>
    <w:p w14:paraId="33746AA3">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九、一般公共预算财政拨款项目支出决算表</w:t>
      </w:r>
      <w:r>
        <w:rPr>
          <w:rFonts w:eastAsia="方正仿宋_GBK"/>
          <w:sz w:val="24"/>
        </w:rPr>
        <w:tab/>
      </w:r>
      <w:r>
        <w:rPr>
          <w:rFonts w:eastAsia="方正仿宋_GBK"/>
          <w:sz w:val="24"/>
        </w:rPr>
        <w:t>30</w:t>
      </w:r>
    </w:p>
    <w:p w14:paraId="1E839C45">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十、政府性基金预算财政拨款收入支出决算表</w:t>
      </w:r>
      <w:r>
        <w:rPr>
          <w:rFonts w:eastAsia="方正仿宋_GBK"/>
          <w:sz w:val="24"/>
        </w:rPr>
        <w:tab/>
      </w:r>
      <w:r>
        <w:rPr>
          <w:rFonts w:eastAsia="方正仿宋_GBK"/>
          <w:sz w:val="24"/>
        </w:rPr>
        <w:t>30</w:t>
      </w:r>
    </w:p>
    <w:p w14:paraId="615C1A21">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十一、国有资本经营预算财政拨款收入支出决算表</w:t>
      </w:r>
      <w:r>
        <w:rPr>
          <w:rFonts w:eastAsia="方正仿宋_GBK"/>
          <w:sz w:val="24"/>
        </w:rPr>
        <w:tab/>
      </w:r>
      <w:r>
        <w:rPr>
          <w:rFonts w:eastAsia="方正仿宋_GBK"/>
          <w:sz w:val="24"/>
        </w:rPr>
        <w:t>30</w:t>
      </w:r>
    </w:p>
    <w:p w14:paraId="0BAFE1F7">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十二、国有资本经营预算财政拨款支出决算表</w:t>
      </w:r>
      <w:r>
        <w:rPr>
          <w:rFonts w:eastAsia="方正仿宋_GBK"/>
          <w:sz w:val="24"/>
        </w:rPr>
        <w:tab/>
      </w:r>
      <w:r>
        <w:rPr>
          <w:rFonts w:eastAsia="方正仿宋_GBK"/>
          <w:sz w:val="24"/>
        </w:rPr>
        <w:t>30</w:t>
      </w:r>
    </w:p>
    <w:p w14:paraId="43B3FA21">
      <w:pPr>
        <w:pStyle w:val="16"/>
        <w:adjustRightInd w:val="0"/>
        <w:snapToGrid w:val="0"/>
        <w:spacing w:line="560" w:lineRule="exact"/>
        <w:ind w:left="0" w:leftChars="0" w:firstLine="640" w:firstLineChars="200"/>
        <w:jc w:val="left"/>
        <w:rPr>
          <w:rFonts w:eastAsia="方正仿宋_GBK"/>
          <w:sz w:val="32"/>
          <w:szCs w:val="32"/>
        </w:rPr>
      </w:pPr>
      <w:r>
        <w:rPr>
          <w:rFonts w:eastAsia="方正仿宋_GBK"/>
          <w:sz w:val="32"/>
          <w:szCs w:val="32"/>
        </w:rPr>
        <w:t>十三、财政拨款“三公”经费支出决算表</w:t>
      </w:r>
      <w:r>
        <w:rPr>
          <w:rFonts w:eastAsia="方正仿宋_GBK"/>
          <w:sz w:val="24"/>
        </w:rPr>
        <w:tab/>
      </w:r>
      <w:r>
        <w:rPr>
          <w:rFonts w:eastAsia="方正仿宋_GBK"/>
          <w:sz w:val="24"/>
        </w:rPr>
        <w:t>30</w:t>
      </w:r>
    </w:p>
    <w:p w14:paraId="41961BD1">
      <w:pPr>
        <w:pStyle w:val="3"/>
        <w:jc w:val="center"/>
        <w:rPr>
          <w:rFonts w:eastAsia="Arial Unicode MS"/>
          <w:b w:val="0"/>
        </w:rPr>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pPr>
      <w:bookmarkStart w:id="12" w:name="_Toc15396599"/>
      <w:bookmarkStart w:id="13" w:name="_Toc15377196"/>
    </w:p>
    <w:p w14:paraId="37C0C020">
      <w:pPr>
        <w:pStyle w:val="3"/>
        <w:spacing w:line="0" w:lineRule="atLeast"/>
        <w:jc w:val="center"/>
        <w:rPr>
          <w:rStyle w:val="32"/>
          <w:rFonts w:ascii="方正小标宋_GBK" w:eastAsia="方正小标宋_GBK"/>
          <w:b/>
          <w:bCs w:val="0"/>
        </w:rPr>
      </w:pPr>
      <w:r>
        <w:rPr>
          <w:rFonts w:hint="eastAsia" w:ascii="方正小标宋_GBK" w:eastAsia="方正小标宋_GBK"/>
        </w:rPr>
        <w:t>第一部分</w:t>
      </w:r>
      <w:r>
        <w:rPr>
          <w:rFonts w:hint="eastAsia" w:ascii="方正小标宋_GBK" w:eastAsia="方正小标宋_GBK"/>
          <w:b w:val="0"/>
        </w:rPr>
        <w:t xml:space="preserve">  </w:t>
      </w:r>
      <w:r>
        <w:rPr>
          <w:rStyle w:val="32"/>
          <w:rFonts w:hint="eastAsia" w:ascii="方正小标宋_GBK" w:eastAsia="方正小标宋_GBK"/>
          <w:b/>
          <w:bCs w:val="0"/>
        </w:rPr>
        <w:t>部门概况</w:t>
      </w:r>
      <w:bookmarkEnd w:id="12"/>
      <w:bookmarkEnd w:id="13"/>
    </w:p>
    <w:p w14:paraId="2D454913">
      <w:pPr>
        <w:widowControl/>
        <w:jc w:val="left"/>
        <w:rPr>
          <w:rFonts w:eastAsia="黑体"/>
          <w:sz w:val="32"/>
          <w:szCs w:val="32"/>
        </w:rPr>
      </w:pPr>
    </w:p>
    <w:p w14:paraId="6738C67D">
      <w:pPr>
        <w:pStyle w:val="4"/>
        <w:numPr>
          <w:ilvl w:val="0"/>
          <w:numId w:val="1"/>
        </w:numPr>
        <w:rPr>
          <w:rFonts w:ascii="方正黑体_GBK" w:hAnsi="Times New Roman" w:eastAsia="方正黑体_GBK" w:cs="Times New Roman"/>
          <w:b w:val="0"/>
        </w:rPr>
      </w:pPr>
      <w:r>
        <w:rPr>
          <w:rFonts w:hint="eastAsia" w:ascii="方正黑体_GBK" w:hAnsi="Times New Roman" w:eastAsia="方正黑体_GBK" w:cs="Times New Roman"/>
          <w:b w:val="0"/>
        </w:rPr>
        <w:t>部门职责</w:t>
      </w:r>
    </w:p>
    <w:p w14:paraId="6F83FA44">
      <w:pPr>
        <w:rPr>
          <w:rFonts w:ascii="方正仿宋_GBK" w:eastAsia="方正仿宋_GBK"/>
          <w:sz w:val="32"/>
          <w:szCs w:val="32"/>
        </w:rPr>
      </w:pPr>
      <w:r>
        <w:t xml:space="preserve">      </w:t>
      </w:r>
      <w:r>
        <w:rPr>
          <w:rFonts w:hint="eastAsia" w:ascii="方正仿宋_GBK" w:hAnsi="仿宋_GB2312" w:eastAsia="方正仿宋_GBK"/>
          <w:sz w:val="32"/>
          <w:szCs w:val="32"/>
        </w:rPr>
        <w:t>略</w:t>
      </w:r>
    </w:p>
    <w:p w14:paraId="746F1F1C">
      <w:pPr>
        <w:pStyle w:val="4"/>
        <w:rPr>
          <w:rStyle w:val="33"/>
          <w:rFonts w:ascii="Times New Roman" w:hAnsi="Times New Roman" w:cs="Times New Roman"/>
          <w:b w:val="0"/>
          <w:bCs w:val="0"/>
        </w:rPr>
      </w:pPr>
      <w:bookmarkStart w:id="14" w:name="_Toc15377200"/>
      <w:bookmarkStart w:id="15" w:name="_Toc15396601"/>
      <w:r>
        <w:rPr>
          <w:rFonts w:hint="eastAsia" w:ascii="方正黑体_GBK" w:hAnsi="Times New Roman" w:eastAsia="方正黑体_GBK" w:cs="Times New Roman"/>
          <w:b w:val="0"/>
        </w:rPr>
        <w:t>二</w:t>
      </w:r>
      <w:r>
        <w:rPr>
          <w:rFonts w:ascii="Times New Roman" w:hAnsi="Times New Roman" w:eastAsia="黑体" w:cs="Times New Roman"/>
          <w:b w:val="0"/>
        </w:rPr>
        <w:t>、</w:t>
      </w:r>
      <w:r>
        <w:rPr>
          <w:rFonts w:ascii="方正黑体_GBK" w:hAnsi="Times New Roman" w:eastAsia="方正黑体_GBK" w:cs="Times New Roman"/>
          <w:b w:val="0"/>
        </w:rPr>
        <w:t>机</w:t>
      </w:r>
      <w:r>
        <w:rPr>
          <w:rFonts w:hint="eastAsia" w:ascii="方正黑体_GBK" w:eastAsia="方正黑体_GBK"/>
          <w:bCs w:val="0"/>
        </w:rPr>
        <w:t>构设置</w:t>
      </w:r>
      <w:bookmarkEnd w:id="14"/>
      <w:bookmarkEnd w:id="15"/>
    </w:p>
    <w:p w14:paraId="6726AF8B">
      <w:pPr>
        <w:ind w:firstLine="640" w:firstLineChars="200"/>
        <w:rPr>
          <w:rFonts w:eastAsia="方正仿宋_GBK"/>
          <w:sz w:val="32"/>
          <w:szCs w:val="32"/>
        </w:rPr>
      </w:pPr>
      <w:r>
        <w:rPr>
          <w:rFonts w:eastAsia="方正仿宋_GBK"/>
          <w:sz w:val="32"/>
          <w:szCs w:val="32"/>
        </w:rPr>
        <w:t>中共攀枝花市西区区委统一战线工作部下属二级预算单位1个（非独立核算），其中行政单位0个，参照公务员法管理的事业单位</w:t>
      </w:r>
      <w:r>
        <w:rPr>
          <w:rFonts w:eastAsia="方正仿宋_GBK"/>
          <w:bCs/>
          <w:sz w:val="32"/>
          <w:szCs w:val="32"/>
        </w:rPr>
        <w:t>0</w:t>
      </w:r>
      <w:r>
        <w:rPr>
          <w:rFonts w:eastAsia="方正仿宋_GBK"/>
          <w:sz w:val="32"/>
          <w:szCs w:val="32"/>
        </w:rPr>
        <w:t>个，其他事业单位1个。</w:t>
      </w:r>
    </w:p>
    <w:p w14:paraId="51153F85">
      <w:pPr>
        <w:pStyle w:val="6"/>
        <w:adjustRightInd w:val="0"/>
        <w:snapToGrid w:val="0"/>
        <w:spacing w:before="93" w:line="600" w:lineRule="exact"/>
        <w:ind w:firstLine="672" w:firstLineChars="210"/>
        <w:rPr>
          <w:rFonts w:ascii="Times New Roman" w:eastAsia="方正仿宋_GBK"/>
          <w:sz w:val="32"/>
          <w:szCs w:val="32"/>
        </w:rPr>
      </w:pPr>
      <w:r>
        <w:rPr>
          <w:rFonts w:ascii="Times New Roman" w:eastAsia="方正仿宋_GBK"/>
          <w:sz w:val="32"/>
          <w:szCs w:val="32"/>
        </w:rPr>
        <w:t>纳入中共攀枝花市西区区委统一战线工作部2024年度部门决算编制范围的二级预算单位1个。</w:t>
      </w:r>
    </w:p>
    <w:p w14:paraId="3116C71D">
      <w:pPr>
        <w:pStyle w:val="6"/>
        <w:adjustRightInd w:val="0"/>
        <w:snapToGrid w:val="0"/>
        <w:spacing w:before="93" w:line="600" w:lineRule="exact"/>
        <w:ind w:left="672"/>
        <w:outlineLvl w:val="2"/>
        <w:rPr>
          <w:rFonts w:ascii="Times New Roman"/>
          <w:sz w:val="32"/>
          <w:szCs w:val="32"/>
        </w:rPr>
      </w:pPr>
    </w:p>
    <w:p w14:paraId="4F4DF885">
      <w:pPr>
        <w:widowControl/>
        <w:jc w:val="left"/>
        <w:rPr>
          <w:rFonts w:eastAsia="仿宋"/>
          <w:kern w:val="0"/>
          <w:sz w:val="32"/>
          <w:szCs w:val="32"/>
        </w:rPr>
      </w:pPr>
      <w:r>
        <w:rPr>
          <w:rFonts w:eastAsia="仿宋"/>
          <w:sz w:val="32"/>
          <w:szCs w:val="32"/>
        </w:rPr>
        <w:br w:type="page"/>
      </w:r>
    </w:p>
    <w:p w14:paraId="454D6B5C">
      <w:pPr>
        <w:pStyle w:val="3"/>
        <w:spacing w:line="0" w:lineRule="atLeast"/>
        <w:jc w:val="center"/>
        <w:rPr>
          <w:rStyle w:val="32"/>
          <w:rFonts w:ascii="方正小标宋_GBK" w:eastAsia="方正小标宋_GBK"/>
          <w:b/>
          <w:bCs w:val="0"/>
        </w:rPr>
      </w:pPr>
      <w:bookmarkStart w:id="16" w:name="_Toc15396602"/>
      <w:bookmarkStart w:id="17" w:name="_Toc15377204"/>
      <w:r>
        <w:rPr>
          <w:rStyle w:val="32"/>
          <w:rFonts w:hint="eastAsia" w:ascii="方正小标宋_GBK" w:eastAsia="方正小标宋_GBK"/>
          <w:b/>
          <w:bCs w:val="0"/>
        </w:rPr>
        <w:t>第二部分  2024年度部门决算情况说明</w:t>
      </w:r>
      <w:bookmarkEnd w:id="16"/>
      <w:bookmarkEnd w:id="17"/>
    </w:p>
    <w:p w14:paraId="4116323E"/>
    <w:p w14:paraId="03ED98F2">
      <w:pPr>
        <w:pStyle w:val="31"/>
        <w:spacing w:line="600" w:lineRule="exact"/>
        <w:ind w:firstLine="640"/>
        <w:outlineLvl w:val="1"/>
        <w:rPr>
          <w:rStyle w:val="33"/>
          <w:rFonts w:ascii="方正黑体_GBK" w:hAnsi="Times New Roman" w:eastAsia="方正黑体_GBK" w:cs="Times New Roman"/>
          <w:b w:val="0"/>
        </w:rPr>
      </w:pPr>
      <w:bookmarkStart w:id="18" w:name="_Toc15396603"/>
      <w:bookmarkStart w:id="19" w:name="_Toc15377205"/>
      <w:r>
        <w:rPr>
          <w:rFonts w:hint="eastAsia" w:ascii="方正黑体_GBK" w:eastAsia="方正黑体_GBK"/>
          <w:sz w:val="32"/>
          <w:szCs w:val="32"/>
        </w:rPr>
        <w:t>一、收</w:t>
      </w:r>
      <w:r>
        <w:rPr>
          <w:rStyle w:val="33"/>
          <w:rFonts w:hint="eastAsia" w:ascii="方正黑体_GBK" w:hAnsi="Times New Roman" w:eastAsia="方正黑体_GBK" w:cs="Times New Roman"/>
          <w:b w:val="0"/>
        </w:rPr>
        <w:t>入支出决算总体情况说明</w:t>
      </w:r>
      <w:bookmarkEnd w:id="18"/>
      <w:bookmarkEnd w:id="19"/>
    </w:p>
    <w:p w14:paraId="4C0888CA">
      <w:pPr>
        <w:pStyle w:val="21"/>
        <w:ind w:firstLine="640"/>
        <w:rPr>
          <w:rFonts w:eastAsia="方正仿宋_GBK"/>
        </w:rPr>
      </w:pPr>
      <w:r>
        <w:rPr>
          <w:rFonts w:eastAsia="方正仿宋_GBK"/>
          <w:sz w:val="32"/>
          <w:szCs w:val="32"/>
        </w:rPr>
        <w:t>2024年度收入、支出总计均为340.13万元。与2023年度相比，收入、支出总计各增加34.74万元，增长11.37%。主要变动原因是基本支出减少11.42万元，项目支出比上年增加46.15万元，其中庄上村民族团结进步农文旅融合示范基地打造增加了开支。</w:t>
      </w:r>
    </w:p>
    <w:p w14:paraId="669D2616">
      <w:pPr>
        <w:ind w:firstLine="640" w:firstLineChars="200"/>
        <w:rPr>
          <w:rFonts w:eastAsia="方正仿宋_GBK"/>
        </w:rPr>
      </w:pPr>
      <w:r>
        <w:rPr>
          <w:rFonts w:eastAsia="方正仿宋_GBK"/>
          <w:sz w:val="32"/>
          <w:szCs w:val="32"/>
        </w:rPr>
        <w:t>（图1：收入、支出决算总计变动情况图）</w:t>
      </w:r>
    </w:p>
    <w:p w14:paraId="29612E68">
      <w:pPr>
        <w:jc w:val="center"/>
        <w:rPr>
          <w:rFonts w:eastAsia="仿宋_GB2312"/>
          <w:sz w:val="32"/>
          <w:szCs w:val="32"/>
        </w:rPr>
      </w:pPr>
      <w:r>
        <w:drawing>
          <wp:inline distT="0" distB="0" distL="114300" distR="114300">
            <wp:extent cx="3957320" cy="2307590"/>
            <wp:effectExtent l="4445" t="5080" r="13335" b="11430"/>
            <wp:docPr id="5373" name="图表 10"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872AD8">
      <w:pPr>
        <w:pStyle w:val="31"/>
        <w:spacing w:line="600" w:lineRule="exact"/>
        <w:ind w:firstLine="640"/>
        <w:outlineLvl w:val="1"/>
        <w:rPr>
          <w:rFonts w:eastAsia="黑体"/>
          <w:sz w:val="32"/>
          <w:szCs w:val="32"/>
        </w:rPr>
      </w:pPr>
      <w:bookmarkStart w:id="20" w:name="_Toc15377206"/>
      <w:bookmarkStart w:id="21" w:name="_Toc15396604"/>
    </w:p>
    <w:p w14:paraId="21659C76">
      <w:pPr>
        <w:pStyle w:val="31"/>
        <w:spacing w:line="600" w:lineRule="exact"/>
        <w:ind w:firstLine="640"/>
        <w:outlineLvl w:val="1"/>
        <w:rPr>
          <w:rStyle w:val="33"/>
          <w:rFonts w:ascii="方正黑体_GBK" w:hAnsi="Times New Roman" w:eastAsia="方正黑体_GBK" w:cs="Times New Roman"/>
          <w:b w:val="0"/>
        </w:rPr>
      </w:pPr>
      <w:r>
        <w:rPr>
          <w:rStyle w:val="33"/>
          <w:rFonts w:ascii="方正黑体_GBK" w:hAnsi="Times New Roman" w:eastAsia="方正黑体_GBK" w:cs="Times New Roman"/>
          <w:b w:val="0"/>
        </w:rPr>
        <w:t>二、收入决算情况说明</w:t>
      </w:r>
      <w:bookmarkEnd w:id="20"/>
      <w:bookmarkEnd w:id="21"/>
    </w:p>
    <w:p w14:paraId="26E92039">
      <w:pPr>
        <w:pStyle w:val="31"/>
        <w:spacing w:line="600" w:lineRule="exact"/>
        <w:ind w:firstLine="640"/>
        <w:jc w:val="left"/>
        <w:outlineLvl w:val="1"/>
        <w:rPr>
          <w:rFonts w:eastAsia="方正仿宋_GBK"/>
          <w:b/>
          <w:bCs/>
          <w:sz w:val="32"/>
          <w:szCs w:val="32"/>
        </w:rPr>
      </w:pPr>
      <w:r>
        <w:rPr>
          <w:rFonts w:eastAsia="方正仿宋_GBK"/>
          <w:sz w:val="32"/>
          <w:szCs w:val="32"/>
        </w:rPr>
        <w:t>2024年度本年收入合计340.13万元，其中：一般公共预算财政拨款收入294.02万元，占86.45%；政府性基金预算财政拨款收入46.1万元，占13.55%%；国有资本经营预算财政拨款收入0万元，占0%；上级补助收入0万元，占0%；事业收入0万元，占0%；经营收入0万元，占0%；附属单位上缴收入0万元，占0%；其他收入0万元，占0%。</w:t>
      </w:r>
    </w:p>
    <w:p w14:paraId="70F80AD1">
      <w:pPr>
        <w:ind w:firstLine="800" w:firstLineChars="250"/>
        <w:rPr>
          <w:rFonts w:eastAsia="方正仿宋_GBK"/>
          <w:sz w:val="32"/>
          <w:szCs w:val="32"/>
        </w:rPr>
      </w:pPr>
      <w:r>
        <w:rPr>
          <w:rFonts w:eastAsia="方正仿宋_GBK"/>
          <w:sz w:val="32"/>
          <w:szCs w:val="32"/>
        </w:rPr>
        <w:t>（图2：收入决算结构图）</w:t>
      </w:r>
    </w:p>
    <w:p w14:paraId="649E25DA">
      <w:pPr>
        <w:pStyle w:val="21"/>
        <w:ind w:firstLine="420"/>
        <w:jc w:val="center"/>
      </w:pPr>
      <w:r>
        <w:drawing>
          <wp:inline distT="0" distB="0" distL="114300" distR="114300">
            <wp:extent cx="4072255" cy="2178685"/>
            <wp:effectExtent l="5080" t="4445" r="12065" b="13970"/>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A9D39E">
      <w:pPr>
        <w:pStyle w:val="31"/>
        <w:spacing w:line="600" w:lineRule="exact"/>
        <w:ind w:firstLine="640"/>
        <w:outlineLvl w:val="1"/>
        <w:rPr>
          <w:rFonts w:eastAsia="黑体"/>
          <w:sz w:val="32"/>
          <w:szCs w:val="32"/>
        </w:rPr>
      </w:pPr>
      <w:bookmarkStart w:id="22" w:name="_Toc15396605"/>
      <w:bookmarkStart w:id="23" w:name="_Toc15377207"/>
    </w:p>
    <w:p w14:paraId="2BC99C83">
      <w:pPr>
        <w:pStyle w:val="31"/>
        <w:spacing w:line="600" w:lineRule="exact"/>
        <w:ind w:firstLine="640"/>
        <w:outlineLvl w:val="1"/>
        <w:rPr>
          <w:rStyle w:val="33"/>
          <w:rFonts w:ascii="方正黑体_GBK" w:hAnsi="Times New Roman" w:eastAsia="方正黑体_GBK" w:cs="Times New Roman"/>
          <w:b w:val="0"/>
        </w:rPr>
      </w:pPr>
      <w:r>
        <w:rPr>
          <w:rStyle w:val="33"/>
          <w:rFonts w:ascii="方正黑体_GBK" w:hAnsi="Times New Roman" w:eastAsia="方正黑体_GBK" w:cs="Times New Roman"/>
          <w:b w:val="0"/>
        </w:rPr>
        <w:t>三、支出决算情况说明</w:t>
      </w:r>
      <w:bookmarkEnd w:id="22"/>
      <w:bookmarkEnd w:id="23"/>
    </w:p>
    <w:p w14:paraId="24FCA795">
      <w:pPr>
        <w:pStyle w:val="31"/>
        <w:spacing w:line="600" w:lineRule="exact"/>
        <w:ind w:firstLine="640"/>
        <w:jc w:val="left"/>
        <w:outlineLvl w:val="1"/>
        <w:rPr>
          <w:rFonts w:eastAsia="方正仿宋_GBK"/>
          <w:sz w:val="32"/>
          <w:szCs w:val="32"/>
        </w:rPr>
      </w:pPr>
      <w:r>
        <w:rPr>
          <w:rFonts w:eastAsia="方正仿宋_GBK"/>
          <w:sz w:val="32"/>
          <w:szCs w:val="32"/>
        </w:rPr>
        <w:t>2024年度本年支出合计340.13万元，其中：基本支出241.02万元，占70.86%；项目支出99.1万元，占29.14%；上缴上级支出0万元，占0%；经营支出0万元，占0%；对附属单位补助支出0万元，占0%。</w:t>
      </w:r>
    </w:p>
    <w:p w14:paraId="3B625F50">
      <w:pPr>
        <w:ind w:firstLine="800" w:firstLineChars="250"/>
        <w:rPr>
          <w:rFonts w:eastAsia="方正仿宋_GBK"/>
          <w:sz w:val="32"/>
          <w:szCs w:val="32"/>
        </w:rPr>
      </w:pPr>
      <w:r>
        <w:rPr>
          <w:rFonts w:eastAsia="方正仿宋_GBK"/>
          <w:sz w:val="32"/>
          <w:szCs w:val="32"/>
        </w:rPr>
        <w:t>（图3：支出决算结构图）</w:t>
      </w:r>
    </w:p>
    <w:p w14:paraId="0F2A68AD">
      <w:pPr>
        <w:pStyle w:val="21"/>
        <w:ind w:firstLine="420"/>
      </w:pPr>
    </w:p>
    <w:p w14:paraId="30DD29E0">
      <w:pPr>
        <w:ind w:firstLine="525" w:firstLineChars="250"/>
        <w:jc w:val="center"/>
        <w:rPr>
          <w:rFonts w:eastAsia="黑体"/>
          <w:sz w:val="32"/>
          <w:szCs w:val="32"/>
        </w:rPr>
      </w:pPr>
      <w:bookmarkStart w:id="24" w:name="_Toc15377208"/>
      <w:bookmarkStart w:id="25" w:name="_Toc15396606"/>
      <w:r>
        <w:drawing>
          <wp:inline distT="0" distB="0" distL="114300" distR="114300">
            <wp:extent cx="4020185" cy="2324100"/>
            <wp:effectExtent l="4445" t="4445" r="13970" b="8255"/>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8BC3E2">
      <w:pPr>
        <w:spacing w:line="600" w:lineRule="exact"/>
        <w:ind w:firstLine="640" w:firstLineChars="200"/>
        <w:outlineLvl w:val="1"/>
        <w:rPr>
          <w:rFonts w:eastAsia="黑体"/>
          <w:sz w:val="32"/>
          <w:szCs w:val="32"/>
        </w:rPr>
      </w:pPr>
    </w:p>
    <w:p w14:paraId="59FEF76C">
      <w:pPr>
        <w:pStyle w:val="31"/>
        <w:spacing w:line="600" w:lineRule="exact"/>
        <w:ind w:firstLine="640"/>
        <w:outlineLvl w:val="1"/>
        <w:rPr>
          <w:rStyle w:val="33"/>
          <w:rFonts w:ascii="方正黑体_GBK" w:hAnsi="Times New Roman" w:eastAsia="方正黑体_GBK" w:cs="Times New Roman"/>
          <w:b w:val="0"/>
        </w:rPr>
      </w:pPr>
      <w:r>
        <w:rPr>
          <w:rStyle w:val="33"/>
          <w:rFonts w:ascii="方正黑体_GBK" w:hAnsi="Times New Roman" w:eastAsia="方正黑体_GBK" w:cs="Times New Roman"/>
          <w:b w:val="0"/>
        </w:rPr>
        <w:t>四、财政拨款收入支出决算总体情况说明</w:t>
      </w:r>
      <w:bookmarkEnd w:id="24"/>
      <w:bookmarkEnd w:id="25"/>
    </w:p>
    <w:p w14:paraId="36A619C0">
      <w:pPr>
        <w:pStyle w:val="21"/>
        <w:ind w:firstLine="640"/>
        <w:rPr>
          <w:rFonts w:eastAsia="方正仿宋_GBK"/>
          <w:sz w:val="32"/>
          <w:szCs w:val="32"/>
        </w:rPr>
      </w:pPr>
      <w:r>
        <w:rPr>
          <w:rFonts w:eastAsia="方正仿宋_GBK"/>
          <w:sz w:val="32"/>
          <w:szCs w:val="32"/>
        </w:rPr>
        <w:t>2024年度财政拨款收入、支出总计均为340.13万元。与2023年度相比，财政拨款收入总计、支出总计各增加34.74万元，增长11.37%。主要变动原因是基本支出减少11.42万元，项目支出比上年增加46.15万元，其中庄上村民族团结进步农文旅融合示范基地打造增加了开支。</w:t>
      </w:r>
    </w:p>
    <w:p w14:paraId="4B63212A">
      <w:pPr>
        <w:spacing w:line="600" w:lineRule="exact"/>
        <w:ind w:firstLine="640" w:firstLineChars="200"/>
        <w:rPr>
          <w:rFonts w:eastAsia="方正仿宋_GBK"/>
          <w:sz w:val="32"/>
          <w:szCs w:val="32"/>
        </w:rPr>
      </w:pPr>
      <w:r>
        <w:rPr>
          <w:rFonts w:eastAsia="方正仿宋_GBK"/>
          <w:sz w:val="32"/>
          <w:szCs w:val="32"/>
        </w:rPr>
        <w:t>（图4：财政拨款收、支决算总计变动情况）</w:t>
      </w:r>
    </w:p>
    <w:p w14:paraId="2824A6F5">
      <w:pPr>
        <w:pStyle w:val="21"/>
        <w:ind w:firstLine="420"/>
        <w:jc w:val="center"/>
      </w:pPr>
      <w:r>
        <w:drawing>
          <wp:inline distT="0" distB="0" distL="114300" distR="114300">
            <wp:extent cx="4166870" cy="2541270"/>
            <wp:effectExtent l="4445" t="4445" r="6985" b="6985"/>
            <wp:docPr id="5" name="图表 13"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A50032">
      <w:pPr>
        <w:spacing w:line="600" w:lineRule="exact"/>
        <w:ind w:firstLine="640"/>
        <w:rPr>
          <w:rFonts w:eastAsia="仿宋_GB2312"/>
          <w:sz w:val="32"/>
          <w:szCs w:val="32"/>
        </w:rPr>
      </w:pPr>
    </w:p>
    <w:p w14:paraId="2F6E2F3B">
      <w:pPr>
        <w:pStyle w:val="31"/>
        <w:spacing w:line="600" w:lineRule="exact"/>
        <w:ind w:firstLine="640"/>
        <w:outlineLvl w:val="1"/>
        <w:rPr>
          <w:rStyle w:val="33"/>
          <w:rFonts w:ascii="方正黑体_GBK" w:hAnsi="Times New Roman" w:eastAsia="方正黑体_GBK" w:cs="Times New Roman"/>
          <w:b w:val="0"/>
        </w:rPr>
      </w:pPr>
      <w:bookmarkStart w:id="26" w:name="_Toc15396607"/>
      <w:bookmarkStart w:id="27" w:name="_Toc15377209"/>
      <w:r>
        <w:rPr>
          <w:rStyle w:val="33"/>
          <w:rFonts w:ascii="方正黑体_GBK" w:hAnsi="Times New Roman" w:eastAsia="方正黑体_GBK" w:cs="Times New Roman"/>
          <w:b w:val="0"/>
        </w:rPr>
        <w:t>五、一般公共预算财政拨款支出决算情况说明</w:t>
      </w:r>
      <w:bookmarkEnd w:id="26"/>
      <w:bookmarkEnd w:id="27"/>
    </w:p>
    <w:p w14:paraId="4D9E03CF">
      <w:pPr>
        <w:spacing w:line="600" w:lineRule="exact"/>
        <w:ind w:firstLine="643" w:firstLineChars="200"/>
        <w:outlineLvl w:val="2"/>
        <w:rPr>
          <w:rFonts w:ascii="方正楷体_GBK" w:eastAsia="方正楷体_GBK"/>
          <w:b/>
          <w:sz w:val="32"/>
          <w:szCs w:val="32"/>
        </w:rPr>
      </w:pPr>
      <w:bookmarkStart w:id="28" w:name="_Toc15377210"/>
      <w:r>
        <w:rPr>
          <w:rFonts w:hint="eastAsia" w:ascii="方正楷体_GBK" w:eastAsia="方正楷体_GBK"/>
          <w:b/>
          <w:sz w:val="32"/>
          <w:szCs w:val="32"/>
        </w:rPr>
        <w:t>（一）一般公共预算财政拨款支出决算总体情况</w:t>
      </w:r>
      <w:bookmarkEnd w:id="28"/>
    </w:p>
    <w:p w14:paraId="35D9E92F">
      <w:pPr>
        <w:spacing w:line="600" w:lineRule="exact"/>
        <w:ind w:firstLine="640"/>
        <w:rPr>
          <w:rFonts w:eastAsia="方正仿宋_GBK"/>
          <w:sz w:val="32"/>
          <w:szCs w:val="32"/>
        </w:rPr>
      </w:pPr>
      <w:r>
        <w:rPr>
          <w:rFonts w:eastAsia="方正仿宋_GBK"/>
          <w:sz w:val="32"/>
          <w:szCs w:val="32"/>
        </w:rPr>
        <w:t>2024年度一般公共预算财政拨款支出294.02万元，占本年支出合计的86.44%。与2023年度相比，一般公共预算财政拨款支出增加38.23万元，增长14.95%。主要变动原因主要是本年度增加了巩固脱贫攻坚成果衔接推进乡村振兴资金用于项目支出。</w:t>
      </w:r>
    </w:p>
    <w:p w14:paraId="0D10570A">
      <w:pPr>
        <w:spacing w:line="600" w:lineRule="exact"/>
        <w:ind w:firstLine="640"/>
        <w:rPr>
          <w:rFonts w:eastAsia="方正仿宋_GBK"/>
          <w:sz w:val="32"/>
          <w:szCs w:val="32"/>
        </w:rPr>
      </w:pPr>
      <w:r>
        <w:rPr>
          <w:rFonts w:eastAsia="方正仿宋_GBK"/>
          <w:sz w:val="32"/>
          <w:szCs w:val="32"/>
        </w:rPr>
        <w:t>（图5：一般公共预算财政拨款支出决算变动情况）</w:t>
      </w:r>
    </w:p>
    <w:p w14:paraId="403E9C02">
      <w:pPr>
        <w:pStyle w:val="21"/>
        <w:ind w:firstLine="420"/>
        <w:jc w:val="center"/>
      </w:pPr>
      <w:r>
        <w:drawing>
          <wp:inline distT="0" distB="0" distL="114300" distR="114300">
            <wp:extent cx="4140200" cy="2444750"/>
            <wp:effectExtent l="4445" t="5080" r="8255" b="13970"/>
            <wp:docPr id="5376" name="图表 14"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C832A0">
      <w:pPr>
        <w:spacing w:line="600" w:lineRule="exact"/>
        <w:ind w:firstLine="643" w:firstLineChars="200"/>
        <w:outlineLvl w:val="2"/>
        <w:rPr>
          <w:rFonts w:ascii="方正楷体_GBK" w:eastAsia="方正楷体_GBK"/>
          <w:b/>
          <w:sz w:val="32"/>
          <w:szCs w:val="32"/>
        </w:rPr>
      </w:pPr>
      <w:bookmarkStart w:id="29" w:name="_Toc15377211"/>
      <w:r>
        <w:rPr>
          <w:rFonts w:ascii="方正楷体_GBK" w:eastAsia="方正楷体_GBK"/>
          <w:b/>
          <w:sz w:val="32"/>
          <w:szCs w:val="32"/>
        </w:rPr>
        <w:t>（二）一般公共预算财政拨款支出决算结构情况</w:t>
      </w:r>
      <w:bookmarkEnd w:id="29"/>
    </w:p>
    <w:p w14:paraId="48DFB36A">
      <w:pPr>
        <w:spacing w:line="600" w:lineRule="exact"/>
        <w:ind w:firstLine="640"/>
        <w:rPr>
          <w:rFonts w:eastAsia="方正仿宋_GBK"/>
          <w:sz w:val="32"/>
          <w:szCs w:val="32"/>
        </w:rPr>
      </w:pPr>
      <w:r>
        <w:rPr>
          <w:rFonts w:eastAsia="方正仿宋_GBK"/>
          <w:sz w:val="32"/>
          <w:szCs w:val="32"/>
        </w:rPr>
        <w:t>2024年度一般公共预算财政拨款支出294.02万元，主要用于以下方面：一般公共服务支出168.27万元，占57.23%；教育支出0万元，占0%；科学技术支出0万元，占0%；文化旅游体育与传媒支出0万元，占0%；社会保障和就业支出36.91万元，占12.55%；卫生健康支出21.88万元，占7.44%；住房保障支出16.97万元，占5.77%；农林水支出50万元，占17.01%。</w:t>
      </w:r>
    </w:p>
    <w:p w14:paraId="10ED5C9C">
      <w:pPr>
        <w:spacing w:line="600" w:lineRule="exact"/>
        <w:ind w:firstLine="640"/>
        <w:rPr>
          <w:rFonts w:eastAsia="方正仿宋_GBK"/>
          <w:sz w:val="32"/>
          <w:szCs w:val="32"/>
        </w:rPr>
      </w:pPr>
      <w:r>
        <w:rPr>
          <w:rFonts w:eastAsia="方正仿宋_GBK"/>
          <w:sz w:val="32"/>
          <w:szCs w:val="32"/>
        </w:rPr>
        <w:t>（图6：一般公共预算财政拨款支出决算结构）</w:t>
      </w:r>
    </w:p>
    <w:p w14:paraId="0F44532B">
      <w:pPr>
        <w:jc w:val="center"/>
      </w:pPr>
      <w:r>
        <w:drawing>
          <wp:inline distT="0" distB="0" distL="114300" distR="114300">
            <wp:extent cx="4001770" cy="2590800"/>
            <wp:effectExtent l="4445" t="4445" r="6985" b="82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D220954">
      <w:pPr>
        <w:spacing w:line="600" w:lineRule="exact"/>
        <w:ind w:firstLine="643" w:firstLineChars="200"/>
        <w:outlineLvl w:val="2"/>
        <w:rPr>
          <w:rFonts w:ascii="方正楷体_GBK" w:eastAsia="方正楷体_GBK"/>
          <w:b/>
          <w:sz w:val="32"/>
          <w:szCs w:val="32"/>
        </w:rPr>
      </w:pPr>
      <w:bookmarkStart w:id="30" w:name="_Toc15377212"/>
      <w:r>
        <w:rPr>
          <w:rFonts w:ascii="方正楷体_GBK" w:eastAsia="方正楷体_GBK"/>
          <w:b/>
          <w:sz w:val="32"/>
          <w:szCs w:val="32"/>
        </w:rPr>
        <w:t>（三）一般公共预算财政拨款支出决算具体情况</w:t>
      </w:r>
      <w:bookmarkEnd w:id="30"/>
    </w:p>
    <w:p w14:paraId="25B6DB9A">
      <w:pPr>
        <w:spacing w:line="600" w:lineRule="exact"/>
        <w:ind w:firstLine="640"/>
        <w:rPr>
          <w:rFonts w:eastAsia="方正仿宋_GBK"/>
          <w:sz w:val="32"/>
          <w:szCs w:val="32"/>
        </w:rPr>
      </w:pPr>
      <w:bookmarkStart w:id="31" w:name="_Toc15377444"/>
      <w:bookmarkStart w:id="32" w:name="_Toc15377213"/>
      <w:bookmarkStart w:id="33" w:name="_Toc15378460"/>
      <w:r>
        <w:rPr>
          <w:rFonts w:eastAsia="方正仿宋_GBK"/>
          <w:sz w:val="32"/>
          <w:szCs w:val="32"/>
        </w:rPr>
        <w:t>2024年度一般公共预算财政拨款支出决算数为294.02万元，完成预算100%。其中：</w:t>
      </w:r>
      <w:bookmarkEnd w:id="31"/>
      <w:bookmarkEnd w:id="32"/>
      <w:bookmarkEnd w:id="33"/>
    </w:p>
    <w:p w14:paraId="118D3731">
      <w:pPr>
        <w:spacing w:line="600" w:lineRule="exact"/>
        <w:ind w:firstLine="640"/>
        <w:rPr>
          <w:rFonts w:eastAsia="方正仿宋_GBK"/>
          <w:sz w:val="32"/>
          <w:szCs w:val="32"/>
        </w:rPr>
      </w:pPr>
      <w:r>
        <w:rPr>
          <w:rFonts w:eastAsia="方正仿宋_GBK"/>
          <w:sz w:val="32"/>
          <w:szCs w:val="32"/>
        </w:rPr>
        <w:t>1.一般公共服务（类）统战事务（款）行政运行（项）：支出决算为121.15万元，完成预算100%，决算数与预算数持平。</w:t>
      </w:r>
    </w:p>
    <w:p w14:paraId="4830A78F">
      <w:pPr>
        <w:spacing w:line="600" w:lineRule="exact"/>
        <w:ind w:firstLine="640"/>
        <w:rPr>
          <w:rFonts w:eastAsia="方正仿宋_GBK"/>
          <w:sz w:val="32"/>
          <w:szCs w:val="32"/>
        </w:rPr>
      </w:pPr>
      <w:r>
        <w:rPr>
          <w:rFonts w:eastAsia="方正仿宋_GBK"/>
          <w:sz w:val="32"/>
          <w:szCs w:val="32"/>
        </w:rPr>
        <w:t>2.一般公共服务（类）统战事务（款）一般行政管理事务（项）： 支出决算为3万元，完成预算100%，决算数与预算数持平。</w:t>
      </w:r>
    </w:p>
    <w:p w14:paraId="64E1CD28">
      <w:pPr>
        <w:spacing w:line="600" w:lineRule="exact"/>
        <w:ind w:firstLine="640"/>
        <w:rPr>
          <w:rFonts w:eastAsia="方正仿宋_GBK"/>
          <w:sz w:val="32"/>
          <w:szCs w:val="32"/>
        </w:rPr>
      </w:pPr>
      <w:r>
        <w:rPr>
          <w:rFonts w:eastAsia="方正仿宋_GBK"/>
          <w:sz w:val="32"/>
          <w:szCs w:val="32"/>
        </w:rPr>
        <w:t>3.一般公共服务（类）统战事务（款）事业运行（项）：支出决算为44.12万元，完成预算100%，决算数与预算数持平。</w:t>
      </w:r>
    </w:p>
    <w:p w14:paraId="35DB455A">
      <w:pPr>
        <w:spacing w:line="600" w:lineRule="exact"/>
        <w:ind w:firstLine="640"/>
        <w:rPr>
          <w:rFonts w:eastAsia="方正仿宋_GBK"/>
          <w:sz w:val="32"/>
          <w:szCs w:val="32"/>
        </w:rPr>
      </w:pPr>
      <w:r>
        <w:rPr>
          <w:rFonts w:eastAsia="方正仿宋_GBK"/>
          <w:sz w:val="32"/>
          <w:szCs w:val="32"/>
        </w:rPr>
        <w:t>4.社会保障和就业（类）行政事业单位养老支出（款）行政单位离退休（项）： 支出决算为7.12万元，完成预算100%，决算数与预算数持平。</w:t>
      </w:r>
    </w:p>
    <w:p w14:paraId="0A76FF01">
      <w:pPr>
        <w:spacing w:line="600" w:lineRule="exact"/>
        <w:ind w:firstLine="640"/>
        <w:rPr>
          <w:rFonts w:eastAsia="方正仿宋_GBK"/>
          <w:sz w:val="32"/>
          <w:szCs w:val="32"/>
        </w:rPr>
      </w:pPr>
      <w:r>
        <w:rPr>
          <w:rFonts w:eastAsia="方正仿宋_GBK"/>
          <w:sz w:val="32"/>
          <w:szCs w:val="32"/>
        </w:rPr>
        <w:t>5.社会保障和就业（类）行政事业单位养老支出（款）机关事业单位基本养老保险缴费支出（项）： 支出决算为19.92万元，完成预算100%，决算数与预算数持平。</w:t>
      </w:r>
    </w:p>
    <w:p w14:paraId="223B0796">
      <w:pPr>
        <w:spacing w:line="600" w:lineRule="exact"/>
        <w:ind w:firstLine="640"/>
        <w:rPr>
          <w:rFonts w:eastAsia="方正仿宋_GBK"/>
          <w:sz w:val="32"/>
          <w:szCs w:val="32"/>
        </w:rPr>
      </w:pPr>
      <w:r>
        <w:rPr>
          <w:rFonts w:eastAsia="方正仿宋_GBK"/>
          <w:sz w:val="32"/>
          <w:szCs w:val="32"/>
        </w:rPr>
        <w:t>6.社会保障和就业（类）行政事业单位养老支出（款）机关事业单位职业年金缴费支出（项）： 支出决算为9.87万元，完成预算100%，决算数与预算数持平。</w:t>
      </w:r>
    </w:p>
    <w:p w14:paraId="7A73A940">
      <w:pPr>
        <w:spacing w:line="600" w:lineRule="exact"/>
        <w:ind w:firstLine="640"/>
        <w:rPr>
          <w:rFonts w:eastAsia="方正仿宋_GBK"/>
          <w:sz w:val="32"/>
          <w:szCs w:val="32"/>
        </w:rPr>
      </w:pPr>
      <w:r>
        <w:rPr>
          <w:rFonts w:eastAsia="方正仿宋_GBK"/>
          <w:sz w:val="32"/>
          <w:szCs w:val="32"/>
        </w:rPr>
        <w:t>7.卫生健康（类）行政事业单位医疗（款）行政单位医疗（项）：支出决算为9.11万元，完成预算100%，决算数与预算数持平。</w:t>
      </w:r>
    </w:p>
    <w:p w14:paraId="5A2AF9B9">
      <w:pPr>
        <w:spacing w:line="600" w:lineRule="exact"/>
        <w:ind w:firstLine="640"/>
        <w:rPr>
          <w:rFonts w:eastAsia="方正仿宋_GBK"/>
          <w:sz w:val="32"/>
          <w:szCs w:val="32"/>
        </w:rPr>
      </w:pPr>
      <w:r>
        <w:rPr>
          <w:rFonts w:eastAsia="方正仿宋_GBK"/>
          <w:sz w:val="32"/>
          <w:szCs w:val="32"/>
        </w:rPr>
        <w:t>8.卫生健康（类）行政事业单位医疗（款）事业单位医疗（项）：支出决算为3.73万元，完成预算100%，决算数与预算数持平。</w:t>
      </w:r>
    </w:p>
    <w:p w14:paraId="23319EE8">
      <w:pPr>
        <w:spacing w:line="600" w:lineRule="exact"/>
        <w:ind w:firstLine="640"/>
        <w:rPr>
          <w:rFonts w:eastAsia="方正仿宋_GBK"/>
          <w:sz w:val="32"/>
          <w:szCs w:val="32"/>
        </w:rPr>
      </w:pPr>
      <w:r>
        <w:rPr>
          <w:rFonts w:eastAsia="方正仿宋_GBK"/>
          <w:sz w:val="32"/>
          <w:szCs w:val="32"/>
        </w:rPr>
        <w:t>9.卫生健康（类）行政事业单位医疗（款）公务员医疗补助（项）：支出决算为6.97万元，完成预算100%，决算数与预算数持平。</w:t>
      </w:r>
    </w:p>
    <w:p w14:paraId="519AAA24">
      <w:pPr>
        <w:spacing w:line="600" w:lineRule="exact"/>
        <w:ind w:firstLine="640"/>
        <w:rPr>
          <w:rFonts w:eastAsia="方正仿宋_GBK"/>
          <w:sz w:val="32"/>
          <w:szCs w:val="32"/>
        </w:rPr>
      </w:pPr>
      <w:r>
        <w:rPr>
          <w:rFonts w:eastAsia="方正仿宋_GBK"/>
          <w:sz w:val="32"/>
          <w:szCs w:val="32"/>
        </w:rPr>
        <w:t>10.卫生健康（类）行政事业单位医疗（款）其他行政事业单位医疗支出（项）：支出决算为2.07万元，完成预算100%，决算数与预算数持平。</w:t>
      </w:r>
    </w:p>
    <w:p w14:paraId="0EF90DE1">
      <w:pPr>
        <w:spacing w:line="600" w:lineRule="exact"/>
        <w:ind w:firstLine="640"/>
        <w:rPr>
          <w:rFonts w:eastAsia="方正仿宋_GBK"/>
          <w:sz w:val="32"/>
          <w:szCs w:val="32"/>
        </w:rPr>
      </w:pPr>
      <w:r>
        <w:rPr>
          <w:rFonts w:eastAsia="方正仿宋_GBK"/>
          <w:sz w:val="32"/>
          <w:szCs w:val="32"/>
        </w:rPr>
        <w:t>11.住房保障支出（类）住房改革支出（款）住房公积金（项）：支出决算为16.97万元，完成预算100%，决算数与预算数持平。</w:t>
      </w:r>
    </w:p>
    <w:p w14:paraId="7A5F59AE">
      <w:pPr>
        <w:spacing w:line="600" w:lineRule="exact"/>
        <w:ind w:firstLine="640"/>
        <w:rPr>
          <w:rFonts w:eastAsia="方正仿宋_GBK"/>
          <w:sz w:val="32"/>
          <w:szCs w:val="32"/>
        </w:rPr>
      </w:pPr>
      <w:r>
        <w:rPr>
          <w:rFonts w:eastAsia="方正仿宋_GBK"/>
          <w:sz w:val="32"/>
          <w:szCs w:val="32"/>
        </w:rPr>
        <w:t>12.农林水支出（类）巩固脱贫攻坚成果衔接乡村振兴（款）其他巩固脱贫攻坚成果衔接乡村振兴支出（项）：支出决算为50万元，完成预算100%，决算数与预算数持平。</w:t>
      </w:r>
    </w:p>
    <w:p w14:paraId="17FA0A92">
      <w:pPr>
        <w:tabs>
          <w:tab w:val="right" w:pos="8306"/>
        </w:tabs>
        <w:spacing w:line="600" w:lineRule="exact"/>
        <w:ind w:firstLine="640"/>
        <w:outlineLvl w:val="1"/>
        <w:rPr>
          <w:rStyle w:val="33"/>
          <w:rFonts w:ascii="方正黑体_GBK" w:hAnsi="Times New Roman" w:eastAsia="方正黑体_GBK" w:cs="Times New Roman"/>
        </w:rPr>
      </w:pPr>
      <w:bookmarkStart w:id="34" w:name="_Toc15377214"/>
      <w:bookmarkStart w:id="35" w:name="_Toc15396608"/>
      <w:r>
        <w:rPr>
          <w:rFonts w:hint="eastAsia" w:ascii="方正黑体_GBK" w:eastAsia="方正黑体_GBK"/>
          <w:sz w:val="32"/>
          <w:szCs w:val="32"/>
        </w:rPr>
        <w:t>六</w:t>
      </w:r>
      <w:r>
        <w:rPr>
          <w:rFonts w:hint="eastAsia" w:ascii="方正黑体_GBK" w:eastAsia="方正黑体_GBK"/>
          <w:b/>
          <w:sz w:val="32"/>
          <w:szCs w:val="32"/>
        </w:rPr>
        <w:t>、一</w:t>
      </w:r>
      <w:r>
        <w:rPr>
          <w:rStyle w:val="33"/>
          <w:rFonts w:hint="eastAsia" w:ascii="方正黑体_GBK" w:hAnsi="Times New Roman" w:eastAsia="方正黑体_GBK" w:cs="Times New Roman"/>
          <w:b w:val="0"/>
        </w:rPr>
        <w:t>般公共预算财政拨款基本支出决算情况说明</w:t>
      </w:r>
      <w:bookmarkEnd w:id="34"/>
      <w:bookmarkEnd w:id="35"/>
      <w:r>
        <w:rPr>
          <w:rStyle w:val="33"/>
          <w:rFonts w:hint="eastAsia" w:ascii="方正黑体_GBK" w:hAnsi="Times New Roman" w:eastAsia="方正黑体_GBK" w:cs="Times New Roman"/>
          <w:b w:val="0"/>
        </w:rPr>
        <w:tab/>
      </w:r>
    </w:p>
    <w:p w14:paraId="3E101A7B">
      <w:pPr>
        <w:spacing w:line="600" w:lineRule="exact"/>
        <w:ind w:firstLine="640"/>
        <w:rPr>
          <w:rFonts w:eastAsia="方正仿宋_GBK"/>
          <w:sz w:val="32"/>
          <w:szCs w:val="32"/>
        </w:rPr>
      </w:pPr>
      <w:r>
        <w:rPr>
          <w:rFonts w:eastAsia="方正仿宋_GBK"/>
          <w:sz w:val="32"/>
          <w:szCs w:val="32"/>
        </w:rPr>
        <w:t>2024年度一般公共预算财政拨款基本支出241.02万元，其中：</w:t>
      </w:r>
    </w:p>
    <w:p w14:paraId="05F92D9E">
      <w:pPr>
        <w:spacing w:line="600" w:lineRule="exact"/>
        <w:ind w:firstLine="640"/>
        <w:rPr>
          <w:rFonts w:eastAsia="方正仿宋_GBK"/>
          <w:sz w:val="32"/>
          <w:szCs w:val="32"/>
        </w:rPr>
      </w:pPr>
      <w:r>
        <w:rPr>
          <w:rFonts w:eastAsia="方正仿宋_GBK"/>
          <w:sz w:val="32"/>
          <w:szCs w:val="32"/>
        </w:rPr>
        <w:t>人员经费223.96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方正仿宋_GBK"/>
          <w:sz w:val="32"/>
          <w:szCs w:val="32"/>
        </w:rPr>
        <w:br w:type="textWrapping"/>
      </w:r>
      <w:r>
        <w:rPr>
          <w:rFonts w:eastAsia="方正仿宋_GBK"/>
          <w:sz w:val="32"/>
          <w:szCs w:val="32"/>
        </w:rPr>
        <w:t>　　公用经费17.06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450996B">
      <w:pPr>
        <w:tabs>
          <w:tab w:val="right" w:pos="8306"/>
        </w:tabs>
        <w:spacing w:line="600" w:lineRule="exact"/>
        <w:ind w:firstLine="640"/>
        <w:outlineLvl w:val="1"/>
        <w:rPr>
          <w:rStyle w:val="33"/>
          <w:rFonts w:ascii="方正黑体_GBK" w:hAnsi="Times New Roman" w:eastAsia="方正黑体_GBK" w:cs="Times New Roman"/>
          <w:b w:val="0"/>
        </w:rPr>
      </w:pPr>
      <w:bookmarkStart w:id="36" w:name="_Toc15377215"/>
      <w:bookmarkStart w:id="37" w:name="_Toc15396609"/>
      <w:r>
        <w:rPr>
          <w:rStyle w:val="33"/>
          <w:rFonts w:ascii="方正黑体_GBK" w:hAnsi="Times New Roman" w:eastAsia="方正黑体_GBK" w:cs="Times New Roman"/>
        </w:rPr>
        <w:t>七、</w:t>
      </w:r>
      <w:r>
        <w:rPr>
          <w:rStyle w:val="33"/>
          <w:rFonts w:ascii="方正黑体_GBK" w:hAnsi="Times New Roman" w:eastAsia="方正黑体_GBK" w:cs="Times New Roman"/>
          <w:b w:val="0"/>
        </w:rPr>
        <w:t>财政拨款“三公”经费支出决算情况说明</w:t>
      </w:r>
      <w:bookmarkEnd w:id="36"/>
      <w:bookmarkEnd w:id="37"/>
    </w:p>
    <w:p w14:paraId="22F4C6BD">
      <w:pPr>
        <w:spacing w:line="600" w:lineRule="exact"/>
        <w:ind w:firstLine="643" w:firstLineChars="200"/>
        <w:outlineLvl w:val="2"/>
        <w:rPr>
          <w:rFonts w:ascii="方正楷体_GBK" w:eastAsia="方正楷体_GBK"/>
          <w:b/>
          <w:sz w:val="32"/>
          <w:szCs w:val="32"/>
        </w:rPr>
      </w:pPr>
      <w:bookmarkStart w:id="38" w:name="_Toc15377216"/>
      <w:r>
        <w:rPr>
          <w:rFonts w:hint="eastAsia" w:ascii="方正楷体_GBK" w:eastAsia="方正楷体_GBK"/>
          <w:b/>
          <w:sz w:val="32"/>
          <w:szCs w:val="32"/>
        </w:rPr>
        <w:t>（一）“三公”经费财政拨款支出决算总体情况说明</w:t>
      </w:r>
      <w:bookmarkEnd w:id="38"/>
    </w:p>
    <w:p w14:paraId="19070F81">
      <w:pPr>
        <w:spacing w:line="600" w:lineRule="exact"/>
        <w:ind w:firstLine="640"/>
        <w:rPr>
          <w:rFonts w:eastAsia="方正仿宋_GBK"/>
          <w:sz w:val="32"/>
          <w:szCs w:val="32"/>
        </w:rPr>
      </w:pPr>
      <w:r>
        <w:rPr>
          <w:rFonts w:eastAsia="方正仿宋_GBK"/>
          <w:sz w:val="32"/>
          <w:szCs w:val="32"/>
        </w:rPr>
        <w:t>2024年度“三公”经费财政拨款支出决算为0.38万元，完成预算100%，较上年度减少0.03万元，下降7.32%。决算数与预算数持平。</w:t>
      </w:r>
    </w:p>
    <w:p w14:paraId="4A01432A">
      <w:pPr>
        <w:spacing w:line="600" w:lineRule="exact"/>
        <w:ind w:firstLine="643" w:firstLineChars="200"/>
        <w:outlineLvl w:val="2"/>
        <w:rPr>
          <w:rFonts w:ascii="方正楷体_GBK" w:eastAsia="方正楷体_GBK"/>
          <w:b/>
          <w:sz w:val="32"/>
          <w:szCs w:val="32"/>
        </w:rPr>
      </w:pPr>
      <w:bookmarkStart w:id="39" w:name="_Toc15377217"/>
      <w:r>
        <w:rPr>
          <w:rFonts w:ascii="方正楷体_GBK" w:eastAsia="方正楷体_GBK"/>
          <w:b/>
          <w:sz w:val="32"/>
          <w:szCs w:val="32"/>
        </w:rPr>
        <w:t>（二）“三公”经费财政拨款支出决算具体情况说明</w:t>
      </w:r>
      <w:bookmarkEnd w:id="39"/>
    </w:p>
    <w:p w14:paraId="28BDC145">
      <w:pPr>
        <w:spacing w:line="600" w:lineRule="exact"/>
        <w:ind w:firstLine="640"/>
        <w:rPr>
          <w:rFonts w:eastAsia="方正仿宋_GBK"/>
          <w:sz w:val="32"/>
          <w:szCs w:val="32"/>
        </w:rPr>
      </w:pPr>
      <w:r>
        <w:rPr>
          <w:rFonts w:eastAsia="方正仿宋_GBK"/>
          <w:sz w:val="32"/>
          <w:szCs w:val="32"/>
        </w:rPr>
        <w:t>2024年度“三公”经费财政拨款支出决算中，因公出国（境）费支出决算0万元，占0%；公务用车购置及运行维护费支出决算0万元，占0%；公务接待费支出决算0.38万元，占100%。具体情况如下：</w:t>
      </w:r>
    </w:p>
    <w:p w14:paraId="223C1B43">
      <w:pPr>
        <w:spacing w:line="600" w:lineRule="exact"/>
        <w:ind w:firstLine="640"/>
        <w:rPr>
          <w:rFonts w:eastAsia="方正仿宋_GBK"/>
          <w:sz w:val="32"/>
          <w:szCs w:val="32"/>
        </w:rPr>
      </w:pPr>
      <w:r>
        <w:rPr>
          <w:rFonts w:eastAsia="方正仿宋_GBK"/>
          <w:sz w:val="32"/>
          <w:szCs w:val="32"/>
        </w:rPr>
        <w:t>（图7：“三公”经费财政拨款支出结构）</w:t>
      </w:r>
    </w:p>
    <w:p w14:paraId="00B29BC3">
      <w:pPr>
        <w:pStyle w:val="6"/>
        <w:spacing w:before="93"/>
        <w:rPr>
          <w:rFonts w:ascii="Times New Roman"/>
          <w:kern w:val="2"/>
          <w:sz w:val="32"/>
          <w:szCs w:val="32"/>
        </w:rPr>
      </w:pPr>
    </w:p>
    <w:p w14:paraId="62C86EDB">
      <w:pPr>
        <w:pStyle w:val="6"/>
        <w:spacing w:before="93"/>
        <w:jc w:val="center"/>
        <w:rPr>
          <w:rFonts w:hint="eastAsia" w:ascii="Times New Roman"/>
          <w:kern w:val="2"/>
          <w:sz w:val="32"/>
          <w:szCs w:val="32"/>
        </w:rPr>
      </w:pPr>
    </w:p>
    <w:p w14:paraId="67A307D3">
      <w:pPr>
        <w:pStyle w:val="7"/>
        <w:rPr>
          <w:rFonts w:hint="eastAsia"/>
        </w:rPr>
      </w:pPr>
    </w:p>
    <w:p w14:paraId="36F22D6B">
      <w:pPr>
        <w:pStyle w:val="6"/>
        <w:spacing w:before="93"/>
        <w:jc w:val="center"/>
        <w:rPr>
          <w:rFonts w:hint="eastAsia" w:ascii="Times New Roman"/>
          <w:kern w:val="2"/>
          <w:sz w:val="32"/>
          <w:szCs w:val="32"/>
        </w:rPr>
      </w:pPr>
    </w:p>
    <w:p w14:paraId="46DC46BC">
      <w:pPr>
        <w:pStyle w:val="6"/>
        <w:spacing w:before="93"/>
        <w:jc w:val="center"/>
        <w:rPr>
          <w:rFonts w:ascii="Times New Roman"/>
          <w:kern w:val="2"/>
          <w:sz w:val="32"/>
          <w:szCs w:val="32"/>
        </w:rPr>
      </w:pPr>
      <w:r>
        <w:rPr>
          <w:rFonts w:ascii="Times New Roman"/>
        </w:rPr>
        <w:drawing>
          <wp:inline distT="0" distB="0" distL="114300" distR="114300">
            <wp:extent cx="4140200" cy="2743835"/>
            <wp:effectExtent l="4445" t="5080" r="8255" b="6985"/>
            <wp:docPr id="5440"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9ACC5D">
      <w:pPr>
        <w:spacing w:line="600" w:lineRule="exact"/>
        <w:ind w:firstLine="640"/>
        <w:rPr>
          <w:rFonts w:eastAsia="仿宋_GB2312"/>
          <w:sz w:val="32"/>
          <w:szCs w:val="32"/>
        </w:rPr>
      </w:pPr>
      <w:r>
        <w:rPr>
          <w:rFonts w:eastAsia="仿宋_GB2312"/>
          <w:b/>
          <w:bCs/>
          <w:sz w:val="32"/>
          <w:szCs w:val="32"/>
        </w:rPr>
        <w:t>1.因公出国（境）经费支出0万元，完成预算0%。</w:t>
      </w:r>
      <w:r>
        <w:rPr>
          <w:rFonts w:eastAsia="方正仿宋_GBK"/>
          <w:sz w:val="32"/>
          <w:szCs w:val="32"/>
        </w:rPr>
        <w:t>全年安排因公出国（境）团组0次，出国（境）0人。因公出国（境）支出决算与2023年相比无增减，无开支内容。</w:t>
      </w:r>
    </w:p>
    <w:p w14:paraId="3DCF7D2E">
      <w:pPr>
        <w:spacing w:line="600" w:lineRule="exact"/>
        <w:ind w:firstLine="640"/>
        <w:rPr>
          <w:rFonts w:eastAsia="方正仿宋_GBK"/>
          <w:sz w:val="32"/>
          <w:szCs w:val="32"/>
        </w:rPr>
      </w:pPr>
      <w:r>
        <w:rPr>
          <w:rFonts w:eastAsia="仿宋_GB2312"/>
          <w:b/>
          <w:bCs/>
          <w:sz w:val="32"/>
          <w:szCs w:val="32"/>
        </w:rPr>
        <w:t>2.公务用车购置及运行维护费支出0</w:t>
      </w:r>
      <w:r>
        <w:rPr>
          <w:rFonts w:hAnsi="仿宋_GB2312" w:eastAsia="仿宋_GB2312"/>
          <w:b/>
          <w:bCs/>
          <w:sz w:val="32"/>
          <w:szCs w:val="32"/>
        </w:rPr>
        <w:t>万</w:t>
      </w:r>
      <w:r>
        <w:rPr>
          <w:rFonts w:eastAsia="仿宋_GB2312"/>
          <w:b/>
          <w:bCs/>
          <w:sz w:val="32"/>
          <w:szCs w:val="32"/>
        </w:rPr>
        <w:t>元，完成预算0%。</w:t>
      </w:r>
      <w:r>
        <w:rPr>
          <w:rFonts w:eastAsia="方正仿宋_GBK"/>
          <w:sz w:val="32"/>
          <w:szCs w:val="32"/>
        </w:rPr>
        <w:t>公务用车购置及运行维护费支出决算比2023年度无增减。</w:t>
      </w:r>
    </w:p>
    <w:p w14:paraId="097ABE69">
      <w:pPr>
        <w:spacing w:line="600" w:lineRule="exact"/>
        <w:ind w:firstLine="640"/>
        <w:rPr>
          <w:rFonts w:eastAsia="方正仿宋_GBK"/>
          <w:sz w:val="32"/>
          <w:szCs w:val="32"/>
        </w:rPr>
      </w:pPr>
      <w:r>
        <w:rPr>
          <w:rFonts w:eastAsia="方正仿宋_GBK"/>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006B4088">
      <w:pPr>
        <w:spacing w:line="600" w:lineRule="exact"/>
        <w:ind w:firstLine="640"/>
        <w:rPr>
          <w:rFonts w:eastAsia="方正仿宋_GBK"/>
          <w:sz w:val="32"/>
          <w:szCs w:val="32"/>
        </w:rPr>
      </w:pPr>
      <w:r>
        <w:rPr>
          <w:rFonts w:eastAsia="方正仿宋_GBK"/>
          <w:sz w:val="32"/>
          <w:szCs w:val="32"/>
        </w:rPr>
        <w:t>公务用车运行维护费支出0万元。</w:t>
      </w:r>
    </w:p>
    <w:p w14:paraId="1359767B">
      <w:pPr>
        <w:spacing w:line="600" w:lineRule="exact"/>
        <w:ind w:firstLine="640"/>
        <w:rPr>
          <w:rFonts w:eastAsia="方正仿宋_GBK"/>
          <w:sz w:val="32"/>
          <w:szCs w:val="32"/>
        </w:rPr>
      </w:pPr>
      <w:r>
        <w:rPr>
          <w:rFonts w:eastAsia="仿宋_GB2312"/>
          <w:b/>
          <w:bCs/>
          <w:sz w:val="32"/>
          <w:szCs w:val="32"/>
        </w:rPr>
        <w:t>3.公务接待费支出0.38</w:t>
      </w:r>
      <w:r>
        <w:rPr>
          <w:rFonts w:hAnsi="仿宋_GB2312" w:eastAsia="仿宋_GB2312"/>
          <w:b/>
          <w:bCs/>
          <w:sz w:val="32"/>
          <w:szCs w:val="32"/>
        </w:rPr>
        <w:t>万</w:t>
      </w:r>
      <w:r>
        <w:rPr>
          <w:rFonts w:eastAsia="仿宋_GB2312"/>
          <w:b/>
          <w:bCs/>
          <w:sz w:val="32"/>
          <w:szCs w:val="32"/>
        </w:rPr>
        <w:t>元，完成预算100%。</w:t>
      </w:r>
      <w:r>
        <w:rPr>
          <w:rFonts w:eastAsia="方正仿宋_GBK"/>
          <w:sz w:val="32"/>
          <w:szCs w:val="32"/>
        </w:rPr>
        <w:t>公务接待费支出决算比2023年度减少0.03万元，下降7.32%。主要原因是公务接待费减少。其中：</w:t>
      </w:r>
    </w:p>
    <w:p w14:paraId="70AC05D2">
      <w:pPr>
        <w:spacing w:line="600" w:lineRule="exact"/>
        <w:ind w:firstLine="640"/>
        <w:rPr>
          <w:rFonts w:eastAsia="方正仿宋_GBK"/>
          <w:sz w:val="32"/>
          <w:szCs w:val="32"/>
        </w:rPr>
      </w:pPr>
      <w:r>
        <w:rPr>
          <w:rFonts w:eastAsia="方正仿宋_GBK"/>
          <w:sz w:val="32"/>
          <w:szCs w:val="32"/>
        </w:rPr>
        <w:t>国内公务接待支出0.38万元，主要用于接待调研考察和参加现场交流会人员的用餐费。国内公务接待2批次，27人次（不包括陪同人员），共计支出0.38万元，具体内容包括：接待省民宗委、市民宗委，开展宗教活动场所管理情况调研，支出0.1万元；接待四川基层统战工作川西片区联盟成员市（州）、市委统战部，召开四川基层统战工作川西片区联盟2023年度工作总结现场交流会，支出0.28万元。</w:t>
      </w:r>
    </w:p>
    <w:p w14:paraId="1619E686">
      <w:pPr>
        <w:spacing w:line="600" w:lineRule="exact"/>
        <w:ind w:firstLine="640"/>
        <w:rPr>
          <w:rFonts w:eastAsia="方正仿宋_GBK"/>
          <w:sz w:val="32"/>
          <w:szCs w:val="32"/>
        </w:rPr>
      </w:pPr>
      <w:r>
        <w:rPr>
          <w:rFonts w:eastAsia="方正仿宋_GBK"/>
          <w:sz w:val="32"/>
          <w:szCs w:val="32"/>
        </w:rPr>
        <w:t>外事接待支出0万元。外事接待0批次，0人次（不包括陪同人员），共计支出0万元。</w:t>
      </w:r>
      <w:bookmarkStart w:id="40" w:name="_Toc15377218"/>
      <w:bookmarkStart w:id="41" w:name="_Toc15396610"/>
    </w:p>
    <w:p w14:paraId="12F66CFD">
      <w:pPr>
        <w:spacing w:line="600" w:lineRule="exact"/>
        <w:ind w:firstLine="640"/>
        <w:outlineLvl w:val="1"/>
        <w:rPr>
          <w:rStyle w:val="33"/>
          <w:rFonts w:ascii="方正黑体_GBK" w:hAnsi="Times New Roman" w:eastAsia="方正黑体_GBK" w:cs="Times New Roman"/>
        </w:rPr>
      </w:pPr>
      <w:r>
        <w:rPr>
          <w:rFonts w:hint="eastAsia" w:ascii="方正黑体_GBK" w:eastAsia="方正黑体_GBK"/>
          <w:sz w:val="32"/>
          <w:szCs w:val="32"/>
        </w:rPr>
        <w:t>八、</w:t>
      </w:r>
      <w:r>
        <w:rPr>
          <w:rStyle w:val="33"/>
          <w:rFonts w:hint="eastAsia" w:ascii="方正黑体_GBK" w:hAnsi="Times New Roman" w:eastAsia="方正黑体_GBK" w:cs="Times New Roman"/>
          <w:b w:val="0"/>
        </w:rPr>
        <w:t>政府性基金预算支出决算情况说明</w:t>
      </w:r>
      <w:bookmarkEnd w:id="40"/>
      <w:bookmarkEnd w:id="41"/>
    </w:p>
    <w:p w14:paraId="55578748">
      <w:pPr>
        <w:spacing w:line="600" w:lineRule="exact"/>
        <w:ind w:firstLine="640"/>
        <w:rPr>
          <w:rFonts w:eastAsia="方正仿宋_GBK"/>
          <w:sz w:val="32"/>
          <w:szCs w:val="32"/>
        </w:rPr>
      </w:pPr>
      <w:r>
        <w:rPr>
          <w:rFonts w:eastAsia="方正仿宋_GBK"/>
          <w:sz w:val="32"/>
          <w:szCs w:val="32"/>
        </w:rPr>
        <w:t>2024年度政府性基金预算财政拨款支出46.1万元，占本年支出合计的13.55%。与2023年度相比，政府性基金预算财政拨款支出减少3.5万元，下降7.06%。主要原因是项目支出略有减少。</w:t>
      </w:r>
    </w:p>
    <w:p w14:paraId="30F926F6">
      <w:pPr>
        <w:spacing w:line="600" w:lineRule="exact"/>
        <w:ind w:firstLine="640"/>
        <w:outlineLvl w:val="1"/>
        <w:rPr>
          <w:rStyle w:val="33"/>
          <w:rFonts w:ascii="方正黑体_GBK" w:hAnsi="Times New Roman" w:eastAsia="方正黑体_GBK" w:cs="Times New Roman"/>
          <w:b w:val="0"/>
        </w:rPr>
      </w:pPr>
      <w:bookmarkStart w:id="42" w:name="_Toc15377219"/>
      <w:bookmarkStart w:id="43" w:name="_Toc15396611"/>
      <w:r>
        <w:rPr>
          <w:rStyle w:val="33"/>
          <w:rFonts w:ascii="方正黑体_GBK" w:hAnsi="Times New Roman" w:eastAsia="方正黑体_GBK" w:cs="Times New Roman"/>
          <w:b w:val="0"/>
        </w:rPr>
        <w:t>九、国有资本经营预算支出决算情况说明</w:t>
      </w:r>
      <w:bookmarkEnd w:id="42"/>
      <w:bookmarkEnd w:id="43"/>
    </w:p>
    <w:p w14:paraId="1F7BB59B">
      <w:pPr>
        <w:spacing w:line="600" w:lineRule="exact"/>
        <w:ind w:firstLine="640"/>
        <w:rPr>
          <w:rFonts w:eastAsia="方正仿宋_GBK"/>
          <w:sz w:val="32"/>
          <w:szCs w:val="32"/>
        </w:rPr>
      </w:pPr>
      <w:r>
        <w:rPr>
          <w:rFonts w:eastAsia="方正仿宋_GBK"/>
          <w:sz w:val="32"/>
          <w:szCs w:val="32"/>
        </w:rPr>
        <w:t>2024年度国有资本经营预算财政拨款支出0万元，占本年支出合计的0%。与2023年度相比，国有资本经营预算财政拨款支出无增减。</w:t>
      </w:r>
    </w:p>
    <w:p w14:paraId="4110E7EE">
      <w:pPr>
        <w:spacing w:line="600" w:lineRule="exact"/>
        <w:ind w:firstLine="640"/>
        <w:outlineLvl w:val="1"/>
        <w:rPr>
          <w:rStyle w:val="33"/>
          <w:rFonts w:ascii="方正黑体_GBK" w:hAnsi="Times New Roman" w:eastAsia="方正黑体_GBK" w:cs="Times New Roman"/>
          <w:b w:val="0"/>
        </w:rPr>
      </w:pPr>
      <w:bookmarkStart w:id="44" w:name="_Toc15377221"/>
      <w:bookmarkStart w:id="45" w:name="_Toc15396612"/>
      <w:r>
        <w:rPr>
          <w:rStyle w:val="33"/>
          <w:rFonts w:ascii="方正黑体_GBK" w:hAnsi="Times New Roman" w:eastAsia="方正黑体_GBK" w:cs="Times New Roman"/>
          <w:b w:val="0"/>
        </w:rPr>
        <w:t>十、其他重要事项的情况说明</w:t>
      </w:r>
      <w:bookmarkEnd w:id="44"/>
      <w:bookmarkEnd w:id="45"/>
    </w:p>
    <w:p w14:paraId="3487103F">
      <w:pPr>
        <w:spacing w:line="600" w:lineRule="exact"/>
        <w:ind w:firstLine="643" w:firstLineChars="200"/>
        <w:outlineLvl w:val="2"/>
        <w:rPr>
          <w:rFonts w:ascii="方正楷体_GBK" w:eastAsia="方正楷体_GBK"/>
          <w:b/>
          <w:sz w:val="32"/>
          <w:szCs w:val="32"/>
        </w:rPr>
      </w:pPr>
      <w:bookmarkStart w:id="46" w:name="_Toc15377222"/>
      <w:r>
        <w:rPr>
          <w:rFonts w:hint="eastAsia" w:ascii="方正楷体_GBK" w:eastAsia="方正楷体_GBK"/>
          <w:b/>
          <w:sz w:val="32"/>
          <w:szCs w:val="32"/>
        </w:rPr>
        <w:t>（一）机关运行经费支出情况</w:t>
      </w:r>
      <w:bookmarkEnd w:id="46"/>
    </w:p>
    <w:p w14:paraId="74AC19F3">
      <w:pPr>
        <w:spacing w:line="600" w:lineRule="exact"/>
        <w:ind w:firstLine="640"/>
        <w:rPr>
          <w:rFonts w:eastAsia="方正仿宋_GBK"/>
          <w:sz w:val="32"/>
          <w:szCs w:val="32"/>
        </w:rPr>
      </w:pPr>
      <w:r>
        <w:rPr>
          <w:rFonts w:eastAsia="方正仿宋_GBK"/>
          <w:sz w:val="32"/>
          <w:szCs w:val="32"/>
        </w:rPr>
        <w:t>2024年度，中共攀枝花市西区区委统一战线工作部机关运行经费支出17.06万元，比2023年度减少0.31万元，下降1.78%，主要原因是日常支出略有减少。</w:t>
      </w:r>
    </w:p>
    <w:p w14:paraId="6EB321B9">
      <w:pPr>
        <w:spacing w:line="600" w:lineRule="exact"/>
        <w:ind w:firstLine="640"/>
        <w:rPr>
          <w:rFonts w:eastAsia="仿宋_GB2312"/>
          <w:sz w:val="32"/>
          <w:szCs w:val="32"/>
        </w:rPr>
      </w:pPr>
    </w:p>
    <w:p w14:paraId="51CD184F">
      <w:pPr>
        <w:spacing w:line="600" w:lineRule="exact"/>
        <w:ind w:firstLine="643" w:firstLineChars="200"/>
        <w:outlineLvl w:val="2"/>
        <w:rPr>
          <w:rFonts w:ascii="方正楷体_GBK" w:eastAsia="方正楷体_GBK"/>
          <w:b/>
          <w:sz w:val="32"/>
          <w:szCs w:val="32"/>
        </w:rPr>
      </w:pPr>
      <w:bookmarkStart w:id="47" w:name="_Toc15377223"/>
      <w:r>
        <w:rPr>
          <w:rFonts w:ascii="方正楷体_GBK" w:eastAsia="方正楷体_GBK"/>
          <w:b/>
          <w:sz w:val="32"/>
          <w:szCs w:val="32"/>
        </w:rPr>
        <w:t>（二）政府采购支出情况</w:t>
      </w:r>
      <w:bookmarkEnd w:id="47"/>
    </w:p>
    <w:p w14:paraId="1F5F8FD8">
      <w:pPr>
        <w:spacing w:line="600" w:lineRule="exact"/>
        <w:ind w:firstLine="640"/>
        <w:rPr>
          <w:rFonts w:eastAsia="方正仿宋_GBK"/>
          <w:sz w:val="32"/>
          <w:szCs w:val="32"/>
        </w:rPr>
      </w:pPr>
      <w:r>
        <w:rPr>
          <w:rFonts w:eastAsia="方正仿宋_GBK"/>
          <w:sz w:val="32"/>
          <w:szCs w:val="32"/>
        </w:rPr>
        <w:t>2024年度，中共攀枝花市西区区委统一战线工作部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05E03D9">
      <w:pPr>
        <w:spacing w:line="600" w:lineRule="exact"/>
        <w:ind w:firstLine="643" w:firstLineChars="200"/>
        <w:outlineLvl w:val="2"/>
        <w:rPr>
          <w:rFonts w:ascii="方正楷体_GBK" w:eastAsia="方正楷体_GBK"/>
          <w:b/>
          <w:sz w:val="32"/>
          <w:szCs w:val="32"/>
        </w:rPr>
      </w:pPr>
      <w:bookmarkStart w:id="48" w:name="_Toc15377224"/>
      <w:r>
        <w:rPr>
          <w:rFonts w:ascii="方正楷体_GBK" w:eastAsia="方正楷体_GBK"/>
          <w:b/>
          <w:sz w:val="32"/>
          <w:szCs w:val="32"/>
        </w:rPr>
        <w:t>（三）国有资产占有使用情况</w:t>
      </w:r>
      <w:bookmarkEnd w:id="48"/>
    </w:p>
    <w:p w14:paraId="0A935D1F">
      <w:pPr>
        <w:spacing w:line="600" w:lineRule="exact"/>
        <w:ind w:firstLine="640"/>
        <w:rPr>
          <w:rFonts w:eastAsia="方正仿宋_GBK"/>
          <w:sz w:val="32"/>
          <w:szCs w:val="32"/>
        </w:rPr>
      </w:pPr>
      <w:r>
        <w:rPr>
          <w:rFonts w:eastAsia="方正仿宋_GBK"/>
          <w:sz w:val="32"/>
          <w:szCs w:val="32"/>
        </w:rPr>
        <w:t>截至2024年12月31日，中共攀枝花市西区区委统一战线工作部共有车辆0辆，其中：主要负责人用车0辆、机要通信用车0辆、应急保障用车0辆、其他用车0辆。单价100万元（含）以上设备（不含车辆）0台（套）。</w:t>
      </w:r>
    </w:p>
    <w:p w14:paraId="47647E78">
      <w:pPr>
        <w:spacing w:line="600" w:lineRule="exact"/>
        <w:ind w:firstLine="643" w:firstLineChars="200"/>
        <w:outlineLvl w:val="2"/>
        <w:rPr>
          <w:rFonts w:ascii="方正楷体_GBK" w:eastAsia="方正楷体_GBK"/>
          <w:b/>
          <w:sz w:val="32"/>
          <w:szCs w:val="32"/>
        </w:rPr>
      </w:pPr>
      <w:r>
        <w:rPr>
          <w:rFonts w:ascii="方正楷体_GBK" w:eastAsia="方正楷体_GBK"/>
          <w:b/>
          <w:sz w:val="32"/>
          <w:szCs w:val="32"/>
        </w:rPr>
        <w:t>（四）预算绩效管理情况</w:t>
      </w:r>
    </w:p>
    <w:p w14:paraId="427CFDE2">
      <w:pPr>
        <w:spacing w:line="600" w:lineRule="exact"/>
        <w:ind w:firstLine="640"/>
        <w:rPr>
          <w:rFonts w:eastAsia="方正仿宋_GBK"/>
          <w:sz w:val="32"/>
          <w:szCs w:val="32"/>
        </w:rPr>
      </w:pPr>
      <w:r>
        <w:rPr>
          <w:rFonts w:eastAsia="方正仿宋_GBK"/>
          <w:sz w:val="32"/>
          <w:szCs w:val="32"/>
        </w:rPr>
        <w:t>根据预算绩效管理要求，本部门在2024年度预算编制阶段，组织对统战事务工作经费、民主党派、知联会、新联会、侨联调研活动经费、早期归国华侨生活补助、民族宗教工作经费等8个项目开展了预算事前绩效评估，对8个项目编制了绩效目标，预算执行过程中，选取8个项目开展绩效监控。</w:t>
      </w:r>
    </w:p>
    <w:p w14:paraId="33B41ACE">
      <w:pPr>
        <w:spacing w:line="600" w:lineRule="exact"/>
        <w:ind w:firstLine="640"/>
        <w:rPr>
          <w:rFonts w:eastAsia="方正仿宋_GBK"/>
          <w:sz w:val="32"/>
          <w:szCs w:val="32"/>
        </w:rPr>
      </w:pPr>
      <w:r>
        <w:rPr>
          <w:rFonts w:eastAsia="方正仿宋_GBK"/>
          <w:sz w:val="32"/>
          <w:szCs w:val="32"/>
        </w:rPr>
        <w:t>组织对2024年度一般公共预算、政府性基金预算、国有资本经营预算、社会保险基金预算以及资本资产、债券资金等全面开展绩效自评，形成中共攀枝花市西区区委统一战线工作部部门整体绩效自评报告、格里坪镇庄上村民族团结进步农文旅融合示范基地等专项预算项目绩效自评报告，其中，中共攀枝花市西区区委统一战线工作部部门整体（含部门预算项目）绩效自评得分为97分，绩效自评综述：保障了区委统战部机关的运转和项目的实施，贯彻落实了党对统一战线集中统一领导的要求，较好发挥了在统战工作方面的参谋机构、组织协调机构、具体执行机构、督促检查机构作用，落实好中央和省委、市委、区委关于统一战线工作的重大决策部署，</w:t>
      </w:r>
      <w:r>
        <w:rPr>
          <w:rFonts w:hint="eastAsia" w:eastAsia="方正仿宋_GBK"/>
          <w:sz w:val="32"/>
          <w:szCs w:val="32"/>
        </w:rPr>
        <w:t>稳步推进</w:t>
      </w:r>
      <w:r>
        <w:rPr>
          <w:rFonts w:eastAsia="方正仿宋_GBK"/>
          <w:sz w:val="32"/>
          <w:szCs w:val="32"/>
        </w:rPr>
        <w:t>全区统一战线工作。《2024年中共攀枝花市西区区委统一战线工作部部门预算绩效自评报告》详见附件。</w:t>
      </w:r>
    </w:p>
    <w:p w14:paraId="20626D4F">
      <w:pPr>
        <w:spacing w:line="600" w:lineRule="exact"/>
        <w:ind w:firstLine="640"/>
        <w:rPr>
          <w:rFonts w:eastAsia="仿宋_GB2312"/>
          <w:sz w:val="32"/>
          <w:szCs w:val="32"/>
        </w:rPr>
      </w:pPr>
    </w:p>
    <w:p w14:paraId="3802C8F2">
      <w:pPr>
        <w:spacing w:line="600" w:lineRule="exact"/>
        <w:ind w:firstLine="640"/>
        <w:rPr>
          <w:rFonts w:eastAsia="仿宋_GB2312"/>
          <w:sz w:val="32"/>
          <w:szCs w:val="32"/>
        </w:rPr>
      </w:pPr>
    </w:p>
    <w:p w14:paraId="3902CEEB">
      <w:pPr>
        <w:spacing w:line="600" w:lineRule="exact"/>
        <w:jc w:val="center"/>
        <w:outlineLvl w:val="0"/>
        <w:rPr>
          <w:rFonts w:eastAsia="黑体"/>
          <w:sz w:val="44"/>
          <w:szCs w:val="44"/>
        </w:rPr>
      </w:pPr>
      <w:bookmarkStart w:id="49" w:name="_Toc15396613"/>
      <w:bookmarkStart w:id="50" w:name="_Toc15377225"/>
    </w:p>
    <w:p w14:paraId="08F02A85">
      <w:pPr>
        <w:spacing w:line="600" w:lineRule="exact"/>
        <w:jc w:val="center"/>
        <w:outlineLvl w:val="0"/>
        <w:rPr>
          <w:rFonts w:eastAsia="黑体"/>
          <w:sz w:val="44"/>
          <w:szCs w:val="44"/>
        </w:rPr>
      </w:pPr>
    </w:p>
    <w:p w14:paraId="3823B56B">
      <w:pPr>
        <w:spacing w:line="600" w:lineRule="exact"/>
        <w:jc w:val="center"/>
        <w:outlineLvl w:val="0"/>
        <w:rPr>
          <w:rFonts w:eastAsia="黑体"/>
          <w:sz w:val="44"/>
          <w:szCs w:val="44"/>
        </w:rPr>
      </w:pPr>
    </w:p>
    <w:p w14:paraId="7B446A7E">
      <w:pPr>
        <w:spacing w:line="600" w:lineRule="exact"/>
        <w:jc w:val="center"/>
        <w:outlineLvl w:val="0"/>
        <w:rPr>
          <w:rFonts w:eastAsia="黑体"/>
          <w:sz w:val="44"/>
          <w:szCs w:val="44"/>
        </w:rPr>
      </w:pPr>
    </w:p>
    <w:p w14:paraId="284ED008">
      <w:pPr>
        <w:spacing w:line="600" w:lineRule="exact"/>
        <w:jc w:val="center"/>
        <w:outlineLvl w:val="0"/>
        <w:rPr>
          <w:rFonts w:eastAsia="黑体"/>
          <w:sz w:val="44"/>
          <w:szCs w:val="44"/>
        </w:rPr>
      </w:pPr>
    </w:p>
    <w:p w14:paraId="12CEBF0D">
      <w:pPr>
        <w:spacing w:line="600" w:lineRule="exact"/>
        <w:jc w:val="center"/>
        <w:outlineLvl w:val="0"/>
        <w:rPr>
          <w:rFonts w:eastAsia="黑体"/>
          <w:sz w:val="44"/>
          <w:szCs w:val="44"/>
        </w:rPr>
      </w:pPr>
    </w:p>
    <w:p w14:paraId="62CB5F78">
      <w:pPr>
        <w:spacing w:line="600" w:lineRule="exact"/>
        <w:jc w:val="center"/>
        <w:outlineLvl w:val="0"/>
        <w:rPr>
          <w:rFonts w:eastAsia="黑体"/>
          <w:sz w:val="44"/>
          <w:szCs w:val="44"/>
        </w:rPr>
      </w:pPr>
    </w:p>
    <w:p w14:paraId="01CECBBA">
      <w:pPr>
        <w:spacing w:line="600" w:lineRule="exact"/>
        <w:jc w:val="center"/>
        <w:outlineLvl w:val="0"/>
        <w:rPr>
          <w:rFonts w:eastAsia="黑体"/>
          <w:sz w:val="44"/>
          <w:szCs w:val="44"/>
        </w:rPr>
      </w:pPr>
    </w:p>
    <w:p w14:paraId="5EB56600">
      <w:pPr>
        <w:spacing w:line="600" w:lineRule="exact"/>
        <w:jc w:val="center"/>
        <w:outlineLvl w:val="0"/>
        <w:rPr>
          <w:rFonts w:eastAsia="黑体"/>
          <w:sz w:val="44"/>
          <w:szCs w:val="44"/>
        </w:rPr>
      </w:pPr>
    </w:p>
    <w:p w14:paraId="5BF76CB3">
      <w:pPr>
        <w:spacing w:line="600" w:lineRule="exact"/>
        <w:jc w:val="center"/>
        <w:outlineLvl w:val="0"/>
        <w:rPr>
          <w:rFonts w:eastAsia="黑体"/>
          <w:sz w:val="44"/>
          <w:szCs w:val="44"/>
        </w:rPr>
      </w:pPr>
    </w:p>
    <w:p w14:paraId="795DA68D">
      <w:pPr>
        <w:spacing w:line="600" w:lineRule="exact"/>
        <w:jc w:val="center"/>
        <w:outlineLvl w:val="0"/>
        <w:rPr>
          <w:rFonts w:eastAsia="黑体"/>
          <w:sz w:val="44"/>
          <w:szCs w:val="44"/>
        </w:rPr>
      </w:pPr>
    </w:p>
    <w:p w14:paraId="57262B95">
      <w:pPr>
        <w:spacing w:line="600" w:lineRule="exact"/>
        <w:jc w:val="center"/>
        <w:outlineLvl w:val="0"/>
        <w:rPr>
          <w:rFonts w:eastAsia="黑体"/>
          <w:sz w:val="44"/>
          <w:szCs w:val="44"/>
        </w:rPr>
      </w:pPr>
    </w:p>
    <w:p w14:paraId="190D14D9">
      <w:pPr>
        <w:pStyle w:val="3"/>
        <w:spacing w:line="0" w:lineRule="atLeast"/>
        <w:jc w:val="center"/>
        <w:rPr>
          <w:rStyle w:val="32"/>
          <w:rFonts w:ascii="方正小标宋_GBK" w:eastAsia="方正小标宋_GBK"/>
          <w:b/>
          <w:bCs w:val="0"/>
        </w:rPr>
      </w:pPr>
      <w:r>
        <w:rPr>
          <w:rStyle w:val="32"/>
          <w:rFonts w:hint="eastAsia" w:ascii="方正小标宋_GBK" w:eastAsia="方正小标宋_GBK"/>
          <w:b/>
          <w:bCs w:val="0"/>
        </w:rPr>
        <w:t>第三部分  名词解释</w:t>
      </w:r>
      <w:bookmarkEnd w:id="49"/>
      <w:bookmarkEnd w:id="50"/>
    </w:p>
    <w:p w14:paraId="6289D7A0">
      <w:pPr>
        <w:spacing w:line="600" w:lineRule="exact"/>
        <w:jc w:val="left"/>
        <w:rPr>
          <w:b/>
          <w:sz w:val="44"/>
          <w:szCs w:val="44"/>
        </w:rPr>
      </w:pPr>
    </w:p>
    <w:p w14:paraId="02D53F7E">
      <w:pPr>
        <w:spacing w:line="600" w:lineRule="exact"/>
        <w:ind w:firstLine="640"/>
        <w:rPr>
          <w:rFonts w:eastAsia="方正仿宋_GBK"/>
          <w:sz w:val="32"/>
          <w:szCs w:val="32"/>
        </w:rPr>
      </w:pPr>
      <w:r>
        <w:rPr>
          <w:rFonts w:eastAsia="方正仿宋_GBK"/>
          <w:sz w:val="32"/>
          <w:szCs w:val="32"/>
        </w:rPr>
        <w:t>1.财政拨款收入：指单位从同级财政单位取得的财政预算资金。</w:t>
      </w:r>
    </w:p>
    <w:p w14:paraId="2259E6A0">
      <w:pPr>
        <w:spacing w:line="600" w:lineRule="exact"/>
        <w:ind w:firstLine="640"/>
        <w:rPr>
          <w:rFonts w:eastAsia="方正仿宋_GBK"/>
          <w:sz w:val="32"/>
          <w:szCs w:val="32"/>
        </w:rPr>
      </w:pPr>
      <w:r>
        <w:rPr>
          <w:rFonts w:eastAsia="方正仿宋_GBK"/>
          <w:sz w:val="32"/>
          <w:szCs w:val="32"/>
        </w:rPr>
        <w:t xml:space="preserve">2.年初结转和结余：指以前年度尚未完成、结转到本年按有关规定继续使用的资金。 </w:t>
      </w:r>
    </w:p>
    <w:p w14:paraId="7C6D37E3">
      <w:pPr>
        <w:spacing w:line="600" w:lineRule="exact"/>
        <w:ind w:firstLine="640"/>
        <w:rPr>
          <w:rFonts w:eastAsia="方正仿宋_GBK"/>
          <w:sz w:val="32"/>
          <w:szCs w:val="32"/>
        </w:rPr>
      </w:pPr>
      <w:r>
        <w:rPr>
          <w:rFonts w:eastAsia="方正仿宋_GBK"/>
          <w:sz w:val="32"/>
          <w:szCs w:val="32"/>
        </w:rPr>
        <w:t>3.年末结转和结余：指单位按有关规定结转到下年或以后年度继续使用的资金。</w:t>
      </w:r>
    </w:p>
    <w:p w14:paraId="40614610">
      <w:pPr>
        <w:spacing w:line="600" w:lineRule="exact"/>
        <w:ind w:firstLine="640"/>
        <w:rPr>
          <w:rFonts w:eastAsia="方正仿宋_GBK"/>
          <w:sz w:val="32"/>
          <w:szCs w:val="32"/>
        </w:rPr>
      </w:pPr>
      <w:r>
        <w:rPr>
          <w:rFonts w:eastAsia="方正仿宋_GBK"/>
          <w:sz w:val="32"/>
          <w:szCs w:val="32"/>
        </w:rPr>
        <w:t>4.一般公共服务（类）统战事务（款）行政运行（项）：指单位行政人员经费及日常行政运行中的支出。</w:t>
      </w:r>
    </w:p>
    <w:p w14:paraId="75C52272">
      <w:pPr>
        <w:spacing w:line="600" w:lineRule="exact"/>
        <w:ind w:firstLine="640"/>
        <w:rPr>
          <w:rFonts w:eastAsia="方正仿宋_GBK"/>
          <w:sz w:val="32"/>
          <w:szCs w:val="32"/>
        </w:rPr>
      </w:pPr>
      <w:r>
        <w:rPr>
          <w:rFonts w:eastAsia="方正仿宋_GBK"/>
          <w:sz w:val="32"/>
          <w:szCs w:val="32"/>
        </w:rPr>
        <w:t>5. 一般公共服务（类）统战事务（款）一般行政管理事务（项）：指单位一般公共预算财政拨款项目支出。</w:t>
      </w:r>
    </w:p>
    <w:p w14:paraId="559A8CDF">
      <w:pPr>
        <w:spacing w:line="600" w:lineRule="exact"/>
        <w:ind w:firstLine="640"/>
        <w:rPr>
          <w:rFonts w:eastAsia="方正仿宋_GBK"/>
          <w:sz w:val="32"/>
          <w:szCs w:val="32"/>
        </w:rPr>
      </w:pPr>
      <w:r>
        <w:rPr>
          <w:rFonts w:eastAsia="方正仿宋_GBK"/>
          <w:sz w:val="32"/>
          <w:szCs w:val="32"/>
        </w:rPr>
        <w:t>6.一般公共服务（类）统战事务（款）事业运行（项）：指单位事业人员经费支出。</w:t>
      </w:r>
    </w:p>
    <w:p w14:paraId="5B543E1D">
      <w:pPr>
        <w:spacing w:line="600" w:lineRule="exact"/>
        <w:ind w:firstLine="640"/>
        <w:rPr>
          <w:rFonts w:eastAsia="方正仿宋_GBK"/>
          <w:sz w:val="32"/>
          <w:szCs w:val="32"/>
        </w:rPr>
      </w:pPr>
      <w:r>
        <w:rPr>
          <w:rFonts w:eastAsia="方正仿宋_GBK"/>
          <w:sz w:val="32"/>
          <w:szCs w:val="32"/>
        </w:rPr>
        <w:t>7.社会保障和就业（类）行政事业单位养老支出（款）行政单位离退休（项）：指行政单位离退休人员经费支出。</w:t>
      </w:r>
    </w:p>
    <w:p w14:paraId="52CC0A4B">
      <w:pPr>
        <w:spacing w:line="600" w:lineRule="exact"/>
        <w:ind w:firstLine="640"/>
        <w:rPr>
          <w:rFonts w:eastAsia="方正仿宋_GBK"/>
          <w:sz w:val="32"/>
          <w:szCs w:val="32"/>
        </w:rPr>
      </w:pPr>
      <w:r>
        <w:rPr>
          <w:rFonts w:eastAsia="方正仿宋_GBK"/>
          <w:sz w:val="32"/>
          <w:szCs w:val="32"/>
        </w:rPr>
        <w:t>8.社会保障和就业（类）行政事业单位养老支出（款）机关事业单位基本养老保险缴费支出（项）：指单位机关养老保险缴费支出。</w:t>
      </w:r>
    </w:p>
    <w:p w14:paraId="4DE38E88">
      <w:pPr>
        <w:spacing w:line="600" w:lineRule="exact"/>
        <w:ind w:firstLine="640"/>
        <w:rPr>
          <w:rFonts w:eastAsia="方正仿宋_GBK"/>
          <w:sz w:val="32"/>
          <w:szCs w:val="32"/>
        </w:rPr>
      </w:pPr>
      <w:r>
        <w:rPr>
          <w:rFonts w:eastAsia="方正仿宋_GBK"/>
          <w:sz w:val="32"/>
          <w:szCs w:val="32"/>
        </w:rPr>
        <w:t>9.社会保障和就业（类）行政事业单位养老支出（款）机关事业单位职业年金缴费支出（项）：指单位机关职业年金缴费支出。</w:t>
      </w:r>
    </w:p>
    <w:p w14:paraId="1205EFA2">
      <w:pPr>
        <w:spacing w:line="600" w:lineRule="exact"/>
        <w:ind w:firstLine="640"/>
        <w:rPr>
          <w:rFonts w:eastAsia="方正仿宋_GBK"/>
          <w:sz w:val="32"/>
          <w:szCs w:val="32"/>
        </w:rPr>
      </w:pPr>
      <w:r>
        <w:rPr>
          <w:rFonts w:eastAsia="方正仿宋_GBK"/>
          <w:sz w:val="32"/>
          <w:szCs w:val="32"/>
        </w:rPr>
        <w:t>10.卫生健康（类）行政事业单位医疗（款）行政单位医疗（项）：指单位行政人员基本医疗保险缴费支出。</w:t>
      </w:r>
    </w:p>
    <w:p w14:paraId="70A53C41">
      <w:pPr>
        <w:spacing w:line="600" w:lineRule="exact"/>
        <w:ind w:firstLine="640"/>
        <w:rPr>
          <w:rFonts w:eastAsia="方正仿宋_GBK"/>
          <w:sz w:val="32"/>
          <w:szCs w:val="32"/>
        </w:rPr>
      </w:pPr>
      <w:r>
        <w:rPr>
          <w:rFonts w:eastAsia="方正仿宋_GBK"/>
          <w:sz w:val="32"/>
          <w:szCs w:val="32"/>
        </w:rPr>
        <w:t>11.卫生健康（类）行政事业单位医疗（款）事业单位医疗（项）：指单位事业人员基本医疗保险缴费支出。</w:t>
      </w:r>
    </w:p>
    <w:p w14:paraId="7241E660">
      <w:pPr>
        <w:spacing w:line="600" w:lineRule="exact"/>
        <w:ind w:firstLine="640"/>
        <w:rPr>
          <w:rFonts w:eastAsia="方正仿宋_GBK"/>
          <w:sz w:val="32"/>
          <w:szCs w:val="32"/>
        </w:rPr>
      </w:pPr>
      <w:r>
        <w:rPr>
          <w:rFonts w:eastAsia="方正仿宋_GBK"/>
          <w:sz w:val="32"/>
          <w:szCs w:val="32"/>
        </w:rPr>
        <w:t>12.卫生健康（类）行政事业单位医疗（款）公务员医疗补助（项）：指单位行政事业人员的公务员医疗补助支出。</w:t>
      </w:r>
    </w:p>
    <w:p w14:paraId="13F28AAD">
      <w:pPr>
        <w:spacing w:line="600" w:lineRule="exact"/>
        <w:ind w:firstLine="640"/>
        <w:rPr>
          <w:rFonts w:eastAsia="方正仿宋_GBK"/>
          <w:sz w:val="32"/>
          <w:szCs w:val="32"/>
        </w:rPr>
      </w:pPr>
      <w:r>
        <w:rPr>
          <w:rFonts w:eastAsia="方正仿宋_GBK"/>
          <w:sz w:val="32"/>
          <w:szCs w:val="32"/>
        </w:rPr>
        <w:t>13.卫生健康（类）行政事业单位医疗（款）其他行政事业单位医疗支出（项）：指单位退休人员的公务员医疗补助支出。</w:t>
      </w:r>
    </w:p>
    <w:p w14:paraId="5C320B96">
      <w:pPr>
        <w:spacing w:line="600" w:lineRule="exact"/>
        <w:ind w:firstLine="640"/>
        <w:rPr>
          <w:rFonts w:eastAsia="方正仿宋_GBK"/>
          <w:sz w:val="32"/>
          <w:szCs w:val="32"/>
        </w:rPr>
      </w:pPr>
      <w:r>
        <w:rPr>
          <w:rFonts w:eastAsia="方正仿宋_GBK"/>
          <w:sz w:val="32"/>
          <w:szCs w:val="32"/>
        </w:rPr>
        <w:t>14.住房保障（类）住房改革（款）住房公积金（项）：指单位人员住房公积金缴费支出。</w:t>
      </w:r>
    </w:p>
    <w:p w14:paraId="03E1C4E1">
      <w:pPr>
        <w:spacing w:line="600" w:lineRule="exact"/>
        <w:ind w:firstLine="640"/>
        <w:rPr>
          <w:rFonts w:eastAsia="方正仿宋_GBK"/>
          <w:sz w:val="32"/>
          <w:szCs w:val="32"/>
        </w:rPr>
      </w:pPr>
      <w:r>
        <w:rPr>
          <w:rFonts w:eastAsia="方正仿宋_GBK"/>
          <w:sz w:val="32"/>
          <w:szCs w:val="32"/>
        </w:rPr>
        <w:t>15.农林水支出（类）巩固脱贫攻坚成果衔接乡村振兴（款）其他巩固脱贫攻坚成果衔接乡村振兴支出（项）：指单位的项目支出。</w:t>
      </w:r>
    </w:p>
    <w:p w14:paraId="5A39CF3C">
      <w:pPr>
        <w:spacing w:line="600" w:lineRule="exact"/>
        <w:ind w:firstLine="640"/>
        <w:rPr>
          <w:rFonts w:eastAsia="方正仿宋_GBK"/>
          <w:sz w:val="32"/>
          <w:szCs w:val="32"/>
        </w:rPr>
      </w:pPr>
      <w:r>
        <w:rPr>
          <w:rFonts w:eastAsia="方正仿宋_GBK"/>
          <w:sz w:val="32"/>
          <w:szCs w:val="32"/>
        </w:rPr>
        <w:t>16基本支出：指为保障机构正常运转、完成日常工作任务而发生的人员支出和公用支出。</w:t>
      </w:r>
    </w:p>
    <w:p w14:paraId="03359D14">
      <w:pPr>
        <w:spacing w:line="600" w:lineRule="exact"/>
        <w:ind w:firstLine="640"/>
        <w:rPr>
          <w:rFonts w:eastAsia="方正仿宋_GBK"/>
          <w:sz w:val="32"/>
          <w:szCs w:val="32"/>
        </w:rPr>
      </w:pPr>
      <w:r>
        <w:rPr>
          <w:rFonts w:eastAsia="方正仿宋_GBK"/>
          <w:sz w:val="32"/>
          <w:szCs w:val="32"/>
        </w:rPr>
        <w:t xml:space="preserve">17.项目支出：指在基本支出之外为完成特定行政任务和事业发展目标所发生的支出。 </w:t>
      </w:r>
    </w:p>
    <w:p w14:paraId="553D961D">
      <w:pPr>
        <w:spacing w:line="600" w:lineRule="exact"/>
        <w:ind w:firstLine="640"/>
        <w:rPr>
          <w:rFonts w:eastAsia="方正仿宋_GBK"/>
          <w:sz w:val="32"/>
          <w:szCs w:val="32"/>
        </w:rPr>
      </w:pPr>
      <w:r>
        <w:rPr>
          <w:rFonts w:eastAsia="方正仿宋_GBK"/>
          <w:sz w:val="32"/>
          <w:szCs w:val="32"/>
        </w:rPr>
        <w:t>18.“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B621630">
      <w:pPr>
        <w:spacing w:line="600" w:lineRule="exact"/>
        <w:ind w:firstLine="640"/>
        <w:rPr>
          <w:rFonts w:eastAsia="方正仿宋_GBK"/>
          <w:sz w:val="32"/>
          <w:szCs w:val="32"/>
        </w:rPr>
      </w:pPr>
      <w:r>
        <w:rPr>
          <w:rFonts w:eastAsia="方正仿宋_GBK"/>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87E7C85">
      <w:pPr>
        <w:pStyle w:val="3"/>
        <w:spacing w:line="0" w:lineRule="atLeast"/>
        <w:jc w:val="center"/>
        <w:rPr>
          <w:rStyle w:val="32"/>
          <w:rFonts w:eastAsia="黑体"/>
          <w:b/>
          <w:bCs w:val="0"/>
        </w:rPr>
      </w:pPr>
      <w:bookmarkStart w:id="51" w:name="_Toc15377226"/>
      <w:r>
        <w:rPr>
          <w:rFonts w:eastAsia="仿宋_GB2312"/>
          <w:kern w:val="2"/>
          <w:sz w:val="32"/>
          <w:szCs w:val="32"/>
        </w:rPr>
        <w:br w:type="page"/>
      </w:r>
      <w:bookmarkStart w:id="52" w:name="_Toc15396614"/>
      <w:r>
        <w:rPr>
          <w:rStyle w:val="32"/>
          <w:rFonts w:hint="eastAsia" w:ascii="方正小标宋_GBK" w:eastAsia="方正小标宋_GBK"/>
          <w:b/>
          <w:bCs w:val="0"/>
        </w:rPr>
        <w:t>第四部分  附件</w:t>
      </w:r>
      <w:bookmarkEnd w:id="52"/>
    </w:p>
    <w:p w14:paraId="20C5ADF0">
      <w:pPr>
        <w:spacing w:line="572" w:lineRule="exact"/>
        <w:jc w:val="left"/>
        <w:outlineLvl w:val="0"/>
        <w:rPr>
          <w:rFonts w:eastAsia="黑体"/>
          <w:color w:val="FF0000"/>
          <w:sz w:val="32"/>
          <w:szCs w:val="32"/>
        </w:rPr>
      </w:pPr>
    </w:p>
    <w:p w14:paraId="3B422A09">
      <w:pPr>
        <w:spacing w:line="572" w:lineRule="exact"/>
        <w:jc w:val="left"/>
        <w:outlineLvl w:val="0"/>
        <w:rPr>
          <w:rFonts w:eastAsia="黑体"/>
          <w:sz w:val="44"/>
          <w:szCs w:val="44"/>
        </w:rPr>
      </w:pPr>
      <w:r>
        <w:rPr>
          <w:rFonts w:hint="eastAsia" w:ascii="方正黑体_GBK" w:eastAsia="方正黑体_GBK"/>
          <w:sz w:val="32"/>
          <w:szCs w:val="32"/>
        </w:rPr>
        <w:t>附件</w:t>
      </w:r>
      <w:r>
        <w:rPr>
          <w:rFonts w:eastAsia="黑体"/>
          <w:sz w:val="32"/>
          <w:szCs w:val="32"/>
        </w:rPr>
        <w:t>1</w:t>
      </w:r>
    </w:p>
    <w:p w14:paraId="0C855D8B">
      <w:pPr>
        <w:widowControl/>
        <w:spacing w:line="578" w:lineRule="exact"/>
        <w:contextualSpacing/>
        <w:jc w:val="center"/>
        <w:rPr>
          <w:rFonts w:eastAsia="Arial Unicode MS"/>
          <w:bCs/>
          <w:sz w:val="44"/>
          <w:szCs w:val="44"/>
          <w:shd w:val="clear" w:color="auto" w:fill="FFFFFF"/>
        </w:rPr>
      </w:pPr>
    </w:p>
    <w:p w14:paraId="4FDBB96B">
      <w:pPr>
        <w:widowControl/>
        <w:spacing w:line="0" w:lineRule="atLeast"/>
        <w:contextualSpacing/>
        <w:jc w:val="center"/>
        <w:rPr>
          <w:rFonts w:eastAsia="方正小标宋_GBK"/>
          <w:b/>
          <w:bCs/>
          <w:sz w:val="44"/>
          <w:szCs w:val="44"/>
          <w:shd w:val="clear" w:color="auto" w:fill="FFFFFF"/>
        </w:rPr>
      </w:pPr>
      <w:r>
        <w:rPr>
          <w:rFonts w:eastAsia="方正小标宋_GBK"/>
          <w:b/>
          <w:bCs/>
          <w:sz w:val="44"/>
          <w:szCs w:val="44"/>
          <w:shd w:val="clear" w:color="auto" w:fill="FFFFFF"/>
        </w:rPr>
        <w:t>中共攀枝花市西区区委统一战线工作部</w:t>
      </w:r>
    </w:p>
    <w:p w14:paraId="6578166A">
      <w:pPr>
        <w:widowControl/>
        <w:spacing w:line="0" w:lineRule="atLeast"/>
        <w:contextualSpacing/>
        <w:jc w:val="center"/>
        <w:rPr>
          <w:rFonts w:eastAsia="方正小标宋_GBK"/>
          <w:b/>
          <w:bCs/>
          <w:sz w:val="44"/>
          <w:szCs w:val="44"/>
          <w:shd w:val="clear" w:color="auto" w:fill="FFFFFF"/>
        </w:rPr>
      </w:pPr>
      <w:r>
        <w:rPr>
          <w:rFonts w:eastAsia="方正小标宋_GBK"/>
          <w:b/>
          <w:bCs/>
          <w:sz w:val="44"/>
          <w:szCs w:val="44"/>
          <w:shd w:val="clear" w:color="auto" w:fill="FFFFFF"/>
        </w:rPr>
        <w:t>部门预算绩效自评报告</w:t>
      </w:r>
    </w:p>
    <w:p w14:paraId="66596E3E">
      <w:pPr>
        <w:widowControl/>
        <w:spacing w:line="578" w:lineRule="exact"/>
        <w:contextualSpacing/>
        <w:jc w:val="center"/>
        <w:rPr>
          <w:rFonts w:eastAsia="Arial Unicode MS"/>
          <w:bCs/>
          <w:sz w:val="36"/>
          <w:szCs w:val="36"/>
          <w:shd w:val="clear" w:color="auto" w:fill="FFFFFF"/>
        </w:rPr>
      </w:pPr>
    </w:p>
    <w:p w14:paraId="24A9509A">
      <w:pPr>
        <w:widowControl/>
        <w:adjustRightInd w:val="0"/>
        <w:snapToGrid w:val="0"/>
        <w:spacing w:line="560" w:lineRule="exact"/>
        <w:ind w:firstLine="640" w:firstLineChars="200"/>
        <w:contextualSpacing/>
        <w:jc w:val="left"/>
        <w:rPr>
          <w:rFonts w:eastAsia="方正黑体_GBK"/>
          <w:color w:val="000000"/>
          <w:kern w:val="0"/>
          <w:sz w:val="32"/>
          <w:szCs w:val="32"/>
          <w:shd w:val="clear" w:color="auto" w:fill="FFFFFF"/>
          <w:lang w:val="zh-CN"/>
        </w:rPr>
      </w:pPr>
      <w:r>
        <w:rPr>
          <w:rFonts w:eastAsia="方正黑体_GBK"/>
          <w:color w:val="000000"/>
          <w:kern w:val="0"/>
          <w:sz w:val="32"/>
          <w:szCs w:val="32"/>
          <w:shd w:val="clear" w:color="auto" w:fill="FFFFFF"/>
          <w:lang w:val="zh-CN"/>
        </w:rPr>
        <w:t>一、部门基本情况</w:t>
      </w:r>
    </w:p>
    <w:p w14:paraId="167ED99A">
      <w:pPr>
        <w:widowControl/>
        <w:adjustRightInd w:val="0"/>
        <w:snapToGrid w:val="0"/>
        <w:spacing w:line="560" w:lineRule="exact"/>
        <w:ind w:firstLine="643" w:firstLineChars="200"/>
        <w:contextualSpacing/>
        <w:rPr>
          <w:rFonts w:eastAsia="方正楷体_GBK"/>
          <w:b/>
          <w:bCs/>
          <w:sz w:val="32"/>
          <w:szCs w:val="32"/>
          <w:lang w:val="zh-CN"/>
        </w:rPr>
      </w:pPr>
      <w:r>
        <w:rPr>
          <w:rFonts w:eastAsia="方正楷体_GBK"/>
          <w:b/>
          <w:bCs/>
          <w:sz w:val="32"/>
          <w:szCs w:val="32"/>
          <w:lang w:val="zh-CN"/>
        </w:rPr>
        <w:t>（一）机构组成</w:t>
      </w:r>
    </w:p>
    <w:p w14:paraId="3508189D">
      <w:pPr>
        <w:pStyle w:val="39"/>
        <w:rPr>
          <w:rFonts w:eastAsia="方正仿宋_GBK"/>
          <w:szCs w:val="32"/>
          <w:lang w:val="zh-CN"/>
        </w:rPr>
      </w:pPr>
      <w:r>
        <w:rPr>
          <w:rFonts w:eastAsia="方正仿宋_GBK"/>
          <w:szCs w:val="32"/>
          <w:lang w:val="zh-CN"/>
        </w:rPr>
        <w:t>区委统战部下设三股室一中心，即综合股（区</w:t>
      </w:r>
      <w:r>
        <w:rPr>
          <w:rFonts w:eastAsia="方正仿宋_GBK"/>
          <w:szCs w:val="32"/>
        </w:rPr>
        <w:t>委</w:t>
      </w:r>
      <w:r>
        <w:rPr>
          <w:rFonts w:eastAsia="方正仿宋_GBK"/>
          <w:szCs w:val="32"/>
          <w:lang w:val="zh-CN"/>
        </w:rPr>
        <w:t>侨台办）、民族宗教股、党外人士股，区统战和民宗工作服务中心（非独立核算事业单位）。</w:t>
      </w:r>
    </w:p>
    <w:p w14:paraId="6143382B">
      <w:pPr>
        <w:widowControl/>
        <w:adjustRightInd w:val="0"/>
        <w:snapToGrid w:val="0"/>
        <w:spacing w:line="560" w:lineRule="exact"/>
        <w:ind w:firstLine="643" w:firstLineChars="200"/>
        <w:contextualSpacing/>
        <w:rPr>
          <w:rFonts w:eastAsia="方正楷体_GBK"/>
          <w:b/>
          <w:bCs/>
          <w:sz w:val="32"/>
          <w:szCs w:val="32"/>
          <w:lang w:val="zh-CN"/>
        </w:rPr>
      </w:pPr>
      <w:r>
        <w:rPr>
          <w:rFonts w:eastAsia="方正楷体_GBK"/>
          <w:b/>
          <w:bCs/>
          <w:sz w:val="32"/>
          <w:szCs w:val="32"/>
          <w:lang w:val="zh-CN"/>
        </w:rPr>
        <w:t>（二）机构职能</w:t>
      </w:r>
    </w:p>
    <w:p w14:paraId="7C13FB81">
      <w:pPr>
        <w:pStyle w:val="39"/>
        <w:rPr>
          <w:rFonts w:eastAsia="方正仿宋_GBK"/>
          <w:szCs w:val="32"/>
          <w:lang w:val="zh-CN"/>
        </w:rPr>
      </w:pPr>
      <w:r>
        <w:rPr>
          <w:rFonts w:eastAsia="方正仿宋_GBK"/>
          <w:szCs w:val="32"/>
          <w:lang w:val="zh-CN"/>
        </w:rPr>
        <w:t xml:space="preserve"> 略</w:t>
      </w:r>
    </w:p>
    <w:p w14:paraId="133C4F64">
      <w:pPr>
        <w:widowControl/>
        <w:adjustRightInd w:val="0"/>
        <w:snapToGrid w:val="0"/>
        <w:spacing w:line="560" w:lineRule="exact"/>
        <w:ind w:firstLine="643" w:firstLineChars="200"/>
        <w:contextualSpacing/>
        <w:rPr>
          <w:rFonts w:eastAsia="方正楷体_GBK"/>
          <w:b/>
          <w:bCs/>
          <w:sz w:val="32"/>
          <w:szCs w:val="32"/>
          <w:lang w:val="zh-CN"/>
        </w:rPr>
      </w:pPr>
      <w:r>
        <w:rPr>
          <w:rFonts w:eastAsia="方正楷体_GBK"/>
          <w:b/>
          <w:bCs/>
          <w:sz w:val="32"/>
          <w:szCs w:val="32"/>
          <w:lang w:val="zh-CN"/>
        </w:rPr>
        <w:t>（三）人员概况</w:t>
      </w:r>
    </w:p>
    <w:p w14:paraId="017B5609">
      <w:pPr>
        <w:pStyle w:val="39"/>
        <w:rPr>
          <w:rFonts w:eastAsia="方正仿宋_GBK"/>
          <w:szCs w:val="32"/>
          <w:lang w:val="zh-CN"/>
        </w:rPr>
      </w:pPr>
      <w:r>
        <w:rPr>
          <w:rFonts w:eastAsia="方正仿宋_GBK"/>
          <w:szCs w:val="32"/>
          <w:lang w:val="zh-CN"/>
        </w:rPr>
        <w:t>截至12月末，区委统战部实有在职人员11人，其中行政编制6人，事业编制4人，临聘人员1人；退休</w:t>
      </w:r>
      <w:r>
        <w:rPr>
          <w:rFonts w:eastAsia="方正仿宋_GBK"/>
          <w:szCs w:val="32"/>
        </w:rPr>
        <w:t>干部</w:t>
      </w:r>
      <w:r>
        <w:rPr>
          <w:rFonts w:eastAsia="方正仿宋_GBK"/>
          <w:szCs w:val="32"/>
          <w:lang w:val="zh-CN"/>
        </w:rPr>
        <w:t>3人，共计14人。</w:t>
      </w:r>
    </w:p>
    <w:p w14:paraId="6AF0E4B0">
      <w:pPr>
        <w:widowControl/>
        <w:adjustRightInd w:val="0"/>
        <w:snapToGrid w:val="0"/>
        <w:spacing w:line="560" w:lineRule="exact"/>
        <w:ind w:firstLine="640" w:firstLineChars="200"/>
        <w:contextualSpacing/>
        <w:jc w:val="left"/>
        <w:rPr>
          <w:rFonts w:eastAsia="方正黑体_GBK"/>
          <w:color w:val="000000"/>
          <w:kern w:val="0"/>
          <w:sz w:val="32"/>
          <w:szCs w:val="32"/>
          <w:shd w:val="clear" w:color="auto" w:fill="FFFFFF"/>
          <w:lang w:val="zh-CN"/>
        </w:rPr>
      </w:pPr>
      <w:r>
        <w:rPr>
          <w:rFonts w:eastAsia="方正黑体_GBK"/>
          <w:color w:val="000000"/>
          <w:kern w:val="0"/>
          <w:sz w:val="32"/>
          <w:szCs w:val="32"/>
          <w:shd w:val="clear" w:color="auto" w:fill="FFFFFF"/>
          <w:lang w:val="zh-CN"/>
        </w:rPr>
        <w:t>二、部门资金收支情况</w:t>
      </w:r>
    </w:p>
    <w:p w14:paraId="06844333">
      <w:pPr>
        <w:pStyle w:val="39"/>
        <w:ind w:firstLine="643"/>
        <w:rPr>
          <w:rFonts w:eastAsia="方正仿宋_GBK"/>
          <w:szCs w:val="32"/>
          <w:lang w:val="zh-CN"/>
        </w:rPr>
      </w:pPr>
      <w:r>
        <w:rPr>
          <w:rFonts w:eastAsia="方正楷体_GBK"/>
          <w:b/>
          <w:bCs/>
          <w:szCs w:val="32"/>
          <w:lang w:val="zh-CN"/>
        </w:rPr>
        <w:t>（一）收入情况。</w:t>
      </w:r>
      <w:r>
        <w:rPr>
          <w:rFonts w:eastAsia="方正仿宋_GBK"/>
          <w:szCs w:val="32"/>
          <w:lang w:val="zh-CN"/>
        </w:rPr>
        <w:t>2024年年初预算收入总额为287.21万元，与上年度相比，减少1.6万元，增长率为-0.55 %。其中一般公共预算财政拨款收入年初预算224.71万元，比上年增加6.4万元，政府性基金预算财政拨款收入年初预算62.5万元，比上年减少8万元。</w:t>
      </w:r>
    </w:p>
    <w:p w14:paraId="1FE93242">
      <w:pPr>
        <w:pStyle w:val="39"/>
        <w:ind w:firstLine="643"/>
        <w:rPr>
          <w:rFonts w:eastAsia="方正仿宋_GBK"/>
          <w:szCs w:val="32"/>
          <w:lang w:val="zh-CN"/>
        </w:rPr>
      </w:pPr>
      <w:r>
        <w:rPr>
          <w:rFonts w:eastAsia="方正楷体_GBK"/>
          <w:b/>
          <w:color w:val="000000"/>
          <w:kern w:val="0"/>
          <w:szCs w:val="32"/>
          <w:shd w:val="clear" w:color="auto" w:fill="FFFFFF"/>
          <w:lang w:val="zh-CN"/>
        </w:rPr>
        <w:t>（二）支出情况。</w:t>
      </w:r>
      <w:r>
        <w:rPr>
          <w:rFonts w:eastAsia="方正仿宋_GBK"/>
          <w:szCs w:val="32"/>
          <w:lang w:val="zh-CN"/>
        </w:rPr>
        <w:t>2024年部门支出340.13万元，其中一般公共服务支出168.2</w:t>
      </w:r>
      <w:r>
        <w:rPr>
          <w:rFonts w:eastAsia="方正仿宋_GBK"/>
          <w:szCs w:val="32"/>
        </w:rPr>
        <w:t>7</w:t>
      </w:r>
      <w:r>
        <w:rPr>
          <w:rFonts w:eastAsia="方正仿宋_GBK"/>
          <w:szCs w:val="32"/>
          <w:lang w:val="zh-CN"/>
        </w:rPr>
        <w:t>万元，占比49%，社会保障和就业支出36.9</w:t>
      </w:r>
      <w:r>
        <w:rPr>
          <w:rFonts w:eastAsia="方正仿宋_GBK"/>
          <w:szCs w:val="32"/>
        </w:rPr>
        <w:t>1</w:t>
      </w:r>
      <w:r>
        <w:rPr>
          <w:rFonts w:eastAsia="方正仿宋_GBK"/>
          <w:szCs w:val="32"/>
          <w:lang w:val="zh-CN"/>
        </w:rPr>
        <w:t>万元，占比11%，卫生健康支出21.88万元，占比6%，城乡社区支出46.1万元，占比14%，农林水支出50万元，占比15%，住房保障支出16.97万元，占比5%。</w:t>
      </w:r>
    </w:p>
    <w:p w14:paraId="7D25ABB1">
      <w:pPr>
        <w:pStyle w:val="39"/>
        <w:ind w:firstLine="643"/>
        <w:rPr>
          <w:rFonts w:eastAsia="方正仿宋_GBK"/>
          <w:szCs w:val="32"/>
          <w:lang w:val="zh-CN"/>
        </w:rPr>
      </w:pPr>
      <w:r>
        <w:rPr>
          <w:rFonts w:eastAsia="方正楷体_GBK"/>
          <w:b/>
          <w:color w:val="000000"/>
          <w:kern w:val="0"/>
          <w:szCs w:val="32"/>
          <w:shd w:val="clear" w:color="auto" w:fill="FFFFFF"/>
          <w:lang w:val="zh-CN"/>
        </w:rPr>
        <w:t>（三）结余分配和结转结余情况。</w:t>
      </w:r>
      <w:r>
        <w:rPr>
          <w:rFonts w:eastAsia="方正仿宋_GBK"/>
          <w:szCs w:val="32"/>
          <w:lang w:val="zh-CN"/>
        </w:rPr>
        <w:t>2024年年末结转结余资金0万元。</w:t>
      </w:r>
    </w:p>
    <w:p w14:paraId="7514058D">
      <w:pPr>
        <w:widowControl/>
        <w:adjustRightInd w:val="0"/>
        <w:snapToGrid w:val="0"/>
        <w:spacing w:line="560" w:lineRule="exact"/>
        <w:ind w:firstLine="640" w:firstLineChars="200"/>
        <w:contextualSpacing/>
        <w:jc w:val="left"/>
        <w:rPr>
          <w:rFonts w:eastAsia="方正黑体_GBK"/>
          <w:color w:val="000000"/>
          <w:kern w:val="0"/>
          <w:sz w:val="32"/>
          <w:szCs w:val="32"/>
          <w:shd w:val="clear" w:color="auto" w:fill="FFFFFF"/>
          <w:lang w:val="zh-CN"/>
        </w:rPr>
      </w:pPr>
      <w:r>
        <w:rPr>
          <w:rFonts w:eastAsia="方正黑体_GBK"/>
          <w:color w:val="000000"/>
          <w:kern w:val="0"/>
          <w:sz w:val="32"/>
          <w:szCs w:val="32"/>
          <w:shd w:val="clear" w:color="auto" w:fill="FFFFFF"/>
          <w:lang w:val="zh-CN"/>
        </w:rPr>
        <w:t>三、部门预算绩效分析</w:t>
      </w:r>
    </w:p>
    <w:p w14:paraId="50AAF9FB">
      <w:pPr>
        <w:pStyle w:val="39"/>
        <w:ind w:firstLine="643"/>
        <w:rPr>
          <w:rFonts w:eastAsia="方正楷体_GBK"/>
          <w:b/>
          <w:color w:val="000000"/>
          <w:kern w:val="0"/>
          <w:szCs w:val="32"/>
          <w:shd w:val="clear" w:color="auto" w:fill="FFFFFF"/>
          <w:lang w:val="zh-CN"/>
        </w:rPr>
      </w:pPr>
      <w:r>
        <w:rPr>
          <w:rFonts w:eastAsia="方正楷体_GBK"/>
          <w:b/>
          <w:color w:val="000000"/>
          <w:kern w:val="0"/>
          <w:szCs w:val="32"/>
          <w:shd w:val="clear" w:color="auto" w:fill="FFFFFF"/>
          <w:lang w:val="zh-CN"/>
        </w:rPr>
        <w:t>（一）部门预算总体绩效分析</w:t>
      </w:r>
    </w:p>
    <w:p w14:paraId="2D4A7854">
      <w:pPr>
        <w:spacing w:line="560" w:lineRule="exact"/>
        <w:ind w:firstLine="640" w:firstLineChars="200"/>
        <w:rPr>
          <w:rFonts w:eastAsia="方正仿宋_GBK"/>
          <w:sz w:val="32"/>
          <w:szCs w:val="32"/>
          <w:lang w:val="zh-CN"/>
        </w:rPr>
      </w:pPr>
      <w:r>
        <w:rPr>
          <w:rFonts w:eastAsia="方正仿宋_GBK"/>
          <w:sz w:val="32"/>
          <w:szCs w:val="32"/>
          <w:lang w:val="zh-CN"/>
        </w:rPr>
        <w:t>1.履职效能。</w:t>
      </w:r>
    </w:p>
    <w:p w14:paraId="5DDB571D">
      <w:pPr>
        <w:spacing w:line="576" w:lineRule="exact"/>
        <w:ind w:firstLine="640" w:firstLineChars="200"/>
        <w:jc w:val="left"/>
        <w:rPr>
          <w:rFonts w:eastAsia="方正仿宋_GBK"/>
          <w:sz w:val="32"/>
          <w:szCs w:val="32"/>
        </w:rPr>
      </w:pPr>
      <w:r>
        <w:rPr>
          <w:rFonts w:eastAsia="方正仿宋_GBK"/>
          <w:sz w:val="32"/>
          <w:szCs w:val="32"/>
        </w:rPr>
        <w:t>（1）抓牢主责主业，筑牢思想政治根基。一是牢牢把握大团结大联合的统战工作本质要求，进一步健全大统战工作格局，学好用好落实好《中国共产党统一战线工作条例》，全区统战干部、镇（街道）统战委员、村（社区）统战联络员队伍思想素质不断提升。二是用好各类统战实践教育阵地，创新“部长讲堂+特邀讲座+团体自学+社会宣讲”多元化学习模式，全覆盖学习宣传贯彻党的二十届三中全会精神，组织全区统战代表人士开展“不忘合作初心 共担时代使命 携手共富征程”主题活动、庆祝中华人民共和国成立75周年主题座谈会学习培训30余场次，统一战线团结奋斗的共同思想政治基础持续夯实。三是丰富思想引领方式，依托传统节日开展“新阶五送”“赏年画 过大年”“侨情连山水·清明寄相思”“非遗进校园”等群众性活动100余场，举办“民族团结一家亲”主题班会、研学夏令营40余次，将党的统一战线理论、中华民族共同体意识、共同富裕理念融入各类社会宣传和文化服务，团结奋斗的社会氛围愈发浓厚。</w:t>
      </w:r>
    </w:p>
    <w:p w14:paraId="5CF42491">
      <w:pPr>
        <w:spacing w:line="576" w:lineRule="exact"/>
        <w:ind w:firstLine="640" w:firstLineChars="200"/>
        <w:jc w:val="left"/>
        <w:rPr>
          <w:rFonts w:eastAsia="方正仿宋_GBK"/>
          <w:sz w:val="32"/>
          <w:szCs w:val="32"/>
        </w:rPr>
      </w:pPr>
      <w:r>
        <w:rPr>
          <w:rFonts w:eastAsia="方正仿宋_GBK"/>
          <w:sz w:val="32"/>
          <w:szCs w:val="32"/>
        </w:rPr>
        <w:t>（2）抓好阵地建设，讲好西区统战故事。一是打造宣传阵地，秉持“大统战引领大宣传，大宣传促进大统战”理念，充分利用各类宣传渠道，讲好西区统战故事、传递西区声音。2024年，西区荣获年度全省统战信息工作成绩突出单位，获评年度全市统战信息表现突出集体，共有120条次统战（民族宗教）工作宣传信息被上级渠道、媒体采用，西区统战工作的传播力、引导力和影响力逐渐提升。二是夯实服务阵地，以“阵地嵌入+资源共享”为路径，2024年新打造市第二人民医院统战之家1个，新建设社区“侨之家”1个；提升巩固原有的18个基层统战阵地，其中，西区三线文化建设公园“初心园”入选“四川统一战线共识教育现场教学点”，动力站社区“侨之家”先后获评省级和国家级侨胞之家典型选树单位。三是提升互嵌阵地，建成“抱榴苑”“陶苑一家”“太平记忆”等26个睦邻阵地，有效吸引各族群众共聚一堂、守望互助。组建“榴小籽”“木棉花”等97支志愿服务队，吸引各族群众心手相牵、守望相助。打造服务创新型、贴心关爱型、多元共治型、智慧科技型等6个不同类型特色社区，帮助解决各民族群众就业落户、就医就学、社会保障等问题，“中华民族一家亲”共识深入人心。</w:t>
      </w:r>
    </w:p>
    <w:p w14:paraId="7DBDF527">
      <w:pPr>
        <w:spacing w:line="576" w:lineRule="exact"/>
        <w:ind w:firstLine="640" w:firstLineChars="200"/>
        <w:jc w:val="left"/>
        <w:rPr>
          <w:rFonts w:eastAsia="方正仿宋_GBK"/>
          <w:sz w:val="32"/>
          <w:szCs w:val="32"/>
        </w:rPr>
      </w:pPr>
      <w:r>
        <w:rPr>
          <w:rFonts w:eastAsia="方正仿宋_GBK"/>
          <w:sz w:val="32"/>
          <w:szCs w:val="32"/>
        </w:rPr>
        <w:t>（3）服务中心大局，彰显统战法宝作用。一是促成区委与全市统一战线签订《共推西区追赶跨越发展战略合作协议》，进一步提振全区发展信心。充分发挥统战特色优势，积极助推水墨金沙等文旅项目建设，积极争取海外侨商会在西区实施“侨爱心”等项目，各行各业关心西区、支持西区的发展向心力不断增强。2024年，争取民族类专项资金项目3个，共计410万元，创历史新高，为西区经济社会发展注入强劲动力。二是广泛汇聚各民主党派、党外知识分子和工商联、新联会、侨联等统战力量，围绕“共同富裕”“一区一城”等重大主题，开展专题调研30余次。完成《“五新”聚“五力”，同心促共富》等5项实践创新课题，组织重点调研课题8个，收集党外人士意见建议17条，指导党外代表人士提交建议、提案85件，为西区科学决策、精准施策提供了有力支持。三是深入实施统一战线服务经济高质量发展“八大行动”，全年开展企业调研走访60余次，协调解决问题42个。</w:t>
      </w:r>
      <w:r>
        <w:rPr>
          <w:rFonts w:hint="eastAsia" w:eastAsia="方正仿宋_GBK"/>
          <w:sz w:val="32"/>
          <w:szCs w:val="32"/>
        </w:rPr>
        <w:t>搭建</w:t>
      </w:r>
      <w:r>
        <w:rPr>
          <w:rFonts w:eastAsia="方正仿宋_GBK"/>
          <w:sz w:val="32"/>
          <w:szCs w:val="32"/>
        </w:rPr>
        <w:t>“同心共富话西城・部长下午茶”</w:t>
      </w:r>
      <w:r>
        <w:rPr>
          <w:rFonts w:hint="eastAsia" w:eastAsia="方正仿宋_GBK"/>
          <w:sz w:val="32"/>
          <w:szCs w:val="32"/>
        </w:rPr>
        <w:t>沟通交流平台</w:t>
      </w:r>
      <w:r>
        <w:rPr>
          <w:rFonts w:eastAsia="方正仿宋_GBK"/>
          <w:sz w:val="32"/>
          <w:szCs w:val="32"/>
        </w:rPr>
        <w:t>，通过“统战+金融”模式，促成“四上”民营企业贷款2500余万元，切实缓解民企融资难题，企业发展环境不断优化。</w:t>
      </w:r>
    </w:p>
    <w:p w14:paraId="3AC05597">
      <w:pPr>
        <w:spacing w:line="576" w:lineRule="exact"/>
        <w:ind w:firstLine="640" w:firstLineChars="200"/>
        <w:jc w:val="left"/>
        <w:rPr>
          <w:rFonts w:eastAsia="方正仿宋_GBK"/>
          <w:sz w:val="32"/>
          <w:szCs w:val="32"/>
          <w:lang w:val="zh-CN"/>
        </w:rPr>
      </w:pPr>
      <w:r>
        <w:rPr>
          <w:rFonts w:eastAsia="方正仿宋_GBK"/>
          <w:sz w:val="32"/>
          <w:szCs w:val="32"/>
        </w:rPr>
        <w:t>2.</w:t>
      </w:r>
      <w:r>
        <w:rPr>
          <w:rFonts w:eastAsia="方正仿宋_GBK"/>
          <w:sz w:val="32"/>
          <w:szCs w:val="32"/>
          <w:lang w:val="zh-CN"/>
        </w:rPr>
        <w:t>预算管理。区委统战部严格执行《中华人民共和国预算法》和《中华人民共和国预算法实施条例》，高度重视预算编制、预算执行和预算绩效管理，强化预算约束，提升预算执行能力，严控一般性支出。预算编制质量方面，深入分析了预算设定的合规性、合理性和完整性。本年度预算编制在数据准确性、收入和支出项目上的全面覆盖上表现良好。单位收入统筹方面，区委统战部收入均为财政拨款收入，每年利息均全部上缴区财政局。支出执行进度方面，比较支出计划与实际支出的差异，并分析了资金拨付的及时性和支出结构的合理性，统筹安排，保障单位全年工作目标有序完成。预算年终结余方面，当年区级财政指标、上级转移支付指标均已支出完毕，无结余资金。</w:t>
      </w:r>
    </w:p>
    <w:p w14:paraId="72B28F08">
      <w:pPr>
        <w:spacing w:line="576" w:lineRule="exact"/>
        <w:ind w:firstLine="640" w:firstLineChars="200"/>
        <w:jc w:val="left"/>
        <w:rPr>
          <w:rFonts w:eastAsia="方正仿宋_GBK"/>
          <w:sz w:val="32"/>
          <w:szCs w:val="32"/>
          <w:lang w:val="zh-CN"/>
        </w:rPr>
      </w:pPr>
      <w:r>
        <w:rPr>
          <w:rFonts w:eastAsia="方正仿宋_GBK"/>
          <w:sz w:val="32"/>
          <w:szCs w:val="32"/>
        </w:rPr>
        <w:t>3.</w:t>
      </w:r>
      <w:r>
        <w:rPr>
          <w:rFonts w:eastAsia="方正仿宋_GBK"/>
          <w:sz w:val="32"/>
          <w:szCs w:val="32"/>
          <w:lang w:val="zh-CN"/>
        </w:rPr>
        <w:t>财务管理。财务管理制度方面，财务管理制度是确保财务活动合规性和效率的基础，在预算管理、会计核算、内部控制等方面均有明确规定，能够有效指导日常财务工作。财务岗位设置方面，区委统战部的财务结构设置基本合理，各岗位职责分明，有利于提高工作效率和准确性。资金使用规范方面，资金使用均按照既定规范进行，确保了资金使用的合规性和有效性。2024年度资金支出符合部门预算批复的支出范围，未发现资金挤占、截留、挪用及虚列支出等情况，资金使用合规，财务制度执行有效。</w:t>
      </w:r>
    </w:p>
    <w:p w14:paraId="34460EC1">
      <w:pPr>
        <w:pStyle w:val="39"/>
        <w:rPr>
          <w:rFonts w:eastAsia="方正仿宋_GBK"/>
          <w:szCs w:val="32"/>
          <w:lang w:val="zh-CN"/>
        </w:rPr>
      </w:pPr>
      <w:r>
        <w:rPr>
          <w:rFonts w:eastAsia="方正仿宋_GBK"/>
          <w:szCs w:val="32"/>
        </w:rPr>
        <w:t>4.</w:t>
      </w:r>
      <w:r>
        <w:rPr>
          <w:rFonts w:eastAsia="方正仿宋_GBK"/>
          <w:szCs w:val="32"/>
          <w:lang w:val="zh-CN"/>
        </w:rPr>
        <w:t>资产管理。区委统战部按照财政部颁发的《事业单位国有资产管理暂行办法》的要求，严格资产使用、购置、处置审批程序，建立完善资产管理制度，明确资产业务控制范围及控制目标，设置不相容岗位职能职责，梳理资产管理业务流程与关键环节，进一步合理使用资产，严格监管资产配置，保证国有资产安全完整，不断提高资产运行效率。严格按照相关会计规定计提国有资产折旧，行政事业性国有资产及时纳入了四川省行政事业单位资产管理信息系统进行动态管理。</w:t>
      </w:r>
      <w:r>
        <w:rPr>
          <w:rFonts w:eastAsia="方正仿宋_GBK"/>
          <w:szCs w:val="32"/>
        </w:rPr>
        <w:t>2024年区委统战部期初资产27.13万元、期末23.64万元，期初人均资产率为246.64%，期末214.91%，</w:t>
      </w:r>
      <w:r>
        <w:rPr>
          <w:rFonts w:eastAsia="方正仿宋_GBK"/>
          <w:szCs w:val="32"/>
          <w:lang w:val="zh-CN"/>
        </w:rPr>
        <w:t>人均资产变化率</w:t>
      </w:r>
      <w:r>
        <w:rPr>
          <w:rFonts w:eastAsia="方正仿宋_GBK"/>
          <w:szCs w:val="32"/>
        </w:rPr>
        <w:t>-12.96%。</w:t>
      </w:r>
    </w:p>
    <w:p w14:paraId="78971FED">
      <w:pPr>
        <w:pStyle w:val="39"/>
        <w:rPr>
          <w:rFonts w:eastAsia="方正仿宋_GBK"/>
          <w:szCs w:val="32"/>
          <w:lang w:val="zh-CN"/>
        </w:rPr>
      </w:pPr>
      <w:r>
        <w:rPr>
          <w:rFonts w:eastAsia="方正仿宋_GBK"/>
          <w:szCs w:val="32"/>
          <w:lang w:val="zh-CN"/>
        </w:rPr>
        <w:t>5.采购管理。支持中小企业发展方面，根据《中华人民共和国政府采购法》《中华人民共和国中小企业促进法》等有关法律法规，今后将继续优化采购政策，加大对中小企业的支持力度，同时提高采购流程的效率和适应性，以应对复杂多变的市场环境，进一步提升采购管理的整体绩效。采购执行率方面，科学合理编制政府采购预算，确保预算与采购计划目录一致，避免因预算编制不准确影响采购活动。根据年度工作安排预算支出进度，及时合理安排采购计划。</w:t>
      </w:r>
    </w:p>
    <w:p w14:paraId="2013541F">
      <w:pPr>
        <w:pStyle w:val="39"/>
        <w:ind w:firstLine="643"/>
        <w:rPr>
          <w:rFonts w:eastAsia="方正楷体_GBK"/>
          <w:b/>
          <w:color w:val="000000"/>
          <w:kern w:val="0"/>
          <w:szCs w:val="32"/>
          <w:shd w:val="clear" w:color="auto" w:fill="FFFFFF"/>
          <w:lang w:val="zh-CN"/>
        </w:rPr>
      </w:pPr>
      <w:r>
        <w:rPr>
          <w:rFonts w:eastAsia="方正楷体_GBK"/>
          <w:b/>
          <w:color w:val="000000"/>
          <w:kern w:val="0"/>
          <w:szCs w:val="32"/>
          <w:shd w:val="clear" w:color="auto" w:fill="FFFFFF"/>
          <w:lang w:val="zh-CN"/>
        </w:rPr>
        <w:t>（二）部门预算项目绩效分析</w:t>
      </w:r>
    </w:p>
    <w:p w14:paraId="2F776CFC">
      <w:pPr>
        <w:pStyle w:val="39"/>
        <w:rPr>
          <w:rFonts w:eastAsia="方正仿宋_GBK"/>
          <w:szCs w:val="32"/>
          <w:lang w:val="zh-CN"/>
        </w:rPr>
      </w:pPr>
      <w:r>
        <w:rPr>
          <w:rFonts w:eastAsia="方正仿宋_GBK"/>
          <w:szCs w:val="32"/>
          <w:lang w:val="zh-CN"/>
        </w:rPr>
        <w:t>常年项目绩效分析。该类项目总数6个，涉及预算总金额43.1万元，1—12月预算执行总体进度为100%，其中：预算结余率大于10%的项目共计0个。</w:t>
      </w:r>
    </w:p>
    <w:p w14:paraId="467DFAB2">
      <w:pPr>
        <w:pStyle w:val="39"/>
        <w:rPr>
          <w:rFonts w:eastAsia="方正仿宋_GBK"/>
          <w:szCs w:val="32"/>
          <w:lang w:val="zh-CN"/>
        </w:rPr>
      </w:pPr>
      <w:r>
        <w:rPr>
          <w:rFonts w:eastAsia="方正仿宋_GBK"/>
          <w:szCs w:val="32"/>
          <w:lang w:val="zh-CN"/>
        </w:rPr>
        <w:t>阶段（含一次性）项目绩效分析。该类项目总数2个，涉及预算总金额56万元，1—12月预算执行总体进度为100%，其中：预算结余率大于10%的项目共计0个。</w:t>
      </w:r>
    </w:p>
    <w:p w14:paraId="15D2BB04">
      <w:pPr>
        <w:pStyle w:val="39"/>
        <w:rPr>
          <w:rFonts w:eastAsia="方正仿宋_GBK"/>
          <w:szCs w:val="32"/>
          <w:lang w:val="zh-CN"/>
        </w:rPr>
      </w:pPr>
      <w:r>
        <w:rPr>
          <w:rFonts w:eastAsia="方正仿宋_GBK"/>
          <w:szCs w:val="32"/>
          <w:lang w:val="zh-CN"/>
        </w:rPr>
        <w:t>1.项目决策。在项目决策过程中，绩效分析是评估项目决策效果的关键工具，它不仅有助于确保项目目标的实现，还能提高资源利用效率和项目决策的透明度。在分析决策流程时，决策包括五个关键步骤：问题识别、方案制定、风险评估、决策制定和执行。并预测项目实施后的直接经济效益和社会价值，该项目可能带来的社会稳定等社会效益。项目入库的标准包括项目的契合度、预期效果、风险等级和资源需求，入库流程包括项目的提交、评审和批准。</w:t>
      </w:r>
    </w:p>
    <w:p w14:paraId="1D0D546F">
      <w:pPr>
        <w:pStyle w:val="39"/>
        <w:rPr>
          <w:rFonts w:eastAsia="方正仿宋_GBK"/>
          <w:szCs w:val="32"/>
          <w:lang w:val="zh-CN"/>
        </w:rPr>
      </w:pPr>
      <w:r>
        <w:rPr>
          <w:rFonts w:eastAsia="方正仿宋_GBK"/>
          <w:szCs w:val="32"/>
          <w:lang w:val="zh-CN"/>
        </w:rPr>
        <w:t>2.项目执行。2024年人员类经费预算</w:t>
      </w:r>
      <w:r>
        <w:rPr>
          <w:rFonts w:eastAsia="方正仿宋_GBK"/>
          <w:szCs w:val="32"/>
        </w:rPr>
        <w:t>223.96</w:t>
      </w:r>
      <w:r>
        <w:rPr>
          <w:rFonts w:eastAsia="方正仿宋_GBK"/>
          <w:szCs w:val="32"/>
          <w:lang w:val="zh-CN"/>
        </w:rPr>
        <w:t xml:space="preserve">万元，支出完成 </w:t>
      </w:r>
      <w:r>
        <w:rPr>
          <w:rFonts w:eastAsia="方正仿宋_GBK"/>
          <w:szCs w:val="32"/>
        </w:rPr>
        <w:t>223.96</w:t>
      </w:r>
      <w:r>
        <w:rPr>
          <w:rFonts w:eastAsia="方正仿宋_GBK"/>
          <w:szCs w:val="32"/>
          <w:lang w:val="zh-CN"/>
        </w:rPr>
        <w:t>万元，执行率100%。绩效管理：按时完成了全体干部职工的工资发放；社会保障缴费、住房公积金的缴纳。</w:t>
      </w:r>
    </w:p>
    <w:p w14:paraId="7FDC0D0A">
      <w:pPr>
        <w:pStyle w:val="39"/>
        <w:rPr>
          <w:rFonts w:eastAsia="方正仿宋_GBK"/>
          <w:szCs w:val="32"/>
          <w:lang w:val="zh-CN"/>
        </w:rPr>
      </w:pPr>
      <w:r>
        <w:rPr>
          <w:rFonts w:eastAsia="方正仿宋_GBK"/>
          <w:szCs w:val="32"/>
          <w:lang w:val="zh-CN"/>
        </w:rPr>
        <w:t>2024年公用经费预算</w:t>
      </w:r>
      <w:r>
        <w:rPr>
          <w:rFonts w:eastAsia="方正仿宋_GBK"/>
          <w:szCs w:val="32"/>
        </w:rPr>
        <w:t>17.06</w:t>
      </w:r>
      <w:r>
        <w:rPr>
          <w:rFonts w:eastAsia="方正仿宋_GBK"/>
          <w:szCs w:val="32"/>
          <w:lang w:val="zh-CN"/>
        </w:rPr>
        <w:t>万元，支出完成</w:t>
      </w:r>
      <w:r>
        <w:rPr>
          <w:rFonts w:eastAsia="方正仿宋_GBK"/>
          <w:szCs w:val="32"/>
        </w:rPr>
        <w:t>17.06</w:t>
      </w:r>
      <w:r>
        <w:rPr>
          <w:rFonts w:eastAsia="方正仿宋_GBK"/>
          <w:szCs w:val="32"/>
          <w:lang w:val="zh-CN"/>
        </w:rPr>
        <w:t>万元，执行率100%。绩效管理：公用经费按定额和定员标准进行编制，预算真实、准确无误。</w:t>
      </w:r>
    </w:p>
    <w:p w14:paraId="44A62DE3">
      <w:pPr>
        <w:pStyle w:val="39"/>
        <w:rPr>
          <w:rFonts w:eastAsia="方正仿宋_GBK"/>
          <w:szCs w:val="32"/>
          <w:lang w:val="zh-CN"/>
        </w:rPr>
      </w:pPr>
      <w:r>
        <w:rPr>
          <w:kern w:val="0"/>
          <w:szCs w:val="32"/>
          <w:shd w:val="clear" w:color="auto" w:fill="FFFFFF"/>
          <w:lang w:val="zh-CN"/>
        </w:rPr>
        <w:t>2024</w:t>
      </w:r>
      <w:r>
        <w:rPr>
          <w:rFonts w:eastAsia="方正仿宋_GB2312"/>
          <w:kern w:val="0"/>
          <w:szCs w:val="32"/>
          <w:shd w:val="clear" w:color="auto" w:fill="FFFFFF"/>
          <w:lang w:val="zh-CN"/>
        </w:rPr>
        <w:t>年</w:t>
      </w:r>
      <w:r>
        <w:rPr>
          <w:rFonts w:eastAsia="方正仿宋_GBK"/>
          <w:szCs w:val="32"/>
          <w:lang w:val="zh-CN"/>
        </w:rPr>
        <w:t>项目主要有市级财政衔接推进乡村振兴补助资金（少数民族发展任务）、统战事务工作经费、早期归国华侨生活补助、民主党派、知联会、新阶联调研活动经费、民族宗教工作经费、民族团结进步示范创建经费等。2024年项目</w:t>
      </w:r>
      <w:r>
        <w:rPr>
          <w:rFonts w:eastAsia="方正仿宋_GBK"/>
          <w:szCs w:val="32"/>
        </w:rPr>
        <w:t>支出</w:t>
      </w:r>
      <w:r>
        <w:rPr>
          <w:rFonts w:eastAsia="方正仿宋_GBK"/>
          <w:szCs w:val="32"/>
          <w:lang w:val="zh-CN"/>
        </w:rPr>
        <w:t>数41.08万元，年中追加经费</w:t>
      </w:r>
      <w:r>
        <w:rPr>
          <w:rFonts w:eastAsia="方正仿宋_GBK"/>
          <w:szCs w:val="32"/>
        </w:rPr>
        <w:t>支出</w:t>
      </w:r>
      <w:r>
        <w:rPr>
          <w:rFonts w:eastAsia="方正仿宋_GBK"/>
          <w:szCs w:val="32"/>
          <w:lang w:val="zh-CN"/>
        </w:rPr>
        <w:t>58.02万元，年度预算执行项目经费支出</w:t>
      </w:r>
      <w:r>
        <w:rPr>
          <w:rFonts w:eastAsia="方正仿宋_GBK"/>
          <w:szCs w:val="32"/>
        </w:rPr>
        <w:t>共</w:t>
      </w:r>
      <w:r>
        <w:rPr>
          <w:rFonts w:eastAsia="方正仿宋_GBK"/>
          <w:szCs w:val="32"/>
          <w:lang w:val="zh-CN"/>
        </w:rPr>
        <w:t>99.1万元，项目经费无结余，项目经费控制率超100%。绩效管理：项目严格按照绩效目标申报，做到事前有审批，事中有监控，事后形成整体绩效报告。2024年我部对</w:t>
      </w:r>
      <w:r>
        <w:rPr>
          <w:rFonts w:eastAsia="方正仿宋_GBK"/>
          <w:szCs w:val="32"/>
        </w:rPr>
        <w:t>8</w:t>
      </w:r>
      <w:r>
        <w:rPr>
          <w:rFonts w:eastAsia="方正仿宋_GBK"/>
          <w:szCs w:val="32"/>
          <w:lang w:val="zh-CN"/>
        </w:rPr>
        <w:t>个项目进行数量指标、质量指标、时效指标和成本指标的分析，提出工作计划，明确时序进度和目标要求，均符合项目实施方案。</w:t>
      </w:r>
    </w:p>
    <w:p w14:paraId="428E2C33">
      <w:pPr>
        <w:pStyle w:val="39"/>
        <w:rPr>
          <w:rFonts w:eastAsia="方正仿宋_GBK"/>
          <w:szCs w:val="32"/>
          <w:lang w:val="zh-CN"/>
        </w:rPr>
      </w:pPr>
      <w:r>
        <w:rPr>
          <w:rFonts w:eastAsia="方正仿宋_GBK"/>
          <w:szCs w:val="32"/>
        </w:rPr>
        <w:t>3.</w:t>
      </w:r>
      <w:r>
        <w:rPr>
          <w:rFonts w:eastAsia="方正仿宋_GBK"/>
          <w:szCs w:val="32"/>
          <w:lang w:val="zh-CN"/>
        </w:rPr>
        <w:t>目标实现。区委统战部预算安排支出主要用于保障</w:t>
      </w:r>
      <w:r>
        <w:rPr>
          <w:rFonts w:hint="eastAsia" w:eastAsia="方正仿宋_GBK"/>
          <w:szCs w:val="32"/>
        </w:rPr>
        <w:t>本</w:t>
      </w:r>
      <w:r>
        <w:rPr>
          <w:rFonts w:eastAsia="方正仿宋_GBK"/>
          <w:szCs w:val="32"/>
          <w:lang w:val="zh-CN"/>
        </w:rPr>
        <w:t>部门机构正常运转、完成日常工作任务以及本单位承担的区委、区政府交办的其他事项工作。我部均衡安排各个项目资金的执行进度，贯彻落实过紧日子的要求，预算控制较好，全年</w:t>
      </w:r>
      <w:r>
        <w:rPr>
          <w:rFonts w:eastAsia="方正仿宋_GBK"/>
          <w:szCs w:val="32"/>
        </w:rPr>
        <w:t>职能目标任务顺利完成。</w:t>
      </w:r>
    </w:p>
    <w:p w14:paraId="341D31E4">
      <w:pPr>
        <w:pStyle w:val="39"/>
        <w:ind w:firstLine="643"/>
        <w:rPr>
          <w:rFonts w:eastAsia="方正楷体_GBK"/>
          <w:b/>
          <w:bCs/>
          <w:szCs w:val="32"/>
          <w:lang w:val="zh-CN"/>
        </w:rPr>
      </w:pPr>
      <w:r>
        <w:rPr>
          <w:rFonts w:eastAsia="方正楷体_GBK"/>
          <w:b/>
          <w:bCs/>
          <w:szCs w:val="32"/>
          <w:lang w:val="zh-CN"/>
        </w:rPr>
        <w:t>（三）绩效结果应用情况。</w:t>
      </w:r>
    </w:p>
    <w:p w14:paraId="3736872B">
      <w:pPr>
        <w:pStyle w:val="39"/>
        <w:rPr>
          <w:rFonts w:eastAsia="方正仿宋_GBK"/>
          <w:szCs w:val="32"/>
          <w:lang w:val="zh-CN"/>
        </w:rPr>
      </w:pPr>
      <w:r>
        <w:rPr>
          <w:rFonts w:eastAsia="方正仿宋_GBK"/>
          <w:szCs w:val="32"/>
          <w:lang w:val="zh-CN"/>
        </w:rPr>
        <w:t>绩效自评结果拟应用于今后的绩效管理工作，加强绩效评价工作，严格内部管理，通过绩效评价，我部进一步掌握了项目经费使用情况和取得的效果，总结了项目资金管理经验，为下一年提高项目资金的使用效益，加强财政支出的规范管理，完善预算编制和加强绩效目标管理等工作提供重要的参考依据。</w:t>
      </w:r>
    </w:p>
    <w:p w14:paraId="2B32F34D">
      <w:pPr>
        <w:pStyle w:val="39"/>
        <w:rPr>
          <w:rFonts w:eastAsia="方正仿宋_GBK"/>
          <w:szCs w:val="32"/>
          <w:lang w:val="zh-CN"/>
        </w:rPr>
      </w:pPr>
      <w:r>
        <w:rPr>
          <w:rFonts w:eastAsia="方正仿宋_GBK"/>
          <w:szCs w:val="32"/>
          <w:lang w:val="zh-CN"/>
        </w:rPr>
        <w:t>1.内部应用方面。区委统战部按照区财政局下发《攀枝花市西区单位财政资金绩效管理工作考评细则》，将各项目绩效目标制定和自评情况纳入部门绩效目标考核体系，考核结果作为项目资金安排的重要依据。</w:t>
      </w:r>
    </w:p>
    <w:p w14:paraId="3C8B6381">
      <w:pPr>
        <w:pStyle w:val="39"/>
        <w:rPr>
          <w:rFonts w:eastAsia="方正仿宋_GBK"/>
          <w:szCs w:val="32"/>
          <w:lang w:val="zh-CN"/>
        </w:rPr>
      </w:pPr>
      <w:r>
        <w:rPr>
          <w:rFonts w:eastAsia="方正仿宋_GBK"/>
          <w:szCs w:val="32"/>
          <w:lang w:val="zh-CN"/>
        </w:rPr>
        <w:t>2.信息公开方面。按照财政预算绩效管理要求，高质量完成自评工作并及时反馈预算执行中的问题、建议和整改情况，按要求在攀枝花市西区人民政府网站公开自评情况。</w:t>
      </w:r>
    </w:p>
    <w:p w14:paraId="3F9D5D2F">
      <w:pPr>
        <w:pStyle w:val="39"/>
        <w:rPr>
          <w:rFonts w:eastAsia="方正仿宋_GBK"/>
          <w:szCs w:val="32"/>
          <w:lang w:val="zh-CN"/>
        </w:rPr>
      </w:pPr>
      <w:r>
        <w:rPr>
          <w:rFonts w:eastAsia="方正仿宋_GBK"/>
          <w:szCs w:val="32"/>
          <w:lang w:val="zh-CN"/>
        </w:rPr>
        <w:t>3.应用反馈方面。</w:t>
      </w:r>
    </w:p>
    <w:p w14:paraId="4308C40D">
      <w:pPr>
        <w:pStyle w:val="39"/>
        <w:rPr>
          <w:rFonts w:eastAsia="方正仿宋_GBK"/>
          <w:szCs w:val="32"/>
          <w:lang w:val="zh-CN"/>
        </w:rPr>
      </w:pPr>
      <w:r>
        <w:rPr>
          <w:rFonts w:eastAsia="方正仿宋_GBK"/>
          <w:szCs w:val="32"/>
          <w:lang w:val="zh-CN"/>
        </w:rPr>
        <w:t>（</w:t>
      </w:r>
      <w:r>
        <w:rPr>
          <w:rFonts w:eastAsia="方正仿宋_GBK"/>
          <w:szCs w:val="32"/>
        </w:rPr>
        <w:t>1</w:t>
      </w:r>
      <w:r>
        <w:rPr>
          <w:rFonts w:eastAsia="方正仿宋_GBK"/>
          <w:szCs w:val="32"/>
          <w:lang w:val="zh-CN"/>
        </w:rPr>
        <w:t>）加强支出绩效管理。对纳入部门预算批复管理的项目经费，在年度执行中，跟踪了解每一项目的进展情况，及时申请用款计划，保证各项款项及时支付。</w:t>
      </w:r>
    </w:p>
    <w:p w14:paraId="5D841896">
      <w:pPr>
        <w:pStyle w:val="39"/>
        <w:rPr>
          <w:rFonts w:eastAsia="方正仿宋_GBK"/>
          <w:szCs w:val="32"/>
          <w:lang w:val="zh-CN"/>
        </w:rPr>
      </w:pPr>
      <w:r>
        <w:rPr>
          <w:rFonts w:eastAsia="方正仿宋_GBK"/>
          <w:szCs w:val="32"/>
          <w:lang w:val="zh-CN"/>
        </w:rPr>
        <w:t>（</w:t>
      </w:r>
      <w:r>
        <w:rPr>
          <w:rFonts w:eastAsia="方正仿宋_GBK"/>
          <w:szCs w:val="32"/>
        </w:rPr>
        <w:t>2</w:t>
      </w:r>
      <w:r>
        <w:rPr>
          <w:rFonts w:eastAsia="方正仿宋_GBK"/>
          <w:szCs w:val="32"/>
          <w:lang w:val="zh-CN"/>
        </w:rPr>
        <w:t>）严格执行“三公”经费预算。202</w:t>
      </w:r>
      <w:r>
        <w:rPr>
          <w:rFonts w:eastAsia="方正仿宋_GBK"/>
          <w:szCs w:val="32"/>
        </w:rPr>
        <w:t>4</w:t>
      </w:r>
      <w:r>
        <w:rPr>
          <w:rFonts w:eastAsia="方正仿宋_GBK"/>
          <w:szCs w:val="32"/>
          <w:lang w:val="zh-CN"/>
        </w:rPr>
        <w:t>年我部继续认真贯彻中央八项规定及其实施细则、省十项规定及其实施细则，以及《党政机关厉行节约反对浪费条例》，加强“三公”经费和会议费、培训费管理，使其支出得到有效控制。</w:t>
      </w:r>
    </w:p>
    <w:p w14:paraId="46CBC2EE">
      <w:pPr>
        <w:widowControl/>
        <w:adjustRightInd w:val="0"/>
        <w:snapToGrid w:val="0"/>
        <w:spacing w:line="560" w:lineRule="exact"/>
        <w:ind w:firstLine="640" w:firstLineChars="200"/>
        <w:contextualSpacing/>
        <w:jc w:val="left"/>
        <w:rPr>
          <w:rFonts w:eastAsia="方正黑体_GBK"/>
          <w:color w:val="000000"/>
          <w:kern w:val="0"/>
          <w:sz w:val="32"/>
          <w:szCs w:val="32"/>
          <w:shd w:val="clear" w:color="auto" w:fill="FFFFFF"/>
          <w:lang w:val="zh-CN"/>
        </w:rPr>
      </w:pPr>
      <w:r>
        <w:rPr>
          <w:rFonts w:eastAsia="方正黑体_GBK"/>
          <w:color w:val="000000"/>
          <w:kern w:val="0"/>
          <w:sz w:val="32"/>
          <w:szCs w:val="32"/>
          <w:shd w:val="clear" w:color="auto" w:fill="FFFFFF"/>
          <w:lang w:val="zh-CN"/>
        </w:rPr>
        <w:t>四、评价结论及建议</w:t>
      </w:r>
    </w:p>
    <w:p w14:paraId="4E3D1C30">
      <w:pPr>
        <w:pStyle w:val="39"/>
        <w:ind w:firstLine="643"/>
        <w:rPr>
          <w:rFonts w:eastAsia="方正楷体_GBK"/>
          <w:b/>
          <w:color w:val="000000"/>
          <w:kern w:val="0"/>
          <w:szCs w:val="32"/>
          <w:shd w:val="clear" w:color="auto" w:fill="FFFFFF"/>
          <w:lang w:val="zh-CN"/>
        </w:rPr>
      </w:pPr>
      <w:r>
        <w:rPr>
          <w:rFonts w:eastAsia="方正楷体_GBK"/>
          <w:b/>
          <w:color w:val="000000"/>
          <w:kern w:val="0"/>
          <w:szCs w:val="32"/>
          <w:shd w:val="clear" w:color="auto" w:fill="FFFFFF"/>
          <w:lang w:val="zh-CN"/>
        </w:rPr>
        <w:t>（一）评价结论</w:t>
      </w:r>
    </w:p>
    <w:p w14:paraId="534F6237">
      <w:pPr>
        <w:pStyle w:val="39"/>
        <w:rPr>
          <w:rFonts w:eastAsia="方正仿宋_GBK"/>
          <w:szCs w:val="32"/>
          <w:lang w:val="zh-CN"/>
        </w:rPr>
      </w:pPr>
      <w:r>
        <w:rPr>
          <w:rFonts w:eastAsia="方正仿宋_GBK"/>
          <w:szCs w:val="32"/>
          <w:lang w:val="zh-CN"/>
        </w:rPr>
        <w:t>通过绩效评价，分析资金使用规律，提高资金使用效益，强化资金管理责任，促进项目稳步推进。加大了对项目基本情况、项目资金管理情况、项目完成情况、项目效益情况及存在问题和整改情况的实时监控，有效提高使用人员注重资金使用绩效，强化绩效管理主体意识，将绩效评价结果作为预算安排的重要依据，更好地把握财政政策的经济性、效率性、效益性和可持续性。根据收集的预决算、财务资料和部门整体工作开展情况的相关资料、通过实地核查并结合2024年实际履职情况，依据设定的评价指标逐一进行评分，自评总得分9</w:t>
      </w:r>
      <w:r>
        <w:rPr>
          <w:rFonts w:eastAsia="方正仿宋_GBK"/>
          <w:szCs w:val="32"/>
        </w:rPr>
        <w:t>7</w:t>
      </w:r>
      <w:r>
        <w:rPr>
          <w:rFonts w:eastAsia="方正仿宋_GBK"/>
          <w:szCs w:val="32"/>
          <w:lang w:val="zh-CN"/>
        </w:rPr>
        <w:t>分。我部2024年度部门整体支出绩效良好，很好地完成了年初预算计划的各项工作，履行了部门各项职责，达到了预算所设立的主要目标。</w:t>
      </w:r>
    </w:p>
    <w:p w14:paraId="5D0356A4">
      <w:pPr>
        <w:pStyle w:val="39"/>
        <w:ind w:firstLine="643"/>
        <w:rPr>
          <w:rFonts w:eastAsia="方正楷体_GBK"/>
          <w:b/>
          <w:color w:val="000000"/>
          <w:kern w:val="0"/>
          <w:szCs w:val="32"/>
          <w:shd w:val="clear" w:color="auto" w:fill="FFFFFF"/>
          <w:lang w:val="zh-CN"/>
        </w:rPr>
      </w:pPr>
      <w:r>
        <w:rPr>
          <w:rFonts w:eastAsia="方正楷体_GBK"/>
          <w:b/>
          <w:color w:val="000000"/>
          <w:kern w:val="0"/>
          <w:szCs w:val="32"/>
          <w:shd w:val="clear" w:color="auto" w:fill="FFFFFF"/>
          <w:lang w:val="zh-CN"/>
        </w:rPr>
        <w:t>（二）存在问题</w:t>
      </w:r>
    </w:p>
    <w:p w14:paraId="4C802044">
      <w:pPr>
        <w:pStyle w:val="39"/>
        <w:rPr>
          <w:rFonts w:eastAsia="方正仿宋_GBK"/>
          <w:szCs w:val="32"/>
          <w:lang w:val="zh-CN"/>
        </w:rPr>
      </w:pPr>
      <w:r>
        <w:rPr>
          <w:rFonts w:eastAsia="方正仿宋_GBK"/>
          <w:szCs w:val="32"/>
          <w:lang w:val="zh-CN"/>
        </w:rPr>
        <w:t>一是预算绩效指标设置的科学性还需进一步加强。二是缺乏相应的专业知识，对预算绩效管理的相关业务</w:t>
      </w:r>
      <w:r>
        <w:rPr>
          <w:rFonts w:hint="eastAsia" w:eastAsia="方正仿宋_GBK"/>
          <w:szCs w:val="32"/>
        </w:rPr>
        <w:t>学习</w:t>
      </w:r>
      <w:r>
        <w:rPr>
          <w:rFonts w:eastAsia="方正仿宋_GBK"/>
          <w:szCs w:val="32"/>
          <w:lang w:val="zh-CN"/>
        </w:rPr>
        <w:t>需要进一步加强。</w:t>
      </w:r>
    </w:p>
    <w:p w14:paraId="4E4A3870">
      <w:pPr>
        <w:pStyle w:val="39"/>
        <w:spacing w:line="520" w:lineRule="exact"/>
        <w:ind w:firstLine="643"/>
        <w:rPr>
          <w:rFonts w:eastAsia="方正仿宋_GBK"/>
          <w:szCs w:val="32"/>
          <w:lang w:val="zh-CN"/>
        </w:rPr>
      </w:pPr>
      <w:bookmarkStart w:id="53" w:name="_Hlk110546638"/>
      <w:r>
        <w:rPr>
          <w:rFonts w:eastAsia="方正楷体_GBK"/>
          <w:b/>
          <w:color w:val="000000"/>
          <w:kern w:val="0"/>
          <w:szCs w:val="32"/>
          <w:shd w:val="clear" w:color="auto" w:fill="FFFFFF"/>
          <w:lang w:val="zh-CN"/>
        </w:rPr>
        <w:t>（三）改进建议</w:t>
      </w:r>
    </w:p>
    <w:p w14:paraId="127814A1">
      <w:pPr>
        <w:pStyle w:val="39"/>
        <w:spacing w:line="520" w:lineRule="exact"/>
        <w:rPr>
          <w:rFonts w:eastAsia="方正仿宋_GBK"/>
          <w:szCs w:val="32"/>
          <w:lang w:val="zh-CN"/>
        </w:rPr>
      </w:pPr>
      <w:r>
        <w:rPr>
          <w:rFonts w:eastAsia="方正仿宋_GBK"/>
          <w:szCs w:val="32"/>
          <w:lang w:val="zh-CN"/>
        </w:rPr>
        <w:t>一是</w:t>
      </w:r>
      <w:r>
        <w:rPr>
          <w:rFonts w:hint="eastAsia" w:eastAsia="方正仿宋_GBK"/>
          <w:szCs w:val="32"/>
        </w:rPr>
        <w:t>进一步</w:t>
      </w:r>
      <w:r>
        <w:rPr>
          <w:rFonts w:eastAsia="方正仿宋_GBK"/>
          <w:szCs w:val="32"/>
          <w:lang w:val="zh-CN"/>
        </w:rPr>
        <w:t>完善内</w:t>
      </w:r>
      <w:r>
        <w:rPr>
          <w:rFonts w:eastAsia="方正仿宋_GBK"/>
          <w:szCs w:val="32"/>
        </w:rPr>
        <w:t>部监督控制制度</w:t>
      </w:r>
      <w:r>
        <w:rPr>
          <w:rFonts w:eastAsia="方正仿宋_GBK"/>
          <w:szCs w:val="32"/>
          <w:lang w:val="zh-CN"/>
        </w:rPr>
        <w:t>。把绩效评价作为部门内控的日常工作，建立绩效评价管理工作考核长效机制，科学设定绩效目标，加强预算执行管理。</w:t>
      </w:r>
    </w:p>
    <w:p w14:paraId="5C06FD32">
      <w:pPr>
        <w:pStyle w:val="39"/>
        <w:spacing w:line="520" w:lineRule="exact"/>
        <w:rPr>
          <w:rFonts w:eastAsia="方正仿宋_GBK"/>
          <w:szCs w:val="32"/>
          <w:lang w:val="zh-CN"/>
        </w:rPr>
      </w:pPr>
      <w:r>
        <w:rPr>
          <w:rFonts w:eastAsia="方正仿宋_GBK"/>
          <w:szCs w:val="32"/>
          <w:lang w:val="zh-CN"/>
        </w:rPr>
        <w:t>二是</w:t>
      </w:r>
      <w:r>
        <w:rPr>
          <w:rFonts w:eastAsia="方正仿宋_GBK"/>
          <w:szCs w:val="32"/>
        </w:rPr>
        <w:t>进一步加强绩效素养和专业技能培训，对业务部门、绩效管理人员进行预算绩效管理知识普及，提高部门对全面预算管理的重视程度，增强业务部门的预算绩效意识，进而推进效能。</w:t>
      </w:r>
    </w:p>
    <w:bookmarkEnd w:id="53"/>
    <w:p w14:paraId="624F62F8">
      <w:pPr>
        <w:pStyle w:val="9"/>
        <w:spacing w:line="520" w:lineRule="exact"/>
        <w:ind w:left="0" w:leftChars="0" w:firstLine="640"/>
        <w:rPr>
          <w:rFonts w:ascii="Times New Roman" w:eastAsia="仿宋_GB2312"/>
          <w:sz w:val="32"/>
          <w:lang w:val="zh-CN"/>
        </w:rPr>
      </w:pPr>
    </w:p>
    <w:p w14:paraId="658757B3">
      <w:pPr>
        <w:pStyle w:val="39"/>
        <w:spacing w:line="520" w:lineRule="exact"/>
        <w:rPr>
          <w:rFonts w:eastAsia="方正仿宋_GBK"/>
          <w:szCs w:val="32"/>
        </w:rPr>
      </w:pPr>
      <w:r>
        <w:rPr>
          <w:rFonts w:eastAsia="方正仿宋_GBK"/>
          <w:szCs w:val="32"/>
        </w:rPr>
        <w:t>附表：部门预算项目支出绩效自评表（2024年度）</w:t>
      </w:r>
    </w:p>
    <w:p w14:paraId="02B81AC8">
      <w:pPr>
        <w:rPr>
          <w:rFonts w:ascii="方正黑体_GBK" w:eastAsia="方正黑体_GBK"/>
          <w:kern w:val="0"/>
          <w:sz w:val="32"/>
          <w:szCs w:val="32"/>
          <w:shd w:val="clear" w:color="auto" w:fill="FFFFFF"/>
          <w:lang w:val="zh-CN"/>
        </w:rPr>
      </w:pPr>
    </w:p>
    <w:p w14:paraId="1B92CBC3">
      <w:pPr>
        <w:rPr>
          <w:rFonts w:eastAsia="黑体"/>
          <w:sz w:val="32"/>
          <w:szCs w:val="32"/>
        </w:rPr>
      </w:pPr>
      <w:r>
        <w:rPr>
          <w:rFonts w:hint="eastAsia" w:ascii="方正黑体_GBK" w:eastAsia="方正黑体_GBK"/>
          <w:kern w:val="0"/>
          <w:sz w:val="32"/>
          <w:szCs w:val="32"/>
          <w:shd w:val="clear" w:color="auto" w:fill="FFFFFF"/>
          <w:lang w:val="zh-CN"/>
        </w:rPr>
        <w:t>附件</w:t>
      </w:r>
      <w:r>
        <w:rPr>
          <w:rFonts w:eastAsia="黑体"/>
          <w:kern w:val="0"/>
          <w:sz w:val="32"/>
          <w:szCs w:val="32"/>
          <w:shd w:val="clear" w:color="auto" w:fill="FFFFFF"/>
        </w:rPr>
        <w:t>2</w:t>
      </w:r>
    </w:p>
    <w:p w14:paraId="32EF42AB">
      <w:pPr>
        <w:widowControl/>
        <w:spacing w:line="0" w:lineRule="atLeast"/>
        <w:contextualSpacing/>
        <w:jc w:val="center"/>
        <w:rPr>
          <w:rFonts w:eastAsia="方正小标宋_GBK"/>
          <w:b/>
          <w:bCs/>
          <w:sz w:val="44"/>
          <w:szCs w:val="44"/>
          <w:shd w:val="clear" w:color="auto" w:fill="FFFFFF"/>
        </w:rPr>
      </w:pPr>
      <w:r>
        <w:rPr>
          <w:rFonts w:eastAsia="方正小标宋_GBK"/>
          <w:b/>
          <w:bCs/>
          <w:sz w:val="44"/>
          <w:szCs w:val="44"/>
          <w:shd w:val="clear" w:color="auto" w:fill="FFFFFF"/>
        </w:rPr>
        <w:t>攀枝花市西区格里坪镇庄上村</w:t>
      </w:r>
    </w:p>
    <w:p w14:paraId="3917D828">
      <w:pPr>
        <w:widowControl/>
        <w:spacing w:line="0" w:lineRule="atLeast"/>
        <w:contextualSpacing/>
        <w:jc w:val="center"/>
        <w:rPr>
          <w:rFonts w:eastAsia="方正小标宋_GBK"/>
          <w:b/>
          <w:bCs/>
          <w:sz w:val="44"/>
          <w:szCs w:val="44"/>
          <w:shd w:val="clear" w:color="auto" w:fill="FFFFFF"/>
        </w:rPr>
      </w:pPr>
      <w:r>
        <w:rPr>
          <w:rFonts w:eastAsia="方正小标宋_GBK"/>
          <w:b/>
          <w:bCs/>
          <w:sz w:val="44"/>
          <w:szCs w:val="44"/>
          <w:shd w:val="clear" w:color="auto" w:fill="FFFFFF"/>
        </w:rPr>
        <w:t>民族团结进步农文旅融合示范基地项目</w:t>
      </w:r>
    </w:p>
    <w:p w14:paraId="5850E071">
      <w:pPr>
        <w:widowControl/>
        <w:spacing w:line="0" w:lineRule="atLeast"/>
        <w:contextualSpacing/>
        <w:jc w:val="center"/>
        <w:rPr>
          <w:rFonts w:eastAsia="方正小标宋_GBK"/>
          <w:b/>
          <w:bCs/>
          <w:sz w:val="44"/>
          <w:szCs w:val="44"/>
          <w:shd w:val="clear" w:color="auto" w:fill="FFFFFF"/>
        </w:rPr>
      </w:pPr>
      <w:r>
        <w:rPr>
          <w:rFonts w:eastAsia="方正小标宋_GBK"/>
          <w:b/>
          <w:bCs/>
          <w:sz w:val="44"/>
          <w:szCs w:val="44"/>
          <w:shd w:val="clear" w:color="auto" w:fill="FFFFFF"/>
        </w:rPr>
        <w:t>专项预算项目绩效评价报告</w:t>
      </w:r>
    </w:p>
    <w:p w14:paraId="71CC57B4">
      <w:pPr>
        <w:tabs>
          <w:tab w:val="left" w:pos="1134"/>
          <w:tab w:val="left" w:pos="1276"/>
        </w:tabs>
        <w:ind w:left="479" w:leftChars="228"/>
        <w:rPr>
          <w:rFonts w:eastAsia="方正黑体_GBK"/>
          <w:color w:val="000000"/>
          <w:kern w:val="0"/>
          <w:sz w:val="32"/>
          <w:szCs w:val="32"/>
          <w:shd w:val="clear" w:color="auto" w:fill="FFFFFF"/>
          <w:lang w:val="zh-CN"/>
        </w:rPr>
      </w:pPr>
      <w:r>
        <w:rPr>
          <w:sz w:val="24"/>
        </w:rPr>
        <w:br w:type="textWrapping"/>
      </w:r>
      <w:r>
        <w:rPr>
          <w:rFonts w:eastAsia="方正黑体_GBK"/>
          <w:color w:val="000000"/>
          <w:kern w:val="0"/>
          <w:sz w:val="32"/>
          <w:szCs w:val="32"/>
          <w:shd w:val="clear" w:color="auto" w:fill="FFFFFF"/>
        </w:rPr>
        <w:t xml:space="preserve">    一、</w:t>
      </w:r>
      <w:r>
        <w:rPr>
          <w:rFonts w:eastAsia="方正黑体_GBK"/>
          <w:color w:val="000000"/>
          <w:kern w:val="0"/>
          <w:sz w:val="32"/>
          <w:szCs w:val="32"/>
          <w:shd w:val="clear" w:color="auto" w:fill="FFFFFF"/>
          <w:lang w:val="zh-CN"/>
        </w:rPr>
        <w:t>项目概况</w:t>
      </w:r>
    </w:p>
    <w:p w14:paraId="72088B40">
      <w:pPr>
        <w:numPr>
          <w:ilvl w:val="0"/>
          <w:numId w:val="2"/>
        </w:numPr>
        <w:tabs>
          <w:tab w:val="left" w:pos="1134"/>
          <w:tab w:val="left" w:pos="1276"/>
        </w:tabs>
        <w:ind w:left="479" w:leftChars="228" w:firstLine="643" w:firstLineChars="200"/>
        <w:rPr>
          <w:rFonts w:ascii="方正楷体_GBK" w:eastAsia="方正楷体_GBK"/>
          <w:b/>
          <w:sz w:val="32"/>
          <w:szCs w:val="32"/>
          <w:lang w:val="zh-CN"/>
        </w:rPr>
      </w:pPr>
      <w:r>
        <w:rPr>
          <w:rFonts w:hint="eastAsia" w:ascii="方正楷体_GBK" w:eastAsia="方正楷体_GBK"/>
          <w:b/>
          <w:sz w:val="32"/>
          <w:szCs w:val="32"/>
          <w:lang w:val="zh-CN"/>
        </w:rPr>
        <w:t>设立背景及基本情况</w:t>
      </w:r>
    </w:p>
    <w:p w14:paraId="11EB20AC">
      <w:pPr>
        <w:tabs>
          <w:tab w:val="left" w:pos="1134"/>
          <w:tab w:val="left" w:pos="1276"/>
        </w:tabs>
        <w:ind w:firstLine="640" w:firstLineChars="200"/>
        <w:rPr>
          <w:rFonts w:ascii="方正楷体_GBK" w:eastAsia="方正楷体_GBK"/>
          <w:b/>
          <w:sz w:val="32"/>
          <w:szCs w:val="32"/>
          <w:lang w:val="zh-CN"/>
        </w:rPr>
      </w:pPr>
      <w:r>
        <w:rPr>
          <w:rFonts w:eastAsia="方正仿宋_GBK"/>
          <w:sz w:val="32"/>
          <w:szCs w:val="32"/>
        </w:rPr>
        <w:t>为深入推进乡村振兴，促进庄上村产业共富、精神共富，格里坪镇拟实施庄上村民族团结进步农文旅融合示范基地项目。项目立项依据为《攀枝花市西区区级重大经济事项决策实施办法（试行）》及2024年市级财政衔接推进乡村振兴补助资金（少数民族发展任务）管理要求。项目建设内容包括：拟建灌溉管道、田间步道、用电及管护设施、太阳能路灯，建设民族团结进步文化展示区，民族文化彩绘、景观小品及文化介绍标识等工作。主管部门为攀枝花市西区民族宗教事务局。</w:t>
      </w:r>
      <w:r>
        <w:rPr>
          <w:rFonts w:eastAsia="仿宋_GB2312"/>
          <w:sz w:val="32"/>
          <w:szCs w:val="32"/>
        </w:rPr>
        <w:br w:type="textWrapping"/>
      </w:r>
      <w:r>
        <w:rPr>
          <w:rFonts w:eastAsia="仿宋_GB2312"/>
          <w:sz w:val="32"/>
          <w:szCs w:val="32"/>
        </w:rPr>
        <w:t xml:space="preserve">  </w:t>
      </w:r>
      <w:r>
        <w:rPr>
          <w:rFonts w:ascii="方正楷体_GBK" w:eastAsia="方正楷体_GBK"/>
          <w:b/>
          <w:sz w:val="32"/>
          <w:szCs w:val="32"/>
          <w:lang w:val="zh-CN"/>
        </w:rPr>
        <w:t xml:space="preserve">  （二）实施目的及支持方向</w:t>
      </w:r>
      <w:r>
        <w:rPr>
          <w:rFonts w:eastAsia="仿宋_GB2312"/>
          <w:sz w:val="32"/>
          <w:szCs w:val="32"/>
        </w:rPr>
        <w:br w:type="textWrapping"/>
      </w:r>
      <w:r>
        <w:rPr>
          <w:rFonts w:hint="eastAsia" w:eastAsia="仿宋_GB2312"/>
          <w:sz w:val="32"/>
          <w:szCs w:val="32"/>
        </w:rPr>
        <w:t xml:space="preserve">    </w:t>
      </w:r>
      <w:r>
        <w:rPr>
          <w:rFonts w:eastAsia="方正仿宋_GBK"/>
          <w:sz w:val="32"/>
          <w:szCs w:val="32"/>
        </w:rPr>
        <w:t>项目实施旨在通过改善庄上村基础设施、完善农文旅融合功能，提升村域整体文化形象和产业发展水平。项目支持方向为产业基础设施完善、民族文化展示建设和农特产品配套发展，重点支持少数民族地区经济社会发展和精神文明建设。</w:t>
      </w:r>
      <w:r>
        <w:rPr>
          <w:rFonts w:eastAsia="仿宋_GB2312"/>
          <w:sz w:val="32"/>
          <w:szCs w:val="32"/>
        </w:rPr>
        <w:br w:type="textWrapping"/>
      </w:r>
      <w:r>
        <w:rPr>
          <w:rFonts w:eastAsia="仿宋_GB2312"/>
          <w:sz w:val="32"/>
          <w:szCs w:val="32"/>
        </w:rPr>
        <w:t xml:space="preserve">    </w:t>
      </w:r>
      <w:r>
        <w:rPr>
          <w:rFonts w:ascii="方正楷体_GBK" w:eastAsia="方正楷体_GBK"/>
          <w:b/>
          <w:sz w:val="32"/>
          <w:szCs w:val="32"/>
          <w:lang w:val="zh-CN"/>
        </w:rPr>
        <w:t>（三）预算安排及分配管理</w:t>
      </w:r>
    </w:p>
    <w:p w14:paraId="4A6D52E9">
      <w:pPr>
        <w:tabs>
          <w:tab w:val="left" w:pos="1134"/>
          <w:tab w:val="left" w:pos="1276"/>
        </w:tabs>
        <w:ind w:firstLine="640" w:firstLineChars="200"/>
        <w:rPr>
          <w:rFonts w:ascii="方正楷体_GBK" w:eastAsia="方正楷体_GBK"/>
          <w:b/>
          <w:sz w:val="32"/>
          <w:szCs w:val="32"/>
          <w:lang w:val="zh-CN"/>
        </w:rPr>
      </w:pPr>
      <w:r>
        <w:rPr>
          <w:rFonts w:eastAsia="方正仿宋_GBK"/>
          <w:sz w:val="32"/>
          <w:szCs w:val="32"/>
        </w:rPr>
        <w:t>项目总投资50万元，资金来源为2024年市级财政衔接推进乡村振兴补助资金（少数民族发展任务）。资金由区财政局下达，全部用于庄上村农文旅融合项目建设。资金分配遵循公开、公正、绩效优先原则，确保专款专用。</w:t>
      </w:r>
      <w:r>
        <w:rPr>
          <w:rFonts w:eastAsia="仿宋_GB2312"/>
          <w:sz w:val="32"/>
          <w:szCs w:val="32"/>
        </w:rPr>
        <w:br w:type="textWrapping"/>
      </w:r>
      <w:r>
        <w:rPr>
          <w:rFonts w:eastAsia="仿宋_GB2312"/>
          <w:sz w:val="32"/>
          <w:szCs w:val="32"/>
        </w:rPr>
        <w:t xml:space="preserve">   </w:t>
      </w:r>
      <w:r>
        <w:rPr>
          <w:rFonts w:ascii="方正楷体_GBK" w:eastAsia="方正楷体_GBK"/>
          <w:b/>
          <w:sz w:val="32"/>
          <w:szCs w:val="32"/>
          <w:lang w:val="zh-CN"/>
        </w:rPr>
        <w:t xml:space="preserve"> （四）项目绩效目标设置</w:t>
      </w:r>
    </w:p>
    <w:p w14:paraId="18C595A3">
      <w:pPr>
        <w:tabs>
          <w:tab w:val="left" w:pos="1134"/>
          <w:tab w:val="left" w:pos="1276"/>
        </w:tabs>
        <w:ind w:firstLine="640" w:firstLineChars="200"/>
        <w:rPr>
          <w:rFonts w:ascii="方正楷体_GBK" w:eastAsia="方正楷体_GBK"/>
          <w:b/>
          <w:sz w:val="32"/>
          <w:szCs w:val="32"/>
          <w:lang w:val="zh-CN"/>
        </w:rPr>
      </w:pPr>
      <w:r>
        <w:rPr>
          <w:rFonts w:eastAsia="方正仿宋_GBK"/>
          <w:sz w:val="32"/>
          <w:szCs w:val="32"/>
        </w:rPr>
        <w:t>项目总体目标是打造集农文旅融合、民族团结展示、文化体验于一体的示范基地。区域目标为提升庄上村基础设施水平和文化氛围。具体绩效目标包括：改善村内照明与灌溉条件；建设民族文化展示区1处；带动村集体、村民增收；吸引新增游客1万人次以上。项目自评工作由格里坪镇人民政府牵头实施。</w:t>
      </w:r>
      <w:r>
        <w:rPr>
          <w:rFonts w:eastAsia="仿宋_GB2312"/>
          <w:sz w:val="32"/>
          <w:szCs w:val="32"/>
        </w:rPr>
        <w:br w:type="textWrapping"/>
      </w:r>
      <w:r>
        <w:rPr>
          <w:rFonts w:hint="eastAsia" w:eastAsia="仿宋_GB2312"/>
          <w:sz w:val="32"/>
          <w:szCs w:val="32"/>
        </w:rPr>
        <w:t xml:space="preserve">    </w:t>
      </w:r>
      <w:r>
        <w:rPr>
          <w:rFonts w:eastAsia="方正黑体_GBK"/>
          <w:color w:val="000000"/>
          <w:kern w:val="0"/>
          <w:sz w:val="32"/>
          <w:szCs w:val="32"/>
          <w:shd w:val="clear" w:color="auto" w:fill="FFFFFF"/>
          <w:lang w:val="zh-CN"/>
        </w:rPr>
        <w:t>二、评价实施</w:t>
      </w:r>
      <w:r>
        <w:rPr>
          <w:sz w:val="32"/>
          <w:szCs w:val="32"/>
        </w:rPr>
        <w:br w:type="textWrapping"/>
      </w:r>
      <w:r>
        <w:rPr>
          <w:sz w:val="32"/>
          <w:szCs w:val="32"/>
        </w:rPr>
        <w:t xml:space="preserve">   </w:t>
      </w:r>
      <w:r>
        <w:rPr>
          <w:rFonts w:ascii="方正楷体_GBK" w:eastAsia="方正楷体_GBK"/>
          <w:b/>
          <w:sz w:val="32"/>
          <w:szCs w:val="32"/>
          <w:lang w:val="zh-CN"/>
        </w:rPr>
        <w:t xml:space="preserve"> （一）评价目的</w:t>
      </w:r>
    </w:p>
    <w:p w14:paraId="5748D6A7">
      <w:pPr>
        <w:tabs>
          <w:tab w:val="left" w:pos="1134"/>
          <w:tab w:val="left" w:pos="1276"/>
        </w:tabs>
        <w:ind w:firstLine="640" w:firstLineChars="200"/>
        <w:rPr>
          <w:rFonts w:ascii="方正楷体_GBK" w:eastAsia="方正楷体_GBK"/>
          <w:b/>
          <w:sz w:val="32"/>
          <w:szCs w:val="32"/>
          <w:lang w:val="zh-CN"/>
        </w:rPr>
      </w:pPr>
      <w:r>
        <w:rPr>
          <w:rFonts w:eastAsia="方正仿宋_GBK"/>
          <w:sz w:val="32"/>
          <w:szCs w:val="32"/>
        </w:rPr>
        <w:t>通过绩效自评，全面了解项目资金使用情况、管理执行效果及目标实现程度，为后续财政资金安排提供决策依据。</w:t>
      </w:r>
      <w:r>
        <w:rPr>
          <w:rFonts w:eastAsia="仿宋_GB2312"/>
          <w:sz w:val="32"/>
          <w:szCs w:val="32"/>
        </w:rPr>
        <w:br w:type="textWrapping"/>
      </w:r>
      <w:r>
        <w:rPr>
          <w:rFonts w:hint="eastAsia" w:ascii="方正楷体_GBK" w:eastAsia="方正楷体_GBK"/>
          <w:b/>
          <w:sz w:val="32"/>
          <w:szCs w:val="32"/>
          <w:lang w:val="zh-CN"/>
        </w:rPr>
        <w:t xml:space="preserve">    </w:t>
      </w:r>
      <w:r>
        <w:rPr>
          <w:rFonts w:ascii="方正楷体_GBK" w:eastAsia="方正楷体_GBK"/>
          <w:b/>
          <w:sz w:val="32"/>
          <w:szCs w:val="32"/>
          <w:lang w:val="zh-CN"/>
        </w:rPr>
        <w:t>（二）预设问题及评价重点</w:t>
      </w:r>
    </w:p>
    <w:p w14:paraId="2C1F0E53">
      <w:pPr>
        <w:tabs>
          <w:tab w:val="left" w:pos="1134"/>
          <w:tab w:val="left" w:pos="1276"/>
        </w:tabs>
        <w:ind w:firstLine="640" w:firstLineChars="200"/>
        <w:rPr>
          <w:rFonts w:ascii="方正楷体_GBK" w:eastAsia="方正楷体_GBK"/>
          <w:b/>
          <w:sz w:val="32"/>
          <w:szCs w:val="32"/>
          <w:lang w:val="zh-CN"/>
        </w:rPr>
      </w:pPr>
      <w:r>
        <w:rPr>
          <w:rFonts w:eastAsia="方正仿宋_GBK"/>
          <w:sz w:val="32"/>
          <w:szCs w:val="32"/>
        </w:rPr>
        <w:t>重点评价资金投入的合规性、管理的规范性、目标实现的有效性及项目带动的经济社会效益。围绕资金使用效率、项目实施成效、产业带动能力、群众满意度等方面进行综合分析。</w:t>
      </w:r>
      <w:r>
        <w:rPr>
          <w:rFonts w:eastAsia="仿宋_GB2312"/>
          <w:sz w:val="32"/>
          <w:szCs w:val="32"/>
        </w:rPr>
        <w:br w:type="textWrapping"/>
      </w:r>
      <w:r>
        <w:rPr>
          <w:rFonts w:hint="eastAsia" w:ascii="方正楷体_GBK" w:eastAsia="方正楷体_GBK"/>
          <w:b/>
          <w:sz w:val="32"/>
          <w:szCs w:val="32"/>
          <w:lang w:val="zh-CN"/>
        </w:rPr>
        <w:t xml:space="preserve">    </w:t>
      </w:r>
      <w:r>
        <w:rPr>
          <w:rFonts w:ascii="方正楷体_GBK" w:eastAsia="方正楷体_GBK"/>
          <w:b/>
          <w:sz w:val="32"/>
          <w:szCs w:val="32"/>
          <w:lang w:val="zh-CN"/>
        </w:rPr>
        <w:t>（三）评价选点</w:t>
      </w:r>
    </w:p>
    <w:p w14:paraId="04FA616D">
      <w:pPr>
        <w:tabs>
          <w:tab w:val="left" w:pos="1134"/>
          <w:tab w:val="left" w:pos="1276"/>
        </w:tabs>
        <w:ind w:firstLine="640" w:firstLineChars="200"/>
        <w:rPr>
          <w:rFonts w:ascii="方正楷体_GBK" w:eastAsia="方正楷体_GBK"/>
          <w:b/>
          <w:sz w:val="32"/>
          <w:szCs w:val="32"/>
          <w:lang w:val="zh-CN"/>
        </w:rPr>
      </w:pPr>
      <w:r>
        <w:rPr>
          <w:rFonts w:eastAsia="方正仿宋_GBK"/>
          <w:sz w:val="32"/>
          <w:szCs w:val="32"/>
        </w:rPr>
        <w:t>本项目为单体建设项目，资金集中用于庄上村农文旅融合示范基地，选取庄上村项目现场作为实地踏勘点。</w:t>
      </w:r>
      <w:r>
        <w:rPr>
          <w:rFonts w:eastAsia="仿宋_GB2312"/>
          <w:sz w:val="32"/>
          <w:szCs w:val="32"/>
        </w:rPr>
        <w:br w:type="textWrapping"/>
      </w:r>
      <w:r>
        <w:rPr>
          <w:rFonts w:hint="eastAsia" w:ascii="方正楷体_GBK" w:eastAsia="方正楷体_GBK"/>
          <w:b/>
          <w:sz w:val="32"/>
          <w:szCs w:val="32"/>
          <w:lang w:val="zh-CN"/>
        </w:rPr>
        <w:t xml:space="preserve">     </w:t>
      </w:r>
      <w:r>
        <w:rPr>
          <w:rFonts w:ascii="方正楷体_GBK" w:eastAsia="方正楷体_GBK"/>
          <w:b/>
          <w:sz w:val="32"/>
          <w:szCs w:val="32"/>
          <w:lang w:val="zh-CN"/>
        </w:rPr>
        <w:t>（四）评价方法</w:t>
      </w:r>
    </w:p>
    <w:p w14:paraId="17937A6D">
      <w:pPr>
        <w:tabs>
          <w:tab w:val="left" w:pos="1134"/>
          <w:tab w:val="left" w:pos="1276"/>
        </w:tabs>
        <w:ind w:firstLine="640" w:firstLineChars="200"/>
        <w:rPr>
          <w:rFonts w:eastAsia="方正仿宋_GBK"/>
          <w:sz w:val="32"/>
          <w:szCs w:val="32"/>
        </w:rPr>
      </w:pPr>
      <w:r>
        <w:rPr>
          <w:rFonts w:eastAsia="方正仿宋_GBK"/>
          <w:sz w:val="32"/>
          <w:szCs w:val="32"/>
        </w:rPr>
        <w:t>采用案卷研究法、实地勘察法、访谈调查法和成本效益分析法等综合方式，对项目立项、资金拨付、施工管理、经济社会效益等进行分析评价。</w:t>
      </w:r>
    </w:p>
    <w:p w14:paraId="7D630E96">
      <w:pPr>
        <w:numPr>
          <w:ilvl w:val="0"/>
          <w:numId w:val="3"/>
        </w:numPr>
        <w:tabs>
          <w:tab w:val="left" w:pos="1134"/>
          <w:tab w:val="left" w:pos="1276"/>
        </w:tabs>
        <w:ind w:firstLine="643" w:firstLineChars="200"/>
        <w:rPr>
          <w:rFonts w:ascii="方正楷体_GBK" w:eastAsia="方正楷体_GBK"/>
          <w:b/>
          <w:sz w:val="32"/>
          <w:szCs w:val="32"/>
          <w:lang w:val="zh-CN"/>
        </w:rPr>
      </w:pPr>
      <w:r>
        <w:rPr>
          <w:rFonts w:ascii="方正楷体_GBK" w:eastAsia="方正楷体_GBK"/>
          <w:b/>
          <w:sz w:val="32"/>
          <w:szCs w:val="32"/>
          <w:lang w:val="zh-CN"/>
        </w:rPr>
        <w:t>评价组织</w:t>
      </w:r>
    </w:p>
    <w:p w14:paraId="5E158CE4">
      <w:pPr>
        <w:tabs>
          <w:tab w:val="left" w:pos="1134"/>
          <w:tab w:val="left" w:pos="1276"/>
        </w:tabs>
        <w:ind w:firstLine="640" w:firstLineChars="200"/>
        <w:rPr>
          <w:rFonts w:eastAsia="方正仿宋_GBK"/>
          <w:sz w:val="32"/>
          <w:szCs w:val="32"/>
        </w:rPr>
      </w:pPr>
      <w:r>
        <w:rPr>
          <w:rFonts w:eastAsia="方正仿宋_GBK"/>
          <w:sz w:val="32"/>
          <w:szCs w:val="32"/>
        </w:rPr>
        <w:t>评价组由格里坪镇财政办、农业办及村级项目管理小组组成，明确职责分工：财政办负责资金管理核查，农业办负责施工及管护情况审查，村级项目组负责资料提供及项目现场协调。</w:t>
      </w:r>
    </w:p>
    <w:p w14:paraId="39D9BAA6">
      <w:pPr>
        <w:tabs>
          <w:tab w:val="left" w:pos="1134"/>
          <w:tab w:val="left" w:pos="1276"/>
        </w:tabs>
        <w:ind w:firstLine="640" w:firstLineChars="200"/>
        <w:rPr>
          <w:rFonts w:ascii="方正楷体_GBK" w:eastAsia="方正楷体_GBK"/>
          <w:b/>
          <w:sz w:val="32"/>
          <w:szCs w:val="32"/>
          <w:lang w:val="zh-CN"/>
        </w:rPr>
      </w:pPr>
      <w:r>
        <w:rPr>
          <w:rFonts w:hint="eastAsia" w:eastAsia="黑体"/>
          <w:kern w:val="0"/>
          <w:sz w:val="32"/>
          <w:szCs w:val="32"/>
        </w:rPr>
        <w:t xml:space="preserve"> </w:t>
      </w:r>
      <w:r>
        <w:rPr>
          <w:rFonts w:eastAsia="方正黑体_GBK"/>
          <w:color w:val="000000"/>
          <w:kern w:val="0"/>
          <w:sz w:val="32"/>
          <w:szCs w:val="32"/>
          <w:shd w:val="clear" w:color="auto" w:fill="FFFFFF"/>
          <w:lang w:val="zh-CN"/>
        </w:rPr>
        <w:t>三、绩效分析</w:t>
      </w:r>
      <w:r>
        <w:rPr>
          <w:sz w:val="32"/>
          <w:szCs w:val="32"/>
        </w:rPr>
        <w:br w:type="textWrapping"/>
      </w:r>
      <w:r>
        <w:rPr>
          <w:rFonts w:hint="eastAsia" w:ascii="方正楷体_GBK" w:eastAsia="方正楷体_GBK"/>
          <w:b/>
          <w:sz w:val="32"/>
          <w:szCs w:val="32"/>
          <w:lang w:val="zh-CN"/>
        </w:rPr>
        <w:t xml:space="preserve">   </w:t>
      </w:r>
      <w:r>
        <w:rPr>
          <w:rFonts w:ascii="方正楷体_GBK" w:eastAsia="方正楷体_GBK"/>
          <w:b/>
          <w:sz w:val="32"/>
          <w:szCs w:val="32"/>
          <w:lang w:val="zh-CN"/>
        </w:rPr>
        <w:t>（一）通用指标绩效分析</w:t>
      </w:r>
    </w:p>
    <w:p w14:paraId="159AA051">
      <w:pPr>
        <w:tabs>
          <w:tab w:val="left" w:pos="1134"/>
          <w:tab w:val="left" w:pos="1276"/>
        </w:tabs>
        <w:ind w:firstLine="640" w:firstLineChars="200"/>
        <w:rPr>
          <w:rFonts w:eastAsia="方正仿宋_GBK"/>
          <w:sz w:val="32"/>
          <w:szCs w:val="32"/>
        </w:rPr>
      </w:pPr>
      <w:r>
        <w:rPr>
          <w:rFonts w:eastAsia="方正仿宋_GBK"/>
          <w:sz w:val="32"/>
          <w:szCs w:val="32"/>
        </w:rPr>
        <w:t xml:space="preserve">1.项目决策。项目立项程序规范，符合相关规划和政策要求，论证充分，资金投向明确。  </w:t>
      </w:r>
      <w:r>
        <w:rPr>
          <w:rFonts w:eastAsia="方正仿宋_GBK"/>
          <w:sz w:val="32"/>
          <w:szCs w:val="32"/>
        </w:rPr>
        <w:br w:type="textWrapping"/>
      </w:r>
      <w:r>
        <w:rPr>
          <w:rFonts w:hint="eastAsia" w:eastAsia="方正仿宋_GBK"/>
          <w:sz w:val="32"/>
          <w:szCs w:val="32"/>
        </w:rPr>
        <w:t xml:space="preserve">    </w:t>
      </w:r>
      <w:r>
        <w:rPr>
          <w:rFonts w:eastAsia="方正仿宋_GBK"/>
          <w:sz w:val="32"/>
          <w:szCs w:val="32"/>
        </w:rPr>
        <w:t xml:space="preserve">2.项目管理。严格执行招投标和公告公示制度，建立绩效目标管理机制，资金分配透明。  </w:t>
      </w:r>
      <w:r>
        <w:rPr>
          <w:rFonts w:eastAsia="方正仿宋_GBK"/>
          <w:sz w:val="32"/>
          <w:szCs w:val="32"/>
        </w:rPr>
        <w:br w:type="textWrapping"/>
      </w:r>
      <w:r>
        <w:rPr>
          <w:rFonts w:hint="eastAsia" w:eastAsia="方正仿宋_GBK"/>
          <w:sz w:val="32"/>
          <w:szCs w:val="32"/>
        </w:rPr>
        <w:t xml:space="preserve">    </w:t>
      </w:r>
      <w:r>
        <w:rPr>
          <w:rFonts w:eastAsia="方正仿宋_GBK"/>
          <w:sz w:val="32"/>
          <w:szCs w:val="32"/>
        </w:rPr>
        <w:t xml:space="preserve">3.项目实施。项目资金执行率达100%，工程建设进度与计划一致，施工质量符合规范。  </w:t>
      </w:r>
      <w:r>
        <w:rPr>
          <w:rFonts w:eastAsia="方正仿宋_GBK"/>
          <w:sz w:val="32"/>
          <w:szCs w:val="32"/>
        </w:rPr>
        <w:br w:type="textWrapping"/>
      </w:r>
      <w:r>
        <w:rPr>
          <w:rFonts w:hint="eastAsia" w:eastAsia="方正仿宋_GBK"/>
          <w:sz w:val="32"/>
          <w:szCs w:val="32"/>
        </w:rPr>
        <w:t xml:space="preserve">    </w:t>
      </w:r>
      <w:r>
        <w:rPr>
          <w:rFonts w:eastAsia="方正仿宋_GBK"/>
          <w:sz w:val="32"/>
          <w:szCs w:val="32"/>
        </w:rPr>
        <w:t>4.完工情况。建设灌溉管道及配套设施1套、田间步道、用电及管护设施1套，安装太阳能路灯约8盏；建设民族团结进步文化展示区1处，新增民族文化彩绘1处、景观小品4个及文化介绍标识等。</w:t>
      </w:r>
      <w:r>
        <w:rPr>
          <w:rFonts w:eastAsia="仿宋_GB2312"/>
          <w:sz w:val="32"/>
          <w:szCs w:val="32"/>
        </w:rPr>
        <w:br w:type="textWrapping"/>
      </w:r>
      <w:r>
        <w:rPr>
          <w:rFonts w:hint="eastAsia" w:ascii="方正楷体_GBK" w:eastAsia="方正楷体_GBK"/>
          <w:b/>
          <w:sz w:val="32"/>
          <w:szCs w:val="32"/>
          <w:lang w:val="zh-CN"/>
        </w:rPr>
        <w:t xml:space="preserve">    </w:t>
      </w:r>
      <w:r>
        <w:rPr>
          <w:rFonts w:ascii="方正楷体_GBK" w:eastAsia="方正楷体_GBK"/>
          <w:b/>
          <w:sz w:val="32"/>
          <w:szCs w:val="32"/>
          <w:lang w:val="zh-CN"/>
        </w:rPr>
        <w:t>（二）专用指标绩效分析</w:t>
      </w:r>
      <w:r>
        <w:rPr>
          <w:rFonts w:eastAsia="仿宋_GB2312"/>
          <w:sz w:val="32"/>
          <w:szCs w:val="32"/>
        </w:rPr>
        <w:br w:type="textWrapping"/>
      </w:r>
      <w:r>
        <w:rPr>
          <w:rFonts w:hint="eastAsia" w:eastAsia="仿宋_GB2312"/>
          <w:sz w:val="32"/>
          <w:szCs w:val="32"/>
        </w:rPr>
        <w:t xml:space="preserve">    </w:t>
      </w:r>
      <w:r>
        <w:rPr>
          <w:rFonts w:eastAsia="方正仿宋_GBK"/>
          <w:sz w:val="32"/>
          <w:szCs w:val="32"/>
        </w:rPr>
        <w:t xml:space="preserve">1.产业发展。项目促进农业与旅游业融合，形成“农文旅一体”新格局，经济增长潜力明显。  </w:t>
      </w:r>
      <w:r>
        <w:rPr>
          <w:rFonts w:eastAsia="方正仿宋_GBK"/>
          <w:sz w:val="32"/>
          <w:szCs w:val="32"/>
        </w:rPr>
        <w:br w:type="textWrapping"/>
      </w:r>
      <w:r>
        <w:rPr>
          <w:rFonts w:hint="eastAsia" w:eastAsia="方正仿宋_GBK"/>
          <w:sz w:val="32"/>
          <w:szCs w:val="32"/>
        </w:rPr>
        <w:t xml:space="preserve">    </w:t>
      </w:r>
      <w:r>
        <w:rPr>
          <w:rFonts w:eastAsia="方正仿宋_GBK"/>
          <w:sz w:val="32"/>
          <w:szCs w:val="32"/>
        </w:rPr>
        <w:t>2.民生保障。项目建设提高群众出行便利度，增强文化认同感，群众满意度高</w:t>
      </w:r>
      <w:r>
        <w:rPr>
          <w:rFonts w:hint="eastAsia" w:eastAsia="方正仿宋_GBK"/>
          <w:sz w:val="32"/>
          <w:szCs w:val="32"/>
        </w:rPr>
        <w:t>。</w:t>
      </w:r>
    </w:p>
    <w:p w14:paraId="4A3DCAF6">
      <w:pPr>
        <w:tabs>
          <w:tab w:val="left" w:pos="1134"/>
          <w:tab w:val="left" w:pos="1276"/>
        </w:tabs>
        <w:ind w:firstLine="640" w:firstLineChars="200"/>
        <w:rPr>
          <w:rFonts w:eastAsia="方正仿宋_GBK"/>
          <w:sz w:val="32"/>
          <w:szCs w:val="32"/>
        </w:rPr>
      </w:pPr>
      <w:r>
        <w:rPr>
          <w:rFonts w:eastAsia="方正仿宋_GBK"/>
          <w:sz w:val="32"/>
          <w:szCs w:val="32"/>
        </w:rPr>
        <w:t>3.基础设施。工程进度良好，施工质量有保障，后续管护责任明确</w:t>
      </w:r>
      <w:r>
        <w:rPr>
          <w:rFonts w:hint="eastAsia" w:eastAsia="方正仿宋_GBK"/>
          <w:sz w:val="32"/>
          <w:szCs w:val="32"/>
        </w:rPr>
        <w:t>。</w:t>
      </w:r>
    </w:p>
    <w:p w14:paraId="23261CC6">
      <w:pPr>
        <w:tabs>
          <w:tab w:val="left" w:pos="1134"/>
          <w:tab w:val="left" w:pos="1276"/>
        </w:tabs>
        <w:ind w:firstLine="640" w:firstLineChars="200"/>
        <w:rPr>
          <w:rFonts w:ascii="方正楷体_GBK" w:eastAsia="方正楷体_GBK"/>
          <w:b/>
          <w:sz w:val="32"/>
          <w:szCs w:val="32"/>
          <w:lang w:val="zh-CN"/>
        </w:rPr>
      </w:pPr>
      <w:r>
        <w:rPr>
          <w:rFonts w:eastAsia="方正仿宋_GBK"/>
          <w:sz w:val="32"/>
          <w:szCs w:val="32"/>
        </w:rPr>
        <w:t>4.行政运转。资金管理严格，审批流程合规，执行标准统一。</w:t>
      </w:r>
      <w:r>
        <w:rPr>
          <w:rFonts w:eastAsia="仿宋_GB2312"/>
          <w:sz w:val="32"/>
          <w:szCs w:val="32"/>
        </w:rPr>
        <w:br w:type="textWrapping"/>
      </w:r>
      <w:r>
        <w:rPr>
          <w:rFonts w:hint="eastAsia" w:ascii="方正楷体_GBK" w:eastAsia="方正楷体_GBK"/>
          <w:b/>
          <w:sz w:val="32"/>
          <w:szCs w:val="32"/>
          <w:lang w:val="zh-CN"/>
        </w:rPr>
        <w:t xml:space="preserve">    </w:t>
      </w:r>
      <w:r>
        <w:rPr>
          <w:rFonts w:ascii="方正楷体_GBK" w:eastAsia="方正楷体_GBK"/>
          <w:b/>
          <w:sz w:val="32"/>
          <w:szCs w:val="32"/>
          <w:lang w:val="zh-CN"/>
        </w:rPr>
        <w:t>（三）个性指标绩效分析</w:t>
      </w:r>
    </w:p>
    <w:p w14:paraId="5CCD8437">
      <w:pPr>
        <w:tabs>
          <w:tab w:val="left" w:pos="1134"/>
          <w:tab w:val="left" w:pos="1276"/>
        </w:tabs>
        <w:ind w:firstLine="640" w:firstLineChars="200"/>
        <w:rPr>
          <w:rFonts w:eastAsia="方正黑体_GBK"/>
          <w:color w:val="000000"/>
          <w:kern w:val="0"/>
          <w:sz w:val="32"/>
          <w:szCs w:val="32"/>
          <w:shd w:val="clear" w:color="auto" w:fill="FFFFFF"/>
          <w:lang w:val="zh-CN"/>
        </w:rPr>
      </w:pPr>
      <w:r>
        <w:rPr>
          <w:rFonts w:eastAsia="方正仿宋_GBK"/>
          <w:sz w:val="32"/>
          <w:szCs w:val="32"/>
        </w:rPr>
        <w:t>项目结合庄上村民族文化特色，打造“水墨金沙·庄尚生活”品牌，创新文化展示形式，提升文化传播力和区域吸引力。</w:t>
      </w:r>
      <w:r>
        <w:rPr>
          <w:rFonts w:eastAsia="仿宋_GB2312"/>
          <w:sz w:val="32"/>
          <w:szCs w:val="32"/>
        </w:rPr>
        <w:br w:type="textWrapping"/>
      </w:r>
      <w:r>
        <w:rPr>
          <w:rFonts w:eastAsia="仿宋_GB2312"/>
          <w:sz w:val="32"/>
          <w:szCs w:val="32"/>
        </w:rPr>
        <w:t xml:space="preserve">    </w:t>
      </w:r>
      <w:r>
        <w:rPr>
          <w:rFonts w:eastAsia="方正黑体_GBK"/>
          <w:color w:val="000000"/>
          <w:kern w:val="0"/>
          <w:sz w:val="32"/>
          <w:szCs w:val="32"/>
          <w:shd w:val="clear" w:color="auto" w:fill="FFFFFF"/>
          <w:lang w:val="zh-CN"/>
        </w:rPr>
        <w:t>四、评价结论</w:t>
      </w:r>
    </w:p>
    <w:p w14:paraId="213677A1">
      <w:pPr>
        <w:tabs>
          <w:tab w:val="left" w:pos="1134"/>
          <w:tab w:val="left" w:pos="1276"/>
        </w:tabs>
        <w:ind w:firstLine="640" w:firstLineChars="200"/>
        <w:rPr>
          <w:rFonts w:eastAsia="方正仿宋_GBK"/>
          <w:sz w:val="32"/>
          <w:szCs w:val="32"/>
        </w:rPr>
      </w:pPr>
      <w:r>
        <w:rPr>
          <w:rFonts w:eastAsia="方正仿宋_GBK"/>
          <w:sz w:val="32"/>
          <w:szCs w:val="32"/>
        </w:rPr>
        <w:t>综合评分为95分，绩效等级为“优秀”。项目目标明确、管理规范、资金使用合理、实施成效显著，达到了预期经济与社会效益。项目建设有效改善了村域基础设施条件，提升了庄上村文化氛围与旅游吸引力。</w:t>
      </w:r>
    </w:p>
    <w:p w14:paraId="06559991">
      <w:pPr>
        <w:numPr>
          <w:ilvl w:val="0"/>
          <w:numId w:val="4"/>
        </w:numPr>
        <w:tabs>
          <w:tab w:val="left" w:pos="1134"/>
          <w:tab w:val="left" w:pos="1276"/>
        </w:tabs>
        <w:ind w:firstLine="640" w:firstLineChars="200"/>
        <w:rPr>
          <w:rFonts w:eastAsia="方正黑体_GBK"/>
          <w:color w:val="000000"/>
          <w:kern w:val="0"/>
          <w:sz w:val="32"/>
          <w:szCs w:val="32"/>
          <w:shd w:val="clear" w:color="auto" w:fill="FFFFFF"/>
          <w:lang w:val="zh-CN"/>
        </w:rPr>
      </w:pPr>
      <w:r>
        <w:rPr>
          <w:rFonts w:eastAsia="方正黑体_GBK"/>
          <w:color w:val="000000"/>
          <w:kern w:val="0"/>
          <w:sz w:val="32"/>
          <w:szCs w:val="32"/>
          <w:shd w:val="clear" w:color="auto" w:fill="FFFFFF"/>
          <w:lang w:val="zh-CN"/>
        </w:rPr>
        <w:t>存在主要问题</w:t>
      </w:r>
    </w:p>
    <w:p w14:paraId="66CECC1D">
      <w:pPr>
        <w:tabs>
          <w:tab w:val="left" w:pos="1134"/>
          <w:tab w:val="left" w:pos="1276"/>
        </w:tabs>
        <w:ind w:firstLine="640" w:firstLineChars="200"/>
        <w:rPr>
          <w:rFonts w:eastAsia="方正仿宋_GBK"/>
          <w:sz w:val="32"/>
          <w:szCs w:val="32"/>
        </w:rPr>
      </w:pPr>
      <w:r>
        <w:rPr>
          <w:rFonts w:eastAsia="方正仿宋_GBK"/>
          <w:sz w:val="32"/>
          <w:szCs w:val="32"/>
        </w:rPr>
        <w:t>部分项目配套设施施工周期紧，后续管护资金保障需进一步落实；文化展示内容需持续丰富，以保持项目长期吸引力。</w:t>
      </w:r>
    </w:p>
    <w:p w14:paraId="4B0D57B2">
      <w:pPr>
        <w:numPr>
          <w:ilvl w:val="0"/>
          <w:numId w:val="4"/>
        </w:numPr>
        <w:tabs>
          <w:tab w:val="left" w:pos="1134"/>
          <w:tab w:val="left" w:pos="1276"/>
        </w:tabs>
        <w:ind w:firstLine="640" w:firstLineChars="200"/>
        <w:rPr>
          <w:sz w:val="32"/>
          <w:szCs w:val="32"/>
        </w:rPr>
      </w:pPr>
      <w:r>
        <w:rPr>
          <w:rFonts w:eastAsia="方正黑体_GBK"/>
          <w:color w:val="000000"/>
          <w:kern w:val="0"/>
          <w:sz w:val="32"/>
          <w:szCs w:val="32"/>
          <w:shd w:val="clear" w:color="auto" w:fill="FFFFFF"/>
          <w:lang w:val="zh-CN"/>
        </w:rPr>
        <w:t>改进建议</w:t>
      </w:r>
    </w:p>
    <w:p w14:paraId="30D27703">
      <w:pPr>
        <w:tabs>
          <w:tab w:val="left" w:pos="1134"/>
          <w:tab w:val="left" w:pos="1276"/>
        </w:tabs>
        <w:ind w:firstLine="640" w:firstLineChars="200"/>
        <w:rPr>
          <w:sz w:val="32"/>
          <w:szCs w:val="32"/>
        </w:rPr>
      </w:pPr>
      <w:r>
        <w:rPr>
          <w:rFonts w:eastAsia="方正仿宋_GBK"/>
          <w:sz w:val="32"/>
          <w:szCs w:val="32"/>
        </w:rPr>
        <w:t>一是加强后续管护资金统筹，建立长效管护机制；二是完善项目文化展示内容，强化民族特色；三是持续开展绩效跟踪评价，确保项目长期发挥效益。</w:t>
      </w:r>
      <w:r>
        <w:rPr>
          <w:rFonts w:eastAsia="仿宋_GB2312"/>
          <w:sz w:val="32"/>
          <w:szCs w:val="32"/>
        </w:rPr>
        <w:br w:type="textWrapping"/>
      </w:r>
    </w:p>
    <w:p w14:paraId="07F34BB2">
      <w:pPr>
        <w:pStyle w:val="38"/>
        <w:spacing w:line="578" w:lineRule="exact"/>
        <w:ind w:firstLine="880" w:firstLineChars="200"/>
        <w:jc w:val="center"/>
        <w:rPr>
          <w:rFonts w:ascii="Times New Roman" w:hAnsi="Times New Roman" w:eastAsia="Arial Unicode MS"/>
          <w:color w:val="auto"/>
          <w:kern w:val="2"/>
          <w:sz w:val="44"/>
          <w:szCs w:val="44"/>
          <w:lang w:val="en-US"/>
        </w:rPr>
      </w:pPr>
    </w:p>
    <w:p w14:paraId="32349E7B">
      <w:pPr>
        <w:pStyle w:val="38"/>
        <w:spacing w:line="578" w:lineRule="exact"/>
        <w:jc w:val="center"/>
        <w:rPr>
          <w:rFonts w:ascii="Times New Roman" w:hAnsi="Times New Roman" w:eastAsia="Arial Unicode MS"/>
          <w:color w:val="FF0000"/>
          <w:kern w:val="2"/>
          <w:sz w:val="44"/>
          <w:szCs w:val="44"/>
          <w:lang w:val="en-US"/>
        </w:rPr>
      </w:pPr>
    </w:p>
    <w:p w14:paraId="7B8B3797">
      <w:pPr>
        <w:pStyle w:val="6"/>
        <w:spacing w:before="93"/>
        <w:rPr>
          <w:rFonts w:ascii="Times New Roman"/>
          <w:color w:val="FF0000"/>
          <w:sz w:val="32"/>
          <w:szCs w:val="32"/>
          <w:highlight w:val="yellow"/>
          <w:shd w:val="clear" w:color="auto" w:fill="FFFFFF"/>
          <w:lang w:val="zh-CN"/>
        </w:rPr>
      </w:pPr>
    </w:p>
    <w:p w14:paraId="625DD123">
      <w:pPr>
        <w:rPr>
          <w:rFonts w:eastAsia="黑体"/>
          <w:kern w:val="0"/>
          <w:sz w:val="32"/>
          <w:szCs w:val="32"/>
          <w:shd w:val="clear" w:color="auto" w:fill="FFFFFF"/>
          <w:lang w:val="zh-CN"/>
        </w:rPr>
      </w:pPr>
      <w:r>
        <w:rPr>
          <w:rFonts w:eastAsia="黑体"/>
          <w:kern w:val="0"/>
          <w:sz w:val="32"/>
          <w:szCs w:val="32"/>
          <w:shd w:val="clear" w:color="auto" w:fill="FFFFFF"/>
          <w:lang w:val="zh-CN"/>
        </w:rPr>
        <w:br w:type="page"/>
      </w:r>
    </w:p>
    <w:p w14:paraId="3CB8D5E4">
      <w:pPr>
        <w:spacing w:line="0" w:lineRule="atLeast"/>
        <w:jc w:val="center"/>
        <w:rPr>
          <w:rFonts w:ascii="方正小标宋_GBK" w:eastAsia="方正小标宋_GBK"/>
        </w:rPr>
      </w:pPr>
      <w:bookmarkStart w:id="54" w:name="_Toc15396618"/>
      <w:r>
        <w:rPr>
          <w:rFonts w:hint="eastAsia" w:ascii="方正小标宋_GBK" w:eastAsia="方正小标宋_GBK"/>
          <w:sz w:val="44"/>
          <w:szCs w:val="44"/>
        </w:rPr>
        <w:t>第</w:t>
      </w:r>
      <w:r>
        <w:rPr>
          <w:rStyle w:val="32"/>
          <w:rFonts w:hint="eastAsia" w:ascii="方正小标宋_GBK" w:eastAsia="方正小标宋_GBK"/>
        </w:rPr>
        <w:t>五部分 附表</w:t>
      </w:r>
      <w:bookmarkEnd w:id="51"/>
      <w:bookmarkEnd w:id="54"/>
      <w:bookmarkStart w:id="55" w:name="_Toc15396619"/>
    </w:p>
    <w:p w14:paraId="07908C0C">
      <w:pPr>
        <w:pStyle w:val="16"/>
        <w:adjustRightInd w:val="0"/>
        <w:snapToGrid w:val="0"/>
        <w:spacing w:line="560" w:lineRule="exact"/>
        <w:jc w:val="left"/>
        <w:rPr>
          <w:rFonts w:eastAsia="仿宋_GB2312"/>
          <w:sz w:val="32"/>
          <w:szCs w:val="32"/>
        </w:rPr>
      </w:pPr>
    </w:p>
    <w:p w14:paraId="15182B7E">
      <w:pPr>
        <w:ind w:left="479" w:leftChars="228"/>
        <w:rPr>
          <w:rFonts w:eastAsia="方正仿宋_GBK"/>
          <w:sz w:val="32"/>
          <w:szCs w:val="32"/>
        </w:rPr>
      </w:pPr>
      <w:r>
        <w:rPr>
          <w:rFonts w:eastAsia="方正仿宋_GBK"/>
          <w:sz w:val="32"/>
          <w:szCs w:val="32"/>
        </w:rPr>
        <w:t>一、收入支出决算总表</w:t>
      </w:r>
      <w:bookmarkEnd w:id="55"/>
    </w:p>
    <w:p w14:paraId="5EFEA33E">
      <w:pPr>
        <w:ind w:left="479" w:leftChars="228"/>
        <w:rPr>
          <w:rFonts w:eastAsia="方正仿宋_GBK"/>
          <w:sz w:val="32"/>
          <w:szCs w:val="32"/>
        </w:rPr>
      </w:pPr>
      <w:bookmarkStart w:id="56" w:name="_Toc15396620"/>
      <w:r>
        <w:rPr>
          <w:rFonts w:eastAsia="方正仿宋_GBK"/>
          <w:sz w:val="32"/>
          <w:szCs w:val="32"/>
        </w:rPr>
        <w:t>二、收入决算表</w:t>
      </w:r>
      <w:bookmarkEnd w:id="56"/>
    </w:p>
    <w:p w14:paraId="1E99B026">
      <w:pPr>
        <w:ind w:left="479" w:leftChars="228"/>
        <w:rPr>
          <w:rFonts w:eastAsia="方正仿宋_GBK"/>
          <w:sz w:val="32"/>
          <w:szCs w:val="32"/>
        </w:rPr>
      </w:pPr>
      <w:bookmarkStart w:id="57" w:name="_Toc15396621"/>
      <w:r>
        <w:rPr>
          <w:rFonts w:eastAsia="方正仿宋_GBK"/>
          <w:sz w:val="32"/>
          <w:szCs w:val="32"/>
        </w:rPr>
        <w:t>三、支出决算表</w:t>
      </w:r>
      <w:bookmarkEnd w:id="57"/>
    </w:p>
    <w:p w14:paraId="1BBC3A8E">
      <w:pPr>
        <w:ind w:left="479" w:leftChars="228"/>
        <w:rPr>
          <w:rFonts w:eastAsia="方正仿宋_GBK"/>
          <w:sz w:val="32"/>
          <w:szCs w:val="32"/>
        </w:rPr>
      </w:pPr>
      <w:bookmarkStart w:id="58" w:name="_Toc15396622"/>
      <w:r>
        <w:rPr>
          <w:rFonts w:eastAsia="方正仿宋_GBK"/>
          <w:sz w:val="32"/>
          <w:szCs w:val="32"/>
        </w:rPr>
        <w:t>四、财政拨款收入支出决算总表</w:t>
      </w:r>
      <w:bookmarkEnd w:id="58"/>
    </w:p>
    <w:p w14:paraId="3FEA2A33">
      <w:pPr>
        <w:ind w:left="479" w:leftChars="228"/>
        <w:rPr>
          <w:rFonts w:eastAsia="方正仿宋_GBK"/>
          <w:sz w:val="32"/>
          <w:szCs w:val="32"/>
        </w:rPr>
      </w:pPr>
      <w:bookmarkStart w:id="59" w:name="_Toc15396623"/>
      <w:r>
        <w:rPr>
          <w:rFonts w:eastAsia="方正仿宋_GBK"/>
          <w:sz w:val="32"/>
          <w:szCs w:val="32"/>
        </w:rPr>
        <w:t>五、财政拨款支出决算明细表</w:t>
      </w:r>
      <w:bookmarkEnd w:id="59"/>
      <w:bookmarkStart w:id="60" w:name="_Toc15396624"/>
    </w:p>
    <w:p w14:paraId="42CFFBCF">
      <w:pPr>
        <w:ind w:left="479" w:leftChars="228"/>
        <w:rPr>
          <w:rFonts w:eastAsia="方正仿宋_GBK"/>
          <w:sz w:val="32"/>
          <w:szCs w:val="32"/>
        </w:rPr>
      </w:pPr>
      <w:r>
        <w:rPr>
          <w:rFonts w:eastAsia="方正仿宋_GBK"/>
          <w:sz w:val="32"/>
          <w:szCs w:val="32"/>
        </w:rPr>
        <w:t>六、一般公共预算财政拨款支出决算表</w:t>
      </w:r>
      <w:bookmarkEnd w:id="60"/>
    </w:p>
    <w:p w14:paraId="7A4B64BC">
      <w:pPr>
        <w:ind w:left="479" w:leftChars="228"/>
        <w:rPr>
          <w:rFonts w:eastAsia="方正仿宋_GBK"/>
          <w:sz w:val="32"/>
          <w:szCs w:val="32"/>
        </w:rPr>
      </w:pPr>
      <w:bookmarkStart w:id="61" w:name="_Toc15396625"/>
      <w:r>
        <w:rPr>
          <w:rFonts w:eastAsia="方正仿宋_GBK"/>
          <w:sz w:val="32"/>
          <w:szCs w:val="32"/>
        </w:rPr>
        <w:t>七、一般公共预算财政拨款支出决算明细表</w:t>
      </w:r>
      <w:bookmarkEnd w:id="61"/>
    </w:p>
    <w:p w14:paraId="2D7BACFF">
      <w:pPr>
        <w:ind w:left="479" w:leftChars="228"/>
        <w:rPr>
          <w:rFonts w:eastAsia="方正仿宋_GBK"/>
          <w:sz w:val="32"/>
          <w:szCs w:val="32"/>
        </w:rPr>
      </w:pPr>
      <w:bookmarkStart w:id="62" w:name="_Toc15396626"/>
      <w:r>
        <w:rPr>
          <w:rFonts w:eastAsia="方正仿宋_GBK"/>
          <w:sz w:val="32"/>
          <w:szCs w:val="32"/>
        </w:rPr>
        <w:t>八、一般公共预算财政拨款基本支出决算表</w:t>
      </w:r>
      <w:bookmarkEnd w:id="62"/>
    </w:p>
    <w:p w14:paraId="56407B14">
      <w:pPr>
        <w:ind w:left="479" w:leftChars="228"/>
        <w:rPr>
          <w:rFonts w:eastAsia="方正仿宋_GBK"/>
          <w:sz w:val="32"/>
          <w:szCs w:val="32"/>
        </w:rPr>
      </w:pPr>
      <w:bookmarkStart w:id="63" w:name="_Toc15396627"/>
      <w:r>
        <w:rPr>
          <w:rFonts w:eastAsia="方正仿宋_GBK"/>
          <w:sz w:val="32"/>
          <w:szCs w:val="32"/>
        </w:rPr>
        <w:t>九、一般公共预算财政拨款项目支出决算表</w:t>
      </w:r>
      <w:bookmarkEnd w:id="63"/>
    </w:p>
    <w:p w14:paraId="69D29B4B">
      <w:pPr>
        <w:ind w:left="479" w:leftChars="228"/>
        <w:rPr>
          <w:rFonts w:eastAsia="方正仿宋_GBK"/>
          <w:sz w:val="32"/>
          <w:szCs w:val="32"/>
        </w:rPr>
      </w:pPr>
      <w:bookmarkStart w:id="64" w:name="_Toc15396628"/>
      <w:r>
        <w:rPr>
          <w:rFonts w:eastAsia="方正仿宋_GBK"/>
          <w:sz w:val="32"/>
          <w:szCs w:val="32"/>
        </w:rPr>
        <w:t>十、</w:t>
      </w:r>
      <w:bookmarkEnd w:id="64"/>
      <w:r>
        <w:rPr>
          <w:rFonts w:eastAsia="方正仿宋_GBK"/>
          <w:sz w:val="32"/>
          <w:szCs w:val="32"/>
        </w:rPr>
        <w:t>政府性基金预算财政拨款收入支出决算表</w:t>
      </w:r>
    </w:p>
    <w:p w14:paraId="05616605">
      <w:pPr>
        <w:ind w:left="479" w:leftChars="228"/>
        <w:rPr>
          <w:rFonts w:eastAsia="方正仿宋_GBK"/>
          <w:sz w:val="32"/>
          <w:szCs w:val="32"/>
        </w:rPr>
      </w:pPr>
      <w:bookmarkStart w:id="65" w:name="_Toc15396629"/>
      <w:r>
        <w:rPr>
          <w:rFonts w:eastAsia="方正仿宋_GBK"/>
          <w:sz w:val="32"/>
          <w:szCs w:val="32"/>
        </w:rPr>
        <w:t>十一、</w:t>
      </w:r>
      <w:bookmarkEnd w:id="65"/>
      <w:r>
        <w:rPr>
          <w:rFonts w:eastAsia="方正仿宋_GBK"/>
          <w:sz w:val="32"/>
          <w:szCs w:val="32"/>
        </w:rPr>
        <w:t>国有资本经营预算财政拨款收入支出决算表</w:t>
      </w:r>
    </w:p>
    <w:p w14:paraId="1E4E2C84">
      <w:pPr>
        <w:ind w:left="479" w:leftChars="228"/>
        <w:rPr>
          <w:rFonts w:eastAsia="方正仿宋_GBK"/>
          <w:sz w:val="32"/>
          <w:szCs w:val="32"/>
        </w:rPr>
      </w:pPr>
      <w:bookmarkStart w:id="66" w:name="_Toc15396630"/>
      <w:r>
        <w:rPr>
          <w:rFonts w:eastAsia="方正仿宋_GBK"/>
          <w:sz w:val="32"/>
          <w:szCs w:val="32"/>
        </w:rPr>
        <w:t>十二、</w:t>
      </w:r>
      <w:bookmarkEnd w:id="66"/>
      <w:r>
        <w:rPr>
          <w:rFonts w:eastAsia="方正仿宋_GBK"/>
          <w:sz w:val="32"/>
          <w:szCs w:val="32"/>
        </w:rPr>
        <w:t>国有资本经营预算财政拨款支出决算表</w:t>
      </w:r>
    </w:p>
    <w:p w14:paraId="623B60E5">
      <w:pPr>
        <w:ind w:left="479" w:leftChars="228"/>
        <w:rPr>
          <w:rFonts w:eastAsia="方正仿宋_GBK"/>
          <w:sz w:val="32"/>
          <w:szCs w:val="32"/>
        </w:rPr>
      </w:pPr>
      <w:bookmarkStart w:id="67" w:name="_Toc15396631"/>
      <w:r>
        <w:rPr>
          <w:rFonts w:eastAsia="方正仿宋_GBK"/>
          <w:sz w:val="32"/>
          <w:szCs w:val="32"/>
        </w:rPr>
        <w:t>十三、</w:t>
      </w:r>
      <w:bookmarkEnd w:id="67"/>
      <w:r>
        <w:rPr>
          <w:rFonts w:eastAsia="方正仿宋_GBK"/>
          <w:sz w:val="32"/>
          <w:szCs w:val="32"/>
        </w:rPr>
        <w:t>财政拨款“三公”经费支出决算表</w:t>
      </w:r>
    </w:p>
    <w:p w14:paraId="50B0458B"/>
    <w:sectPr>
      <w:footerReference r:id="rId12" w:type="first"/>
      <w:footerReference r:id="rId11"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8663E0-5F90-4531-8C19-A15C4E3195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8DB6FBD-EAD2-4406-87E7-FAFD514FC0CC}"/>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A86E86D-10AF-472D-8CA1-66CF17AEA27D}"/>
  </w:font>
  <w:font w:name="仿宋">
    <w:panose1 w:val="02010609060101010101"/>
    <w:charset w:val="86"/>
    <w:family w:val="modern"/>
    <w:pitch w:val="default"/>
    <w:sig w:usb0="800002BF" w:usb1="38CF7CFA" w:usb2="00000016" w:usb3="00000000" w:csb0="00040001" w:csb1="00000000"/>
    <w:embedRegular r:id="rId4" w:fontKey="{37822565-0710-401C-B623-131788E72BDC}"/>
  </w:font>
  <w:font w:name="Arial">
    <w:panose1 w:val="020B0604020202020204"/>
    <w:charset w:val="00"/>
    <w:family w:val="swiss"/>
    <w:pitch w:val="default"/>
    <w:sig w:usb0="E0002AFF" w:usb1="C0007843"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embedRegular r:id="rId5" w:fontKey="{560DA132-983C-43D5-AE5D-917654791B3C}"/>
  </w:font>
  <w:font w:name="方正小标宋_GBK">
    <w:panose1 w:val="03000509000000000000"/>
    <w:charset w:val="86"/>
    <w:family w:val="script"/>
    <w:pitch w:val="default"/>
    <w:sig w:usb0="00000001" w:usb1="080E0000" w:usb2="00000000" w:usb3="00000000" w:csb0="00040000" w:csb1="00000000"/>
    <w:embedRegular r:id="rId6" w:fontKey="{FD58DEDD-E5DE-4886-BFB4-FBB5630225FA}"/>
  </w:font>
  <w:font w:name="方正黑体_GBK">
    <w:panose1 w:val="03000509000000000000"/>
    <w:charset w:val="86"/>
    <w:family w:val="script"/>
    <w:pitch w:val="default"/>
    <w:sig w:usb0="00000001" w:usb1="080E0000" w:usb2="00000000" w:usb3="00000000" w:csb0="00040000" w:csb1="00000000"/>
    <w:embedRegular r:id="rId7" w:fontKey="{109F9947-890D-4B3B-B93B-5BEB542A90A5}"/>
  </w:font>
  <w:font w:name="方正仿宋_GBK">
    <w:panose1 w:val="03000509000000000000"/>
    <w:charset w:val="86"/>
    <w:family w:val="script"/>
    <w:pitch w:val="default"/>
    <w:sig w:usb0="00000001" w:usb1="080E0000" w:usb2="00000000" w:usb3="00000000" w:csb0="00040000" w:csb1="00000000"/>
    <w:embedRegular r:id="rId8" w:fontKey="{E5389877-7DC3-442A-BAF3-C3D1C3949622}"/>
  </w:font>
  <w:font w:name="方正楷体_GBK">
    <w:panose1 w:val="03000509000000000000"/>
    <w:charset w:val="86"/>
    <w:family w:val="script"/>
    <w:pitch w:val="default"/>
    <w:sig w:usb0="00000001" w:usb1="080E0000" w:usb2="00000000" w:usb3="00000000" w:csb0="00040000" w:csb1="00000000"/>
    <w:embedRegular r:id="rId9" w:fontKey="{8687F624-786A-48F2-969B-F2A31691475E}"/>
  </w:font>
  <w:font w:name="方正仿宋_GB2312">
    <w:panose1 w:val="02000000000000000000"/>
    <w:charset w:val="86"/>
    <w:family w:val="auto"/>
    <w:pitch w:val="default"/>
    <w:sig w:usb0="A00002BF" w:usb1="184F6CFA" w:usb2="00000012" w:usb3="00000000" w:csb0="00040001" w:csb1="00000000"/>
    <w:embedRegular r:id="rId10" w:fontKey="{CC417096-B557-4D97-926A-5318037D33F7}"/>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BEE7">
    <w:pPr>
      <w:pStyle w:val="12"/>
      <w:jc w:val="center"/>
    </w:pPr>
  </w:p>
  <w:p w14:paraId="3598137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6825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E397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8E5D5">
    <w:pPr>
      <w:pStyle w:val="12"/>
      <w:jc w:val="center"/>
    </w:pPr>
  </w:p>
  <w:p w14:paraId="2FAE1CD1">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D8829">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AF56C">
    <w:pPr>
      <w:pStyle w:val="12"/>
      <w:jc w:val="center"/>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4007F35D">
                <w:pPr>
                  <w:pStyle w:val="12"/>
                </w:pPr>
                <w:r>
                  <w:fldChar w:fldCharType="begin"/>
                </w:r>
                <w:r>
                  <w:instrText xml:space="preserve"> PAGE  \* MERGEFORMAT </w:instrText>
                </w:r>
                <w:r>
                  <w:fldChar w:fldCharType="separate"/>
                </w:r>
                <w:r>
                  <w:t>9</w:t>
                </w:r>
                <w:r>
                  <w:fldChar w:fldCharType="end"/>
                </w:r>
              </w:p>
            </w:txbxContent>
          </v:textbox>
        </v:shape>
      </w:pict>
    </w:r>
  </w:p>
  <w:p w14:paraId="51125FB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14F42">
    <w:pPr>
      <w:pStyle w:val="1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47EAFA68">
                <w:pPr>
                  <w:pStyle w:val="12"/>
                </w:pPr>
                <w:r>
                  <w:fldChar w:fldCharType="begin"/>
                </w:r>
                <w:r>
                  <w:instrText xml:space="preserve"> PAGE  \* MERGEFORMAT </w:instrText>
                </w:r>
                <w:r>
                  <w:fldChar w:fldCharType="separate"/>
                </w:r>
                <w:r>
                  <w:t>27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DE564">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4387">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B2B5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1A3DD"/>
    <w:multiLevelType w:val="singleLevel"/>
    <w:tmpl w:val="E411A3DD"/>
    <w:lvl w:ilvl="0" w:tentative="0">
      <w:start w:val="1"/>
      <w:numFmt w:val="chineseCounting"/>
      <w:suff w:val="nothing"/>
      <w:lvlText w:val="%1、"/>
      <w:lvlJc w:val="left"/>
      <w:rPr>
        <w:rFonts w:hint="eastAsia"/>
      </w:rPr>
    </w:lvl>
  </w:abstractNum>
  <w:abstractNum w:abstractNumId="1">
    <w:nsid w:val="236EC2A2"/>
    <w:multiLevelType w:val="singleLevel"/>
    <w:tmpl w:val="236EC2A2"/>
    <w:lvl w:ilvl="0" w:tentative="0">
      <w:start w:val="1"/>
      <w:numFmt w:val="chineseCounting"/>
      <w:suff w:val="nothing"/>
      <w:lvlText w:val="（%1）"/>
      <w:lvlJc w:val="left"/>
      <w:rPr>
        <w:rFonts w:hint="eastAsia"/>
      </w:rPr>
    </w:lvl>
  </w:abstractNum>
  <w:abstractNum w:abstractNumId="2">
    <w:nsid w:val="32A27CC9"/>
    <w:multiLevelType w:val="singleLevel"/>
    <w:tmpl w:val="32A27CC9"/>
    <w:lvl w:ilvl="0" w:tentative="0">
      <w:start w:val="5"/>
      <w:numFmt w:val="chineseCounting"/>
      <w:suff w:val="nothing"/>
      <w:lvlText w:val="%1、"/>
      <w:lvlJc w:val="left"/>
      <w:rPr>
        <w:rFonts w:hint="eastAsia"/>
      </w:rPr>
    </w:lvl>
  </w:abstractNum>
  <w:abstractNum w:abstractNumId="3">
    <w:nsid w:val="722937B1"/>
    <w:multiLevelType w:val="singleLevel"/>
    <w:tmpl w:val="722937B1"/>
    <w:lvl w:ilvl="0" w:tentative="0">
      <w:start w:val="5"/>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471"/>
    <w:rsid w:val="001D7531"/>
    <w:rsid w:val="001E737D"/>
    <w:rsid w:val="001F0592"/>
    <w:rsid w:val="001F7506"/>
    <w:rsid w:val="002006CD"/>
    <w:rsid w:val="00202B36"/>
    <w:rsid w:val="00204B7A"/>
    <w:rsid w:val="00204CDE"/>
    <w:rsid w:val="00205985"/>
    <w:rsid w:val="0021101A"/>
    <w:rsid w:val="00220536"/>
    <w:rsid w:val="00235629"/>
    <w:rsid w:val="00260C38"/>
    <w:rsid w:val="002616C0"/>
    <w:rsid w:val="00265372"/>
    <w:rsid w:val="002662AA"/>
    <w:rsid w:val="00280496"/>
    <w:rsid w:val="00294DC9"/>
    <w:rsid w:val="00295495"/>
    <w:rsid w:val="002A31DE"/>
    <w:rsid w:val="002B2613"/>
    <w:rsid w:val="002B7A4E"/>
    <w:rsid w:val="002D6D05"/>
    <w:rsid w:val="002E6328"/>
    <w:rsid w:val="002F1818"/>
    <w:rsid w:val="002F567B"/>
    <w:rsid w:val="00302D2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2A86"/>
    <w:rsid w:val="00473F31"/>
    <w:rsid w:val="0048263A"/>
    <w:rsid w:val="00487E5D"/>
    <w:rsid w:val="004A711F"/>
    <w:rsid w:val="004B199D"/>
    <w:rsid w:val="004B4690"/>
    <w:rsid w:val="004E0A2D"/>
    <w:rsid w:val="004E206B"/>
    <w:rsid w:val="004E6DF7"/>
    <w:rsid w:val="004F0FBD"/>
    <w:rsid w:val="00505A47"/>
    <w:rsid w:val="00511A40"/>
    <w:rsid w:val="00512FDA"/>
    <w:rsid w:val="00520DA0"/>
    <w:rsid w:val="00550423"/>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7797"/>
    <w:rsid w:val="006C7D86"/>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2A0E"/>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7D2C"/>
    <w:rsid w:val="0098660A"/>
    <w:rsid w:val="009931C3"/>
    <w:rsid w:val="00995D60"/>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0E2F"/>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6B53"/>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3702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A52705"/>
    <w:rsid w:val="029F7154"/>
    <w:rsid w:val="02B40E52"/>
    <w:rsid w:val="02FA082F"/>
    <w:rsid w:val="02FEBE30"/>
    <w:rsid w:val="03DB240E"/>
    <w:rsid w:val="04025BED"/>
    <w:rsid w:val="044C0C16"/>
    <w:rsid w:val="048B5BE2"/>
    <w:rsid w:val="04916F1E"/>
    <w:rsid w:val="050140F6"/>
    <w:rsid w:val="052A53FB"/>
    <w:rsid w:val="052B2F21"/>
    <w:rsid w:val="05B747B5"/>
    <w:rsid w:val="05BA50CA"/>
    <w:rsid w:val="05D67331"/>
    <w:rsid w:val="061E35DE"/>
    <w:rsid w:val="066E0107"/>
    <w:rsid w:val="068723D9"/>
    <w:rsid w:val="06A25465"/>
    <w:rsid w:val="06BA630B"/>
    <w:rsid w:val="06FA52BE"/>
    <w:rsid w:val="07434552"/>
    <w:rsid w:val="075E313A"/>
    <w:rsid w:val="07996F6E"/>
    <w:rsid w:val="07DFD8BA"/>
    <w:rsid w:val="084A7B62"/>
    <w:rsid w:val="092C1016"/>
    <w:rsid w:val="095742E5"/>
    <w:rsid w:val="09867E8F"/>
    <w:rsid w:val="098A290C"/>
    <w:rsid w:val="098D7A71"/>
    <w:rsid w:val="0A037FC9"/>
    <w:rsid w:val="0A2032A3"/>
    <w:rsid w:val="0A4D5903"/>
    <w:rsid w:val="0A6A555B"/>
    <w:rsid w:val="0A786C09"/>
    <w:rsid w:val="0B6C7DF0"/>
    <w:rsid w:val="0C4843B9"/>
    <w:rsid w:val="0CA8290A"/>
    <w:rsid w:val="0CBD33D0"/>
    <w:rsid w:val="0CFD33F5"/>
    <w:rsid w:val="0D1B1ACD"/>
    <w:rsid w:val="0D35B1ED"/>
    <w:rsid w:val="0D8E6743"/>
    <w:rsid w:val="0E254B6B"/>
    <w:rsid w:val="0E56747E"/>
    <w:rsid w:val="0F205179"/>
    <w:rsid w:val="0F474DFC"/>
    <w:rsid w:val="0F98263C"/>
    <w:rsid w:val="101860EC"/>
    <w:rsid w:val="101F47CC"/>
    <w:rsid w:val="104D01F0"/>
    <w:rsid w:val="10C055FF"/>
    <w:rsid w:val="10D601E5"/>
    <w:rsid w:val="10E50428"/>
    <w:rsid w:val="11694EBD"/>
    <w:rsid w:val="11772AA4"/>
    <w:rsid w:val="118107EC"/>
    <w:rsid w:val="11991213"/>
    <w:rsid w:val="119B1480"/>
    <w:rsid w:val="11C52008"/>
    <w:rsid w:val="11C73FD2"/>
    <w:rsid w:val="11E20E0C"/>
    <w:rsid w:val="11EC3A38"/>
    <w:rsid w:val="123C676E"/>
    <w:rsid w:val="12E24EE2"/>
    <w:rsid w:val="12F26E2C"/>
    <w:rsid w:val="13250FB0"/>
    <w:rsid w:val="13D50BC4"/>
    <w:rsid w:val="13FC4407"/>
    <w:rsid w:val="14B17F78"/>
    <w:rsid w:val="14D7452C"/>
    <w:rsid w:val="15785D0F"/>
    <w:rsid w:val="165E0673"/>
    <w:rsid w:val="168D3A3C"/>
    <w:rsid w:val="16B831D5"/>
    <w:rsid w:val="16BB723D"/>
    <w:rsid w:val="16DE1BA1"/>
    <w:rsid w:val="17E50567"/>
    <w:rsid w:val="186504BB"/>
    <w:rsid w:val="188624F1"/>
    <w:rsid w:val="189E3CDE"/>
    <w:rsid w:val="19524AC9"/>
    <w:rsid w:val="19A445FC"/>
    <w:rsid w:val="1ACE63D1"/>
    <w:rsid w:val="1B395F40"/>
    <w:rsid w:val="1BE8440E"/>
    <w:rsid w:val="1C5841A4"/>
    <w:rsid w:val="1CBA4E5F"/>
    <w:rsid w:val="1CE7377A"/>
    <w:rsid w:val="1D00136E"/>
    <w:rsid w:val="1D155CEE"/>
    <w:rsid w:val="1D1638FE"/>
    <w:rsid w:val="1D992CC6"/>
    <w:rsid w:val="1E312DEB"/>
    <w:rsid w:val="1E740ACF"/>
    <w:rsid w:val="1F1840BF"/>
    <w:rsid w:val="1F460C2C"/>
    <w:rsid w:val="1FF35744"/>
    <w:rsid w:val="1FF6BC77"/>
    <w:rsid w:val="20344F28"/>
    <w:rsid w:val="21617F9F"/>
    <w:rsid w:val="2186353C"/>
    <w:rsid w:val="21983295"/>
    <w:rsid w:val="21BF4CC5"/>
    <w:rsid w:val="222001F7"/>
    <w:rsid w:val="2234120F"/>
    <w:rsid w:val="22513B6F"/>
    <w:rsid w:val="22D24584"/>
    <w:rsid w:val="230A01C2"/>
    <w:rsid w:val="232A77CC"/>
    <w:rsid w:val="23481D6B"/>
    <w:rsid w:val="23860B96"/>
    <w:rsid w:val="240371BF"/>
    <w:rsid w:val="244F3473"/>
    <w:rsid w:val="24C97D99"/>
    <w:rsid w:val="24EB24E8"/>
    <w:rsid w:val="257302A1"/>
    <w:rsid w:val="25A718F0"/>
    <w:rsid w:val="25B61F3B"/>
    <w:rsid w:val="25BB59F6"/>
    <w:rsid w:val="25F27417"/>
    <w:rsid w:val="260F557C"/>
    <w:rsid w:val="26967EB4"/>
    <w:rsid w:val="26970054"/>
    <w:rsid w:val="26A34BB6"/>
    <w:rsid w:val="26B24DF9"/>
    <w:rsid w:val="281408E2"/>
    <w:rsid w:val="287405B8"/>
    <w:rsid w:val="29FD04D3"/>
    <w:rsid w:val="2A3224D8"/>
    <w:rsid w:val="2AAB228B"/>
    <w:rsid w:val="2ADB491E"/>
    <w:rsid w:val="2AE8528D"/>
    <w:rsid w:val="2B14398C"/>
    <w:rsid w:val="2BA32F62"/>
    <w:rsid w:val="2BBD4024"/>
    <w:rsid w:val="2BFF7BC6"/>
    <w:rsid w:val="2C8A61B5"/>
    <w:rsid w:val="2CAD22EA"/>
    <w:rsid w:val="2CBA67B5"/>
    <w:rsid w:val="2D095047"/>
    <w:rsid w:val="2D5B6915"/>
    <w:rsid w:val="2DF04E50"/>
    <w:rsid w:val="2E586DFA"/>
    <w:rsid w:val="2F040D46"/>
    <w:rsid w:val="2F544C9F"/>
    <w:rsid w:val="2F6B035B"/>
    <w:rsid w:val="2F860BD0"/>
    <w:rsid w:val="2FAE5751"/>
    <w:rsid w:val="2FB1A395"/>
    <w:rsid w:val="2FD9A7D8"/>
    <w:rsid w:val="2FDBF714"/>
    <w:rsid w:val="30073ABF"/>
    <w:rsid w:val="30766E97"/>
    <w:rsid w:val="30AB6865"/>
    <w:rsid w:val="30E16A06"/>
    <w:rsid w:val="312D1C4B"/>
    <w:rsid w:val="315F1037"/>
    <w:rsid w:val="31615451"/>
    <w:rsid w:val="318850D4"/>
    <w:rsid w:val="319F7F4E"/>
    <w:rsid w:val="32957AA8"/>
    <w:rsid w:val="32BD1EF1"/>
    <w:rsid w:val="3304709D"/>
    <w:rsid w:val="337551E4"/>
    <w:rsid w:val="33A773CB"/>
    <w:rsid w:val="349D6851"/>
    <w:rsid w:val="34B32468"/>
    <w:rsid w:val="34D96EB2"/>
    <w:rsid w:val="350E769E"/>
    <w:rsid w:val="353F3CFB"/>
    <w:rsid w:val="35536889"/>
    <w:rsid w:val="355A6D87"/>
    <w:rsid w:val="36160F00"/>
    <w:rsid w:val="36AA5135"/>
    <w:rsid w:val="36BE0DA7"/>
    <w:rsid w:val="371D23C8"/>
    <w:rsid w:val="376B6AA6"/>
    <w:rsid w:val="376D39B2"/>
    <w:rsid w:val="37E16F03"/>
    <w:rsid w:val="37F53A3B"/>
    <w:rsid w:val="37F75FEA"/>
    <w:rsid w:val="37F86F59"/>
    <w:rsid w:val="389B6C89"/>
    <w:rsid w:val="38D469F0"/>
    <w:rsid w:val="38F512A1"/>
    <w:rsid w:val="39627CCD"/>
    <w:rsid w:val="397BAF1F"/>
    <w:rsid w:val="39F257E0"/>
    <w:rsid w:val="3A347BA7"/>
    <w:rsid w:val="3AB79AF3"/>
    <w:rsid w:val="3AC21617"/>
    <w:rsid w:val="3AE834C0"/>
    <w:rsid w:val="3AF47336"/>
    <w:rsid w:val="3B005CDB"/>
    <w:rsid w:val="3B7EF35A"/>
    <w:rsid w:val="3B9FDB6C"/>
    <w:rsid w:val="3BC907C3"/>
    <w:rsid w:val="3BF5BC2F"/>
    <w:rsid w:val="3BF82E56"/>
    <w:rsid w:val="3CEBA265"/>
    <w:rsid w:val="3D98207C"/>
    <w:rsid w:val="3DAA0180"/>
    <w:rsid w:val="3DC15BF5"/>
    <w:rsid w:val="3DEE7CF3"/>
    <w:rsid w:val="3E495BEB"/>
    <w:rsid w:val="3E640EDA"/>
    <w:rsid w:val="3E6E11AD"/>
    <w:rsid w:val="3E740A63"/>
    <w:rsid w:val="3E78745D"/>
    <w:rsid w:val="3EE17838"/>
    <w:rsid w:val="3EF23B8C"/>
    <w:rsid w:val="3F4A7E6C"/>
    <w:rsid w:val="3F55381A"/>
    <w:rsid w:val="3F7F7599"/>
    <w:rsid w:val="3FF4CAE0"/>
    <w:rsid w:val="3FF7B227"/>
    <w:rsid w:val="402B1A4C"/>
    <w:rsid w:val="407707ED"/>
    <w:rsid w:val="40C559FD"/>
    <w:rsid w:val="40E65350"/>
    <w:rsid w:val="426052B1"/>
    <w:rsid w:val="42756FAE"/>
    <w:rsid w:val="42D44A08"/>
    <w:rsid w:val="43803E5D"/>
    <w:rsid w:val="43A833B4"/>
    <w:rsid w:val="440F6F8F"/>
    <w:rsid w:val="44246EDE"/>
    <w:rsid w:val="445E38E5"/>
    <w:rsid w:val="44B33DBE"/>
    <w:rsid w:val="44E268DA"/>
    <w:rsid w:val="450D13D7"/>
    <w:rsid w:val="45506656"/>
    <w:rsid w:val="4609638B"/>
    <w:rsid w:val="46827EEC"/>
    <w:rsid w:val="46DC75FC"/>
    <w:rsid w:val="4743767B"/>
    <w:rsid w:val="47462CC7"/>
    <w:rsid w:val="486A6C7A"/>
    <w:rsid w:val="495D1418"/>
    <w:rsid w:val="49AA39E1"/>
    <w:rsid w:val="49DE7B2F"/>
    <w:rsid w:val="4A183041"/>
    <w:rsid w:val="4A5B1180"/>
    <w:rsid w:val="4A627F82"/>
    <w:rsid w:val="4ADB7BCB"/>
    <w:rsid w:val="4AFF3D90"/>
    <w:rsid w:val="4B0E749A"/>
    <w:rsid w:val="4B2477C4"/>
    <w:rsid w:val="4B4F25DA"/>
    <w:rsid w:val="4B69167A"/>
    <w:rsid w:val="4BE068DB"/>
    <w:rsid w:val="4BE11211"/>
    <w:rsid w:val="4C9D5A7F"/>
    <w:rsid w:val="4CA46E0E"/>
    <w:rsid w:val="4CD60F91"/>
    <w:rsid w:val="4D40640B"/>
    <w:rsid w:val="4D577224"/>
    <w:rsid w:val="4D8929FB"/>
    <w:rsid w:val="4DBF1CEB"/>
    <w:rsid w:val="4DC60E5E"/>
    <w:rsid w:val="4DCD5EF0"/>
    <w:rsid w:val="4DF0007C"/>
    <w:rsid w:val="4EAB630A"/>
    <w:rsid w:val="4ECE2238"/>
    <w:rsid w:val="4EE71234"/>
    <w:rsid w:val="4F035942"/>
    <w:rsid w:val="4F0E056F"/>
    <w:rsid w:val="4F833267"/>
    <w:rsid w:val="4F8627FB"/>
    <w:rsid w:val="4FD26B22"/>
    <w:rsid w:val="4FE9BD67"/>
    <w:rsid w:val="4FFB052F"/>
    <w:rsid w:val="50D93410"/>
    <w:rsid w:val="50F639B0"/>
    <w:rsid w:val="514B3CFC"/>
    <w:rsid w:val="537E6D0A"/>
    <w:rsid w:val="53BB4A3D"/>
    <w:rsid w:val="53F74C96"/>
    <w:rsid w:val="5415239F"/>
    <w:rsid w:val="542645AC"/>
    <w:rsid w:val="5458228C"/>
    <w:rsid w:val="546B1FBF"/>
    <w:rsid w:val="54EF2BF0"/>
    <w:rsid w:val="550A5C7C"/>
    <w:rsid w:val="55170BA8"/>
    <w:rsid w:val="553218C9"/>
    <w:rsid w:val="567E1AA5"/>
    <w:rsid w:val="56B55774"/>
    <w:rsid w:val="56BA15D9"/>
    <w:rsid w:val="56D54068"/>
    <w:rsid w:val="56E47B74"/>
    <w:rsid w:val="57175D52"/>
    <w:rsid w:val="571E156B"/>
    <w:rsid w:val="575136EE"/>
    <w:rsid w:val="57804E94"/>
    <w:rsid w:val="57BD3DD4"/>
    <w:rsid w:val="582E57DE"/>
    <w:rsid w:val="58353010"/>
    <w:rsid w:val="58535244"/>
    <w:rsid w:val="586B6A32"/>
    <w:rsid w:val="589917F1"/>
    <w:rsid w:val="58E80082"/>
    <w:rsid w:val="598D0C2A"/>
    <w:rsid w:val="5A0E3B19"/>
    <w:rsid w:val="5AC32B55"/>
    <w:rsid w:val="5AF92295"/>
    <w:rsid w:val="5B250254"/>
    <w:rsid w:val="5BB406F0"/>
    <w:rsid w:val="5BC14BBB"/>
    <w:rsid w:val="5BDD79E6"/>
    <w:rsid w:val="5BF561CA"/>
    <w:rsid w:val="5BFF5DFC"/>
    <w:rsid w:val="5C142F3C"/>
    <w:rsid w:val="5C237623"/>
    <w:rsid w:val="5C384E7D"/>
    <w:rsid w:val="5C6A0DAE"/>
    <w:rsid w:val="5CD71FC4"/>
    <w:rsid w:val="5CF0438B"/>
    <w:rsid w:val="5D1F11B5"/>
    <w:rsid w:val="5D695134"/>
    <w:rsid w:val="5DAE1B18"/>
    <w:rsid w:val="5DC0337C"/>
    <w:rsid w:val="5DE7D9E5"/>
    <w:rsid w:val="5E1436C8"/>
    <w:rsid w:val="5EB25567"/>
    <w:rsid w:val="5ECEC941"/>
    <w:rsid w:val="5F3C1128"/>
    <w:rsid w:val="5FBE38EB"/>
    <w:rsid w:val="5FBF9FF3"/>
    <w:rsid w:val="5FCD4E2C"/>
    <w:rsid w:val="5FEF1CF6"/>
    <w:rsid w:val="5FEF394A"/>
    <w:rsid w:val="5FF67715"/>
    <w:rsid w:val="600C0AFA"/>
    <w:rsid w:val="604364E6"/>
    <w:rsid w:val="608368E3"/>
    <w:rsid w:val="620D46B6"/>
    <w:rsid w:val="624B1537"/>
    <w:rsid w:val="626562A0"/>
    <w:rsid w:val="6267026A"/>
    <w:rsid w:val="62791D4B"/>
    <w:rsid w:val="62BF3928"/>
    <w:rsid w:val="637864A7"/>
    <w:rsid w:val="63B3701E"/>
    <w:rsid w:val="63E36016"/>
    <w:rsid w:val="640970FF"/>
    <w:rsid w:val="647F5392"/>
    <w:rsid w:val="65735178"/>
    <w:rsid w:val="65E41BD1"/>
    <w:rsid w:val="65E66580"/>
    <w:rsid w:val="65FF4C5D"/>
    <w:rsid w:val="66221C95"/>
    <w:rsid w:val="664B1D71"/>
    <w:rsid w:val="664B4E8E"/>
    <w:rsid w:val="667E4A67"/>
    <w:rsid w:val="67277B67"/>
    <w:rsid w:val="679A4C3E"/>
    <w:rsid w:val="679A69EC"/>
    <w:rsid w:val="67AA3209"/>
    <w:rsid w:val="6837248C"/>
    <w:rsid w:val="683D3CDF"/>
    <w:rsid w:val="690D7691"/>
    <w:rsid w:val="698D0931"/>
    <w:rsid w:val="699F478D"/>
    <w:rsid w:val="69FC1BE0"/>
    <w:rsid w:val="6A2133F4"/>
    <w:rsid w:val="6A7FE5F3"/>
    <w:rsid w:val="6AAB0F10"/>
    <w:rsid w:val="6B053271"/>
    <w:rsid w:val="6BDD78B3"/>
    <w:rsid w:val="6C3A69EF"/>
    <w:rsid w:val="6C4A05C8"/>
    <w:rsid w:val="6C8742B8"/>
    <w:rsid w:val="6C8E0AE9"/>
    <w:rsid w:val="6D0112BB"/>
    <w:rsid w:val="6D6B4986"/>
    <w:rsid w:val="6D7D4DE5"/>
    <w:rsid w:val="6DBF5E93"/>
    <w:rsid w:val="6DDB7D5E"/>
    <w:rsid w:val="6DFF077E"/>
    <w:rsid w:val="6E661D1D"/>
    <w:rsid w:val="6E714EF0"/>
    <w:rsid w:val="6E7E3605"/>
    <w:rsid w:val="6E7FDCC7"/>
    <w:rsid w:val="6EBE3907"/>
    <w:rsid w:val="6ED6A62E"/>
    <w:rsid w:val="6EE00B15"/>
    <w:rsid w:val="6F547DC8"/>
    <w:rsid w:val="6F6FB3EB"/>
    <w:rsid w:val="6F8731EA"/>
    <w:rsid w:val="6FC0545D"/>
    <w:rsid w:val="6FCE6052"/>
    <w:rsid w:val="6FD57C00"/>
    <w:rsid w:val="6FE3114C"/>
    <w:rsid w:val="6FEF7AF1"/>
    <w:rsid w:val="6FEFFFD8"/>
    <w:rsid w:val="6FF5CC65"/>
    <w:rsid w:val="6FFB47EC"/>
    <w:rsid w:val="6FFF034A"/>
    <w:rsid w:val="70473489"/>
    <w:rsid w:val="70484440"/>
    <w:rsid w:val="708B7819"/>
    <w:rsid w:val="71211F2C"/>
    <w:rsid w:val="712A28F1"/>
    <w:rsid w:val="71397275"/>
    <w:rsid w:val="715C0E4B"/>
    <w:rsid w:val="716167CC"/>
    <w:rsid w:val="71992E7C"/>
    <w:rsid w:val="72233669"/>
    <w:rsid w:val="72734D90"/>
    <w:rsid w:val="72BF37AA"/>
    <w:rsid w:val="73160E6D"/>
    <w:rsid w:val="73320420"/>
    <w:rsid w:val="7332FE48"/>
    <w:rsid w:val="73840550"/>
    <w:rsid w:val="73AB61DA"/>
    <w:rsid w:val="73AD73D5"/>
    <w:rsid w:val="73B6EB34"/>
    <w:rsid w:val="73EF6311"/>
    <w:rsid w:val="73FA497D"/>
    <w:rsid w:val="744731E5"/>
    <w:rsid w:val="747F7695"/>
    <w:rsid w:val="74936C9D"/>
    <w:rsid w:val="74BBD01D"/>
    <w:rsid w:val="74ED5379"/>
    <w:rsid w:val="75662603"/>
    <w:rsid w:val="75DEEEC2"/>
    <w:rsid w:val="75E32345"/>
    <w:rsid w:val="765B7C8E"/>
    <w:rsid w:val="76E3355F"/>
    <w:rsid w:val="76FF5125"/>
    <w:rsid w:val="776F6FFA"/>
    <w:rsid w:val="778769C8"/>
    <w:rsid w:val="77A75DCA"/>
    <w:rsid w:val="77DC22F5"/>
    <w:rsid w:val="783E271A"/>
    <w:rsid w:val="78616DE9"/>
    <w:rsid w:val="78632E2A"/>
    <w:rsid w:val="78E875D7"/>
    <w:rsid w:val="79004B1D"/>
    <w:rsid w:val="79086DAD"/>
    <w:rsid w:val="797F0137"/>
    <w:rsid w:val="799F4335"/>
    <w:rsid w:val="79AE4579"/>
    <w:rsid w:val="79BC6C95"/>
    <w:rsid w:val="79D7FD79"/>
    <w:rsid w:val="79EE5BA4"/>
    <w:rsid w:val="7A894339"/>
    <w:rsid w:val="7AC027B5"/>
    <w:rsid w:val="7AD284E8"/>
    <w:rsid w:val="7AD63D87"/>
    <w:rsid w:val="7AFF7572"/>
    <w:rsid w:val="7B166879"/>
    <w:rsid w:val="7B6C7DFB"/>
    <w:rsid w:val="7BBFBED0"/>
    <w:rsid w:val="7BC3E394"/>
    <w:rsid w:val="7C1F350C"/>
    <w:rsid w:val="7C1F3737"/>
    <w:rsid w:val="7CBFC87B"/>
    <w:rsid w:val="7CFE0F48"/>
    <w:rsid w:val="7D272ABC"/>
    <w:rsid w:val="7D3F20B7"/>
    <w:rsid w:val="7D7EC23E"/>
    <w:rsid w:val="7DDA3B8E"/>
    <w:rsid w:val="7DE71E07"/>
    <w:rsid w:val="7E8835EA"/>
    <w:rsid w:val="7E8ADEBF"/>
    <w:rsid w:val="7EEF11D3"/>
    <w:rsid w:val="7EFE4840"/>
    <w:rsid w:val="7F0971A6"/>
    <w:rsid w:val="7F1D62E7"/>
    <w:rsid w:val="7F3F679B"/>
    <w:rsid w:val="7F4FC4EF"/>
    <w:rsid w:val="7F5E4D54"/>
    <w:rsid w:val="7F6E0135"/>
    <w:rsid w:val="7F7973D7"/>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spacing w:line="600" w:lineRule="exact"/>
      <w:ind w:firstLine="150" w:firstLineChars="150"/>
    </w:pPr>
    <w:rPr>
      <w:rFonts w:ascii="仿宋_GB2312" w:eastAsia="仿宋_GB2312"/>
      <w:sz w:val="32"/>
      <w:szCs w:val="32"/>
    </w:rPr>
  </w:style>
  <w:style w:type="paragraph" w:styleId="6">
    <w:name w:val="Body Text"/>
    <w:basedOn w:val="1"/>
    <w:next w:val="7"/>
    <w:link w:val="29"/>
    <w:qFormat/>
    <w:uiPriority w:val="99"/>
    <w:pPr>
      <w:spacing w:beforeLines="30"/>
    </w:pPr>
    <w:rPr>
      <w:rFonts w:ascii="仿宋_GB2312" w:eastAsia="仿宋_GB2312"/>
      <w:kern w:val="0"/>
      <w:sz w:val="30"/>
    </w:rPr>
  </w:style>
  <w:style w:type="paragraph" w:customStyle="1" w:styleId="7">
    <w:name w:val="样式1"/>
    <w:basedOn w:val="1"/>
    <w:qFormat/>
    <w:uiPriority w:val="0"/>
    <w:rPr>
      <w:b/>
      <w:color w:val="538135"/>
      <w:sz w:val="28"/>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paragraph" w:customStyle="1" w:styleId="21">
    <w:name w:val="正文-公1"/>
    <w:basedOn w:val="22"/>
    <w:next w:val="1"/>
    <w:qFormat/>
    <w:uiPriority w:val="0"/>
    <w:pPr>
      <w:ind w:firstLine="200" w:firstLineChars="200"/>
    </w:p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8"/>
    <w:link w:val="3"/>
    <w:qFormat/>
    <w:uiPriority w:val="9"/>
    <w:rPr>
      <w:rFonts w:ascii="Times New Roman" w:hAnsi="Times New Roman"/>
      <w:b/>
      <w:bCs/>
      <w:kern w:val="44"/>
      <w:sz w:val="44"/>
      <w:szCs w:val="44"/>
    </w:rPr>
  </w:style>
  <w:style w:type="character" w:customStyle="1" w:styleId="33">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18"/>
    <w:link w:val="11"/>
    <w:semiHidden/>
    <w:qFormat/>
    <w:uiPriority w:val="99"/>
    <w:rPr>
      <w:rFonts w:ascii="Times New Roman" w:hAnsi="Times New Roman"/>
      <w:kern w:val="2"/>
      <w:sz w:val="18"/>
      <w:szCs w:val="18"/>
    </w:rPr>
  </w:style>
  <w:style w:type="character" w:customStyle="1" w:styleId="36">
    <w:name w:val="标题 3 Char"/>
    <w:basedOn w:val="18"/>
    <w:link w:val="5"/>
    <w:qFormat/>
    <w:uiPriority w:val="9"/>
    <w:rPr>
      <w:rFonts w:ascii="Times New Roman" w:hAnsi="Times New Roman"/>
      <w:b/>
      <w:bCs/>
      <w:kern w:val="2"/>
      <w:sz w:val="32"/>
      <w:szCs w:val="32"/>
    </w:rPr>
  </w:style>
  <w:style w:type="paragraph" w:customStyle="1" w:styleId="3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常用样式（方正仿宋简）"/>
    <w:basedOn w:val="1"/>
    <w:next w:val="1"/>
    <w:qFormat/>
    <w:uiPriority w:val="0"/>
    <w:pPr>
      <w:spacing w:line="560" w:lineRule="exact"/>
      <w:ind w:firstLine="640" w:firstLineChars="200"/>
    </w:pPr>
    <w:rPr>
      <w:rFonts w:eastAsia="Arial Unicode M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24037;&#20316;\TZB\&#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TZB\&#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TZB\&#22270;&#34920;.xls"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D:\&#24037;&#20316;\TZB\&#22270;&#34920;.xls"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D:\&#24037;&#20316;\TZB\&#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4037;&#20316;\TZB\&#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4037;&#20316;\TZB\&#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mn-lt"/>
                <a:ea typeface="+mn-ea"/>
                <a:cs typeface="+mn-cs"/>
              </a:defRPr>
            </a:pPr>
            <a:r>
              <a:rPr sz="900" b="1">
                <a:solidFill>
                  <a:schemeClr val="tx1">
                    <a:lumMod val="65000"/>
                    <a:lumOff val="35000"/>
                  </a:schemeClr>
                </a:solidFill>
                <a:uFillTx/>
              </a:rPr>
              <a:t>收、支决算总计变动情况图</a:t>
            </a:r>
            <a:endParaRPr sz="900" b="1" i="0" baseline="0">
              <a:solidFill>
                <a:schemeClr val="tx1">
                  <a:lumMod val="65000"/>
                  <a:lumOff val="35000"/>
                </a:schemeClr>
              </a:solidFill>
              <a:uFillTx/>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337423312883436"/>
          <c:y val="0.258042119879657"/>
          <c:w val="0.932515337423313"/>
          <c:h val="0.624716500809998"/>
        </c:manualLayout>
      </c:layout>
      <c:barChart>
        <c:barDir val="col"/>
        <c:grouping val="clustered"/>
        <c:varyColors val="0"/>
        <c:ser>
          <c:idx val="0"/>
          <c:order val="0"/>
          <c:tx>
            <c:strRef>
              <c:f>'[图表.xls]2024'!$A$3</c:f>
              <c:strCache>
                <c:ptCount val="1"/>
                <c:pt idx="0">
                  <c:v>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'[图表.xls]2024'!$B$2:$C$2</c:f>
              <c:strCache>
                <c:ptCount val="2"/>
                <c:pt idx="0">
                  <c:v>2023年</c:v>
                </c:pt>
                <c:pt idx="1">
                  <c:v>2024年</c:v>
                </c:pt>
              </c:strCache>
            </c:strRef>
          </c:cat>
          <c:val>
            <c:numRef>
              <c:f>'[图表.xls]2024'!$B$3:$C$3</c:f>
              <c:numCache>
                <c:formatCode>General</c:formatCode>
                <c:ptCount val="2"/>
                <c:pt idx="0">
                  <c:v>305.39</c:v>
                </c:pt>
                <c:pt idx="1">
                  <c:v>340.13</c:v>
                </c:pt>
              </c:numCache>
            </c:numRef>
          </c:val>
        </c:ser>
        <c:ser>
          <c:idx val="1"/>
          <c:order val="1"/>
          <c:tx>
            <c:strRef>
              <c:f>'[图表.xls]2024'!$A$4</c:f>
              <c:strCache>
                <c:ptCount val="1"/>
                <c:pt idx="0">
                  <c:v>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'[图表.xls]2024'!$B$2:$C$2</c:f>
              <c:strCache>
                <c:ptCount val="2"/>
                <c:pt idx="0">
                  <c:v>2023年</c:v>
                </c:pt>
                <c:pt idx="1">
                  <c:v>2024年</c:v>
                </c:pt>
              </c:strCache>
            </c:strRef>
          </c:cat>
          <c:val>
            <c:numRef>
              <c:f>'[图表.xls]2024'!$B$4:$C$4</c:f>
              <c:numCache>
                <c:formatCode>General</c:formatCode>
                <c:ptCount val="2"/>
                <c:pt idx="0">
                  <c:v>305.39</c:v>
                </c:pt>
                <c:pt idx="1">
                  <c:v>340.13</c:v>
                </c:pt>
              </c:numCache>
            </c:numRef>
          </c:val>
        </c:ser>
        <c:dLbls>
          <c:showLegendKey val="0"/>
          <c:showVal val="1"/>
          <c:showCatName val="0"/>
          <c:showSerName val="0"/>
          <c:showPercent val="0"/>
          <c:showBubbleSize val="0"/>
        </c:dLbls>
        <c:gapWidth val="219"/>
        <c:overlap val="-27"/>
        <c:axId val="206687616"/>
        <c:axId val="80684160"/>
      </c:barChart>
      <c:catAx>
        <c:axId val="206687616"/>
        <c:scaling>
          <c:orientation val="minMax"/>
        </c:scaling>
        <c:delete val="0"/>
        <c:axPos val="b"/>
        <c:majorGridlines>
          <c:spPr>
            <a:ln w="6350" cap="flat" cmpd="sng" algn="ctr">
              <a:solidFill>
                <a:schemeClr val="tx1">
                  <a:lumMod val="50000"/>
                  <a:lumOff val="50000"/>
                  <a:alpha val="20000"/>
                </a:schemeClr>
              </a:solidFill>
              <a:prstDash val="solid"/>
              <a:round/>
            </a:ln>
            <a:effectLst/>
          </c:spPr>
        </c:majorGridlines>
        <c:majorTickMark val="none"/>
        <c:minorTickMark val="none"/>
        <c:tickLblPos val="nextTo"/>
        <c:spPr>
          <a:noFill/>
          <a:ln w="6350" cap="flat" cmpd="sng" algn="ctr">
            <a:solidFill>
              <a:schemeClr val="tx1">
                <a:lumMod val="15000"/>
                <a:lumOff val="85000"/>
                <a:alpha val="30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80684160"/>
        <c:crosses val="autoZero"/>
        <c:auto val="1"/>
        <c:lblAlgn val="ctr"/>
        <c:lblOffset val="100"/>
        <c:noMultiLvlLbl val="0"/>
      </c:catAx>
      <c:valAx>
        <c:axId val="8068416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6687616"/>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e66a1b-04f9-4996-8c54-92d9159d3dd5}"/>
      </c:ext>
    </c:extLst>
  </c:chart>
  <c:spPr>
    <a:solidFill>
      <a:schemeClr val="bg1"/>
    </a:solidFill>
    <a:ln w="6350" cap="flat" cmpd="sng" algn="ctr">
      <a:solidFill>
        <a:schemeClr val="tx1">
          <a:lumMod val="50000"/>
          <a:lumOff val="50000"/>
          <a:alpha val="2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900">
                <a:solidFill>
                  <a:schemeClr val="tx1">
                    <a:lumMod val="75000"/>
                    <a:lumOff val="25000"/>
                  </a:schemeClr>
                </a:solidFill>
                <a:uFillTx/>
              </a:rPr>
              <a:t>收入决算结构图</a:t>
            </a:r>
            <a:endParaRPr sz="900">
              <a:solidFill>
                <a:schemeClr val="tx1">
                  <a:lumMod val="75000"/>
                  <a:lumOff val="25000"/>
                </a:schemeClr>
              </a:solidFill>
              <a:uFillTx/>
            </a:endParaRPr>
          </a:p>
        </c:rich>
      </c:tx>
      <c:layout>
        <c:manualLayout>
          <c:xMode val="edge"/>
          <c:yMode val="edge"/>
          <c:x val="0.418421052631579"/>
          <c:y val="0.0261220612681073"/>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174542002498211"/>
                  <c:y val="-0.14967321134748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86</a:t>
                    </a:r>
                    <a:r>
                      <a:rPr lang="en-US" altLang="zh-CN"/>
                      <a:t>.45</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1</a:t>
                    </a:r>
                    <a:r>
                      <a:rPr lang="en-US" altLang="zh-CN"/>
                      <a:t>3.55</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'[图表.xls]2024'!$K$2:$K$3</c:f>
              <c:strCache>
                <c:ptCount val="2"/>
                <c:pt idx="0">
                  <c:v>一般公共预算收入</c:v>
                </c:pt>
                <c:pt idx="1">
                  <c:v>政府性基金预算收入</c:v>
                </c:pt>
              </c:strCache>
            </c:strRef>
          </c:cat>
          <c:val>
            <c:numRef>
              <c:f>'[图表.xls]2024'!$L$2:$L$3</c:f>
              <c:numCache>
                <c:formatCode>0%</c:formatCode>
                <c:ptCount val="2"/>
                <c:pt idx="0">
                  <c:v>0.86</c:v>
                </c:pt>
                <c:pt idx="1">
                  <c:v>0.14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bce2154-ee07-4a72-903f-93f7bbda175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sz="900"/>
              <a:t>支出决算</a:t>
            </a:r>
            <a:r>
              <a:rPr sz="900">
                <a:solidFill>
                  <a:schemeClr val="tx1">
                    <a:lumMod val="75000"/>
                    <a:lumOff val="25000"/>
                  </a:schemeClr>
                </a:solidFill>
                <a:uFillTx/>
              </a:rPr>
              <a:t>结构</a:t>
            </a:r>
            <a:r>
              <a:rPr sz="900"/>
              <a:t>图</a:t>
            </a:r>
            <a:endParaRPr sz="900"/>
          </a:p>
        </c:rich>
      </c:tx>
      <c:layout/>
      <c:overlay val="0"/>
      <c:spPr>
        <a:noFill/>
        <a:ln>
          <a:noFill/>
        </a:ln>
        <a:effectLst/>
      </c:spPr>
    </c:title>
    <c:autoTitleDeleted val="0"/>
    <c:plotArea>
      <c:layout>
        <c:manualLayout>
          <c:layoutTarget val="inner"/>
          <c:xMode val="edge"/>
          <c:yMode val="edge"/>
          <c:x val="0.312804316357415"/>
          <c:y val="0.278935185185185"/>
          <c:w val="0.379655217791815"/>
          <c:h val="0.667824074074075"/>
        </c:manualLayout>
      </c:layout>
      <c:pieChart>
        <c:varyColors val="1"/>
        <c:ser>
          <c:idx val="0"/>
          <c:order val="0"/>
          <c:explosion val="0"/>
          <c:dPt>
            <c:idx val="0"/>
            <c:bubble3D val="0"/>
          </c:dPt>
          <c:dPt>
            <c:idx val="1"/>
            <c:bubble3D val="0"/>
          </c:dPt>
          <c:dLbls>
            <c:dLbl>
              <c:idx val="0"/>
              <c:layout>
                <c:manualLayout>
                  <c:x val="-0.0703144157346463"/>
                  <c:y val="-0.090764504466358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70.86</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29</a:t>
                    </a:r>
                    <a:r>
                      <a:rPr lang="en-US" altLang="zh-CN"/>
                      <a:t>.14</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'[图表.xls]2024'!$A$23:$A$24</c:f>
              <c:strCache>
                <c:ptCount val="2"/>
                <c:pt idx="0">
                  <c:v>基本支出</c:v>
                </c:pt>
                <c:pt idx="1">
                  <c:v>项目支出</c:v>
                </c:pt>
              </c:strCache>
            </c:strRef>
          </c:cat>
          <c:val>
            <c:numRef>
              <c:f>'[图表.xls]2024'!$B$23:$B$24</c:f>
              <c:numCache>
                <c:formatCode>0%</c:formatCode>
                <c:ptCount val="2"/>
                <c:pt idx="0">
                  <c:v>0.71</c:v>
                </c:pt>
                <c:pt idx="1">
                  <c:v>0.29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4f984e6-c380-453b-8c43-b5e833e5113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mn-lt"/>
                <a:ea typeface="+mn-ea"/>
                <a:cs typeface="+mn-cs"/>
              </a:defRPr>
            </a:pPr>
            <a:r>
              <a:rPr sz="900" b="1">
                <a:solidFill>
                  <a:schemeClr val="tx1">
                    <a:lumMod val="65000"/>
                    <a:lumOff val="35000"/>
                  </a:schemeClr>
                </a:solidFill>
                <a:uFillTx/>
              </a:rPr>
              <a:t>财政拨款收支决算总计变动情况</a:t>
            </a:r>
            <a:endParaRPr sz="900" b="1">
              <a:solidFill>
                <a:schemeClr val="tx1">
                  <a:lumMod val="65000"/>
                  <a:lumOff val="3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'[图表.xls]2024'!$I$24</c:f>
              <c:strCache>
                <c:ptCount val="1"/>
                <c:pt idx="0">
                  <c:v>财政拨款收入总计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'[图表.xls]2024'!$J$23:$K$23</c:f>
              <c:strCache>
                <c:ptCount val="2"/>
                <c:pt idx="0">
                  <c:v>2023年</c:v>
                </c:pt>
                <c:pt idx="1">
                  <c:v>2024年</c:v>
                </c:pt>
              </c:strCache>
            </c:strRef>
          </c:cat>
          <c:val>
            <c:numRef>
              <c:f>'[图表.xls]2024'!$J$24:$K$24</c:f>
              <c:numCache>
                <c:formatCode>General</c:formatCode>
                <c:ptCount val="2"/>
                <c:pt idx="0">
                  <c:v>305.39</c:v>
                </c:pt>
                <c:pt idx="1">
                  <c:v>340.13</c:v>
                </c:pt>
              </c:numCache>
            </c:numRef>
          </c:val>
        </c:ser>
        <c:ser>
          <c:idx val="1"/>
          <c:order val="1"/>
          <c:tx>
            <c:strRef>
              <c:f>'[图表.xls]2024'!$I$25</c:f>
              <c:strCache>
                <c:ptCount val="1"/>
                <c:pt idx="0">
                  <c:v>财政拨款支出总计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'[图表.xls]2024'!$J$23:$K$23</c:f>
              <c:strCache>
                <c:ptCount val="2"/>
                <c:pt idx="0">
                  <c:v>2023年</c:v>
                </c:pt>
                <c:pt idx="1">
                  <c:v>2024年</c:v>
                </c:pt>
              </c:strCache>
            </c:strRef>
          </c:cat>
          <c:val>
            <c:numRef>
              <c:f>'[图表.xls]2024'!$J$25:$K$25</c:f>
              <c:numCache>
                <c:formatCode>General</c:formatCode>
                <c:ptCount val="2"/>
                <c:pt idx="0">
                  <c:v>305.39</c:v>
                </c:pt>
                <c:pt idx="1">
                  <c:v>340.13</c:v>
                </c:pt>
              </c:numCache>
            </c:numRef>
          </c:val>
        </c:ser>
        <c:dLbls>
          <c:showLegendKey val="0"/>
          <c:showVal val="1"/>
          <c:showCatName val="0"/>
          <c:showSerName val="0"/>
          <c:showPercent val="0"/>
          <c:showBubbleSize val="0"/>
        </c:dLbls>
        <c:gapWidth val="219"/>
        <c:overlap val="-27"/>
        <c:axId val="80769024"/>
        <c:axId val="80770560"/>
      </c:barChart>
      <c:catAx>
        <c:axId val="80769024"/>
        <c:scaling>
          <c:orientation val="minMax"/>
        </c:scaling>
        <c:delete val="0"/>
        <c:axPos val="b"/>
        <c:majorGridlines>
          <c:spPr>
            <a:ln w="6350" cap="flat" cmpd="sng" algn="ctr">
              <a:solidFill>
                <a:schemeClr val="tx1">
                  <a:lumMod val="50000"/>
                  <a:lumOff val="50000"/>
                  <a:alpha val="20000"/>
                </a:schemeClr>
              </a:solidFill>
              <a:prstDash val="solid"/>
              <a:round/>
            </a:ln>
            <a:effectLst/>
          </c:spPr>
        </c:majorGridlines>
        <c:numFmt formatCode="General" sourceLinked="1"/>
        <c:majorTickMark val="none"/>
        <c:minorTickMark val="none"/>
        <c:tickLblPos val="nextTo"/>
        <c:spPr>
          <a:noFill/>
          <a:ln w="6350" cap="flat" cmpd="sng" algn="ctr">
            <a:solidFill>
              <a:schemeClr val="tx1">
                <a:lumMod val="15000"/>
                <a:lumOff val="85000"/>
                <a:alpha val="30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80770560"/>
        <c:crosses val="autoZero"/>
        <c:auto val="1"/>
        <c:lblAlgn val="ctr"/>
        <c:lblOffset val="100"/>
        <c:noMultiLvlLbl val="0"/>
      </c:catAx>
      <c:valAx>
        <c:axId val="8077056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769024"/>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76f8d4-fa99-4dc3-b32e-9e7df0219af7}"/>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n-lt"/>
                <a:ea typeface="+mn-ea"/>
                <a:cs typeface="+mn-cs"/>
              </a:defRPr>
            </a:pPr>
            <a:r>
              <a:rPr lang="zh-CN" altLang="en-US" sz="900" b="1"/>
              <a:t>一般公共预算财政拨款支出决算变动情况</a:t>
            </a:r>
            <a:endParaRPr lang="zh-CN" altLang="en-US" sz="900" b="1"/>
          </a:p>
        </c:rich>
      </c:tx>
      <c:layout/>
      <c:overlay val="0"/>
      <c:spPr>
        <a:noFill/>
        <a:ln>
          <a:noFill/>
        </a:ln>
        <a:effectLst/>
      </c:spPr>
    </c:title>
    <c:autoTitleDeleted val="0"/>
    <c:plotArea>
      <c:layout/>
      <c:barChart>
        <c:barDir val="col"/>
        <c:grouping val="clustered"/>
        <c:varyColors val="0"/>
        <c:ser>
          <c:idx val="0"/>
          <c:order val="0"/>
          <c:tx>
            <c:strRef>
              <c:f>'[图表.xls]2024'!$A$43</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'[图表.xls]2024'!$B$42:$C$42</c:f>
              <c:strCache>
                <c:ptCount val="2"/>
                <c:pt idx="0">
                  <c:v>2023年</c:v>
                </c:pt>
                <c:pt idx="1">
                  <c:v>2024年</c:v>
                </c:pt>
              </c:strCache>
            </c:strRef>
          </c:cat>
          <c:val>
            <c:numRef>
              <c:f>'[图表.xls]2024'!$B$43:$C$43</c:f>
              <c:numCache>
                <c:formatCode>General</c:formatCode>
                <c:ptCount val="2"/>
                <c:pt idx="0">
                  <c:v>255.79</c:v>
                </c:pt>
                <c:pt idx="1">
                  <c:v>294.02</c:v>
                </c:pt>
              </c:numCache>
            </c:numRef>
          </c:val>
        </c:ser>
        <c:dLbls>
          <c:showLegendKey val="0"/>
          <c:showVal val="1"/>
          <c:showCatName val="0"/>
          <c:showSerName val="0"/>
          <c:showPercent val="0"/>
          <c:showBubbleSize val="0"/>
        </c:dLbls>
        <c:gapWidth val="219"/>
        <c:overlap val="-27"/>
        <c:axId val="206607872"/>
        <c:axId val="206609408"/>
      </c:barChart>
      <c:catAx>
        <c:axId val="206607872"/>
        <c:scaling>
          <c:orientation val="minMax"/>
        </c:scaling>
        <c:delete val="0"/>
        <c:axPos val="b"/>
        <c:majorGridlines>
          <c:spPr>
            <a:ln w="6350" cap="flat" cmpd="sng" algn="ctr">
              <a:solidFill>
                <a:schemeClr val="tx1">
                  <a:lumMod val="50000"/>
                  <a:lumOff val="50000"/>
                  <a:alpha val="20000"/>
                </a:schemeClr>
              </a:solidFill>
              <a:prstDash val="solid"/>
              <a:round/>
            </a:ln>
            <a:effectLst/>
          </c:spPr>
        </c:majorGridlines>
        <c:numFmt formatCode="General" sourceLinked="1"/>
        <c:majorTickMark val="none"/>
        <c:minorTickMark val="none"/>
        <c:tickLblPos val="nextTo"/>
        <c:spPr>
          <a:noFill/>
          <a:ln w="6350" cap="flat" cmpd="sng" algn="ctr">
            <a:solidFill>
              <a:schemeClr val="tx1">
                <a:lumMod val="15000"/>
                <a:lumOff val="85000"/>
                <a:alpha val="30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206609408"/>
        <c:crosses val="autoZero"/>
        <c:auto val="1"/>
        <c:lblAlgn val="ctr"/>
        <c:lblOffset val="100"/>
        <c:noMultiLvlLbl val="0"/>
      </c:catAx>
      <c:valAx>
        <c:axId val="20660940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6607872"/>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543fee6-05a2-4e7c-afd3-9d4abe79ae9c}"/>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900">
                <a:solidFill>
                  <a:schemeClr val="tx1">
                    <a:lumMod val="75000"/>
                    <a:lumOff val="25000"/>
                  </a:schemeClr>
                </a:solidFill>
                <a:uFillTx/>
              </a:rPr>
              <a:t>一般公共预算财政拨款支出决算结构</a:t>
            </a:r>
            <a:endParaRPr sz="900">
              <a:solidFill>
                <a:schemeClr val="tx1">
                  <a:lumMod val="75000"/>
                  <a:lumOff val="25000"/>
                </a:schemeClr>
              </a:solidFill>
              <a:uFillTx/>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'[图表.xls]2024'!$J$41:$J$45</c:f>
              <c:strCache>
                <c:ptCount val="5"/>
                <c:pt idx="0">
                  <c:v>一般公共服务支出</c:v>
                </c:pt>
                <c:pt idx="1">
                  <c:v>社会保障和就业支出</c:v>
                </c:pt>
                <c:pt idx="2">
                  <c:v>卫生健康支出</c:v>
                </c:pt>
                <c:pt idx="3">
                  <c:v>住房保障支出</c:v>
                </c:pt>
                <c:pt idx="4">
                  <c:v>农林水支出</c:v>
                </c:pt>
              </c:strCache>
            </c:strRef>
          </c:cat>
          <c:val>
            <c:numRef>
              <c:f>'[图表.xls]2024'!$K$41:$K$45</c:f>
              <c:numCache>
                <c:formatCode>0.00%</c:formatCode>
                <c:ptCount val="5"/>
                <c:pt idx="0">
                  <c:v>0.5723</c:v>
                </c:pt>
                <c:pt idx="1">
                  <c:v>0.1255</c:v>
                </c:pt>
                <c:pt idx="2">
                  <c:v>0.0744</c:v>
                </c:pt>
                <c:pt idx="3">
                  <c:v>0.0577</c:v>
                </c:pt>
                <c:pt idx="4">
                  <c:v>0.1701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a6ee0a3-8980-4b5c-9da0-522105d5b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'[图表.xls]2024'!$A$62:$A$64</c:f>
              <c:strCache>
                <c:ptCount val="3"/>
                <c:pt idx="0">
                  <c:v>因公出国（境）费支出</c:v>
                </c:pt>
                <c:pt idx="1">
                  <c:v>公务用车购置及运行维护费支出</c:v>
                </c:pt>
                <c:pt idx="2">
                  <c:v>公务接待</c:v>
                </c:pt>
              </c:strCache>
            </c:strRef>
          </c:cat>
          <c:val>
            <c:numRef>
              <c:f>'[图表.xls]2024'!$B$62:$B$64</c:f>
              <c:numCache>
                <c:formatCode>General</c:formatCode>
                <c:ptCount val="3"/>
                <c:pt idx="0">
                  <c:v>0</c:v>
                </c:pt>
                <c:pt idx="1">
                  <c:v>0</c:v>
                </c:pt>
                <c:pt idx="2">
                  <c:v>0.38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6f718a71-e9b5-4b81-9651-49e8dbc7817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多彩-04">
    <a:dk1>
      <a:srgbClr val="000000"/>
    </a:dk1>
    <a:lt1>
      <a:srgbClr val="FFFFFF"/>
    </a:lt1>
    <a:dk2>
      <a:srgbClr val="000000"/>
    </a:dk2>
    <a:lt2>
      <a:srgbClr val="FEFFFF"/>
    </a:lt2>
    <a:accent1>
      <a:srgbClr val="FFB143"/>
    </a:accent1>
    <a:accent2>
      <a:srgbClr val="FE7B48"/>
    </a:accent2>
    <a:accent3>
      <a:srgbClr val="5FB6FF"/>
    </a:accent3>
    <a:accent4>
      <a:srgbClr val="3787FF"/>
    </a:accent4>
    <a:accent5>
      <a:srgbClr val="06BB9A"/>
    </a:accent5>
    <a:accent6>
      <a:srgbClr val="8E7EF1"/>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多彩-04">
    <a:dk1>
      <a:srgbClr val="000000"/>
    </a:dk1>
    <a:lt1>
      <a:srgbClr val="FFFFFF"/>
    </a:lt1>
    <a:dk2>
      <a:srgbClr val="000000"/>
    </a:dk2>
    <a:lt2>
      <a:srgbClr val="FEFFFF"/>
    </a:lt2>
    <a:accent1>
      <a:srgbClr val="FFB143"/>
    </a:accent1>
    <a:accent2>
      <a:srgbClr val="FE7B48"/>
    </a:accent2>
    <a:accent3>
      <a:srgbClr val="5FB6FF"/>
    </a:accent3>
    <a:accent4>
      <a:srgbClr val="3787FF"/>
    </a:accent4>
    <a:accent5>
      <a:srgbClr val="06BB9A"/>
    </a:accent5>
    <a:accent6>
      <a:srgbClr val="8E7EF1"/>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多彩-04">
    <a:dk1>
      <a:srgbClr val="000000"/>
    </a:dk1>
    <a:lt1>
      <a:srgbClr val="FFFFFF"/>
    </a:lt1>
    <a:dk2>
      <a:srgbClr val="000000"/>
    </a:dk2>
    <a:lt2>
      <a:srgbClr val="FEFFFF"/>
    </a:lt2>
    <a:accent1>
      <a:srgbClr val="FFB143"/>
    </a:accent1>
    <a:accent2>
      <a:srgbClr val="FE7B48"/>
    </a:accent2>
    <a:accent3>
      <a:srgbClr val="5FB6FF"/>
    </a:accent3>
    <a:accent4>
      <a:srgbClr val="3787FF"/>
    </a:accent4>
    <a:accent5>
      <a:srgbClr val="06BB9A"/>
    </a:accent5>
    <a:accent6>
      <a:srgbClr val="8E7EF1"/>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11969</Words>
  <Characters>12749</Characters>
  <Lines>93</Lines>
  <Paragraphs>26</Paragraphs>
  <TotalTime>59</TotalTime>
  <ScaleCrop>false</ScaleCrop>
  <LinksUpToDate>false</LinksUpToDate>
  <CharactersWithSpaces>12900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2025-10-30T01:39:00Z</dcterms:created>
  <dc:creator>曹颖</dc:creator>
  <cp:lastModifiedBy>lenovo</cp:lastModifiedBy>
  <cp:lastPrinted>2025-08-06T17:34:00Z</cp:lastPrinted>
  <dcterms:modified xsi:type="dcterms:W3CDTF">2025-10-31T03:53:31Z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4444032BF10440818C06FBB728D37ECB_13</vt:lpwstr>
  </property>
  <property fmtid="{D5CDD505-2E9C-101B-9397-08002B2CF9AE}" pid="4" name="KSOTemplateDocerSaveRecord">
    <vt:lpwstr>eyJoZGlkIjoiMmY2YmUxZjk2NzRmYTg5MDQ2ZDU3YTM2YzM2MGI4ZDIiLCJ1c2VySWQiOiI1NzIwNzc5ODAifQ==</vt:lpwstr>
  </property>
</Properties>
</file>