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9D358">
      <w:pPr>
        <w:pStyle w:val="6"/>
        <w:jc w:val="both"/>
        <w:rPr>
          <w:rFonts w:hint="eastAsia" w:ascii="Times New Roman" w:hAnsi="Times New Roman" w:eastAsia="方正小标宋简体" w:cs="Times New Roman"/>
          <w:color w:val="auto"/>
          <w:kern w:val="2"/>
          <w:sz w:val="44"/>
          <w:szCs w:val="44"/>
          <w:highlight w:val="none"/>
          <w:lang w:val="en-US" w:eastAsia="zh-CN" w:bidi="ar-SA"/>
        </w:rPr>
      </w:pPr>
      <w:bookmarkStart w:id="0" w:name="_Toc15306267"/>
      <w:bookmarkStart w:id="1" w:name="_Toc15378441"/>
      <w:bookmarkStart w:id="2" w:name="_Toc15377425"/>
      <w:bookmarkStart w:id="3" w:name="_Toc15396597"/>
      <w:bookmarkStart w:id="4" w:name="_Toc15377193"/>
      <w:bookmarkStart w:id="5" w:name="_Toc15396475"/>
    </w:p>
    <w:p w14:paraId="7E5570CA">
      <w:pPr>
        <w:pStyle w:val="6"/>
        <w:jc w:val="both"/>
        <w:rPr>
          <w:rFonts w:hint="eastAsia" w:ascii="Times New Roman" w:hAnsi="Times New Roman" w:eastAsia="方正小标宋简体" w:cs="Times New Roman"/>
          <w:color w:val="auto"/>
          <w:kern w:val="2"/>
          <w:sz w:val="44"/>
          <w:szCs w:val="44"/>
          <w:highlight w:val="none"/>
          <w:lang w:val="en-US" w:eastAsia="zh-CN" w:bidi="ar-SA"/>
        </w:rPr>
      </w:pPr>
    </w:p>
    <w:p w14:paraId="59E3C05F">
      <w:pPr>
        <w:pStyle w:val="6"/>
        <w:jc w:val="both"/>
        <w:rPr>
          <w:rFonts w:hint="eastAsia" w:ascii="Times New Roman" w:hAnsi="Times New Roman" w:eastAsia="方正小标宋简体" w:cs="Times New Roman"/>
          <w:color w:val="auto"/>
          <w:kern w:val="2"/>
          <w:sz w:val="44"/>
          <w:szCs w:val="44"/>
          <w:highlight w:val="none"/>
          <w:lang w:val="en-US" w:eastAsia="zh-CN" w:bidi="ar-SA"/>
        </w:rPr>
      </w:pPr>
    </w:p>
    <w:p w14:paraId="0FBCCFC6">
      <w:pPr>
        <w:pStyle w:val="6"/>
        <w:jc w:val="both"/>
        <w:rPr>
          <w:rFonts w:hint="eastAsia" w:ascii="Times New Roman" w:hAnsi="Times New Roman" w:eastAsia="方正小标宋简体" w:cs="Times New Roman"/>
          <w:color w:val="auto"/>
          <w:kern w:val="2"/>
          <w:sz w:val="44"/>
          <w:szCs w:val="44"/>
          <w:highlight w:val="none"/>
          <w:lang w:val="en-US" w:eastAsia="zh-CN" w:bidi="ar-SA"/>
        </w:rPr>
      </w:pPr>
    </w:p>
    <w:p w14:paraId="414A2D72">
      <w:pPr>
        <w:adjustRightInd w:val="0"/>
        <w:snapToGrid w:val="0"/>
        <w:spacing w:line="360" w:lineRule="auto"/>
        <w:jc w:val="center"/>
        <w:outlineLvl w:val="0"/>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p>
    <w:p w14:paraId="63B30EA4">
      <w:pPr>
        <w:adjustRightInd w:val="0"/>
        <w:snapToGrid w:val="0"/>
        <w:spacing w:line="360" w:lineRule="auto"/>
        <w:jc w:val="center"/>
        <w:outlineLvl w:val="0"/>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四川省攀枝花市西区人民代表大会</w:t>
      </w:r>
    </w:p>
    <w:p w14:paraId="0B74AF5B">
      <w:pPr>
        <w:adjustRightInd w:val="0"/>
        <w:snapToGrid w:val="0"/>
        <w:spacing w:line="360" w:lineRule="auto"/>
        <w:jc w:val="center"/>
        <w:outlineLvl w:val="0"/>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常务委员会办公室单位决算</w:t>
      </w:r>
    </w:p>
    <w:p w14:paraId="1002ED96">
      <w:pPr>
        <w:adjustRightInd w:val="0"/>
        <w:snapToGrid w:val="0"/>
        <w:spacing w:line="360" w:lineRule="auto"/>
        <w:jc w:val="center"/>
        <w:outlineLvl w:val="0"/>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公开</w:t>
      </w:r>
      <w:r>
        <w:rPr>
          <w:rFonts w:hint="eastAsia" w:eastAsia="方正小标宋简体" w:cs="Times New Roman"/>
          <w:color w:val="auto"/>
          <w:kern w:val="2"/>
          <w:sz w:val="44"/>
          <w:szCs w:val="44"/>
          <w:highlight w:val="none"/>
          <w:lang w:val="en-US" w:eastAsia="zh-CN" w:bidi="ar-SA"/>
        </w:rPr>
        <w:t>编制</w:t>
      </w:r>
      <w:r>
        <w:rPr>
          <w:rFonts w:hint="eastAsia" w:ascii="Times New Roman" w:hAnsi="Times New Roman" w:eastAsia="方正小标宋简体" w:cs="Times New Roman"/>
          <w:color w:val="auto"/>
          <w:kern w:val="2"/>
          <w:sz w:val="44"/>
          <w:szCs w:val="44"/>
          <w:highlight w:val="none"/>
          <w:lang w:val="en-US" w:eastAsia="zh-CN" w:bidi="ar-SA"/>
        </w:rPr>
        <w:t>说明</w:t>
      </w:r>
    </w:p>
    <w:p w14:paraId="5D2817D6">
      <w:pPr>
        <w:pStyle w:val="6"/>
        <w:jc w:val="both"/>
        <w:rPr>
          <w:rFonts w:hint="eastAsia" w:ascii="Times New Roman" w:hAnsi="Times New Roman" w:eastAsia="方正小标宋简体" w:cs="Times New Roman"/>
          <w:color w:val="auto"/>
          <w:kern w:val="2"/>
          <w:sz w:val="44"/>
          <w:szCs w:val="44"/>
          <w:highlight w:val="none"/>
          <w:lang w:val="en-US" w:eastAsia="zh-CN" w:bidi="ar-SA"/>
        </w:rPr>
      </w:pPr>
    </w:p>
    <w:p w14:paraId="1076A2F9">
      <w:pPr>
        <w:pStyle w:val="6"/>
        <w:jc w:val="both"/>
        <w:rPr>
          <w:rFonts w:hint="eastAsia" w:ascii="Times New Roman" w:hAnsi="Times New Roman" w:eastAsia="方正小标宋简体" w:cs="Times New Roman"/>
          <w:color w:val="auto"/>
          <w:kern w:val="2"/>
          <w:sz w:val="44"/>
          <w:szCs w:val="44"/>
          <w:highlight w:val="none"/>
          <w:lang w:val="en-US" w:eastAsia="zh-CN" w:bidi="ar-SA"/>
        </w:rPr>
      </w:pPr>
    </w:p>
    <w:p w14:paraId="2DE6E562">
      <w:pPr>
        <w:pStyle w:val="6"/>
        <w:jc w:val="both"/>
        <w:rPr>
          <w:rFonts w:hint="eastAsia" w:ascii="Times New Roman" w:hAnsi="Times New Roman" w:eastAsia="方正小标宋简体" w:cs="Times New Roman"/>
          <w:color w:val="auto"/>
          <w:kern w:val="2"/>
          <w:sz w:val="44"/>
          <w:szCs w:val="44"/>
          <w:highlight w:val="none"/>
          <w:lang w:val="en-US" w:eastAsia="zh-CN" w:bidi="ar-SA"/>
        </w:rPr>
      </w:pPr>
    </w:p>
    <w:p w14:paraId="681D4F9E">
      <w:pPr>
        <w:pStyle w:val="6"/>
        <w:jc w:val="both"/>
        <w:rPr>
          <w:rFonts w:hint="eastAsia" w:ascii="Times New Roman" w:hAnsi="Times New Roman" w:eastAsia="方正小标宋简体" w:cs="Times New Roman"/>
          <w:color w:val="auto"/>
          <w:kern w:val="2"/>
          <w:sz w:val="44"/>
          <w:szCs w:val="44"/>
          <w:highlight w:val="none"/>
          <w:lang w:val="en-US" w:eastAsia="zh-CN" w:bidi="ar-SA"/>
        </w:rPr>
      </w:pPr>
    </w:p>
    <w:p w14:paraId="491542AB">
      <w:pPr>
        <w:pStyle w:val="6"/>
        <w:jc w:val="both"/>
        <w:rPr>
          <w:rFonts w:hint="eastAsia" w:ascii="Times New Roman" w:hAnsi="Times New Roman" w:eastAsia="方正小标宋简体" w:cs="Times New Roman"/>
          <w:color w:val="auto"/>
          <w:kern w:val="2"/>
          <w:sz w:val="44"/>
          <w:szCs w:val="44"/>
          <w:highlight w:val="none"/>
          <w:lang w:val="en-US" w:eastAsia="zh-CN" w:bidi="ar-SA"/>
        </w:rPr>
      </w:pPr>
    </w:p>
    <w:p w14:paraId="22A54B29">
      <w:pPr>
        <w:pStyle w:val="6"/>
        <w:jc w:val="both"/>
        <w:rPr>
          <w:rFonts w:hint="eastAsia" w:ascii="Times New Roman" w:hAnsi="Times New Roman" w:eastAsia="方正小标宋简体" w:cs="Times New Roman"/>
          <w:color w:val="auto"/>
          <w:kern w:val="2"/>
          <w:sz w:val="44"/>
          <w:szCs w:val="44"/>
          <w:highlight w:val="none"/>
          <w:lang w:val="en-US" w:eastAsia="zh-CN" w:bidi="ar-SA"/>
        </w:rPr>
      </w:pPr>
    </w:p>
    <w:p w14:paraId="53509EE2">
      <w:pPr>
        <w:pStyle w:val="6"/>
        <w:jc w:val="both"/>
        <w:rPr>
          <w:rFonts w:hint="eastAsia" w:ascii="Times New Roman" w:hAnsi="Times New Roman" w:eastAsia="方正小标宋简体" w:cs="Times New Roman"/>
          <w:color w:val="auto"/>
          <w:kern w:val="2"/>
          <w:sz w:val="44"/>
          <w:szCs w:val="44"/>
          <w:highlight w:val="none"/>
          <w:lang w:val="en-US" w:eastAsia="zh-CN" w:bidi="ar-SA"/>
        </w:rPr>
      </w:pPr>
    </w:p>
    <w:p w14:paraId="7C49ED1E">
      <w:pPr>
        <w:pStyle w:val="6"/>
        <w:jc w:val="both"/>
        <w:rPr>
          <w:rFonts w:hint="eastAsia" w:ascii="Times New Roman" w:hAnsi="Times New Roman" w:eastAsia="方正小标宋简体" w:cs="Times New Roman"/>
          <w:color w:val="auto"/>
          <w:kern w:val="2"/>
          <w:sz w:val="44"/>
          <w:szCs w:val="44"/>
          <w:highlight w:val="none"/>
          <w:lang w:val="en-US" w:eastAsia="zh-CN" w:bidi="ar-SA"/>
        </w:rPr>
      </w:pPr>
    </w:p>
    <w:p w14:paraId="64C4921A">
      <w:pPr>
        <w:pStyle w:val="6"/>
        <w:jc w:val="both"/>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14:paraId="17E46B6E">
      <w:pPr>
        <w:widowControl/>
        <w:jc w:val="center"/>
        <w:rPr>
          <w:rFonts w:ascii="黑体" w:hAnsi="黑体" w:eastAsia="黑体"/>
          <w:sz w:val="48"/>
          <w:szCs w:val="48"/>
        </w:rPr>
      </w:pPr>
      <w:r>
        <w:rPr>
          <w:rFonts w:ascii="Times New Roman" w:hAnsi="Times New Roman" w:eastAsia="方正小标宋简体"/>
          <w:color w:val="auto"/>
          <w:sz w:val="36"/>
          <w:szCs w:val="36"/>
          <w:highlight w:val="none"/>
        </w:rPr>
        <w:br w:type="page"/>
      </w:r>
      <w:r>
        <w:rPr>
          <w:rFonts w:hint="eastAsia" w:ascii="黑体" w:hAnsi="黑体" w:eastAsia="黑体"/>
          <w:sz w:val="48"/>
          <w:szCs w:val="48"/>
        </w:rPr>
        <w:t>目录</w:t>
      </w:r>
    </w:p>
    <w:p w14:paraId="1B30DC24">
      <w:pPr>
        <w:widowControl/>
        <w:jc w:val="center"/>
        <w:rPr>
          <w:rFonts w:ascii="黑体" w:hAnsi="黑体" w:eastAsia="黑体" w:cstheme="minorBidi"/>
          <w:sz w:val="28"/>
          <w:szCs w:val="28"/>
        </w:rPr>
      </w:pPr>
    </w:p>
    <w:p w14:paraId="6141432A">
      <w:pPr>
        <w:pStyle w:val="13"/>
      </w:pPr>
      <w:r>
        <w:rPr>
          <w:rFonts w:hint="eastAsia" w:ascii="Times New Roman" w:hAnsi="Times New Roman" w:eastAsia="仿宋_GB2312" w:cs="仿宋_GB2312"/>
          <w:color w:val="auto"/>
          <w:kern w:val="2"/>
          <w:sz w:val="32"/>
          <w:szCs w:val="32"/>
          <w:highlight w:val="none"/>
          <w:lang w:val="en-US" w:eastAsia="zh-CN" w:bidi="ar-SA"/>
        </w:rPr>
        <w:t>公开时间：2025年10月30日</w:t>
      </w:r>
    </w:p>
    <w:p w14:paraId="28C53A07"/>
    <w:p w14:paraId="52E37F5C">
      <w:pPr>
        <w:pStyle w:val="13"/>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eastAsia" w:eastAsia="仿宋" w:cstheme="minorBidi"/>
          <w:sz w:val="32"/>
          <w:szCs w:val="32"/>
          <w:lang w:val="en-US" w:eastAsia="zh-CN"/>
        </w:rPr>
      </w:pPr>
      <w:r>
        <w:rPr>
          <w:rFonts w:hint="eastAsia" w:ascii="黑体" w:hAnsi="黑体" w:eastAsia="黑体" w:cs="黑体"/>
          <w:sz w:val="32"/>
          <w:szCs w:val="32"/>
        </w:rPr>
        <w:t>第一部分 单位概况</w:t>
      </w:r>
      <w:r>
        <w:rPr>
          <w:rFonts w:cstheme="minorBidi"/>
          <w:sz w:val="32"/>
          <w:szCs w:val="32"/>
        </w:rPr>
        <w:tab/>
      </w:r>
      <w:r>
        <w:rPr>
          <w:rFonts w:hint="eastAsia" w:ascii="Times New Roman" w:hAnsi="Times New Roman" w:eastAsia="仿宋_GB2312" w:cs="仿宋_GB2312"/>
          <w:color w:val="auto"/>
          <w:kern w:val="2"/>
          <w:sz w:val="32"/>
          <w:szCs w:val="32"/>
          <w:highlight w:val="none"/>
          <w:lang w:val="en-US" w:eastAsia="zh-CN" w:bidi="ar-SA"/>
        </w:rPr>
        <w:t>4</w:t>
      </w:r>
    </w:p>
    <w:p w14:paraId="429BC3A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一、主要职责</w:t>
      </w:r>
      <w:r>
        <w:rPr>
          <w:rFonts w:hint="eastAsia" w:ascii="Times New Roman" w:hAnsi="Times New Roman" w:eastAsia="仿宋_GB2312" w:cs="仿宋_GB2312"/>
          <w:color w:val="auto"/>
          <w:sz w:val="32"/>
          <w:szCs w:val="32"/>
          <w:highlight w:val="none"/>
          <w:lang w:eastAsia="zh-CN"/>
        </w:rPr>
        <w:tab/>
      </w:r>
      <w:r>
        <w:rPr>
          <w:rFonts w:hint="eastAsia" w:eastAsia="仿宋_GB2312" w:cs="仿宋_GB2312"/>
          <w:color w:val="auto"/>
          <w:sz w:val="32"/>
          <w:szCs w:val="32"/>
          <w:highlight w:val="none"/>
          <w:lang w:val="en-US" w:eastAsia="zh-CN"/>
        </w:rPr>
        <w:t>4</w:t>
      </w:r>
    </w:p>
    <w:p w14:paraId="6978714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eastAsia="宋体"/>
          <w:sz w:val="32"/>
          <w:szCs w:val="32"/>
          <w:lang w:val="en-US" w:eastAsia="zh-CN"/>
        </w:rPr>
      </w:pPr>
      <w:r>
        <w:rPr>
          <w:rFonts w:hint="eastAsia" w:ascii="Times New Roman" w:hAnsi="Times New Roman" w:eastAsia="仿宋_GB2312" w:cs="仿宋_GB2312"/>
          <w:color w:val="auto"/>
          <w:sz w:val="32"/>
          <w:szCs w:val="32"/>
          <w:highlight w:val="none"/>
          <w:lang w:eastAsia="zh-CN"/>
        </w:rPr>
        <w:t>二、机构设置</w:t>
      </w:r>
      <w:r>
        <w:rPr>
          <w:rFonts w:cstheme="minorBidi"/>
          <w:sz w:val="32"/>
          <w:szCs w:val="32"/>
        </w:rPr>
        <w:tab/>
      </w:r>
      <w:r>
        <w:rPr>
          <w:rFonts w:hint="eastAsia" w:eastAsia="仿宋_GB2312" w:cs="仿宋_GB2312"/>
          <w:color w:val="auto"/>
          <w:kern w:val="2"/>
          <w:sz w:val="32"/>
          <w:szCs w:val="32"/>
          <w:highlight w:val="none"/>
          <w:lang w:val="en-US" w:eastAsia="zh-CN" w:bidi="ar-SA"/>
        </w:rPr>
        <w:t>5</w:t>
      </w:r>
    </w:p>
    <w:p w14:paraId="3DE50312">
      <w:pPr>
        <w:pStyle w:val="13"/>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hint="eastAsia" w:eastAsia="仿宋"/>
          <w:sz w:val="32"/>
          <w:szCs w:val="32"/>
          <w:lang w:val="en-US" w:eastAsia="zh-CN"/>
        </w:rPr>
      </w:pPr>
      <w:r>
        <w:rPr>
          <w:rFonts w:hint="eastAsia" w:ascii="黑体" w:hAnsi="黑体" w:eastAsia="黑体" w:cs="黑体"/>
          <w:sz w:val="32"/>
          <w:szCs w:val="32"/>
        </w:rPr>
        <w:t>第二部分 202</w:t>
      </w:r>
      <w:r>
        <w:rPr>
          <w:rFonts w:hint="eastAsia" w:ascii="黑体" w:hAnsi="黑体" w:eastAsia="黑体" w:cs="黑体"/>
          <w:sz w:val="32"/>
          <w:szCs w:val="32"/>
          <w:lang w:val="en-US" w:eastAsia="zh-CN"/>
        </w:rPr>
        <w:t>4</w:t>
      </w:r>
      <w:r>
        <w:rPr>
          <w:rFonts w:hint="eastAsia" w:ascii="黑体" w:hAnsi="黑体" w:eastAsia="黑体" w:cs="黑体"/>
          <w:sz w:val="32"/>
          <w:szCs w:val="32"/>
        </w:rPr>
        <w:t>年度单位决算情况说明</w:t>
      </w:r>
      <w:r>
        <w:rPr>
          <w:rFonts w:cstheme="minorBidi"/>
          <w:sz w:val="32"/>
          <w:szCs w:val="32"/>
        </w:rPr>
        <w:tab/>
      </w:r>
      <w:r>
        <w:rPr>
          <w:rFonts w:hint="eastAsia" w:ascii="Times New Roman" w:hAnsi="Times New Roman" w:eastAsia="仿宋_GB2312" w:cs="仿宋_GB2312"/>
          <w:color w:val="auto"/>
          <w:kern w:val="2"/>
          <w:sz w:val="32"/>
          <w:szCs w:val="32"/>
          <w:highlight w:val="none"/>
          <w:lang w:val="en-US" w:eastAsia="zh-CN" w:bidi="ar-SA"/>
        </w:rPr>
        <w:t>6</w:t>
      </w:r>
    </w:p>
    <w:p w14:paraId="67ECF0A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一、收入支出决算总体情况说明</w:t>
      </w:r>
      <w:r>
        <w:rPr>
          <w:rFonts w:hint="eastAsia" w:ascii="Times New Roman" w:hAnsi="Times New Roman" w:eastAsia="仿宋_GB2312" w:cs="仿宋_GB2312"/>
          <w:color w:val="auto"/>
          <w:sz w:val="32"/>
          <w:szCs w:val="32"/>
          <w:highlight w:val="none"/>
          <w:lang w:eastAsia="zh-CN"/>
        </w:rPr>
        <w:tab/>
      </w:r>
      <w:r>
        <w:rPr>
          <w:rFonts w:hint="eastAsia" w:eastAsia="仿宋_GB2312" w:cs="仿宋_GB2312"/>
          <w:color w:val="auto"/>
          <w:sz w:val="32"/>
          <w:szCs w:val="32"/>
          <w:highlight w:val="none"/>
          <w:lang w:val="en-US" w:eastAsia="zh-CN"/>
        </w:rPr>
        <w:t>6</w:t>
      </w:r>
    </w:p>
    <w:p w14:paraId="4BC875E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二、收入决算情况说明</w:t>
      </w:r>
      <w:r>
        <w:rPr>
          <w:rFonts w:hint="eastAsia" w:ascii="Times New Roman" w:hAnsi="Times New Roman" w:eastAsia="仿宋_GB2312" w:cs="仿宋_GB2312"/>
          <w:color w:val="auto"/>
          <w:sz w:val="32"/>
          <w:szCs w:val="32"/>
          <w:highlight w:val="none"/>
          <w:lang w:eastAsia="zh-CN"/>
        </w:rPr>
        <w:tab/>
      </w:r>
      <w:r>
        <w:rPr>
          <w:rFonts w:hint="eastAsia" w:eastAsia="仿宋_GB2312" w:cs="仿宋_GB2312"/>
          <w:color w:val="auto"/>
          <w:sz w:val="32"/>
          <w:szCs w:val="32"/>
          <w:highlight w:val="none"/>
          <w:lang w:val="en-US" w:eastAsia="zh-CN"/>
        </w:rPr>
        <w:t>6</w:t>
      </w:r>
    </w:p>
    <w:p w14:paraId="60231CE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三、支出决算情况说明</w:t>
      </w:r>
      <w:r>
        <w:rPr>
          <w:rFonts w:hint="eastAsia" w:ascii="Times New Roman" w:hAnsi="Times New Roman" w:eastAsia="仿宋_GB2312" w:cs="仿宋_GB2312"/>
          <w:color w:val="auto"/>
          <w:sz w:val="32"/>
          <w:szCs w:val="32"/>
          <w:highlight w:val="none"/>
          <w:lang w:eastAsia="zh-CN"/>
        </w:rPr>
        <w:tab/>
      </w:r>
      <w:r>
        <w:rPr>
          <w:rFonts w:hint="eastAsia" w:eastAsia="仿宋_GB2312" w:cs="仿宋_GB2312"/>
          <w:color w:val="auto"/>
          <w:sz w:val="32"/>
          <w:szCs w:val="32"/>
          <w:highlight w:val="none"/>
          <w:lang w:val="en-US" w:eastAsia="zh-CN"/>
        </w:rPr>
        <w:t>7</w:t>
      </w:r>
    </w:p>
    <w:p w14:paraId="342CE75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四、财政拨款收入支出决算总体情况说明</w:t>
      </w:r>
      <w:r>
        <w:rPr>
          <w:rFonts w:hint="eastAsia" w:ascii="Times New Roman" w:hAnsi="Times New Roman" w:eastAsia="仿宋_GB2312" w:cs="仿宋_GB2312"/>
          <w:color w:val="auto"/>
          <w:sz w:val="32"/>
          <w:szCs w:val="32"/>
          <w:highlight w:val="none"/>
          <w:lang w:eastAsia="zh-CN"/>
        </w:rPr>
        <w:tab/>
      </w:r>
      <w:r>
        <w:rPr>
          <w:rFonts w:hint="eastAsia" w:eastAsia="仿宋_GB2312" w:cs="仿宋_GB2312"/>
          <w:color w:val="auto"/>
          <w:sz w:val="32"/>
          <w:szCs w:val="32"/>
          <w:highlight w:val="none"/>
          <w:lang w:val="en-US" w:eastAsia="zh-CN"/>
        </w:rPr>
        <w:t>7</w:t>
      </w:r>
    </w:p>
    <w:p w14:paraId="0EBB9F7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五、一般公共预算财政拨款支出决算情况说明</w:t>
      </w:r>
      <w:r>
        <w:rPr>
          <w:rFonts w:hint="eastAsia" w:ascii="Times New Roman" w:hAnsi="Times New Roman" w:eastAsia="仿宋_GB2312" w:cs="仿宋_GB2312"/>
          <w:color w:val="auto"/>
          <w:sz w:val="32"/>
          <w:szCs w:val="32"/>
          <w:highlight w:val="none"/>
          <w:lang w:eastAsia="zh-CN"/>
        </w:rPr>
        <w:tab/>
      </w:r>
      <w:r>
        <w:rPr>
          <w:rFonts w:hint="eastAsia" w:eastAsia="仿宋_GB2312" w:cs="仿宋_GB2312"/>
          <w:color w:val="auto"/>
          <w:sz w:val="32"/>
          <w:szCs w:val="32"/>
          <w:highlight w:val="none"/>
          <w:lang w:val="en-US" w:eastAsia="zh-CN"/>
        </w:rPr>
        <w:t>8</w:t>
      </w:r>
    </w:p>
    <w:p w14:paraId="22CC183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六、一般公共预算财政拨款基本支出决算情况说明</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val="en-US" w:eastAsia="zh-CN"/>
        </w:rPr>
        <w:t>1</w:t>
      </w:r>
      <w:r>
        <w:rPr>
          <w:rFonts w:hint="eastAsia" w:eastAsia="仿宋_GB2312" w:cs="仿宋_GB2312"/>
          <w:color w:val="auto"/>
          <w:sz w:val="32"/>
          <w:szCs w:val="32"/>
          <w:highlight w:val="none"/>
          <w:lang w:val="en-US" w:eastAsia="zh-CN"/>
        </w:rPr>
        <w:t>0</w:t>
      </w:r>
    </w:p>
    <w:p w14:paraId="7F6A527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七、财政拨款“三公”经费支出决算情况说明</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val="en-US" w:eastAsia="zh-CN"/>
        </w:rPr>
        <w:t>1</w:t>
      </w:r>
      <w:r>
        <w:rPr>
          <w:rFonts w:hint="eastAsia" w:eastAsia="仿宋_GB2312" w:cs="仿宋_GB2312"/>
          <w:color w:val="auto"/>
          <w:sz w:val="32"/>
          <w:szCs w:val="32"/>
          <w:highlight w:val="none"/>
          <w:lang w:val="en-US" w:eastAsia="zh-CN"/>
        </w:rPr>
        <w:t>0</w:t>
      </w:r>
    </w:p>
    <w:p w14:paraId="764556E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八、政府性基金预算支出决算情况说明</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val="en-US" w:eastAsia="zh-CN"/>
        </w:rPr>
        <w:t>1</w:t>
      </w:r>
      <w:r>
        <w:rPr>
          <w:rFonts w:hint="eastAsia" w:eastAsia="仿宋_GB2312" w:cs="仿宋_GB2312"/>
          <w:color w:val="auto"/>
          <w:sz w:val="32"/>
          <w:szCs w:val="32"/>
          <w:highlight w:val="none"/>
          <w:lang w:val="en-US" w:eastAsia="zh-CN"/>
        </w:rPr>
        <w:t>2</w:t>
      </w:r>
    </w:p>
    <w:p w14:paraId="7055A77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九、国有资本经营预算支出决算情况说明</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val="en-US" w:eastAsia="zh-CN"/>
        </w:rPr>
        <w:t>1</w:t>
      </w:r>
      <w:r>
        <w:rPr>
          <w:rFonts w:hint="eastAsia" w:eastAsia="仿宋_GB2312" w:cs="仿宋_GB2312"/>
          <w:color w:val="auto"/>
          <w:sz w:val="32"/>
          <w:szCs w:val="32"/>
          <w:highlight w:val="none"/>
          <w:lang w:val="en-US" w:eastAsia="zh-CN"/>
        </w:rPr>
        <w:t>2</w:t>
      </w:r>
    </w:p>
    <w:p w14:paraId="2FF52B8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十、其他重要事项的情况说明</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val="en-US" w:eastAsia="zh-CN"/>
        </w:rPr>
        <w:t>1</w:t>
      </w:r>
      <w:r>
        <w:rPr>
          <w:rFonts w:hint="eastAsia" w:eastAsia="仿宋_GB2312" w:cs="仿宋_GB2312"/>
          <w:color w:val="auto"/>
          <w:sz w:val="32"/>
          <w:szCs w:val="32"/>
          <w:highlight w:val="none"/>
          <w:lang w:val="en-US" w:eastAsia="zh-CN"/>
        </w:rPr>
        <w:t>2</w:t>
      </w:r>
    </w:p>
    <w:p w14:paraId="16310E2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第三部分 名词解释</w:t>
      </w:r>
      <w:r>
        <w:rPr>
          <w:rFonts w:hint="eastAsia" w:ascii="黑体" w:hAnsi="黑体" w:eastAsia="黑体" w:cs="黑体"/>
          <w:kern w:val="2"/>
          <w:sz w:val="32"/>
          <w:szCs w:val="32"/>
          <w:lang w:val="en-US" w:eastAsia="zh-CN" w:bidi="ar-SA"/>
        </w:rPr>
        <w:tab/>
      </w:r>
      <w:r>
        <w:rPr>
          <w:rFonts w:hint="eastAsia" w:ascii="黑体" w:hAnsi="黑体" w:eastAsia="黑体" w:cs="黑体"/>
          <w:kern w:val="2"/>
          <w:sz w:val="32"/>
          <w:szCs w:val="32"/>
          <w:lang w:val="en-US" w:eastAsia="zh-CN" w:bidi="ar-SA"/>
        </w:rPr>
        <w:t>15</w:t>
      </w:r>
    </w:p>
    <w:p w14:paraId="12C538C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第四部分 附件</w:t>
      </w:r>
      <w:r>
        <w:rPr>
          <w:rFonts w:hint="eastAsia" w:ascii="黑体" w:hAnsi="黑体" w:eastAsia="黑体" w:cs="黑体"/>
          <w:kern w:val="2"/>
          <w:sz w:val="32"/>
          <w:szCs w:val="32"/>
          <w:lang w:val="en-US" w:eastAsia="zh-CN" w:bidi="ar-SA"/>
        </w:rPr>
        <w:tab/>
      </w:r>
      <w:r>
        <w:rPr>
          <w:rFonts w:hint="eastAsia" w:ascii="黑体" w:hAnsi="黑体" w:eastAsia="黑体" w:cs="黑体"/>
          <w:kern w:val="2"/>
          <w:sz w:val="32"/>
          <w:szCs w:val="32"/>
          <w:lang w:val="en-US" w:eastAsia="zh-CN" w:bidi="ar-SA"/>
        </w:rPr>
        <w:t>18</w:t>
      </w:r>
    </w:p>
    <w:p w14:paraId="43CD0BB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黑体" w:hAnsi="黑体" w:eastAsia="黑体" w:cs="黑体"/>
          <w:kern w:val="2"/>
          <w:sz w:val="32"/>
          <w:szCs w:val="32"/>
          <w:lang w:val="en-US" w:eastAsia="zh-CN" w:bidi="ar-SA"/>
        </w:rPr>
        <w:t>第五部分 附表</w:t>
      </w:r>
      <w:r>
        <w:rPr>
          <w:rFonts w:hint="eastAsia" w:ascii="黑体" w:hAnsi="黑体" w:eastAsia="黑体" w:cs="黑体"/>
          <w:kern w:val="2"/>
          <w:sz w:val="32"/>
          <w:szCs w:val="32"/>
          <w:lang w:val="en-US" w:eastAsia="zh-CN" w:bidi="ar-SA"/>
        </w:rPr>
        <w:tab/>
      </w:r>
      <w:r>
        <w:rPr>
          <w:rFonts w:hint="eastAsia" w:ascii="黑体" w:hAnsi="黑体" w:eastAsia="黑体" w:cs="黑体"/>
          <w:kern w:val="2"/>
          <w:sz w:val="32"/>
          <w:szCs w:val="32"/>
          <w:lang w:val="en-US" w:eastAsia="zh-CN" w:bidi="ar-SA"/>
        </w:rPr>
        <w:t>19</w:t>
      </w:r>
    </w:p>
    <w:p w14:paraId="1EEB82F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一、收入支出决算总表</w:t>
      </w:r>
      <w:r>
        <w:rPr>
          <w:rFonts w:hint="eastAsia" w:ascii="Times New Roman" w:hAnsi="Times New Roman" w:eastAsia="仿宋_GB2312" w:cs="仿宋_GB2312"/>
          <w:color w:val="auto"/>
          <w:sz w:val="32"/>
          <w:szCs w:val="32"/>
          <w:highlight w:val="none"/>
          <w:lang w:eastAsia="zh-CN"/>
        </w:rPr>
        <w:tab/>
      </w:r>
      <w:r>
        <w:rPr>
          <w:rFonts w:hint="eastAsia" w:ascii="黑体" w:hAnsi="黑体" w:eastAsia="黑体" w:cs="黑体"/>
          <w:kern w:val="2"/>
          <w:sz w:val="32"/>
          <w:szCs w:val="32"/>
          <w:lang w:val="en-US" w:eastAsia="zh-CN" w:bidi="ar-SA"/>
        </w:rPr>
        <w:t>19</w:t>
      </w:r>
    </w:p>
    <w:p w14:paraId="296CA12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二、收入决算表</w:t>
      </w:r>
      <w:r>
        <w:rPr>
          <w:rFonts w:hint="eastAsia" w:ascii="Times New Roman" w:hAnsi="Times New Roman" w:eastAsia="仿宋_GB2312" w:cs="仿宋_GB2312"/>
          <w:color w:val="auto"/>
          <w:sz w:val="32"/>
          <w:szCs w:val="32"/>
          <w:highlight w:val="none"/>
          <w:lang w:eastAsia="zh-CN"/>
        </w:rPr>
        <w:tab/>
      </w:r>
      <w:r>
        <w:rPr>
          <w:rFonts w:hint="eastAsia" w:ascii="黑体" w:hAnsi="黑体" w:eastAsia="黑体" w:cs="黑体"/>
          <w:kern w:val="2"/>
          <w:sz w:val="32"/>
          <w:szCs w:val="32"/>
          <w:lang w:val="en-US" w:eastAsia="zh-CN" w:bidi="ar-SA"/>
        </w:rPr>
        <w:t>19</w:t>
      </w:r>
    </w:p>
    <w:p w14:paraId="3AE222D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三、支出决算表</w:t>
      </w:r>
      <w:r>
        <w:rPr>
          <w:rFonts w:hint="eastAsia" w:ascii="Times New Roman" w:hAnsi="Times New Roman" w:eastAsia="仿宋_GB2312" w:cs="仿宋_GB2312"/>
          <w:color w:val="auto"/>
          <w:sz w:val="32"/>
          <w:szCs w:val="32"/>
          <w:highlight w:val="none"/>
          <w:lang w:eastAsia="zh-CN"/>
        </w:rPr>
        <w:tab/>
      </w:r>
      <w:r>
        <w:rPr>
          <w:rFonts w:hint="eastAsia" w:ascii="黑体" w:hAnsi="黑体" w:eastAsia="黑体" w:cs="黑体"/>
          <w:kern w:val="2"/>
          <w:sz w:val="32"/>
          <w:szCs w:val="32"/>
          <w:lang w:val="en-US" w:eastAsia="zh-CN" w:bidi="ar-SA"/>
        </w:rPr>
        <w:t>19</w:t>
      </w:r>
    </w:p>
    <w:p w14:paraId="41B106F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四、财政拨款收入支出决算总表</w:t>
      </w:r>
      <w:r>
        <w:rPr>
          <w:rFonts w:hint="eastAsia" w:ascii="Times New Roman" w:hAnsi="Times New Roman" w:eastAsia="仿宋_GB2312" w:cs="仿宋_GB2312"/>
          <w:color w:val="auto"/>
          <w:sz w:val="32"/>
          <w:szCs w:val="32"/>
          <w:highlight w:val="none"/>
          <w:lang w:eastAsia="zh-CN"/>
        </w:rPr>
        <w:tab/>
      </w:r>
      <w:r>
        <w:rPr>
          <w:rFonts w:hint="eastAsia" w:ascii="黑体" w:hAnsi="黑体" w:eastAsia="黑体" w:cs="黑体"/>
          <w:kern w:val="2"/>
          <w:sz w:val="32"/>
          <w:szCs w:val="32"/>
          <w:lang w:val="en-US" w:eastAsia="zh-CN" w:bidi="ar-SA"/>
        </w:rPr>
        <w:t>19</w:t>
      </w:r>
    </w:p>
    <w:p w14:paraId="4834D05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五、财政拨款支出决算明细表</w:t>
      </w:r>
      <w:r>
        <w:rPr>
          <w:rFonts w:hint="eastAsia" w:ascii="Times New Roman" w:hAnsi="Times New Roman" w:eastAsia="仿宋_GB2312" w:cs="仿宋_GB2312"/>
          <w:color w:val="auto"/>
          <w:sz w:val="32"/>
          <w:szCs w:val="32"/>
          <w:highlight w:val="none"/>
          <w:lang w:eastAsia="zh-CN"/>
        </w:rPr>
        <w:tab/>
      </w:r>
      <w:r>
        <w:rPr>
          <w:rFonts w:hint="eastAsia" w:ascii="黑体" w:hAnsi="黑体" w:eastAsia="黑体" w:cs="黑体"/>
          <w:kern w:val="2"/>
          <w:sz w:val="32"/>
          <w:szCs w:val="32"/>
          <w:lang w:val="en-US" w:eastAsia="zh-CN" w:bidi="ar-SA"/>
        </w:rPr>
        <w:t>19</w:t>
      </w:r>
    </w:p>
    <w:p w14:paraId="654630C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六、一般公共预算财政拨款支出决算表</w:t>
      </w:r>
      <w:r>
        <w:rPr>
          <w:rFonts w:hint="eastAsia" w:ascii="Times New Roman" w:hAnsi="Times New Roman" w:eastAsia="仿宋_GB2312" w:cs="仿宋_GB2312"/>
          <w:color w:val="auto"/>
          <w:sz w:val="32"/>
          <w:szCs w:val="32"/>
          <w:highlight w:val="none"/>
          <w:lang w:eastAsia="zh-CN"/>
        </w:rPr>
        <w:tab/>
      </w:r>
      <w:r>
        <w:rPr>
          <w:rFonts w:hint="eastAsia" w:ascii="黑体" w:hAnsi="黑体" w:eastAsia="黑体" w:cs="黑体"/>
          <w:kern w:val="2"/>
          <w:sz w:val="32"/>
          <w:szCs w:val="32"/>
          <w:lang w:val="en-US" w:eastAsia="zh-CN" w:bidi="ar-SA"/>
        </w:rPr>
        <w:t>19</w:t>
      </w:r>
    </w:p>
    <w:p w14:paraId="0D9D2D9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七、一般公共预算财政拨款支出决算明细表</w:t>
      </w:r>
      <w:r>
        <w:rPr>
          <w:rFonts w:hint="eastAsia" w:ascii="Times New Roman" w:hAnsi="Times New Roman" w:eastAsia="仿宋_GB2312" w:cs="仿宋_GB2312"/>
          <w:color w:val="auto"/>
          <w:sz w:val="32"/>
          <w:szCs w:val="32"/>
          <w:highlight w:val="none"/>
          <w:lang w:eastAsia="zh-CN"/>
        </w:rPr>
        <w:tab/>
      </w:r>
      <w:r>
        <w:rPr>
          <w:rFonts w:hint="eastAsia" w:ascii="黑体" w:hAnsi="黑体" w:eastAsia="黑体" w:cs="黑体"/>
          <w:kern w:val="2"/>
          <w:sz w:val="32"/>
          <w:szCs w:val="32"/>
          <w:lang w:val="en-US" w:eastAsia="zh-CN" w:bidi="ar-SA"/>
        </w:rPr>
        <w:t>19</w:t>
      </w:r>
    </w:p>
    <w:p w14:paraId="26B0BC4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八、一般公共预算财政拨款基本支出决算明细表</w:t>
      </w:r>
      <w:r>
        <w:rPr>
          <w:rFonts w:hint="eastAsia" w:ascii="Times New Roman" w:hAnsi="Times New Roman" w:eastAsia="仿宋_GB2312" w:cs="仿宋_GB2312"/>
          <w:color w:val="auto"/>
          <w:sz w:val="32"/>
          <w:szCs w:val="32"/>
          <w:highlight w:val="none"/>
          <w:lang w:eastAsia="zh-CN"/>
        </w:rPr>
        <w:tab/>
      </w:r>
      <w:r>
        <w:rPr>
          <w:rFonts w:hint="eastAsia" w:ascii="黑体" w:hAnsi="黑体" w:eastAsia="黑体" w:cs="黑体"/>
          <w:kern w:val="2"/>
          <w:sz w:val="32"/>
          <w:szCs w:val="32"/>
          <w:lang w:val="en-US" w:eastAsia="zh-CN" w:bidi="ar-SA"/>
        </w:rPr>
        <w:t>19</w:t>
      </w:r>
    </w:p>
    <w:p w14:paraId="6B0B759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九、一般公共预算财政拨款项目支出决算表</w:t>
      </w:r>
      <w:r>
        <w:rPr>
          <w:rFonts w:hint="eastAsia" w:ascii="Times New Roman" w:hAnsi="Times New Roman" w:eastAsia="仿宋_GB2312" w:cs="仿宋_GB2312"/>
          <w:color w:val="auto"/>
          <w:sz w:val="32"/>
          <w:szCs w:val="32"/>
          <w:highlight w:val="none"/>
          <w:lang w:eastAsia="zh-CN"/>
        </w:rPr>
        <w:tab/>
      </w:r>
      <w:r>
        <w:rPr>
          <w:rFonts w:hint="eastAsia" w:ascii="黑体" w:hAnsi="黑体" w:eastAsia="黑体" w:cs="黑体"/>
          <w:kern w:val="2"/>
          <w:sz w:val="32"/>
          <w:szCs w:val="32"/>
          <w:lang w:val="en-US" w:eastAsia="zh-CN" w:bidi="ar-SA"/>
        </w:rPr>
        <w:t>19</w:t>
      </w:r>
    </w:p>
    <w:p w14:paraId="4620F96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十、政府性基金预算财政拨款收入支出决算表</w:t>
      </w:r>
      <w:r>
        <w:rPr>
          <w:rFonts w:hint="eastAsia" w:ascii="Times New Roman" w:hAnsi="Times New Roman" w:eastAsia="仿宋_GB2312" w:cs="仿宋_GB2312"/>
          <w:color w:val="auto"/>
          <w:sz w:val="32"/>
          <w:szCs w:val="32"/>
          <w:highlight w:val="none"/>
          <w:lang w:eastAsia="zh-CN"/>
        </w:rPr>
        <w:tab/>
      </w:r>
      <w:r>
        <w:rPr>
          <w:rFonts w:hint="eastAsia" w:ascii="黑体" w:hAnsi="黑体" w:eastAsia="黑体" w:cs="黑体"/>
          <w:kern w:val="2"/>
          <w:sz w:val="32"/>
          <w:szCs w:val="32"/>
          <w:lang w:val="en-US" w:eastAsia="zh-CN" w:bidi="ar-SA"/>
        </w:rPr>
        <w:t>19</w:t>
      </w:r>
    </w:p>
    <w:p w14:paraId="223D0D2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十一、国有资本经营预算财政拨款收入支出决算表</w:t>
      </w:r>
      <w:r>
        <w:rPr>
          <w:rFonts w:hint="eastAsia" w:ascii="Times New Roman" w:hAnsi="Times New Roman" w:eastAsia="仿宋_GB2312" w:cs="仿宋_GB2312"/>
          <w:color w:val="auto"/>
          <w:sz w:val="32"/>
          <w:szCs w:val="32"/>
          <w:highlight w:val="none"/>
          <w:lang w:eastAsia="zh-CN"/>
        </w:rPr>
        <w:tab/>
      </w:r>
      <w:r>
        <w:rPr>
          <w:rFonts w:hint="eastAsia" w:ascii="黑体" w:hAnsi="黑体" w:eastAsia="黑体" w:cs="黑体"/>
          <w:kern w:val="2"/>
          <w:sz w:val="32"/>
          <w:szCs w:val="32"/>
          <w:lang w:val="en-US" w:eastAsia="zh-CN" w:bidi="ar-SA"/>
        </w:rPr>
        <w:t>19</w:t>
      </w:r>
    </w:p>
    <w:p w14:paraId="5F9C8F5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十二、国有资本经营预算财政拨款支出决算表</w:t>
      </w:r>
      <w:r>
        <w:rPr>
          <w:rFonts w:hint="eastAsia" w:ascii="Times New Roman" w:hAnsi="Times New Roman" w:eastAsia="仿宋_GB2312" w:cs="仿宋_GB2312"/>
          <w:color w:val="auto"/>
          <w:sz w:val="32"/>
          <w:szCs w:val="32"/>
          <w:highlight w:val="none"/>
          <w:lang w:eastAsia="zh-CN"/>
        </w:rPr>
        <w:tab/>
      </w:r>
      <w:r>
        <w:rPr>
          <w:rFonts w:hint="eastAsia" w:ascii="黑体" w:hAnsi="黑体" w:eastAsia="黑体" w:cs="黑体"/>
          <w:kern w:val="2"/>
          <w:sz w:val="32"/>
          <w:szCs w:val="32"/>
          <w:lang w:val="en-US" w:eastAsia="zh-CN" w:bidi="ar-SA"/>
        </w:rPr>
        <w:t>19</w:t>
      </w:r>
    </w:p>
    <w:p w14:paraId="177DF74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十三、财政拨款“三公”经费支出决算表</w:t>
      </w:r>
      <w:r>
        <w:rPr>
          <w:rFonts w:hint="eastAsia" w:ascii="Times New Roman" w:hAnsi="Times New Roman" w:eastAsia="仿宋_GB2312" w:cs="仿宋_GB2312"/>
          <w:color w:val="auto"/>
          <w:sz w:val="32"/>
          <w:szCs w:val="32"/>
          <w:highlight w:val="none"/>
          <w:lang w:eastAsia="zh-CN"/>
        </w:rPr>
        <w:tab/>
      </w:r>
      <w:r>
        <w:rPr>
          <w:rFonts w:hint="eastAsia" w:ascii="黑体" w:hAnsi="黑体" w:eastAsia="黑体" w:cs="黑体"/>
          <w:kern w:val="2"/>
          <w:sz w:val="32"/>
          <w:szCs w:val="32"/>
          <w:lang w:val="en-US" w:eastAsia="zh-CN" w:bidi="ar-SA"/>
        </w:rPr>
        <w:t>19</w:t>
      </w:r>
    </w:p>
    <w:p w14:paraId="45F247D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p>
    <w:p w14:paraId="2B4449DE">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6" w:name="_Toc15396599"/>
      <w:bookmarkStart w:id="7" w:name="_Toc15377196"/>
      <w:r>
        <w:rPr>
          <w:rFonts w:hint="eastAsia" w:ascii="Times New Roman" w:hAnsi="Times New Roman" w:eastAsia="仿宋_GB2312" w:cs="仿宋_GB2312"/>
          <w:b/>
          <w:color w:val="auto"/>
          <w:sz w:val="32"/>
          <w:szCs w:val="32"/>
          <w:highlight w:val="none"/>
        </w:rPr>
        <w:br w:type="page"/>
      </w:r>
    </w:p>
    <w:p w14:paraId="05EFA5D4">
      <w:pPr>
        <w:pStyle w:val="3"/>
        <w:jc w:val="center"/>
        <w:rPr>
          <w:rStyle w:val="30"/>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eastAsia="方正小标宋简体" w:cs="方正小标宋简体"/>
          <w:b w:val="0"/>
          <w:bCs w:val="0"/>
          <w:color w:val="auto"/>
          <w:highlight w:val="none"/>
          <w:lang w:eastAsia="zh-CN"/>
        </w:rPr>
        <w:t>单位</w:t>
      </w:r>
      <w:r>
        <w:rPr>
          <w:rStyle w:val="30"/>
          <w:rFonts w:hint="eastAsia" w:ascii="Times New Roman" w:hAnsi="Times New Roman" w:eastAsia="方正小标宋简体" w:cs="方正小标宋简体"/>
          <w:b w:val="0"/>
          <w:bCs w:val="0"/>
          <w:color w:val="auto"/>
          <w:highlight w:val="none"/>
        </w:rPr>
        <w:t>概况</w:t>
      </w:r>
      <w:bookmarkEnd w:id="6"/>
      <w:bookmarkEnd w:id="7"/>
    </w:p>
    <w:p w14:paraId="252980EE">
      <w:pPr>
        <w:widowControl/>
        <w:jc w:val="left"/>
        <w:rPr>
          <w:rFonts w:ascii="Times New Roman" w:hAnsi="Times New Roman" w:eastAsia="黑体"/>
          <w:color w:val="auto"/>
          <w:sz w:val="32"/>
          <w:szCs w:val="32"/>
          <w:highlight w:val="none"/>
        </w:rPr>
      </w:pPr>
    </w:p>
    <w:p w14:paraId="77EEABCE">
      <w:pPr>
        <w:pStyle w:val="4"/>
        <w:numPr>
          <w:ilvl w:val="0"/>
          <w:numId w:val="0"/>
        </w:numPr>
        <w:ind w:firstLine="640" w:firstLineChars="200"/>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一、主要职责</w:t>
      </w:r>
    </w:p>
    <w:p w14:paraId="6209C6BA">
      <w:pPr>
        <w:spacing w:line="600" w:lineRule="exact"/>
        <w:ind w:firstLine="660"/>
        <w:rPr>
          <w:rFonts w:hint="default" w:ascii="Times New Roman" w:hAnsi="Times New Roman" w:eastAsia="仿宋_GB2312" w:cs="Times New Roman"/>
          <w:kern w:val="2"/>
          <w:sz w:val="32"/>
          <w:szCs w:val="32"/>
          <w:lang w:val="en-US" w:eastAsia="zh-CN" w:bidi="ar-SA"/>
        </w:rPr>
      </w:pPr>
      <w:bookmarkStart w:id="8" w:name="_Toc15396601"/>
      <w:bookmarkStart w:id="9" w:name="_Toc15377200"/>
      <w:r>
        <w:rPr>
          <w:rFonts w:hint="default" w:ascii="Times New Roman" w:hAnsi="Times New Roman" w:eastAsia="仿宋_GB2312" w:cs="Times New Roman"/>
          <w:kern w:val="2"/>
          <w:sz w:val="32"/>
          <w:szCs w:val="32"/>
          <w:lang w:val="en-US" w:eastAsia="zh-CN" w:bidi="ar-SA"/>
        </w:rPr>
        <w:t>1.在本行政区域内，保证宪法、法律、行政法规和上级人民代表大会及其常务委员会决议的遵守和执行，保证国家计划和国家预算的执行；</w:t>
      </w:r>
    </w:p>
    <w:p w14:paraId="4FD396C9">
      <w:pPr>
        <w:spacing w:line="600" w:lineRule="exact"/>
        <w:ind w:firstLine="66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2.审查和批准本行政区域内的</w:t>
      </w:r>
      <w:r>
        <w:rPr>
          <w:rFonts w:hint="default" w:ascii="Times New Roman" w:hAnsi="Times New Roman" w:eastAsia="仿宋_GB2312" w:cs="Times New Roman"/>
          <w:kern w:val="2"/>
          <w:sz w:val="32"/>
          <w:szCs w:val="32"/>
          <w:lang w:val="en-US" w:eastAsia="zh-CN" w:bidi="ar-SA"/>
        </w:rPr>
        <w:fldChar w:fldCharType="begin"/>
      </w:r>
      <w:r>
        <w:rPr>
          <w:rFonts w:hint="default" w:ascii="Times New Roman" w:hAnsi="Times New Roman" w:eastAsia="仿宋_GB2312" w:cs="Times New Roman"/>
          <w:kern w:val="2"/>
          <w:sz w:val="32"/>
          <w:szCs w:val="32"/>
          <w:lang w:val="en-US" w:eastAsia="zh-CN" w:bidi="ar-SA"/>
        </w:rPr>
        <w:instrText xml:space="preserve"> HYPERLINK "http://baike.baidu.com/view/863067.htm" \t "_blank" </w:instrText>
      </w:r>
      <w:r>
        <w:rPr>
          <w:rFonts w:hint="default" w:ascii="Times New Roman" w:hAnsi="Times New Roman" w:eastAsia="仿宋_GB2312" w:cs="Times New Roman"/>
          <w:kern w:val="2"/>
          <w:sz w:val="32"/>
          <w:szCs w:val="32"/>
          <w:lang w:val="en-US" w:eastAsia="zh-CN" w:bidi="ar-SA"/>
        </w:rPr>
        <w:fldChar w:fldCharType="separate"/>
      </w:r>
      <w:r>
        <w:rPr>
          <w:rFonts w:hint="default" w:ascii="Times New Roman" w:hAnsi="Times New Roman" w:eastAsia="仿宋_GB2312" w:cs="Times New Roman"/>
          <w:kern w:val="2"/>
          <w:sz w:val="32"/>
          <w:szCs w:val="32"/>
          <w:lang w:val="en-US" w:eastAsia="zh-CN" w:bidi="ar-SA"/>
        </w:rPr>
        <w:t>国民经济和社会发展计划</w:t>
      </w:r>
      <w:r>
        <w:rPr>
          <w:rFonts w:hint="default" w:ascii="Times New Roman" w:hAnsi="Times New Roman" w:eastAsia="仿宋_GB2312" w:cs="Times New Roman"/>
          <w:kern w:val="2"/>
          <w:sz w:val="32"/>
          <w:szCs w:val="32"/>
          <w:lang w:val="en-US" w:eastAsia="zh-CN" w:bidi="ar-SA"/>
        </w:rPr>
        <w:fldChar w:fldCharType="end"/>
      </w:r>
      <w:r>
        <w:rPr>
          <w:rFonts w:hint="default" w:ascii="Times New Roman" w:hAnsi="Times New Roman" w:eastAsia="仿宋_GB2312" w:cs="Times New Roman"/>
          <w:kern w:val="2"/>
          <w:sz w:val="32"/>
          <w:szCs w:val="32"/>
          <w:lang w:val="en-US" w:eastAsia="zh-CN" w:bidi="ar-SA"/>
        </w:rPr>
        <w:t>、预算以及它们执行情况的报告；</w:t>
      </w:r>
    </w:p>
    <w:p w14:paraId="18823A1B">
      <w:pPr>
        <w:spacing w:line="600" w:lineRule="exact"/>
        <w:ind w:firstLine="66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3.讨论、决定本行政区域内的政治、经济、教育、科学、文化、卫生、环境和资源保护、民政、民族等工作的重大事项；</w:t>
      </w:r>
    </w:p>
    <w:p w14:paraId="4AC3CC18">
      <w:pPr>
        <w:spacing w:line="600" w:lineRule="exact"/>
        <w:ind w:firstLine="66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4.选举本级人民代表大会常务委员会的组成人员；</w:t>
      </w:r>
    </w:p>
    <w:p w14:paraId="7DC2411A">
      <w:pPr>
        <w:spacing w:line="600" w:lineRule="exact"/>
        <w:ind w:firstLine="66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5.选举区长、副区长；</w:t>
      </w:r>
    </w:p>
    <w:p w14:paraId="4531E41B">
      <w:pPr>
        <w:spacing w:line="600" w:lineRule="exact"/>
        <w:ind w:firstLine="66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6.</w:t>
      </w:r>
      <w:r>
        <w:rPr>
          <w:rFonts w:hint="eastAsia" w:ascii="Times New Roman" w:hAnsi="Times New Roman" w:eastAsia="仿宋_GB2312" w:cs="Times New Roman"/>
          <w:kern w:val="2"/>
          <w:sz w:val="32"/>
          <w:szCs w:val="32"/>
          <w:lang w:val="en-US" w:eastAsia="zh-CN" w:bidi="ar-SA"/>
        </w:rPr>
        <w:t>选举区监察委员会主任；</w:t>
      </w:r>
    </w:p>
    <w:p w14:paraId="7326E45A">
      <w:pPr>
        <w:spacing w:line="600" w:lineRule="exact"/>
        <w:ind w:firstLine="66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w:t>
      </w:r>
      <w:r>
        <w:rPr>
          <w:rFonts w:hint="default" w:ascii="Times New Roman" w:hAnsi="Times New Roman" w:eastAsia="仿宋_GB2312" w:cs="Times New Roman"/>
          <w:kern w:val="2"/>
          <w:sz w:val="32"/>
          <w:szCs w:val="32"/>
          <w:lang w:val="en-US" w:eastAsia="zh-CN" w:bidi="ar-SA"/>
        </w:rPr>
        <w:t>选举本级人民法院院长和人民检察院检察长；选出的人民检察院检察长，须报经上一级人民检察院检察长提请该级人民代表大会常务委员会批准；</w:t>
      </w:r>
    </w:p>
    <w:p w14:paraId="39289BF0">
      <w:pPr>
        <w:spacing w:line="600" w:lineRule="exact"/>
        <w:ind w:firstLine="66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w:t>
      </w:r>
      <w:r>
        <w:rPr>
          <w:rFonts w:hint="default" w:ascii="Times New Roman" w:hAnsi="Times New Roman" w:eastAsia="仿宋_GB2312" w:cs="Times New Roman"/>
          <w:kern w:val="2"/>
          <w:sz w:val="32"/>
          <w:szCs w:val="32"/>
          <w:lang w:val="en-US" w:eastAsia="zh-CN" w:bidi="ar-SA"/>
        </w:rPr>
        <w:t>.选举上一级人民代表大会代表；</w:t>
      </w:r>
    </w:p>
    <w:p w14:paraId="3884E9D2">
      <w:pPr>
        <w:spacing w:line="600" w:lineRule="exact"/>
        <w:ind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w:t>
      </w:r>
      <w:r>
        <w:rPr>
          <w:rFonts w:hint="default" w:ascii="Times New Roman" w:hAnsi="Times New Roman" w:eastAsia="仿宋_GB2312" w:cs="Times New Roman"/>
          <w:kern w:val="2"/>
          <w:sz w:val="32"/>
          <w:szCs w:val="32"/>
          <w:lang w:val="en-US" w:eastAsia="zh-CN" w:bidi="ar-SA"/>
        </w:rPr>
        <w:t>.听取和审查本级人民代表大会常务委员会的工作报告；</w:t>
      </w:r>
    </w:p>
    <w:p w14:paraId="0269E48F">
      <w:pPr>
        <w:spacing w:line="600" w:lineRule="exact"/>
        <w:ind w:firstLine="66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10</w:t>
      </w:r>
      <w:r>
        <w:rPr>
          <w:rFonts w:hint="default" w:ascii="Times New Roman" w:hAnsi="Times New Roman" w:eastAsia="仿宋_GB2312" w:cs="Times New Roman"/>
          <w:kern w:val="2"/>
          <w:sz w:val="32"/>
          <w:szCs w:val="32"/>
          <w:lang w:val="en-US" w:eastAsia="zh-CN" w:bidi="ar-SA"/>
        </w:rPr>
        <w:t>.听取和审查本级人民政府和人民法院、人民检察院的工作报告。</w:t>
      </w:r>
    </w:p>
    <w:p w14:paraId="75E843C8">
      <w:pPr>
        <w:pStyle w:val="4"/>
        <w:ind w:firstLine="640" w:firstLineChars="200"/>
        <w:rPr>
          <w:rStyle w:val="31"/>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8"/>
      <w:bookmarkEnd w:id="9"/>
    </w:p>
    <w:p w14:paraId="4B80A7B7">
      <w:pPr>
        <w:ind w:firstLine="640" w:firstLineChars="200"/>
        <w:rPr>
          <w:rFonts w:hint="eastAsia" w:ascii="Times New Roman" w:hAnsi="Times New Roman" w:eastAsia="仿宋_GB2312" w:cs="Times New Roman"/>
          <w:color w:val="000000"/>
          <w:sz w:val="32"/>
          <w:szCs w:val="32"/>
          <w:highlight w:val="none"/>
        </w:rPr>
      </w:pPr>
      <w:bookmarkStart w:id="10" w:name="_Toc15396602"/>
      <w:bookmarkStart w:id="11" w:name="_Toc15377204"/>
      <w:r>
        <w:rPr>
          <w:rFonts w:hint="eastAsia" w:ascii="仿宋_GB2312" w:hAnsi="仿宋" w:eastAsia="仿宋_GB2312" w:cs="Times New Roman"/>
          <w:b w:val="0"/>
          <w:bCs w:val="0"/>
          <w:kern w:val="2"/>
          <w:sz w:val="32"/>
          <w:szCs w:val="32"/>
          <w:lang w:val="en-US" w:eastAsia="zh-CN" w:bidi="ar-SA"/>
        </w:rPr>
        <w:t>攀枝花市西区人民代表大会常务委员会</w:t>
      </w:r>
      <w:r>
        <w:rPr>
          <w:rFonts w:hint="eastAsia" w:ascii="Times New Roman" w:hAnsi="Times New Roman" w:eastAsia="仿宋_GB2312" w:cs="Times New Roman"/>
          <w:color w:val="000000"/>
          <w:sz w:val="32"/>
          <w:szCs w:val="32"/>
          <w:highlight w:val="none"/>
          <w:lang w:eastAsia="zh-CN"/>
        </w:rPr>
        <w:t>设有</w:t>
      </w:r>
      <w:r>
        <w:rPr>
          <w:rFonts w:hint="eastAsia" w:ascii="Times New Roman" w:hAnsi="Times New Roman" w:eastAsia="仿宋_GB2312" w:cs="Times New Roman"/>
          <w:color w:val="000000"/>
          <w:sz w:val="32"/>
          <w:szCs w:val="32"/>
          <w:highlight w:val="none"/>
          <w:lang w:val="en-US" w:eastAsia="zh-CN"/>
        </w:rPr>
        <w:t>4个专委会（经济委、教科文卫委、社会建设委、农林城环资委），</w:t>
      </w:r>
      <w:r>
        <w:rPr>
          <w:rFonts w:hint="eastAsia" w:ascii="Times New Roman" w:hAnsi="Times New Roman" w:eastAsia="仿宋_GB2312" w:cs="Times New Roman"/>
          <w:color w:val="000000"/>
          <w:sz w:val="32"/>
          <w:szCs w:val="32"/>
          <w:highlight w:val="none"/>
          <w:lang w:eastAsia="zh-CN"/>
        </w:rPr>
        <w:t>常委会设有</w:t>
      </w:r>
      <w:r>
        <w:rPr>
          <w:rFonts w:hint="eastAsia" w:ascii="Times New Roman" w:hAnsi="Times New Roman" w:eastAsia="仿宋_GB2312" w:cs="Times New Roman"/>
          <w:color w:val="000000"/>
          <w:sz w:val="32"/>
          <w:szCs w:val="32"/>
          <w:highlight w:val="none"/>
          <w:lang w:val="en-US" w:eastAsia="zh-CN"/>
        </w:rPr>
        <w:t>4个工作机构（办公室、代表工委、法工委、预算工委）</w:t>
      </w:r>
      <w:r>
        <w:rPr>
          <w:rFonts w:hint="default" w:ascii="Times New Roman" w:hAnsi="Times New Roman" w:eastAsia="仿宋_GB2312" w:cs="Times New Roman"/>
          <w:color w:val="000000"/>
          <w:sz w:val="32"/>
          <w:szCs w:val="32"/>
          <w:highlight w:val="none"/>
        </w:rPr>
        <w:t>，下属其他事业单位</w:t>
      </w:r>
      <w:r>
        <w:rPr>
          <w:rFonts w:hint="eastAsia"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个</w:t>
      </w:r>
      <w:r>
        <w:rPr>
          <w:rFonts w:hint="eastAsia" w:ascii="Times New Roman" w:hAnsi="Times New Roman"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rPr>
        <w:t>攀枝花市西区人大</w:t>
      </w:r>
      <w:r>
        <w:rPr>
          <w:rFonts w:hint="eastAsia" w:ascii="Times New Roman" w:hAnsi="Times New Roman" w:eastAsia="仿宋_GB2312" w:cs="Times New Roman"/>
          <w:color w:val="000000"/>
          <w:sz w:val="32"/>
          <w:szCs w:val="32"/>
          <w:highlight w:val="none"/>
          <w:lang w:val="en-US" w:eastAsia="zh-CN"/>
        </w:rPr>
        <w:t>常委会办公室</w:t>
      </w:r>
      <w:r>
        <w:rPr>
          <w:rFonts w:hint="eastAsia" w:ascii="Times New Roman" w:hAnsi="Times New Roman" w:eastAsia="仿宋_GB2312" w:cs="Times New Roman"/>
          <w:color w:val="000000"/>
          <w:sz w:val="32"/>
          <w:szCs w:val="32"/>
          <w:highlight w:val="none"/>
        </w:rPr>
        <w:t>代表联络服务中心</w:t>
      </w:r>
      <w:r>
        <w:rPr>
          <w:rFonts w:hint="eastAsia" w:ascii="Times New Roman" w:hAnsi="Times New Roman"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rPr>
        <w:t>。</w:t>
      </w:r>
    </w:p>
    <w:p w14:paraId="0725124D">
      <w:pPr>
        <w:pStyle w:val="3"/>
        <w:jc w:val="left"/>
        <w:rPr>
          <w:rFonts w:hint="eastAsia" w:ascii="仿宋_GB2312" w:hAnsi="仿宋" w:eastAsia="仿宋_GB2312" w:cs="Times New Roman"/>
          <w:b w:val="0"/>
          <w:bCs w:val="0"/>
          <w:kern w:val="2"/>
          <w:sz w:val="32"/>
          <w:szCs w:val="32"/>
          <w:lang w:val="en-US" w:eastAsia="zh-CN" w:bidi="ar-SA"/>
        </w:rPr>
      </w:pPr>
    </w:p>
    <w:p w14:paraId="51E31EB6">
      <w:pPr>
        <w:rPr>
          <w:rFonts w:hint="eastAsia"/>
          <w:lang w:val="en-US" w:eastAsia="zh-CN"/>
        </w:rPr>
      </w:pPr>
    </w:p>
    <w:p w14:paraId="19D7EF83">
      <w:pPr>
        <w:pStyle w:val="16"/>
        <w:rPr>
          <w:rFonts w:hint="eastAsia"/>
          <w:lang w:val="en-US" w:eastAsia="zh-CN"/>
        </w:rPr>
      </w:pPr>
    </w:p>
    <w:p w14:paraId="4EA33DB7">
      <w:pPr>
        <w:pStyle w:val="16"/>
        <w:rPr>
          <w:rFonts w:hint="eastAsia"/>
          <w:lang w:val="en-US" w:eastAsia="zh-CN"/>
        </w:rPr>
      </w:pPr>
    </w:p>
    <w:p w14:paraId="572F6BBD">
      <w:pPr>
        <w:pStyle w:val="16"/>
        <w:rPr>
          <w:rFonts w:hint="eastAsia"/>
          <w:lang w:val="en-US" w:eastAsia="zh-CN"/>
        </w:rPr>
      </w:pPr>
    </w:p>
    <w:p w14:paraId="029AA79A">
      <w:pPr>
        <w:pStyle w:val="16"/>
        <w:rPr>
          <w:rFonts w:hint="eastAsia"/>
          <w:lang w:val="en-US" w:eastAsia="zh-CN"/>
        </w:rPr>
      </w:pPr>
    </w:p>
    <w:p w14:paraId="3E1DF5C9">
      <w:pPr>
        <w:pStyle w:val="16"/>
        <w:rPr>
          <w:rFonts w:hint="eastAsia"/>
          <w:lang w:val="en-US" w:eastAsia="zh-CN"/>
        </w:rPr>
      </w:pPr>
    </w:p>
    <w:p w14:paraId="22EC93E9">
      <w:pPr>
        <w:pStyle w:val="16"/>
        <w:rPr>
          <w:rFonts w:hint="eastAsia"/>
          <w:lang w:val="en-US" w:eastAsia="zh-CN"/>
        </w:rPr>
      </w:pPr>
    </w:p>
    <w:p w14:paraId="30F8AAB8">
      <w:pPr>
        <w:pStyle w:val="16"/>
        <w:rPr>
          <w:rFonts w:hint="eastAsia"/>
          <w:lang w:val="en-US" w:eastAsia="zh-CN"/>
        </w:rPr>
      </w:pPr>
    </w:p>
    <w:p w14:paraId="5B5E0C44">
      <w:pPr>
        <w:pStyle w:val="3"/>
        <w:jc w:val="center"/>
        <w:rPr>
          <w:rFonts w:hint="eastAsia" w:ascii="Times New Roman" w:hAnsi="Times New Roman" w:eastAsia="方正小标宋简体" w:cs="方正小标宋简体"/>
          <w:b w:val="0"/>
          <w:color w:val="auto"/>
          <w:highlight w:val="none"/>
        </w:rPr>
      </w:pPr>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0"/>
      <w:bookmarkEnd w:id="11"/>
    </w:p>
    <w:p w14:paraId="00C455CF">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12" w:name="_Toc15396603"/>
      <w:bookmarkStart w:id="13"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12"/>
      <w:bookmarkEnd w:id="13"/>
    </w:p>
    <w:p w14:paraId="54170873">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Times New Roman" w:hAnsi="Times New Roman" w:eastAsia="仿宋_GB2312" w:cs="仿宋_GB2312"/>
          <w:color w:val="auto"/>
          <w:kern w:val="2"/>
          <w:sz w:val="32"/>
          <w:szCs w:val="32"/>
          <w:highlight w:val="none"/>
          <w:lang w:val="en-US" w:eastAsia="zh-CN" w:bidi="ar-SA"/>
        </w:rPr>
        <w:t>632</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86.40</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12.03</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人员经费支出及培训费、差旅费等支出减少。</w:t>
      </w:r>
    </w:p>
    <w:p w14:paraId="51DB2F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14:paraId="5141C83E">
      <w:pPr>
        <w:pStyle w:val="16"/>
        <w:rPr>
          <w:rFonts w:hint="eastAsia" w:ascii="Times New Roman" w:hAnsi="Times New Roman" w:eastAsia="仿宋_GB2312" w:cs="仿宋_GB2312"/>
          <w:color w:val="auto"/>
          <w:sz w:val="32"/>
          <w:szCs w:val="32"/>
          <w:highlight w:val="none"/>
        </w:rPr>
      </w:pPr>
      <w:r>
        <w:rPr>
          <w:rFonts w:hint="eastAsia"/>
          <w:lang w:val="en-US" w:eastAsia="zh-CN"/>
        </w:rPr>
        <w:t xml:space="preserve"> </w:t>
      </w:r>
      <w:r>
        <w:drawing>
          <wp:inline distT="0" distB="0" distL="114300" distR="114300">
            <wp:extent cx="4590415" cy="2212975"/>
            <wp:effectExtent l="0" t="0" r="12065"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590415" cy="2212975"/>
                    </a:xfrm>
                    <a:prstGeom prst="rect">
                      <a:avLst/>
                    </a:prstGeom>
                    <a:noFill/>
                    <a:ln>
                      <a:noFill/>
                    </a:ln>
                  </pic:spPr>
                </pic:pic>
              </a:graphicData>
            </a:graphic>
          </wp:inline>
        </w:drawing>
      </w:r>
    </w:p>
    <w:p w14:paraId="69AD7ECA">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4" w:name="_Toc15396604"/>
      <w:bookmarkStart w:id="15" w:name="_Toc15377206"/>
      <w:r>
        <w:rPr>
          <w:rFonts w:hint="eastAsia" w:ascii="Times New Roman" w:hAnsi="Times New Roman" w:eastAsia="黑体"/>
          <w:color w:val="auto"/>
          <w:sz w:val="32"/>
          <w:szCs w:val="32"/>
          <w:highlight w:val="none"/>
          <w:lang w:eastAsia="zh-CN"/>
        </w:rPr>
        <w:t>二、收入决算情况说明</w:t>
      </w:r>
      <w:bookmarkEnd w:id="14"/>
      <w:bookmarkEnd w:id="15"/>
    </w:p>
    <w:p w14:paraId="4ACD2A9D">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2024</w:t>
      </w:r>
      <w:r>
        <w:rPr>
          <w:rFonts w:hint="eastAsia" w:ascii="仿宋_GB2312" w:hAnsi="仿宋_GB2312" w:eastAsia="仿宋_GB2312" w:cs="仿宋_GB2312"/>
          <w:color w:val="auto"/>
          <w:sz w:val="32"/>
          <w:szCs w:val="32"/>
          <w:highlight w:val="none"/>
          <w:lang w:eastAsia="zh-CN"/>
        </w:rPr>
        <w:t>年度本年收入合计</w:t>
      </w:r>
      <w:r>
        <w:rPr>
          <w:rFonts w:hint="eastAsia" w:ascii="Times New Roman" w:hAnsi="Times New Roman" w:eastAsia="仿宋_GB2312" w:cs="仿宋_GB2312"/>
          <w:color w:val="auto"/>
          <w:kern w:val="2"/>
          <w:sz w:val="32"/>
          <w:szCs w:val="32"/>
          <w:highlight w:val="none"/>
          <w:lang w:val="en-US" w:eastAsia="zh-CN" w:bidi="ar-SA"/>
        </w:rPr>
        <w:t>632</w:t>
      </w:r>
      <w:r>
        <w:rPr>
          <w:rFonts w:hint="eastAsia" w:ascii="仿宋_GB2312" w:hAnsi="仿宋_GB2312" w:eastAsia="仿宋_GB2312" w:cs="仿宋_GB2312"/>
          <w:sz w:val="32"/>
          <w:szCs w:val="32"/>
        </w:rPr>
        <w:t>万元，其中：一般公共预算财政拨款收入</w:t>
      </w:r>
      <w:r>
        <w:rPr>
          <w:rFonts w:hint="eastAsia" w:ascii="Times New Roman" w:hAnsi="Times New Roman" w:eastAsia="仿宋_GB2312" w:cs="仿宋_GB2312"/>
          <w:color w:val="auto"/>
          <w:kern w:val="2"/>
          <w:sz w:val="32"/>
          <w:szCs w:val="32"/>
          <w:highlight w:val="none"/>
          <w:lang w:val="en-US" w:eastAsia="zh-CN" w:bidi="ar-SA"/>
        </w:rPr>
        <w:t>590.63</w:t>
      </w:r>
      <w:r>
        <w:rPr>
          <w:rFonts w:hint="eastAsia" w:ascii="仿宋_GB2312" w:hAnsi="仿宋_GB2312" w:eastAsia="仿宋_GB2312" w:cs="仿宋_GB2312"/>
          <w:color w:val="auto"/>
          <w:sz w:val="32"/>
          <w:szCs w:val="32"/>
          <w:highlight w:val="none"/>
          <w:lang w:eastAsia="zh-CN"/>
        </w:rPr>
        <w:t>万元，占</w:t>
      </w:r>
      <w:r>
        <w:rPr>
          <w:rFonts w:hint="eastAsia" w:ascii="Times New Roman" w:hAnsi="Times New Roman" w:eastAsia="仿宋_GB2312" w:cs="仿宋_GB2312"/>
          <w:color w:val="auto"/>
          <w:kern w:val="2"/>
          <w:sz w:val="32"/>
          <w:szCs w:val="32"/>
          <w:highlight w:val="none"/>
          <w:lang w:val="en-US" w:eastAsia="zh-CN" w:bidi="ar-SA"/>
        </w:rPr>
        <w:t>93.45%</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Times New Roman" w:hAnsi="Times New Roman" w:eastAsia="仿宋_GB2312" w:cs="仿宋_GB2312"/>
          <w:color w:val="auto"/>
          <w:kern w:val="2"/>
          <w:sz w:val="32"/>
          <w:szCs w:val="32"/>
          <w:highlight w:val="none"/>
          <w:lang w:val="en-US" w:eastAsia="zh-CN" w:bidi="ar-SA"/>
        </w:rPr>
        <w:t>41.37</w:t>
      </w:r>
      <w:r>
        <w:rPr>
          <w:rFonts w:hint="eastAsia" w:ascii="仿宋_GB2312" w:hAnsi="仿宋_GB2312" w:eastAsia="仿宋_GB2312" w:cs="仿宋_GB2312"/>
          <w:color w:val="auto"/>
          <w:sz w:val="32"/>
          <w:szCs w:val="32"/>
          <w:highlight w:val="none"/>
          <w:lang w:eastAsia="zh-CN"/>
        </w:rPr>
        <w:t>万元，占</w:t>
      </w:r>
      <w:r>
        <w:rPr>
          <w:rFonts w:hint="eastAsia" w:ascii="Times New Roman" w:hAnsi="Times New Roman" w:eastAsia="仿宋_GB2312" w:cs="仿宋_GB2312"/>
          <w:color w:val="auto"/>
          <w:kern w:val="2"/>
          <w:sz w:val="32"/>
          <w:szCs w:val="32"/>
          <w:highlight w:val="none"/>
          <w:lang w:val="en-US" w:eastAsia="zh-CN" w:bidi="ar-SA"/>
        </w:rPr>
        <w:t>6.55%</w:t>
      </w:r>
      <w:r>
        <w:rPr>
          <w:rFonts w:hint="eastAsia" w:ascii="仿宋_GB2312" w:hAnsi="仿宋_GB2312" w:eastAsia="仿宋_GB2312" w:cs="仿宋_GB2312"/>
          <w:sz w:val="32"/>
          <w:szCs w:val="32"/>
          <w:lang w:eastAsia="zh-CN"/>
        </w:rPr>
        <w:t>。</w:t>
      </w:r>
    </w:p>
    <w:p w14:paraId="7EE8971F">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w:t>
      </w:r>
    </w:p>
    <w:p w14:paraId="05867A44">
      <w:pPr>
        <w:ind w:firstLine="525" w:firstLineChars="250"/>
        <w:rPr>
          <w:rFonts w:hint="eastAsia" w:ascii="Times New Roman" w:hAnsi="Times New Roman" w:eastAsia="仿宋_GB2312" w:cs="仿宋_GB2312"/>
          <w:color w:val="auto"/>
          <w:sz w:val="32"/>
          <w:szCs w:val="32"/>
          <w:highlight w:val="none"/>
          <w:lang w:eastAsia="zh-CN"/>
        </w:rPr>
      </w:pPr>
      <w:r>
        <w:rPr>
          <w:rFonts w:hint="eastAsia"/>
          <w:lang w:val="en-US" w:eastAsia="zh-CN"/>
        </w:rPr>
        <w:t xml:space="preserve"> </w:t>
      </w:r>
      <w:r>
        <w:drawing>
          <wp:inline distT="0" distB="0" distL="114300" distR="114300">
            <wp:extent cx="4590415" cy="2206625"/>
            <wp:effectExtent l="0" t="0" r="12065"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4590415" cy="2206625"/>
                    </a:xfrm>
                    <a:prstGeom prst="rect">
                      <a:avLst/>
                    </a:prstGeom>
                    <a:noFill/>
                    <a:ln>
                      <a:noFill/>
                    </a:ln>
                  </pic:spPr>
                </pic:pic>
              </a:graphicData>
            </a:graphic>
          </wp:inline>
        </w:drawing>
      </w:r>
    </w:p>
    <w:p w14:paraId="35DE7E40">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16" w:name="_Toc15396605"/>
      <w:bookmarkStart w:id="17"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16"/>
      <w:bookmarkEnd w:id="17"/>
    </w:p>
    <w:p w14:paraId="28916D1E">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t>2024</w:t>
      </w:r>
      <w:r>
        <w:rPr>
          <w:rFonts w:hint="eastAsia" w:ascii="仿宋_GB2312" w:hAnsi="仿宋_GB2312" w:eastAsia="仿宋_GB2312" w:cs="仿宋_GB2312"/>
          <w:color w:val="auto"/>
          <w:sz w:val="32"/>
          <w:szCs w:val="32"/>
          <w:highlight w:val="none"/>
          <w:lang w:eastAsia="zh-CN"/>
        </w:rPr>
        <w:t>年度本年支出合计</w:t>
      </w:r>
      <w:r>
        <w:rPr>
          <w:rFonts w:hint="eastAsia" w:ascii="Times New Roman" w:hAnsi="Times New Roman" w:eastAsia="仿宋_GB2312" w:cs="仿宋_GB2312"/>
          <w:color w:val="auto"/>
          <w:kern w:val="2"/>
          <w:sz w:val="32"/>
          <w:szCs w:val="32"/>
          <w:highlight w:val="none"/>
          <w:lang w:val="en-US" w:eastAsia="zh-CN" w:bidi="ar-SA"/>
        </w:rPr>
        <w:t>632</w:t>
      </w:r>
      <w:r>
        <w:rPr>
          <w:rFonts w:hint="eastAsia" w:ascii="仿宋_GB2312" w:hAnsi="仿宋_GB2312" w:eastAsia="仿宋_GB2312" w:cs="仿宋_GB2312"/>
          <w:color w:val="auto"/>
          <w:sz w:val="32"/>
          <w:szCs w:val="32"/>
          <w:highlight w:val="none"/>
          <w:lang w:eastAsia="zh-CN"/>
        </w:rPr>
        <w:t>万元，其中：基本支出</w:t>
      </w:r>
      <w:r>
        <w:rPr>
          <w:rFonts w:hint="eastAsia" w:ascii="Times New Roman" w:hAnsi="Times New Roman" w:eastAsia="仿宋_GB2312" w:cs="仿宋_GB2312"/>
          <w:color w:val="auto"/>
          <w:kern w:val="2"/>
          <w:sz w:val="32"/>
          <w:szCs w:val="32"/>
          <w:highlight w:val="none"/>
          <w:lang w:val="en-US" w:eastAsia="zh-CN" w:bidi="ar-SA"/>
        </w:rPr>
        <w:t>581.33</w:t>
      </w:r>
      <w:r>
        <w:rPr>
          <w:rFonts w:hint="eastAsia" w:ascii="仿宋_GB2312" w:hAnsi="仿宋_GB2312" w:eastAsia="仿宋_GB2312" w:cs="仿宋_GB2312"/>
          <w:color w:val="auto"/>
          <w:sz w:val="32"/>
          <w:szCs w:val="32"/>
          <w:highlight w:val="none"/>
          <w:lang w:eastAsia="zh-CN"/>
        </w:rPr>
        <w:t>万元，占</w:t>
      </w:r>
      <w:r>
        <w:rPr>
          <w:rFonts w:hint="eastAsia" w:ascii="Times New Roman" w:hAnsi="Times New Roman" w:eastAsia="仿宋_GB2312" w:cs="仿宋_GB2312"/>
          <w:color w:val="auto"/>
          <w:kern w:val="2"/>
          <w:sz w:val="32"/>
          <w:szCs w:val="32"/>
          <w:highlight w:val="none"/>
          <w:lang w:val="en-US" w:eastAsia="zh-CN" w:bidi="ar-SA"/>
        </w:rPr>
        <w:t>91.98%</w:t>
      </w:r>
      <w:r>
        <w:rPr>
          <w:rFonts w:hint="eastAsia" w:ascii="仿宋_GB2312" w:hAnsi="仿宋_GB2312" w:eastAsia="仿宋_GB2312" w:cs="仿宋_GB2312"/>
          <w:color w:val="auto"/>
          <w:sz w:val="32"/>
          <w:szCs w:val="32"/>
          <w:highlight w:val="none"/>
          <w:lang w:eastAsia="zh-CN"/>
        </w:rPr>
        <w:t>；项目支出</w:t>
      </w:r>
      <w:r>
        <w:rPr>
          <w:rFonts w:hint="eastAsia" w:ascii="Times New Roman" w:hAnsi="Times New Roman" w:eastAsia="仿宋_GB2312" w:cs="仿宋_GB2312"/>
          <w:color w:val="auto"/>
          <w:kern w:val="2"/>
          <w:sz w:val="32"/>
          <w:szCs w:val="32"/>
          <w:highlight w:val="none"/>
          <w:lang w:val="en-US" w:eastAsia="zh-CN" w:bidi="ar-SA"/>
        </w:rPr>
        <w:t>50.67</w:t>
      </w:r>
      <w:r>
        <w:rPr>
          <w:rFonts w:hint="eastAsia" w:ascii="仿宋_GB2312" w:hAnsi="仿宋_GB2312" w:eastAsia="仿宋_GB2312" w:cs="仿宋_GB2312"/>
          <w:color w:val="auto"/>
          <w:sz w:val="32"/>
          <w:szCs w:val="32"/>
          <w:highlight w:val="none"/>
          <w:lang w:eastAsia="zh-CN"/>
        </w:rPr>
        <w:t>万元，占</w:t>
      </w:r>
      <w:r>
        <w:rPr>
          <w:rFonts w:hint="eastAsia" w:ascii="Times New Roman" w:hAnsi="Times New Roman" w:eastAsia="仿宋_GB2312" w:cs="仿宋_GB2312"/>
          <w:color w:val="auto"/>
          <w:kern w:val="2"/>
          <w:sz w:val="32"/>
          <w:szCs w:val="32"/>
          <w:highlight w:val="none"/>
          <w:lang w:val="en-US" w:eastAsia="zh-CN" w:bidi="ar-SA"/>
        </w:rPr>
        <w:t>8.02%</w:t>
      </w:r>
      <w:r>
        <w:rPr>
          <w:rFonts w:hint="eastAsia" w:ascii="仿宋_GB2312" w:hAnsi="仿宋_GB2312" w:eastAsia="仿宋_GB2312" w:cs="仿宋_GB2312"/>
          <w:color w:val="auto"/>
          <w:sz w:val="32"/>
          <w:szCs w:val="32"/>
          <w:highlight w:val="none"/>
          <w:lang w:eastAsia="zh-CN"/>
        </w:rPr>
        <w:t>。</w:t>
      </w:r>
    </w:p>
    <w:p w14:paraId="7D1EE1E1">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w:t>
      </w:r>
    </w:p>
    <w:p w14:paraId="3B3B946A">
      <w:pPr>
        <w:ind w:firstLine="525" w:firstLineChars="250"/>
        <w:rPr>
          <w:rFonts w:hint="eastAsia" w:ascii="Times New Roman" w:hAnsi="Times New Roman" w:eastAsia="仿宋_GB2312" w:cs="仿宋_GB2312"/>
          <w:color w:val="auto"/>
          <w:sz w:val="32"/>
          <w:szCs w:val="32"/>
          <w:highlight w:val="none"/>
          <w:lang w:eastAsia="zh-CN"/>
        </w:rPr>
      </w:pPr>
      <w:r>
        <w:rPr>
          <w:rFonts w:hint="eastAsia"/>
          <w:lang w:val="en-US" w:eastAsia="zh-CN"/>
        </w:rPr>
        <w:t xml:space="preserve"> </w:t>
      </w:r>
      <w:r>
        <w:drawing>
          <wp:inline distT="0" distB="0" distL="114300" distR="114300">
            <wp:extent cx="4590415" cy="2225040"/>
            <wp:effectExtent l="0" t="0" r="1206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4590415" cy="2225040"/>
                    </a:xfrm>
                    <a:prstGeom prst="rect">
                      <a:avLst/>
                    </a:prstGeom>
                    <a:noFill/>
                    <a:ln>
                      <a:noFill/>
                    </a:ln>
                  </pic:spPr>
                </pic:pic>
              </a:graphicData>
            </a:graphic>
          </wp:inline>
        </w:drawing>
      </w:r>
    </w:p>
    <w:p w14:paraId="7DDAD408">
      <w:pPr>
        <w:spacing w:line="600" w:lineRule="exact"/>
        <w:ind w:firstLine="640" w:firstLineChars="200"/>
        <w:outlineLvl w:val="1"/>
        <w:rPr>
          <w:rStyle w:val="31"/>
          <w:rFonts w:ascii="Times New Roman" w:hAnsi="Times New Roman" w:eastAsia="黑体"/>
          <w:b w:val="0"/>
          <w:color w:val="auto"/>
          <w:highlight w:val="none"/>
        </w:rPr>
      </w:pPr>
      <w:bookmarkStart w:id="18" w:name="_Toc15377208"/>
      <w:bookmarkStart w:id="19" w:name="_Toc15396606"/>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18"/>
      <w:bookmarkEnd w:id="19"/>
    </w:p>
    <w:p w14:paraId="519BE2D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2024年度财政拨款收入、支出总计均为632万元。与2023年度相比，财政拨款收入总计、支出总计各减少</w:t>
      </w:r>
      <w:r>
        <w:rPr>
          <w:rFonts w:hint="eastAsia" w:eastAsia="仿宋_GB2312" w:cs="仿宋_GB2312"/>
          <w:color w:val="auto"/>
          <w:kern w:val="2"/>
          <w:sz w:val="32"/>
          <w:szCs w:val="32"/>
          <w:highlight w:val="none"/>
          <w:lang w:val="en-US" w:eastAsia="zh-CN" w:bidi="ar-SA"/>
        </w:rPr>
        <w:t>86.36</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12.02</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Times New Roman" w:hAnsi="Times New Roman" w:eastAsia="仿宋_GB2312" w:cs="仿宋_GB2312"/>
          <w:color w:val="auto"/>
          <w:sz w:val="32"/>
          <w:szCs w:val="32"/>
          <w:highlight w:val="none"/>
        </w:rPr>
        <w:t>是</w:t>
      </w:r>
      <w:r>
        <w:rPr>
          <w:rFonts w:hint="eastAsia" w:eastAsia="仿宋_GB2312" w:cs="仿宋_GB2312"/>
          <w:color w:val="auto"/>
          <w:sz w:val="32"/>
          <w:szCs w:val="32"/>
          <w:highlight w:val="none"/>
          <w:lang w:eastAsia="zh-CN"/>
        </w:rPr>
        <w:t>人员经费支出及培训费、差旅费等支出减少。</w:t>
      </w:r>
    </w:p>
    <w:p w14:paraId="4C33DACA">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p>
    <w:p w14:paraId="2EBD2AF8">
      <w:pPr>
        <w:pStyle w:val="16"/>
        <w:rPr>
          <w:rFonts w:hint="eastAsia" w:ascii="Times New Roman" w:hAnsi="Times New Roman" w:eastAsia="仿宋_GB2312" w:cs="仿宋_GB2312"/>
          <w:color w:val="auto"/>
          <w:kern w:val="2"/>
          <w:sz w:val="32"/>
          <w:szCs w:val="32"/>
          <w:highlight w:val="none"/>
          <w:lang w:val="en-US" w:eastAsia="zh-CN" w:bidi="ar-SA"/>
        </w:rPr>
      </w:pPr>
      <w:r>
        <w:rPr>
          <w:rFonts w:hint="eastAsia"/>
          <w:lang w:val="en-US" w:eastAsia="zh-CN"/>
        </w:rPr>
        <w:t xml:space="preserve"> </w:t>
      </w:r>
      <w:r>
        <w:drawing>
          <wp:inline distT="0" distB="0" distL="114300" distR="114300">
            <wp:extent cx="4596130" cy="2206625"/>
            <wp:effectExtent l="0" t="0" r="635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4596130" cy="2206625"/>
                    </a:xfrm>
                    <a:prstGeom prst="rect">
                      <a:avLst/>
                    </a:prstGeom>
                    <a:noFill/>
                    <a:ln>
                      <a:noFill/>
                    </a:ln>
                  </pic:spPr>
                </pic:pic>
              </a:graphicData>
            </a:graphic>
          </wp:inline>
        </w:drawing>
      </w:r>
    </w:p>
    <w:p w14:paraId="25A2BA69">
      <w:pPr>
        <w:spacing w:line="600" w:lineRule="exact"/>
        <w:ind w:firstLine="640" w:firstLineChars="200"/>
        <w:outlineLvl w:val="1"/>
        <w:rPr>
          <w:rStyle w:val="31"/>
          <w:rFonts w:ascii="Times New Roman" w:hAnsi="Times New Roman" w:eastAsia="黑体"/>
          <w:b w:val="0"/>
          <w:color w:val="auto"/>
          <w:highlight w:val="none"/>
        </w:rPr>
      </w:pPr>
      <w:bookmarkStart w:id="20" w:name="_Toc15396607"/>
      <w:bookmarkStart w:id="21"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20"/>
      <w:bookmarkEnd w:id="21"/>
    </w:p>
    <w:p w14:paraId="0E1EACE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2"/>
    </w:p>
    <w:p w14:paraId="2B67DAE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Times New Roman" w:hAnsi="Times New Roman" w:eastAsia="仿宋_GB2312" w:cs="仿宋_GB2312"/>
          <w:color w:val="auto"/>
          <w:kern w:val="2"/>
          <w:sz w:val="32"/>
          <w:szCs w:val="32"/>
          <w:highlight w:val="none"/>
          <w:lang w:val="en-US" w:eastAsia="zh-CN" w:bidi="ar-SA"/>
        </w:rPr>
        <w:t>590.63</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Times New Roman" w:hAnsi="Times New Roman" w:eastAsia="仿宋_GB2312" w:cs="仿宋_GB2312"/>
          <w:color w:val="auto"/>
          <w:kern w:val="2"/>
          <w:sz w:val="32"/>
          <w:szCs w:val="32"/>
          <w:highlight w:val="none"/>
          <w:lang w:val="en-US" w:eastAsia="zh-CN" w:bidi="ar-SA"/>
        </w:rPr>
        <w:t>93.45%</w:t>
      </w:r>
      <w:r>
        <w:rPr>
          <w:rFonts w:hint="eastAsia" w:ascii="仿宋_GB2312" w:hAnsi="仿宋_GB2312"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w:t>
      </w:r>
      <w:r>
        <w:rPr>
          <w:rFonts w:hint="eastAsia" w:ascii="仿宋_GB2312" w:hAnsi="仿宋_GB2312" w:eastAsia="仿宋_GB2312" w:cs="仿宋_GB2312"/>
          <w:color w:val="auto"/>
          <w:kern w:val="2"/>
          <w:sz w:val="32"/>
          <w:szCs w:val="32"/>
          <w:highlight w:val="none"/>
          <w:lang w:val="en-US" w:eastAsia="zh-CN" w:bidi="ar-SA"/>
        </w:rPr>
        <w:t>年度相比，一般公共预算财政拨款支出减少</w:t>
      </w:r>
      <w:r>
        <w:rPr>
          <w:rFonts w:hint="eastAsia" w:ascii="Times New Roman" w:hAnsi="Times New Roman" w:eastAsia="仿宋_GB2312" w:cs="仿宋_GB2312"/>
          <w:color w:val="auto"/>
          <w:kern w:val="2"/>
          <w:sz w:val="32"/>
          <w:szCs w:val="32"/>
          <w:highlight w:val="none"/>
          <w:lang w:val="en-US" w:eastAsia="zh-CN" w:bidi="ar-SA"/>
        </w:rPr>
        <w:t>79.2</w:t>
      </w:r>
      <w:r>
        <w:rPr>
          <w:rFonts w:hint="eastAsia"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en-US" w:eastAsia="zh-CN" w:bidi="ar-SA"/>
        </w:rPr>
        <w:t>万元，下降</w:t>
      </w:r>
      <w:r>
        <w:rPr>
          <w:rFonts w:hint="eastAsia" w:ascii="Times New Roman" w:hAnsi="Times New Roman" w:eastAsia="仿宋_GB2312" w:cs="仿宋_GB2312"/>
          <w:color w:val="auto"/>
          <w:kern w:val="2"/>
          <w:sz w:val="32"/>
          <w:szCs w:val="32"/>
          <w:highlight w:val="none"/>
          <w:lang w:val="en-US" w:eastAsia="zh-CN" w:bidi="ar-SA"/>
        </w:rPr>
        <w:t>11.82%</w:t>
      </w:r>
      <w:r>
        <w:rPr>
          <w:rFonts w:hint="eastAsia" w:ascii="仿宋_GB2312" w:hAnsi="仿宋_GB2312"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eastAsia="zh-CN"/>
        </w:rPr>
        <w:t>人员经费支出减少。</w:t>
      </w:r>
    </w:p>
    <w:p w14:paraId="53CD115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14:paraId="6592E110">
      <w:pPr>
        <w:pStyle w:val="16"/>
        <w:rPr>
          <w:rFonts w:hint="eastAsia"/>
          <w:lang w:val="en-US" w:eastAsia="zh-CN"/>
        </w:rPr>
      </w:pPr>
      <w:r>
        <w:rPr>
          <w:rFonts w:hint="eastAsia"/>
          <w:lang w:val="en-US" w:eastAsia="zh-CN"/>
        </w:rPr>
        <w:t xml:space="preserve"> </w:t>
      </w:r>
      <w:r>
        <w:drawing>
          <wp:inline distT="0" distB="0" distL="114300" distR="114300">
            <wp:extent cx="4596130" cy="2218690"/>
            <wp:effectExtent l="0" t="0" r="6350" b="635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4596130" cy="2218690"/>
                    </a:xfrm>
                    <a:prstGeom prst="rect">
                      <a:avLst/>
                    </a:prstGeom>
                    <a:noFill/>
                    <a:ln>
                      <a:noFill/>
                    </a:ln>
                  </pic:spPr>
                </pic:pic>
              </a:graphicData>
            </a:graphic>
          </wp:inline>
        </w:drawing>
      </w:r>
    </w:p>
    <w:p w14:paraId="3E43BDD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3"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3"/>
    </w:p>
    <w:p w14:paraId="26FB631A">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2024年度一般公共预算财政拨款支出590.63</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一般公共服务支出413.96万元，占</w:t>
      </w:r>
      <w:r>
        <w:rPr>
          <w:rFonts w:hint="eastAsia" w:eastAsia="仿宋_GB2312" w:cs="仿宋_GB2312"/>
          <w:color w:val="auto"/>
          <w:kern w:val="2"/>
          <w:sz w:val="32"/>
          <w:szCs w:val="32"/>
          <w:highlight w:val="none"/>
          <w:lang w:val="en-US" w:eastAsia="zh-CN" w:bidi="ar-SA"/>
        </w:rPr>
        <w:t>70.09</w:t>
      </w:r>
      <w:r>
        <w:rPr>
          <w:rFonts w:hint="eastAsia" w:ascii="Times New Roman" w:hAnsi="Times New Roman" w:eastAsia="仿宋_GB2312" w:cs="仿宋_GB2312"/>
          <w:color w:val="auto"/>
          <w:kern w:val="2"/>
          <w:sz w:val="32"/>
          <w:szCs w:val="32"/>
          <w:highlight w:val="none"/>
          <w:lang w:val="en-US" w:eastAsia="zh-CN" w:bidi="ar-SA"/>
        </w:rPr>
        <w:t>%；社会保障和就业支出80.07万元，占</w:t>
      </w:r>
      <w:r>
        <w:rPr>
          <w:rFonts w:hint="eastAsia" w:eastAsia="仿宋_GB2312" w:cs="仿宋_GB2312"/>
          <w:color w:val="auto"/>
          <w:kern w:val="2"/>
          <w:sz w:val="32"/>
          <w:szCs w:val="32"/>
          <w:highlight w:val="none"/>
          <w:lang w:val="en-US" w:eastAsia="zh-CN" w:bidi="ar-SA"/>
        </w:rPr>
        <w:t>13.56</w:t>
      </w:r>
      <w:r>
        <w:rPr>
          <w:rFonts w:hint="eastAsia" w:ascii="Times New Roman" w:hAnsi="Times New Roman" w:eastAsia="仿宋_GB2312" w:cs="仿宋_GB2312"/>
          <w:color w:val="auto"/>
          <w:kern w:val="2"/>
          <w:sz w:val="32"/>
          <w:szCs w:val="32"/>
          <w:highlight w:val="none"/>
          <w:lang w:val="en-US" w:eastAsia="zh-CN" w:bidi="ar-SA"/>
        </w:rPr>
        <w:t>%；卫生健康支出55.56万元，占</w:t>
      </w:r>
      <w:r>
        <w:rPr>
          <w:rFonts w:hint="eastAsia" w:eastAsia="仿宋_GB2312" w:cs="仿宋_GB2312"/>
          <w:color w:val="auto"/>
          <w:kern w:val="2"/>
          <w:sz w:val="32"/>
          <w:szCs w:val="32"/>
          <w:highlight w:val="none"/>
          <w:lang w:val="en-US" w:eastAsia="zh-CN" w:bidi="ar-SA"/>
        </w:rPr>
        <w:t>9.40</w:t>
      </w:r>
      <w:r>
        <w:rPr>
          <w:rFonts w:hint="eastAsia" w:ascii="Times New Roman" w:hAnsi="Times New Roman" w:eastAsia="仿宋_GB2312" w:cs="仿宋_GB2312"/>
          <w:color w:val="auto"/>
          <w:kern w:val="2"/>
          <w:sz w:val="32"/>
          <w:szCs w:val="32"/>
          <w:highlight w:val="none"/>
          <w:lang w:val="en-US" w:eastAsia="zh-CN" w:bidi="ar-SA"/>
        </w:rPr>
        <w:t>%；住房保障支出41.0</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6.95</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94BB54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14:paraId="4E6BA373">
      <w:pPr>
        <w:pStyle w:val="16"/>
        <w:rPr>
          <w:rFonts w:hint="eastAsia"/>
          <w:lang w:val="en-US" w:eastAsia="zh-CN"/>
        </w:rPr>
      </w:pPr>
      <w:r>
        <w:rPr>
          <w:rFonts w:hint="eastAsia"/>
          <w:lang w:val="en-US" w:eastAsia="zh-CN"/>
        </w:rPr>
        <w:t xml:space="preserve"> </w:t>
      </w:r>
      <w:r>
        <w:drawing>
          <wp:inline distT="0" distB="0" distL="114300" distR="114300">
            <wp:extent cx="4596130" cy="222504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2"/>
                    <a:stretch>
                      <a:fillRect/>
                    </a:stretch>
                  </pic:blipFill>
                  <pic:spPr>
                    <a:xfrm>
                      <a:off x="0" y="0"/>
                      <a:ext cx="4596130" cy="2225040"/>
                    </a:xfrm>
                    <a:prstGeom prst="rect">
                      <a:avLst/>
                    </a:prstGeom>
                    <a:noFill/>
                    <a:ln>
                      <a:noFill/>
                    </a:ln>
                  </pic:spPr>
                </pic:pic>
              </a:graphicData>
            </a:graphic>
          </wp:inline>
        </w:drawing>
      </w:r>
    </w:p>
    <w:p w14:paraId="39F1CDD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4"/>
    </w:p>
    <w:p w14:paraId="620FEBD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5" w:name="_Toc15377444"/>
      <w:bookmarkStart w:id="26" w:name="_Toc15377213"/>
      <w:bookmarkStart w:id="27"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2024年度一般公共预算财政拨款支出决算数为590.63</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5"/>
      <w:bookmarkEnd w:id="26"/>
      <w:bookmarkEnd w:id="27"/>
    </w:p>
    <w:p w14:paraId="649C3ED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8" w:name="_Toc15396608"/>
      <w:bookmarkStart w:id="29" w:name="_Toc15377214"/>
      <w:r>
        <w:rPr>
          <w:rFonts w:hint="eastAsia" w:ascii="Times New Roman" w:hAnsi="Times New Roman" w:eastAsia="仿宋_GB2312" w:cs="仿宋_GB2312"/>
          <w:color w:val="auto"/>
          <w:kern w:val="2"/>
          <w:sz w:val="32"/>
          <w:szCs w:val="32"/>
          <w:highlight w:val="none"/>
          <w:lang w:val="en-US" w:eastAsia="zh-CN" w:bidi="ar-SA"/>
        </w:rPr>
        <w:t>1.一般公共服务（类）人大事务（款）行政运行（项）: 支出决算为354.45万元，完成预算100%；代表工作（项）: 支出决算为9.30万元，完成预算100%；事业运行（项）: 支出决算为50.21万元，完成预算100%。</w:t>
      </w:r>
    </w:p>
    <w:p w14:paraId="6C9C1D3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2.社会保障和就业支出（类）行政事业单位养老支出（款）行政单位离退休（项）: 支出决算为24.21万元，完成预算100%；机关事业单位基本养老保险缴费支出（项）: 支出决算为48.11万元，完成预算100%；机关事业单位职业年金缴费支出（项）: 支出决算为7.75万元，完成预算100%。</w:t>
      </w:r>
    </w:p>
    <w:p w14:paraId="628D77C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卫生健康支出（类）行政事业单位医疗（款）行政单位医疗（项）:支出决算为24.79万元，完成预算100%；事业单位医疗（项）:支出决算为4.22万元，完成预算100%；公务员医疗补助（项）:支出决算为24.58万元，完成预算100%；其他行政事业单位医疗支出（项）:支出决算为1.97万元，完成预算100%。</w:t>
      </w:r>
    </w:p>
    <w:p w14:paraId="2028CC6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4.住房保障支出（类）住房改革支出（款）住房公积金（项）:支出决算为4</w:t>
      </w:r>
      <w:r>
        <w:rPr>
          <w:rFonts w:hint="eastAsia" w:eastAsia="仿宋_GB2312" w:cs="仿宋_GB2312"/>
          <w:color w:val="auto"/>
          <w:kern w:val="2"/>
          <w:sz w:val="32"/>
          <w:szCs w:val="32"/>
          <w:highlight w:val="none"/>
          <w:lang w:val="en-US" w:eastAsia="zh-CN" w:bidi="ar-SA"/>
        </w:rPr>
        <w:t>1.04</w:t>
      </w:r>
      <w:r>
        <w:rPr>
          <w:rFonts w:hint="eastAsia" w:ascii="Times New Roman" w:hAnsi="Times New Roman" w:eastAsia="仿宋_GB2312" w:cs="仿宋_GB2312"/>
          <w:color w:val="auto"/>
          <w:kern w:val="2"/>
          <w:sz w:val="32"/>
          <w:szCs w:val="32"/>
          <w:highlight w:val="none"/>
          <w:lang w:val="en-US" w:eastAsia="zh-CN" w:bidi="ar-SA"/>
        </w:rPr>
        <w:t>万元，完成预算100%。</w:t>
      </w:r>
    </w:p>
    <w:p w14:paraId="20F5C669">
      <w:pPr>
        <w:tabs>
          <w:tab w:val="right" w:pos="8306"/>
        </w:tabs>
        <w:spacing w:line="600" w:lineRule="exact"/>
        <w:ind w:firstLine="640"/>
        <w:outlineLvl w:val="1"/>
        <w:rPr>
          <w:rStyle w:val="31"/>
          <w:rFonts w:ascii="Times New Roman" w:hAnsi="Times New Roman"/>
          <w:color w:val="auto"/>
          <w:highlight w:val="none"/>
        </w:rPr>
      </w:pPr>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28"/>
      <w:bookmarkEnd w:id="29"/>
      <w:r>
        <w:rPr>
          <w:rStyle w:val="31"/>
          <w:rFonts w:ascii="Times New Roman" w:hAnsi="Times New Roman" w:eastAsia="黑体"/>
          <w:b w:val="0"/>
          <w:color w:val="auto"/>
          <w:highlight w:val="none"/>
        </w:rPr>
        <w:tab/>
      </w:r>
    </w:p>
    <w:p w14:paraId="318ED89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2024年度一般公共预算财政拨款基本支出581.33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01397F5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人员经费537.25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绩效工资、机关事业单位基本养老保险缴费、职业年金缴费、其他社会保障缴费、其他工资福利支出、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公用经费44.08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元，主要包括：办公费、邮电费、差旅费、会议费、培训费、公务接待费、劳务费、工会经费、福利费、其他交通费、其他商品和服务支出。</w:t>
      </w:r>
    </w:p>
    <w:p w14:paraId="64F1B65F">
      <w:pPr>
        <w:spacing w:line="600" w:lineRule="exact"/>
        <w:ind w:firstLine="640"/>
        <w:outlineLvl w:val="1"/>
        <w:rPr>
          <w:rStyle w:val="31"/>
          <w:rFonts w:ascii="Times New Roman" w:hAnsi="Times New Roman" w:eastAsia="黑体"/>
          <w:b w:val="0"/>
          <w:color w:val="auto"/>
          <w:highlight w:val="none"/>
        </w:rPr>
      </w:pPr>
      <w:bookmarkStart w:id="30" w:name="_Toc15377215"/>
      <w:bookmarkStart w:id="31" w:name="_Toc15396609"/>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30"/>
      <w:bookmarkEnd w:id="31"/>
    </w:p>
    <w:p w14:paraId="189DAEE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2"/>
    </w:p>
    <w:p w14:paraId="1E68C7A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eastAsia="仿宋_GB2312" w:cs="仿宋_GB2312"/>
          <w:color w:val="auto"/>
          <w:kern w:val="2"/>
          <w:sz w:val="32"/>
          <w:szCs w:val="32"/>
          <w:highlight w:val="none"/>
          <w:lang w:val="en-US" w:eastAsia="zh-CN" w:bidi="ar-SA"/>
        </w:rPr>
        <w:t>0.50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0.30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150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仿宋" w:hAnsi="仿宋" w:eastAsia="仿宋"/>
          <w:sz w:val="32"/>
          <w:szCs w:val="32"/>
          <w:lang w:eastAsia="zh-CN"/>
        </w:rPr>
        <w:t>主要是因上</w:t>
      </w:r>
      <w:r>
        <w:rPr>
          <w:rFonts w:hint="eastAsia" w:ascii="仿宋" w:hAnsi="仿宋" w:eastAsia="仿宋"/>
          <w:sz w:val="32"/>
          <w:szCs w:val="32"/>
        </w:rPr>
        <w:t>年度“三公”经费财政拨款支出决算</w:t>
      </w:r>
      <w:r>
        <w:rPr>
          <w:rFonts w:hint="eastAsia" w:ascii="仿宋" w:hAnsi="仿宋" w:eastAsia="仿宋"/>
          <w:sz w:val="32"/>
          <w:szCs w:val="32"/>
          <w:lang w:eastAsia="zh-CN"/>
        </w:rPr>
        <w:t>仅</w:t>
      </w:r>
      <w:r>
        <w:rPr>
          <w:rFonts w:hint="eastAsia" w:ascii="仿宋" w:hAnsi="仿宋" w:eastAsia="仿宋"/>
          <w:sz w:val="32"/>
          <w:szCs w:val="32"/>
        </w:rPr>
        <w:t>为</w:t>
      </w:r>
      <w:r>
        <w:rPr>
          <w:rFonts w:hint="eastAsia" w:eastAsia="仿宋_GB2312" w:cs="仿宋_GB2312"/>
          <w:color w:val="auto"/>
          <w:kern w:val="2"/>
          <w:sz w:val="32"/>
          <w:szCs w:val="32"/>
          <w:highlight w:val="none"/>
          <w:lang w:val="en-US" w:eastAsia="zh-CN" w:bidi="ar-SA"/>
        </w:rPr>
        <w:t>0.20</w:t>
      </w:r>
      <w:r>
        <w:rPr>
          <w:rFonts w:hint="eastAsia" w:ascii="仿宋" w:hAnsi="仿宋" w:eastAsia="仿宋"/>
          <w:sz w:val="32"/>
          <w:szCs w:val="32"/>
        </w:rPr>
        <w:t>万元</w:t>
      </w:r>
      <w:r>
        <w:rPr>
          <w:rFonts w:hint="eastAsia" w:ascii="仿宋" w:hAnsi="仿宋" w:eastAsia="仿宋"/>
          <w:sz w:val="32"/>
          <w:szCs w:val="32"/>
          <w:lang w:eastAsia="zh-CN"/>
        </w:rPr>
        <w:t>，又因开展业务工作需要支出增加</w:t>
      </w:r>
      <w:r>
        <w:rPr>
          <w:rFonts w:hint="eastAsia" w:eastAsia="仿宋_GB2312" w:cs="仿宋_GB2312"/>
          <w:color w:val="auto"/>
          <w:kern w:val="2"/>
          <w:sz w:val="32"/>
          <w:szCs w:val="32"/>
          <w:highlight w:val="none"/>
          <w:lang w:val="en-US" w:eastAsia="zh-CN" w:bidi="ar-SA"/>
        </w:rPr>
        <w:t>0.30</w:t>
      </w:r>
      <w:r>
        <w:rPr>
          <w:rFonts w:hint="eastAsia" w:ascii="仿宋" w:hAnsi="仿宋" w:eastAsia="仿宋"/>
          <w:sz w:val="32"/>
          <w:szCs w:val="32"/>
          <w:lang w:val="en-US" w:eastAsia="zh-CN"/>
        </w:rPr>
        <w:t>万元，造成增长幅度较大</w:t>
      </w:r>
      <w:r>
        <w:rPr>
          <w:rFonts w:hint="eastAsia" w:ascii="Times New Roman" w:hAnsi="Times New Roman" w:eastAsia="仿宋_GB2312" w:cs="仿宋_GB2312"/>
          <w:color w:val="auto"/>
          <w:kern w:val="2"/>
          <w:sz w:val="32"/>
          <w:szCs w:val="32"/>
          <w:highlight w:val="none"/>
          <w:lang w:val="en-US" w:eastAsia="zh-CN" w:bidi="ar-SA"/>
        </w:rPr>
        <w:t>。决算数与预算数持平的主要原因是</w:t>
      </w:r>
      <w:r>
        <w:rPr>
          <w:rFonts w:hint="eastAsia" w:ascii="仿宋" w:hAnsi="仿宋" w:eastAsia="仿宋"/>
          <w:sz w:val="32"/>
          <w:szCs w:val="32"/>
          <w:lang w:eastAsia="zh-CN"/>
        </w:rPr>
        <w:t>严格控制公务接待的范围和标准</w:t>
      </w:r>
      <w:r>
        <w:rPr>
          <w:rFonts w:hint="eastAsia" w:ascii="仿宋" w:hAnsi="仿宋" w:eastAsia="仿宋"/>
          <w:sz w:val="32"/>
          <w:szCs w:val="32"/>
        </w:rPr>
        <w:t>。</w:t>
      </w:r>
    </w:p>
    <w:p w14:paraId="73CD070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3"/>
    </w:p>
    <w:p w14:paraId="183C98BB">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2024</w:t>
      </w:r>
      <w:r>
        <w:rPr>
          <w:rFonts w:hint="eastAsia" w:ascii="仿宋_GB2312" w:hAnsi="仿宋_GB2312" w:eastAsia="仿宋_GB2312" w:cs="仿宋_GB2312"/>
          <w:color w:val="auto"/>
          <w:kern w:val="2"/>
          <w:sz w:val="32"/>
          <w:szCs w:val="32"/>
          <w:highlight w:val="none"/>
          <w:lang w:val="en-US" w:eastAsia="zh-CN" w:bidi="ar-SA"/>
        </w:rPr>
        <w:t>年度“三公”经费财政拨款支出决算中，因公出国（境）费支出决算</w:t>
      </w:r>
      <w:r>
        <w:rPr>
          <w:rFonts w:hint="eastAsia"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0.50</w:t>
      </w:r>
      <w:r>
        <w:rPr>
          <w:rFonts w:hint="eastAsia" w:ascii="仿宋_GB2312" w:hAnsi="仿宋_GB2312"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100%</w:t>
      </w:r>
      <w:r>
        <w:rPr>
          <w:rFonts w:hint="eastAsia" w:ascii="仿宋_GB2312" w:hAnsi="仿宋_GB2312" w:eastAsia="仿宋_GB2312" w:cs="仿宋_GB2312"/>
          <w:color w:val="auto"/>
          <w:kern w:val="2"/>
          <w:sz w:val="32"/>
          <w:szCs w:val="32"/>
          <w:highlight w:val="none"/>
          <w:lang w:val="en-US" w:eastAsia="zh-CN" w:bidi="ar-SA"/>
        </w:rPr>
        <w:t>。具体情况如下：</w:t>
      </w:r>
    </w:p>
    <w:p w14:paraId="74E5D4E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w:t>
      </w:r>
    </w:p>
    <w:p w14:paraId="3BBB64A5">
      <w:pPr>
        <w:pStyle w:val="16"/>
        <w:rPr>
          <w:rFonts w:hint="eastAsia" w:ascii="Times New Roman" w:hAnsi="Times New Roman" w:eastAsia="仿宋_GB2312" w:cs="仿宋_GB2312"/>
          <w:color w:val="auto"/>
          <w:kern w:val="2"/>
          <w:sz w:val="32"/>
          <w:szCs w:val="32"/>
          <w:highlight w:val="none"/>
          <w:lang w:val="en-US" w:eastAsia="zh-CN" w:bidi="ar-SA"/>
        </w:rPr>
      </w:pPr>
      <w:r>
        <w:rPr>
          <w:rFonts w:hint="eastAsia"/>
          <w:lang w:val="en-US" w:eastAsia="zh-CN"/>
        </w:rPr>
        <w:t xml:space="preserve"> </w:t>
      </w:r>
      <w:r>
        <w:drawing>
          <wp:inline distT="0" distB="0" distL="114300" distR="114300">
            <wp:extent cx="4596130" cy="2231390"/>
            <wp:effectExtent l="0" t="0" r="6350"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4596130" cy="2231390"/>
                    </a:xfrm>
                    <a:prstGeom prst="rect">
                      <a:avLst/>
                    </a:prstGeom>
                    <a:noFill/>
                    <a:ln>
                      <a:noFill/>
                    </a:ln>
                  </pic:spPr>
                </pic:pic>
              </a:graphicData>
            </a:graphic>
          </wp:inline>
        </w:drawing>
      </w:r>
    </w:p>
    <w:p w14:paraId="039BC7A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w:t>
      </w:r>
      <w:r>
        <w:rPr>
          <w:rFonts w:hint="eastAsia" w:eastAsia="仿宋_GB2312" w:cs="仿宋_GB2312"/>
          <w:color w:val="auto"/>
          <w:kern w:val="2"/>
          <w:sz w:val="32"/>
          <w:szCs w:val="32"/>
          <w:highlight w:val="none"/>
          <w:lang w:val="en-US" w:eastAsia="zh-CN" w:bidi="ar-SA"/>
        </w:rPr>
        <w:t>与持平</w:t>
      </w:r>
      <w:r>
        <w:rPr>
          <w:rFonts w:hint="eastAsia" w:ascii="仿宋_GB2312" w:eastAsia="仿宋_GB2312"/>
          <w:sz w:val="32"/>
          <w:szCs w:val="32"/>
        </w:rPr>
        <w:t>。</w:t>
      </w:r>
    </w:p>
    <w:p w14:paraId="40A8B188">
      <w:pPr>
        <w:spacing w:line="600" w:lineRule="exact"/>
        <w:ind w:firstLine="640"/>
        <w:rPr>
          <w:rFonts w:hint="eastAsia" w:ascii="仿宋_GB2312" w:eastAsia="仿宋_GB2312"/>
          <w:sz w:val="32"/>
          <w:szCs w:val="32"/>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eastAsia="仿宋_GB2312" w:cs="仿宋_GB2312"/>
          <w:color w:val="auto"/>
          <w:kern w:val="2"/>
          <w:sz w:val="32"/>
          <w:szCs w:val="32"/>
          <w:highlight w:val="none"/>
          <w:lang w:val="en-US" w:eastAsia="zh-CN" w:bidi="ar-SA"/>
        </w:rPr>
        <w:t>0</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w:t>
      </w:r>
      <w:r>
        <w:rPr>
          <w:rFonts w:hint="eastAsia" w:ascii="仿宋_GB2312" w:eastAsia="仿宋_GB2312"/>
          <w:sz w:val="32"/>
          <w:szCs w:val="32"/>
          <w:lang w:eastAsia="zh-CN"/>
        </w:rPr>
        <w:t>持平</w:t>
      </w:r>
      <w:r>
        <w:rPr>
          <w:rFonts w:hint="eastAsia" w:ascii="仿宋_GB2312" w:eastAsia="仿宋_GB2312"/>
          <w:sz w:val="32"/>
          <w:szCs w:val="32"/>
        </w:rPr>
        <w:t>。</w:t>
      </w:r>
    </w:p>
    <w:p w14:paraId="0DE3AE0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47FBD61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507768E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eastAsia="仿宋_GB2312" w:cs="仿宋_GB2312"/>
          <w:color w:val="auto"/>
          <w:kern w:val="2"/>
          <w:sz w:val="32"/>
          <w:szCs w:val="32"/>
          <w:highlight w:val="none"/>
          <w:lang w:val="en-US" w:eastAsia="zh-CN" w:bidi="ar-SA"/>
        </w:rPr>
        <w:t>0.50</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val="0"/>
          <w:bCs w:val="0"/>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w:t>
      </w:r>
      <w:r>
        <w:rPr>
          <w:rFonts w:hint="eastAsia" w:ascii="仿宋_GB2312" w:eastAsia="仿宋_GB2312"/>
          <w:sz w:val="32"/>
          <w:szCs w:val="32"/>
        </w:rPr>
        <w:t>增加</w:t>
      </w:r>
      <w:r>
        <w:rPr>
          <w:rFonts w:hint="eastAsia" w:eastAsia="仿宋_GB2312" w:cs="仿宋_GB2312"/>
          <w:color w:val="auto"/>
          <w:kern w:val="2"/>
          <w:sz w:val="32"/>
          <w:szCs w:val="32"/>
          <w:highlight w:val="none"/>
          <w:lang w:val="en-US" w:eastAsia="zh-CN" w:bidi="ar-SA"/>
        </w:rPr>
        <w:t>0.30</w:t>
      </w:r>
      <w:r>
        <w:rPr>
          <w:rFonts w:hint="eastAsia" w:ascii="仿宋_GB2312" w:eastAsia="仿宋_GB2312"/>
          <w:sz w:val="32"/>
          <w:szCs w:val="32"/>
        </w:rPr>
        <w:t>万元，增长</w:t>
      </w:r>
      <w:r>
        <w:rPr>
          <w:rFonts w:hint="eastAsia" w:eastAsia="仿宋_GB2312" w:cs="仿宋_GB2312"/>
          <w:color w:val="auto"/>
          <w:kern w:val="2"/>
          <w:sz w:val="32"/>
          <w:szCs w:val="32"/>
          <w:highlight w:val="none"/>
          <w:lang w:val="en-US" w:eastAsia="zh-CN" w:bidi="ar-SA"/>
        </w:rPr>
        <w:t>150%</w:t>
      </w:r>
      <w:r>
        <w:rPr>
          <w:rFonts w:hint="eastAsia" w:ascii="仿宋_GB2312" w:eastAsia="仿宋_GB2312"/>
          <w:sz w:val="32"/>
          <w:szCs w:val="32"/>
        </w:rPr>
        <w:t>。主要原因是</w:t>
      </w:r>
      <w:r>
        <w:rPr>
          <w:rFonts w:hint="eastAsia" w:eastAsia="仿宋_GB2312" w:cs="仿宋_GB2312"/>
          <w:color w:val="auto"/>
          <w:kern w:val="2"/>
          <w:sz w:val="32"/>
          <w:szCs w:val="32"/>
          <w:highlight w:val="none"/>
          <w:lang w:val="en-US" w:eastAsia="zh-CN" w:bidi="ar-SA"/>
        </w:rPr>
        <w:t>2023</w:t>
      </w:r>
      <w:r>
        <w:rPr>
          <w:rFonts w:hint="eastAsia" w:ascii="仿宋_GB2312" w:eastAsia="仿宋_GB2312"/>
          <w:sz w:val="32"/>
          <w:szCs w:val="32"/>
        </w:rPr>
        <w:t>年度</w:t>
      </w:r>
      <w:r>
        <w:rPr>
          <w:rFonts w:hint="eastAsia" w:ascii="仿宋_GB2312" w:eastAsia="仿宋_GB2312"/>
          <w:sz w:val="32"/>
          <w:szCs w:val="32"/>
          <w:lang w:eastAsia="zh-CN"/>
        </w:rPr>
        <w:t>公务接待费</w:t>
      </w:r>
      <w:r>
        <w:rPr>
          <w:rFonts w:hint="eastAsia" w:ascii="仿宋_GB2312" w:eastAsia="仿宋_GB2312"/>
          <w:sz w:val="32"/>
          <w:szCs w:val="32"/>
        </w:rPr>
        <w:t>支出</w:t>
      </w:r>
      <w:r>
        <w:rPr>
          <w:rFonts w:hint="eastAsia" w:ascii="仿宋" w:hAnsi="仿宋" w:eastAsia="仿宋"/>
          <w:sz w:val="32"/>
          <w:szCs w:val="32"/>
        </w:rPr>
        <w:t>决算</w:t>
      </w:r>
      <w:r>
        <w:rPr>
          <w:rFonts w:hint="eastAsia" w:ascii="仿宋" w:hAnsi="仿宋" w:eastAsia="仿宋"/>
          <w:sz w:val="32"/>
          <w:szCs w:val="32"/>
          <w:lang w:eastAsia="zh-CN"/>
        </w:rPr>
        <w:t>仅</w:t>
      </w:r>
      <w:r>
        <w:rPr>
          <w:rFonts w:hint="eastAsia" w:ascii="仿宋" w:hAnsi="仿宋" w:eastAsia="仿宋"/>
          <w:sz w:val="32"/>
          <w:szCs w:val="32"/>
        </w:rPr>
        <w:t>为</w:t>
      </w:r>
      <w:r>
        <w:rPr>
          <w:rFonts w:hint="eastAsia" w:eastAsia="仿宋_GB2312" w:cs="仿宋_GB2312"/>
          <w:color w:val="auto"/>
          <w:kern w:val="2"/>
          <w:sz w:val="32"/>
          <w:szCs w:val="32"/>
          <w:highlight w:val="none"/>
          <w:lang w:val="en-US" w:eastAsia="zh-CN" w:bidi="ar-SA"/>
        </w:rPr>
        <w:t>0.20</w:t>
      </w:r>
      <w:r>
        <w:rPr>
          <w:rFonts w:hint="eastAsia" w:ascii="仿宋" w:hAnsi="仿宋" w:eastAsia="仿宋"/>
          <w:sz w:val="32"/>
          <w:szCs w:val="32"/>
        </w:rPr>
        <w:t>万元</w:t>
      </w:r>
      <w:r>
        <w:rPr>
          <w:rFonts w:hint="eastAsia" w:ascii="仿宋" w:hAnsi="仿宋" w:eastAsia="仿宋"/>
          <w:sz w:val="32"/>
          <w:szCs w:val="32"/>
          <w:lang w:eastAsia="zh-CN"/>
        </w:rPr>
        <w:t>，又因今年开展业务工作需要支出增加</w:t>
      </w:r>
      <w:r>
        <w:rPr>
          <w:rFonts w:hint="eastAsia" w:eastAsia="仿宋_GB2312" w:cs="仿宋_GB2312"/>
          <w:color w:val="auto"/>
          <w:kern w:val="2"/>
          <w:sz w:val="32"/>
          <w:szCs w:val="32"/>
          <w:highlight w:val="none"/>
          <w:lang w:val="en-US" w:eastAsia="zh-CN" w:bidi="ar-SA"/>
        </w:rPr>
        <w:t>0.30</w:t>
      </w:r>
      <w:r>
        <w:rPr>
          <w:rFonts w:hint="eastAsia" w:ascii="仿宋" w:hAnsi="仿宋" w:eastAsia="仿宋"/>
          <w:sz w:val="32"/>
          <w:szCs w:val="32"/>
          <w:lang w:val="en-US" w:eastAsia="zh-CN"/>
        </w:rPr>
        <w:t>万元，造成增长幅度较大</w:t>
      </w:r>
      <w:r>
        <w:rPr>
          <w:rFonts w:hint="eastAsia" w:ascii="Times New Roman" w:hAnsi="Times New Roman" w:eastAsia="仿宋_GB2312" w:cs="仿宋_GB2312"/>
          <w:color w:val="auto"/>
          <w:kern w:val="2"/>
          <w:sz w:val="32"/>
          <w:szCs w:val="32"/>
          <w:highlight w:val="none"/>
          <w:lang w:val="en-US" w:eastAsia="zh-CN" w:bidi="ar-SA"/>
        </w:rPr>
        <w:t>。其中：</w:t>
      </w:r>
    </w:p>
    <w:p w14:paraId="55BDFDE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eastAsia="仿宋_GB2312" w:cs="仿宋_GB2312"/>
          <w:color w:val="auto"/>
          <w:kern w:val="2"/>
          <w:sz w:val="32"/>
          <w:szCs w:val="32"/>
          <w:highlight w:val="none"/>
          <w:lang w:val="en-US" w:eastAsia="zh-CN" w:bidi="ar-SA"/>
        </w:rPr>
        <w:t>0.50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元，主要用于执行公务、开展业务活动开支的用餐费。国内公务接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eastAsia="仿宋_GB2312" w:cs="仿宋_GB2312"/>
          <w:color w:val="auto"/>
          <w:kern w:val="2"/>
          <w:sz w:val="32"/>
          <w:szCs w:val="32"/>
          <w:highlight w:val="none"/>
          <w:lang w:val="en-US" w:eastAsia="zh-CN" w:bidi="ar-SA"/>
        </w:rPr>
        <w:t>3</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44</w:t>
      </w:r>
      <w:r>
        <w:rPr>
          <w:rFonts w:hint="eastAsia" w:ascii="Times New Roman" w:hAnsi="Times New Roman" w:eastAsia="仿宋_GB2312" w:cs="仿宋_GB2312"/>
          <w:color w:val="auto"/>
          <w:kern w:val="2"/>
          <w:sz w:val="32"/>
          <w:szCs w:val="32"/>
          <w:highlight w:val="none"/>
          <w:lang w:val="en-US" w:eastAsia="zh-CN" w:bidi="ar-SA"/>
        </w:rPr>
        <w:t>人次，共计支出</w:t>
      </w:r>
      <w:r>
        <w:rPr>
          <w:rFonts w:hint="eastAsia" w:eastAsia="仿宋_GB2312" w:cs="仿宋_GB2312"/>
          <w:color w:val="auto"/>
          <w:kern w:val="2"/>
          <w:sz w:val="32"/>
          <w:szCs w:val="32"/>
          <w:highlight w:val="none"/>
          <w:lang w:val="en-US" w:eastAsia="zh-CN" w:bidi="ar-SA"/>
        </w:rPr>
        <w:t>0.50</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eastAsia" w:eastAsia="仿宋_GB2312" w:cs="仿宋_GB2312"/>
          <w:color w:val="auto"/>
          <w:kern w:val="2"/>
          <w:sz w:val="32"/>
          <w:szCs w:val="32"/>
          <w:highlight w:val="none"/>
          <w:lang w:val="en-US" w:eastAsia="zh-CN" w:bidi="ar-SA"/>
        </w:rPr>
        <w:t>学习考察国民经济和社会发展等工作支出0.21万元，拍摄全市人大工作宣传片工作支出0.04万元，考察代表家站建设和运行管理工作支出0.25万元</w:t>
      </w:r>
      <w:r>
        <w:rPr>
          <w:rFonts w:hint="eastAsia" w:ascii="Times New Roman" w:hAnsi="Times New Roman" w:eastAsia="仿宋_GB2312" w:cs="仿宋_GB2312"/>
          <w:color w:val="auto"/>
          <w:kern w:val="2"/>
          <w:sz w:val="32"/>
          <w:szCs w:val="32"/>
          <w:highlight w:val="none"/>
          <w:lang w:val="en-US" w:eastAsia="zh-CN" w:bidi="ar-SA"/>
        </w:rPr>
        <w:t>。</w:t>
      </w:r>
    </w:p>
    <w:p w14:paraId="6E8757C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en-US" w:eastAsia="zh-CN" w:bidi="ar-SA"/>
        </w:rPr>
        <w:t>人次，共计支出</w:t>
      </w:r>
      <w:r>
        <w:rPr>
          <w:rFonts w:hint="eastAsia"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p>
    <w:p w14:paraId="0CC98B84">
      <w:pPr>
        <w:spacing w:line="600" w:lineRule="exact"/>
        <w:ind w:firstLine="640"/>
        <w:outlineLvl w:val="1"/>
        <w:rPr>
          <w:rStyle w:val="31"/>
          <w:rFonts w:ascii="Times New Roman" w:hAnsi="Times New Roman" w:eastAsia="黑体"/>
          <w:color w:val="auto"/>
          <w:highlight w:val="none"/>
        </w:rPr>
      </w:pPr>
      <w:bookmarkStart w:id="34" w:name="_Toc15396610"/>
      <w:bookmarkStart w:id="35" w:name="_Toc15377218"/>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34"/>
      <w:bookmarkEnd w:id="35"/>
    </w:p>
    <w:p w14:paraId="45C58C4B">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2024</w:t>
      </w:r>
      <w:r>
        <w:rPr>
          <w:rFonts w:hint="eastAsia" w:ascii="仿宋_GB2312" w:hAnsi="仿宋_GB2312" w:eastAsia="仿宋_GB2312" w:cs="仿宋_GB2312"/>
          <w:color w:val="auto"/>
          <w:kern w:val="2"/>
          <w:sz w:val="32"/>
          <w:szCs w:val="32"/>
          <w:highlight w:val="none"/>
          <w:lang w:val="en-US" w:eastAsia="zh-CN" w:bidi="ar-SA"/>
        </w:rPr>
        <w:t>年度政府性基金预算财政拨款支出</w:t>
      </w:r>
      <w:r>
        <w:rPr>
          <w:rFonts w:hint="eastAsia" w:eastAsia="仿宋_GB2312" w:cs="仿宋_GB2312"/>
          <w:color w:val="auto"/>
          <w:kern w:val="2"/>
          <w:sz w:val="32"/>
          <w:szCs w:val="32"/>
          <w:highlight w:val="none"/>
          <w:lang w:val="en-US" w:eastAsia="zh-CN" w:bidi="ar-SA"/>
        </w:rPr>
        <w:t>41.37</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6.55%</w:t>
      </w:r>
      <w:r>
        <w:rPr>
          <w:rFonts w:hint="eastAsia" w:ascii="Times New Roman" w:hAnsi="Times New Roman" w:eastAsia="仿宋_GB2312" w:cs="仿宋_GB2312"/>
          <w:color w:val="auto"/>
          <w:kern w:val="2"/>
          <w:sz w:val="32"/>
          <w:szCs w:val="32"/>
          <w:highlight w:val="none"/>
          <w:lang w:val="en-US" w:eastAsia="zh-CN" w:bidi="ar-SA"/>
        </w:rPr>
        <w:t>。</w:t>
      </w:r>
      <w:bookmarkStart w:id="61" w:name="_GoBack"/>
      <w:bookmarkEnd w:id="61"/>
    </w:p>
    <w:p w14:paraId="499421D5">
      <w:pPr>
        <w:numPr>
          <w:ilvl w:val="0"/>
          <w:numId w:val="0"/>
        </w:numPr>
        <w:spacing w:line="600" w:lineRule="exact"/>
        <w:ind w:left="630" w:leftChars="0"/>
        <w:outlineLvl w:val="1"/>
        <w:rPr>
          <w:rStyle w:val="31"/>
          <w:rFonts w:ascii="Times New Roman" w:hAnsi="Times New Roman" w:eastAsia="黑体"/>
          <w:b w:val="0"/>
          <w:color w:val="auto"/>
          <w:highlight w:val="none"/>
        </w:rPr>
      </w:pPr>
      <w:bookmarkStart w:id="36" w:name="_Toc15396611"/>
      <w:bookmarkStart w:id="37" w:name="_Toc15377219"/>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36"/>
      <w:bookmarkEnd w:id="37"/>
    </w:p>
    <w:p w14:paraId="0505635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。与2023年度</w:t>
      </w:r>
      <w:r>
        <w:rPr>
          <w:rFonts w:hint="eastAsia" w:eastAsia="仿宋_GB2312" w:cs="仿宋_GB2312"/>
          <w:color w:val="auto"/>
          <w:kern w:val="2"/>
          <w:sz w:val="32"/>
          <w:szCs w:val="32"/>
          <w:highlight w:val="none"/>
          <w:lang w:val="en-US" w:eastAsia="zh-CN" w:bidi="ar-SA"/>
        </w:rPr>
        <w:t>持平。</w:t>
      </w:r>
    </w:p>
    <w:p w14:paraId="76D02CE0">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bookmarkStart w:id="38" w:name="_Toc15396612"/>
      <w:bookmarkStart w:id="39" w:name="_Toc15377221"/>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38"/>
      <w:bookmarkEnd w:id="39"/>
    </w:p>
    <w:p w14:paraId="27C8310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22"/>
      <w:r>
        <w:rPr>
          <w:rFonts w:hint="eastAsia" w:ascii="Times New Roman" w:hAnsi="Times New Roman" w:eastAsia="楷体_GB2312" w:cs="楷体_GB2312"/>
          <w:b/>
          <w:color w:val="auto"/>
          <w:sz w:val="32"/>
          <w:szCs w:val="32"/>
          <w:highlight w:val="none"/>
        </w:rPr>
        <w:t>（一）机关运行经费支出情况</w:t>
      </w:r>
      <w:bookmarkEnd w:id="40"/>
    </w:p>
    <w:p w14:paraId="17FC003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攀枝花市西区人民代表大会常务委员会办公室</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eastAsia="仿宋_GB2312" w:cs="仿宋_GB2312"/>
          <w:color w:val="auto"/>
          <w:kern w:val="2"/>
          <w:sz w:val="32"/>
          <w:szCs w:val="32"/>
          <w:highlight w:val="none"/>
          <w:lang w:val="en-US" w:eastAsia="zh-CN" w:bidi="ar-SA"/>
        </w:rPr>
        <w:t>44.08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4.40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11.09</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办公费、差旅费等支出增加。</w:t>
      </w:r>
    </w:p>
    <w:p w14:paraId="03D6370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23"/>
      <w:r>
        <w:rPr>
          <w:rFonts w:hint="eastAsia" w:ascii="Times New Roman" w:hAnsi="Times New Roman" w:eastAsia="楷体_GB2312" w:cs="楷体_GB2312"/>
          <w:b/>
          <w:color w:val="auto"/>
          <w:sz w:val="32"/>
          <w:szCs w:val="32"/>
          <w:highlight w:val="none"/>
        </w:rPr>
        <w:t>（二）政府采购支出情况</w:t>
      </w:r>
      <w:bookmarkEnd w:id="41"/>
    </w:p>
    <w:p w14:paraId="33AF26FC">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2024</w:t>
      </w:r>
      <w:r>
        <w:rPr>
          <w:rFonts w:hint="eastAsia" w:ascii="仿宋_GB2312" w:hAnsi="仿宋_GB2312" w:eastAsia="仿宋_GB2312" w:cs="仿宋_GB2312"/>
          <w:color w:val="auto"/>
          <w:kern w:val="2"/>
          <w:sz w:val="32"/>
          <w:szCs w:val="32"/>
          <w:highlight w:val="none"/>
          <w:lang w:val="en-US" w:eastAsia="zh-CN" w:bidi="ar-SA"/>
        </w:rPr>
        <w:t>年度，</w:t>
      </w:r>
      <w:r>
        <w:rPr>
          <w:rFonts w:hint="eastAsia" w:ascii="仿宋_GB2312" w:hAnsi="仿宋_GB2312" w:eastAsia="仿宋_GB2312" w:cs="仿宋_GB2312"/>
          <w:sz w:val="32"/>
          <w:szCs w:val="32"/>
        </w:rPr>
        <w:t>攀枝花市西区人民代表大会常务委员会办公室</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en-US" w:eastAsia="zh-CN" w:bidi="ar-SA"/>
        </w:rPr>
        <w:t>。</w:t>
      </w:r>
    </w:p>
    <w:p w14:paraId="135A160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4"/>
      <w:r>
        <w:rPr>
          <w:rFonts w:hint="eastAsia" w:ascii="Times New Roman" w:hAnsi="Times New Roman" w:eastAsia="楷体_GB2312" w:cs="楷体_GB2312"/>
          <w:b/>
          <w:color w:val="auto"/>
          <w:sz w:val="32"/>
          <w:szCs w:val="32"/>
          <w:highlight w:val="none"/>
        </w:rPr>
        <w:t>（三）国有资产占有使用情况</w:t>
      </w:r>
      <w:bookmarkEnd w:id="42"/>
    </w:p>
    <w:p w14:paraId="766A02B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w:t>
      </w:r>
      <w:r>
        <w:rPr>
          <w:rFonts w:hint="eastAsia" w:eastAsia="仿宋_GB2312" w:cs="仿宋_GB2312"/>
          <w:color w:val="auto"/>
          <w:kern w:val="2"/>
          <w:sz w:val="32"/>
          <w:szCs w:val="32"/>
          <w:highlight w:val="none"/>
          <w:lang w:val="en-US" w:eastAsia="zh-CN" w:bidi="ar-SA"/>
        </w:rPr>
        <w:t>2024</w:t>
      </w:r>
      <w:r>
        <w:rPr>
          <w:rFonts w:hint="eastAsia" w:ascii="仿宋_GB2312" w:hAnsi="仿宋_GB2312" w:eastAsia="仿宋_GB2312" w:cs="仿宋_GB2312"/>
          <w:color w:val="auto"/>
          <w:kern w:val="2"/>
          <w:sz w:val="32"/>
          <w:szCs w:val="32"/>
          <w:highlight w:val="none"/>
          <w:lang w:val="en-US" w:eastAsia="zh-CN" w:bidi="ar-SA"/>
        </w:rPr>
        <w:t>年</w:t>
      </w:r>
      <w:r>
        <w:rPr>
          <w:rFonts w:hint="eastAsia" w:eastAsia="仿宋_GB2312" w:cs="仿宋_GB2312"/>
          <w:color w:val="auto"/>
          <w:kern w:val="2"/>
          <w:sz w:val="32"/>
          <w:szCs w:val="32"/>
          <w:highlight w:val="none"/>
          <w:lang w:val="en-US" w:eastAsia="zh-CN" w:bidi="ar-SA"/>
        </w:rPr>
        <w:t>12</w:t>
      </w:r>
      <w:r>
        <w:rPr>
          <w:rFonts w:hint="eastAsia" w:ascii="仿宋_GB2312" w:hAnsi="仿宋_GB2312" w:eastAsia="仿宋_GB2312" w:cs="仿宋_GB2312"/>
          <w:color w:val="auto"/>
          <w:kern w:val="2"/>
          <w:sz w:val="32"/>
          <w:szCs w:val="32"/>
          <w:highlight w:val="none"/>
          <w:lang w:val="en-US" w:eastAsia="zh-CN" w:bidi="ar-SA"/>
        </w:rPr>
        <w:t>月</w:t>
      </w:r>
      <w:r>
        <w:rPr>
          <w:rFonts w:hint="eastAsia" w:eastAsia="仿宋_GB2312" w:cs="仿宋_GB2312"/>
          <w:color w:val="auto"/>
          <w:kern w:val="2"/>
          <w:sz w:val="32"/>
          <w:szCs w:val="32"/>
          <w:highlight w:val="none"/>
          <w:lang w:val="en-US" w:eastAsia="zh-CN" w:bidi="ar-SA"/>
        </w:rPr>
        <w:t>31</w:t>
      </w:r>
      <w:r>
        <w:rPr>
          <w:rFonts w:hint="eastAsia" w:ascii="仿宋_GB2312" w:hAnsi="仿宋_GB2312" w:eastAsia="仿宋_GB2312" w:cs="仿宋_GB2312"/>
          <w:color w:val="auto"/>
          <w:kern w:val="2"/>
          <w:sz w:val="32"/>
          <w:szCs w:val="32"/>
          <w:highlight w:val="none"/>
          <w:lang w:val="en-US" w:eastAsia="zh-CN" w:bidi="ar-SA"/>
        </w:rPr>
        <w:t>日，</w:t>
      </w:r>
      <w:r>
        <w:rPr>
          <w:rFonts w:hint="eastAsia" w:ascii="仿宋_GB2312" w:hAnsi="仿宋_GB2312" w:eastAsia="仿宋_GB2312" w:cs="仿宋_GB2312"/>
          <w:sz w:val="32"/>
          <w:szCs w:val="32"/>
        </w:rPr>
        <w:t>攀枝花市西区人民代表大会常务委员会办公室</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en-US" w:eastAsia="zh-CN" w:bidi="ar-SA"/>
        </w:rPr>
        <w:t>辆。单价</w:t>
      </w:r>
      <w:r>
        <w:rPr>
          <w:rFonts w:hint="eastAsia" w:eastAsia="仿宋_GB2312" w:cs="仿宋_GB2312"/>
          <w:color w:val="auto"/>
          <w:kern w:val="2"/>
          <w:sz w:val="32"/>
          <w:szCs w:val="32"/>
          <w:highlight w:val="none"/>
          <w:lang w:val="en-US" w:eastAsia="zh-CN" w:bidi="ar-SA"/>
        </w:rPr>
        <w:t>100</w:t>
      </w:r>
      <w:r>
        <w:rPr>
          <w:rFonts w:hint="eastAsia" w:ascii="仿宋_GB2312" w:hAnsi="仿宋_GB2312" w:eastAsia="仿宋_GB2312" w:cs="仿宋_GB2312"/>
          <w:color w:val="auto"/>
          <w:kern w:val="2"/>
          <w:sz w:val="32"/>
          <w:szCs w:val="32"/>
          <w:highlight w:val="none"/>
          <w:lang w:val="en-US" w:eastAsia="zh-CN" w:bidi="ar-SA"/>
        </w:rPr>
        <w:t>万元（含）以上设备（不含车辆）</w:t>
      </w:r>
      <w:r>
        <w:rPr>
          <w:rFonts w:hint="eastAsia"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52EA549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72BD498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eastAsia="仿宋_GB2312"/>
          <w:sz w:val="32"/>
          <w:szCs w:val="32"/>
        </w:rPr>
        <w:t>根据预算绩效管理要求，本单位在</w:t>
      </w:r>
      <w:r>
        <w:rPr>
          <w:rFonts w:hint="eastAsia" w:eastAsia="仿宋_GB2312" w:cs="仿宋_GB2312"/>
          <w:color w:val="auto"/>
          <w:kern w:val="2"/>
          <w:sz w:val="32"/>
          <w:szCs w:val="32"/>
          <w:highlight w:val="none"/>
          <w:lang w:val="en-US" w:eastAsia="zh-CN" w:bidi="ar-SA"/>
        </w:rPr>
        <w:t>2024</w:t>
      </w:r>
      <w:r>
        <w:rPr>
          <w:rFonts w:hint="eastAsia" w:ascii="仿宋_GB2312" w:eastAsia="仿宋_GB2312"/>
          <w:sz w:val="32"/>
          <w:szCs w:val="32"/>
        </w:rPr>
        <w:t>年度预算编制阶段，组织对人大业务经费</w:t>
      </w:r>
      <w:r>
        <w:rPr>
          <w:rFonts w:hint="eastAsia" w:ascii="仿宋_GB2312" w:eastAsia="仿宋_GB2312"/>
          <w:sz w:val="32"/>
          <w:szCs w:val="32"/>
          <w:lang w:eastAsia="zh-CN"/>
        </w:rPr>
        <w:t>、市人大代表履职活动经费及基层立法联系点补助经费、人民代表大会会议经费、人大代表“家、站”工作经费</w:t>
      </w:r>
      <w:r>
        <w:rPr>
          <w:rFonts w:hint="eastAsia" w:ascii="仿宋_GB2312" w:eastAsia="仿宋_GB2312"/>
          <w:sz w:val="32"/>
          <w:szCs w:val="32"/>
          <w:lang w:val="en-US" w:eastAsia="zh-CN"/>
        </w:rPr>
        <w:t>4</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4</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4</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4</w:t>
      </w:r>
      <w:r>
        <w:rPr>
          <w:rFonts w:hint="eastAsia" w:ascii="仿宋_GB2312" w:eastAsia="仿宋_GB2312"/>
          <w:sz w:val="32"/>
          <w:szCs w:val="32"/>
        </w:rPr>
        <w:t>个项目开展绩效自评，绩效自评表详见第四部分附件。</w:t>
      </w:r>
    </w:p>
    <w:p w14:paraId="25659FD1">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17A81D9A">
      <w:pPr>
        <w:pStyle w:val="14"/>
        <w:rPr>
          <w:rFonts w:hint="eastAsia" w:ascii="Times New Roman" w:hAnsi="Times New Roman" w:eastAsia="仿宋_GB2312" w:cs="仿宋_GB2312"/>
          <w:b/>
          <w:bCs/>
          <w:color w:val="auto"/>
          <w:kern w:val="2"/>
          <w:sz w:val="32"/>
          <w:szCs w:val="32"/>
          <w:highlight w:val="none"/>
          <w:lang w:val="en-US" w:eastAsia="zh-CN" w:bidi="ar-SA"/>
        </w:rPr>
      </w:pPr>
    </w:p>
    <w:p w14:paraId="247FEE8D">
      <w:pPr>
        <w:pStyle w:val="8"/>
        <w:rPr>
          <w:rFonts w:hint="eastAsia" w:ascii="Times New Roman" w:hAnsi="Times New Roman" w:eastAsia="仿宋_GB2312" w:cs="仿宋_GB2312"/>
          <w:b/>
          <w:bCs/>
          <w:color w:val="auto"/>
          <w:kern w:val="2"/>
          <w:sz w:val="32"/>
          <w:szCs w:val="32"/>
          <w:highlight w:val="none"/>
          <w:lang w:val="en-US" w:eastAsia="zh-CN" w:bidi="ar-SA"/>
        </w:rPr>
      </w:pPr>
    </w:p>
    <w:p w14:paraId="14100E58">
      <w:pPr>
        <w:pStyle w:val="8"/>
        <w:rPr>
          <w:rFonts w:hint="eastAsia" w:ascii="Times New Roman" w:hAnsi="Times New Roman" w:eastAsia="仿宋_GB2312" w:cs="仿宋_GB2312"/>
          <w:b/>
          <w:bCs/>
          <w:color w:val="auto"/>
          <w:kern w:val="2"/>
          <w:sz w:val="32"/>
          <w:szCs w:val="32"/>
          <w:highlight w:val="none"/>
          <w:lang w:val="en-US" w:eastAsia="zh-CN" w:bidi="ar-SA"/>
        </w:rPr>
      </w:pPr>
    </w:p>
    <w:p w14:paraId="17388FE6">
      <w:pPr>
        <w:pStyle w:val="8"/>
        <w:rPr>
          <w:rFonts w:hint="eastAsia" w:ascii="Times New Roman" w:hAnsi="Times New Roman" w:eastAsia="仿宋_GB2312" w:cs="仿宋_GB2312"/>
          <w:b/>
          <w:bCs/>
          <w:color w:val="auto"/>
          <w:kern w:val="2"/>
          <w:sz w:val="32"/>
          <w:szCs w:val="32"/>
          <w:highlight w:val="none"/>
          <w:lang w:val="en-US" w:eastAsia="zh-CN" w:bidi="ar-SA"/>
        </w:rPr>
      </w:pPr>
    </w:p>
    <w:p w14:paraId="2F22F31B">
      <w:pPr>
        <w:pStyle w:val="8"/>
        <w:rPr>
          <w:rFonts w:hint="eastAsia" w:ascii="Times New Roman" w:hAnsi="Times New Roman" w:eastAsia="仿宋_GB2312" w:cs="仿宋_GB2312"/>
          <w:b/>
          <w:bCs/>
          <w:color w:val="auto"/>
          <w:kern w:val="2"/>
          <w:sz w:val="32"/>
          <w:szCs w:val="32"/>
          <w:highlight w:val="none"/>
          <w:lang w:val="en-US" w:eastAsia="zh-CN" w:bidi="ar-SA"/>
        </w:rPr>
      </w:pPr>
    </w:p>
    <w:p w14:paraId="5894B5C8">
      <w:pPr>
        <w:pStyle w:val="8"/>
        <w:rPr>
          <w:rFonts w:hint="eastAsia" w:ascii="Times New Roman" w:hAnsi="Times New Roman" w:eastAsia="仿宋_GB2312" w:cs="仿宋_GB2312"/>
          <w:b/>
          <w:bCs/>
          <w:color w:val="auto"/>
          <w:kern w:val="2"/>
          <w:sz w:val="32"/>
          <w:szCs w:val="32"/>
          <w:highlight w:val="none"/>
          <w:lang w:val="en-US" w:eastAsia="zh-CN" w:bidi="ar-SA"/>
        </w:rPr>
      </w:pPr>
    </w:p>
    <w:p w14:paraId="661BDA20">
      <w:pPr>
        <w:pStyle w:val="8"/>
        <w:rPr>
          <w:rFonts w:hint="eastAsia" w:ascii="Times New Roman" w:hAnsi="Times New Roman" w:eastAsia="仿宋_GB2312" w:cs="仿宋_GB2312"/>
          <w:b/>
          <w:bCs/>
          <w:color w:val="auto"/>
          <w:kern w:val="2"/>
          <w:sz w:val="32"/>
          <w:szCs w:val="32"/>
          <w:highlight w:val="none"/>
          <w:lang w:val="en-US" w:eastAsia="zh-CN" w:bidi="ar-SA"/>
        </w:rPr>
      </w:pPr>
    </w:p>
    <w:p w14:paraId="7F6DC413">
      <w:pPr>
        <w:pStyle w:val="8"/>
        <w:rPr>
          <w:rFonts w:hint="eastAsia" w:ascii="Times New Roman" w:hAnsi="Times New Roman" w:eastAsia="仿宋_GB2312" w:cs="仿宋_GB2312"/>
          <w:b/>
          <w:bCs/>
          <w:color w:val="auto"/>
          <w:kern w:val="2"/>
          <w:sz w:val="32"/>
          <w:szCs w:val="32"/>
          <w:highlight w:val="none"/>
          <w:lang w:val="en-US" w:eastAsia="zh-CN" w:bidi="ar-SA"/>
        </w:rPr>
      </w:pPr>
    </w:p>
    <w:p w14:paraId="502A67CD">
      <w:pPr>
        <w:pStyle w:val="8"/>
        <w:rPr>
          <w:rFonts w:hint="eastAsia" w:ascii="Times New Roman" w:hAnsi="Times New Roman" w:eastAsia="仿宋_GB2312" w:cs="仿宋_GB2312"/>
          <w:b/>
          <w:bCs/>
          <w:color w:val="auto"/>
          <w:kern w:val="2"/>
          <w:sz w:val="32"/>
          <w:szCs w:val="32"/>
          <w:highlight w:val="none"/>
          <w:lang w:val="en-US" w:eastAsia="zh-CN" w:bidi="ar-SA"/>
        </w:rPr>
      </w:pPr>
    </w:p>
    <w:p w14:paraId="7F1DA1F8">
      <w:pPr>
        <w:pStyle w:val="8"/>
        <w:rPr>
          <w:rFonts w:hint="eastAsia" w:ascii="Times New Roman" w:hAnsi="Times New Roman" w:eastAsia="仿宋_GB2312" w:cs="仿宋_GB2312"/>
          <w:b/>
          <w:bCs/>
          <w:color w:val="auto"/>
          <w:kern w:val="2"/>
          <w:sz w:val="32"/>
          <w:szCs w:val="32"/>
          <w:highlight w:val="none"/>
          <w:lang w:val="en-US" w:eastAsia="zh-CN" w:bidi="ar-SA"/>
        </w:rPr>
      </w:pPr>
    </w:p>
    <w:p w14:paraId="34D4635A">
      <w:pPr>
        <w:pStyle w:val="8"/>
        <w:rPr>
          <w:rFonts w:hint="eastAsia" w:ascii="Times New Roman" w:hAnsi="Times New Roman" w:eastAsia="仿宋_GB2312" w:cs="仿宋_GB2312"/>
          <w:b/>
          <w:bCs/>
          <w:color w:val="auto"/>
          <w:kern w:val="2"/>
          <w:sz w:val="32"/>
          <w:szCs w:val="32"/>
          <w:highlight w:val="none"/>
          <w:lang w:val="en-US" w:eastAsia="zh-CN" w:bidi="ar-SA"/>
        </w:rPr>
      </w:pPr>
    </w:p>
    <w:p w14:paraId="24DEE0D5">
      <w:pPr>
        <w:pStyle w:val="8"/>
        <w:rPr>
          <w:rFonts w:hint="eastAsia" w:ascii="Times New Roman" w:hAnsi="Times New Roman" w:eastAsia="仿宋_GB2312" w:cs="仿宋_GB2312"/>
          <w:b/>
          <w:bCs/>
          <w:color w:val="auto"/>
          <w:kern w:val="2"/>
          <w:sz w:val="32"/>
          <w:szCs w:val="32"/>
          <w:highlight w:val="none"/>
          <w:lang w:val="en-US" w:eastAsia="zh-CN" w:bidi="ar-SA"/>
        </w:rPr>
      </w:pPr>
    </w:p>
    <w:p w14:paraId="6C0AC789">
      <w:pPr>
        <w:pStyle w:val="8"/>
        <w:rPr>
          <w:rFonts w:hint="eastAsia" w:ascii="Times New Roman" w:hAnsi="Times New Roman" w:eastAsia="仿宋_GB2312" w:cs="仿宋_GB2312"/>
          <w:b/>
          <w:bCs/>
          <w:color w:val="auto"/>
          <w:kern w:val="2"/>
          <w:sz w:val="32"/>
          <w:szCs w:val="32"/>
          <w:highlight w:val="none"/>
          <w:lang w:val="en-US" w:eastAsia="zh-CN" w:bidi="ar-SA"/>
        </w:rPr>
      </w:pPr>
    </w:p>
    <w:p w14:paraId="466D29B5">
      <w:pPr>
        <w:pStyle w:val="8"/>
        <w:rPr>
          <w:rFonts w:hint="eastAsia" w:ascii="Times New Roman" w:hAnsi="Times New Roman" w:eastAsia="仿宋_GB2312" w:cs="仿宋_GB2312"/>
          <w:b/>
          <w:bCs/>
          <w:color w:val="auto"/>
          <w:kern w:val="2"/>
          <w:sz w:val="32"/>
          <w:szCs w:val="32"/>
          <w:highlight w:val="none"/>
          <w:lang w:val="en-US" w:eastAsia="zh-CN" w:bidi="ar-SA"/>
        </w:rPr>
      </w:pPr>
    </w:p>
    <w:p w14:paraId="03ED1B62">
      <w:pPr>
        <w:pStyle w:val="8"/>
        <w:rPr>
          <w:rFonts w:hint="eastAsia" w:ascii="Times New Roman" w:hAnsi="Times New Roman" w:eastAsia="仿宋_GB2312" w:cs="仿宋_GB2312"/>
          <w:b/>
          <w:bCs/>
          <w:color w:val="auto"/>
          <w:kern w:val="2"/>
          <w:sz w:val="32"/>
          <w:szCs w:val="32"/>
          <w:highlight w:val="none"/>
          <w:lang w:val="en-US" w:eastAsia="zh-CN" w:bidi="ar-SA"/>
        </w:rPr>
      </w:pPr>
    </w:p>
    <w:p w14:paraId="1FA2F5F5">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3" w:name="_Toc15396613"/>
      <w:bookmarkStart w:id="44"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3"/>
      <w:bookmarkEnd w:id="44"/>
    </w:p>
    <w:p w14:paraId="3879A67B">
      <w:pPr>
        <w:spacing w:line="600" w:lineRule="exact"/>
        <w:jc w:val="left"/>
        <w:rPr>
          <w:rFonts w:ascii="Times New Roman" w:hAnsi="Times New Roman"/>
          <w:b/>
          <w:color w:val="auto"/>
          <w:sz w:val="44"/>
          <w:szCs w:val="44"/>
          <w:highlight w:val="none"/>
        </w:rPr>
      </w:pPr>
    </w:p>
    <w:p w14:paraId="28EEF66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5E44C7D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 xml:space="preserve">.年初结转和结余：指以前年度尚未完成、结转到本年按有关规定继续使用的资金。 </w:t>
      </w:r>
    </w:p>
    <w:p w14:paraId="3BFE4D2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.年末结转和结余：指单位按有关规定结转到下年或以后年度继续使用的资金。</w:t>
      </w:r>
    </w:p>
    <w:p w14:paraId="6701D095">
      <w:pPr>
        <w:spacing w:line="600" w:lineRule="exact"/>
        <w:ind w:firstLine="640" w:firstLineChars="200"/>
        <w:rPr>
          <w:rFonts w:ascii="仿宋" w:hAnsi="仿宋" w:eastAsia="仿宋"/>
          <w:color w:val="000000"/>
          <w:sz w:val="32"/>
          <w:szCs w:val="32"/>
        </w:rPr>
      </w:pPr>
      <w:r>
        <w:rPr>
          <w:rFonts w:hint="eastAsia" w:ascii="仿宋_GB2312" w:eastAsia="仿宋_GB2312"/>
          <w:color w:val="000000"/>
          <w:sz w:val="32"/>
          <w:szCs w:val="32"/>
          <w:lang w:val="en-US" w:eastAsia="zh-CN"/>
        </w:rPr>
        <w:t>4</w:t>
      </w:r>
      <w:r>
        <w:rPr>
          <w:rFonts w:ascii="仿宋_GB2312" w:eastAsia="仿宋_GB2312"/>
          <w:color w:val="000000"/>
          <w:sz w:val="32"/>
          <w:szCs w:val="32"/>
        </w:rPr>
        <w:t>.</w:t>
      </w:r>
      <w:r>
        <w:rPr>
          <w:rFonts w:hint="eastAsia" w:ascii="仿宋" w:hAnsi="仿宋" w:eastAsia="仿宋"/>
          <w:color w:val="000000"/>
          <w:sz w:val="32"/>
          <w:szCs w:val="32"/>
        </w:rPr>
        <w:t>一般公共服务支出（类）人大事务（款）行政运行（项）：反映行政单位（包括实行公务员管理的事业单位）的基本支出；代表工作（项）：反映人大代表开展各类视察等方面的支出；事业运行（项）：反映事业单位的基本支出，不包括行政单位（包括实行公务员管理的事业单位）后勤服务中心、医务室等附属事业单位。</w:t>
      </w:r>
    </w:p>
    <w:p w14:paraId="22719C1D">
      <w:pPr>
        <w:spacing w:line="600" w:lineRule="exact"/>
        <w:ind w:firstLine="640" w:firstLineChars="200"/>
        <w:rPr>
          <w:rFonts w:hint="eastAsia" w:ascii="仿宋" w:hAnsi="仿宋" w:eastAsia="仿宋"/>
          <w:color w:val="000000"/>
          <w:sz w:val="32"/>
          <w:szCs w:val="32"/>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.社会保障和就业支出（类）行政事业单位养老支出（款）</w:t>
      </w:r>
      <w:r>
        <w:rPr>
          <w:rFonts w:hint="eastAsia" w:ascii="仿宋" w:hAnsi="仿宋" w:eastAsia="仿宋"/>
          <w:color w:val="000000"/>
          <w:sz w:val="32"/>
          <w:szCs w:val="32"/>
        </w:rPr>
        <w:t>行政单位离退休（项）：反映行政单位（包括实行公务员管理的事业单位）开支的离退休经费；</w:t>
      </w:r>
      <w:r>
        <w:rPr>
          <w:rFonts w:hint="eastAsia" w:ascii="仿宋_GB2312" w:eastAsia="仿宋_GB2312"/>
          <w:color w:val="000000"/>
          <w:sz w:val="32"/>
          <w:szCs w:val="32"/>
        </w:rPr>
        <w:t>机关事业单位基本养老保险缴费支出（项）：反映机关事业单位实施养老保险制度由单位缴纳的基本养老保险费支出。机关事业单位职业年金缴费支出（项）：反映机关事业单位实施养老保险制度由单位实际缴纳的职业年金支出。</w:t>
      </w:r>
    </w:p>
    <w:p w14:paraId="50344887">
      <w:pPr>
        <w:ind w:firstLine="640" w:firstLineChars="200"/>
        <w:rPr>
          <w:rFonts w:hint="default" w:ascii="仿宋_GB2312" w:eastAsia="仿宋_GB2312"/>
          <w:color w:val="000000"/>
          <w:sz w:val="32"/>
          <w:szCs w:val="32"/>
          <w:lang w:val="en-US"/>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卫生健康支出（类）行政事业单位医疗（款）行政单位医疗（项）：反映财政部门集中安排的行政单位基本医疗保险缴费经费，未参加医疗保险的行政单位的公费医疗保险经费，按国家规定享受离休人员和红军老战士待遇人员的医疗经费；</w:t>
      </w:r>
      <w:r>
        <w:rPr>
          <w:rFonts w:hint="eastAsia" w:ascii="仿宋" w:hAnsi="仿宋" w:eastAsia="仿宋"/>
          <w:color w:val="000000"/>
          <w:sz w:val="32"/>
          <w:szCs w:val="32"/>
        </w:rPr>
        <w:t>事业单位医疗（项）：反映财政部门集中安排的事业单位基本医疗保险缴费经费，未参加医疗保险的事业单位公费医疗经费，按国家规定享受离休人员待遇人员的医疗经费；</w:t>
      </w:r>
      <w:r>
        <w:rPr>
          <w:rFonts w:hint="eastAsia" w:ascii="仿宋_GB2312" w:eastAsia="仿宋_GB2312"/>
          <w:color w:val="000000"/>
          <w:sz w:val="32"/>
          <w:szCs w:val="32"/>
        </w:rPr>
        <w:t>公务员医疗补助（项）：反映财政部门集中安排的公务员医疗补助经费</w:t>
      </w:r>
      <w:r>
        <w:rPr>
          <w:rFonts w:hint="eastAsia" w:ascii="仿宋_GB2312" w:eastAsia="仿宋_GB2312"/>
          <w:color w:val="000000"/>
          <w:sz w:val="32"/>
          <w:szCs w:val="32"/>
          <w:lang w:eastAsia="zh-CN"/>
        </w:rPr>
        <w:t>；其他行政事业单位医疗支出</w:t>
      </w:r>
      <w:r>
        <w:rPr>
          <w:rFonts w:hint="eastAsia" w:ascii="仿宋" w:hAnsi="仿宋" w:eastAsia="仿宋"/>
          <w:color w:val="000000"/>
          <w:sz w:val="32"/>
          <w:szCs w:val="32"/>
        </w:rPr>
        <w:t>（项）：反映</w:t>
      </w:r>
      <w:r>
        <w:rPr>
          <w:rFonts w:hint="eastAsia" w:ascii="仿宋" w:hAnsi="仿宋" w:eastAsia="仿宋"/>
          <w:color w:val="000000"/>
          <w:sz w:val="32"/>
          <w:szCs w:val="32"/>
          <w:lang w:eastAsia="zh-CN"/>
        </w:rPr>
        <w:t>除上述项目以外其他用于行政事业单位医疗方面的支出。</w:t>
      </w:r>
    </w:p>
    <w:p w14:paraId="2ADCF1A5">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.城乡社区支出（类）国有土地使用权出让收入及对应专项债务收入安排的支出（款）土地开发支出（项）：反映新疆生产建设兵团和地方政府用于前期土地开发性支出以及与前期土地开发相关的费用等支出。</w:t>
      </w:r>
    </w:p>
    <w:p w14:paraId="2B2ECC4E">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.住房保障支出（类）住房改革支出（款）住房公积金（项）：指行政事业单位按人力资源和社会保障部、财政部规定的基本工资和津贴补贴以及规定比例为职工缴纳的住房公积金。</w:t>
      </w:r>
    </w:p>
    <w:p w14:paraId="0B256DE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287E7E9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0EAC276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1FA95C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D7DAE16">
      <w:pPr>
        <w:spacing w:line="600" w:lineRule="exact"/>
        <w:jc w:val="center"/>
        <w:outlineLvl w:val="0"/>
        <w:rPr>
          <w:rStyle w:val="37"/>
          <w:rFonts w:ascii="黑体" w:hAnsi="黑体" w:eastAsia="黑体"/>
          <w:b w:val="0"/>
        </w:rPr>
      </w:pPr>
      <w:bookmarkStart w:id="45"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46" w:name="_Toc15396614"/>
      <w:r>
        <w:rPr>
          <w:rFonts w:hint="eastAsia" w:ascii="黑体" w:hAnsi="黑体" w:eastAsia="黑体"/>
          <w:sz w:val="44"/>
          <w:szCs w:val="44"/>
        </w:rPr>
        <w:t>第</w:t>
      </w:r>
      <w:r>
        <w:rPr>
          <w:rStyle w:val="37"/>
          <w:rFonts w:hint="eastAsia" w:ascii="黑体" w:hAnsi="黑体" w:eastAsia="黑体"/>
          <w:b w:val="0"/>
        </w:rPr>
        <w:t>四部分 附件</w:t>
      </w:r>
      <w:bookmarkEnd w:id="46"/>
    </w:p>
    <w:p w14:paraId="10066C5B">
      <w:pPr>
        <w:spacing w:line="572" w:lineRule="exact"/>
        <w:jc w:val="left"/>
        <w:outlineLvl w:val="0"/>
        <w:rPr>
          <w:rFonts w:ascii="仿宋_GB2312" w:hAnsi="仿宋_GB2312" w:eastAsia="仿宋_GB2312" w:cs="仿宋_GB2312"/>
          <w:sz w:val="32"/>
          <w:szCs w:val="32"/>
        </w:rPr>
      </w:pPr>
    </w:p>
    <w:p w14:paraId="7B1577BE">
      <w:pPr>
        <w:spacing w:line="600" w:lineRule="exact"/>
        <w:jc w:val="center"/>
        <w:outlineLvl w:val="0"/>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sz w:val="32"/>
          <w:szCs w:val="32"/>
        </w:rPr>
        <w:t>部门预算项目支出绩效自评表（</w:t>
      </w:r>
      <w:r>
        <w:rPr>
          <w:rFonts w:hint="eastAsia" w:eastAsia="仿宋_GB2312" w:cs="仿宋_GB2312"/>
          <w:color w:val="auto"/>
          <w:kern w:val="2"/>
          <w:sz w:val="32"/>
          <w:szCs w:val="32"/>
          <w:highlight w:val="none"/>
          <w:lang w:val="en-US" w:eastAsia="zh-CN" w:bidi="ar-SA"/>
        </w:rPr>
        <w:t>2024</w:t>
      </w:r>
      <w:r>
        <w:rPr>
          <w:rFonts w:hint="eastAsia"/>
          <w:sz w:val="32"/>
          <w:szCs w:val="32"/>
        </w:rPr>
        <w:t>年度）</w:t>
      </w:r>
      <w:r>
        <w:rPr>
          <w:rFonts w:hint="eastAsia" w:ascii="方正仿宋_GBK" w:hAnsi="方正仿宋_GBK" w:eastAsia="方正仿宋_GBK" w:cs="方正仿宋_GBK"/>
          <w:sz w:val="32"/>
          <w:szCs w:val="32"/>
        </w:rPr>
        <w:t>（见附件</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w:t>
      </w:r>
    </w:p>
    <w:p w14:paraId="2040A30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47"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70E99982">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 附表</w:t>
      </w:r>
      <w:bookmarkEnd w:id="45"/>
      <w:bookmarkEnd w:id="47"/>
      <w:bookmarkStart w:id="48" w:name="_Toc15396619"/>
    </w:p>
    <w:p w14:paraId="5572EA0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21562D8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8"/>
    </w:p>
    <w:p w14:paraId="066E5B5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9" w:name="_Toc15396620"/>
      <w:r>
        <w:rPr>
          <w:rFonts w:hint="eastAsia" w:ascii="Times New Roman" w:hAnsi="Times New Roman" w:eastAsia="仿宋_GB2312" w:cs="仿宋_GB2312"/>
          <w:color w:val="auto"/>
          <w:sz w:val="32"/>
          <w:szCs w:val="32"/>
          <w:highlight w:val="none"/>
        </w:rPr>
        <w:t>二、收入决算表</w:t>
      </w:r>
      <w:bookmarkEnd w:id="49"/>
    </w:p>
    <w:p w14:paraId="4E67957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1"/>
      <w:r>
        <w:rPr>
          <w:rFonts w:hint="eastAsia" w:ascii="Times New Roman" w:hAnsi="Times New Roman" w:eastAsia="仿宋_GB2312" w:cs="仿宋_GB2312"/>
          <w:color w:val="auto"/>
          <w:sz w:val="32"/>
          <w:szCs w:val="32"/>
          <w:highlight w:val="none"/>
        </w:rPr>
        <w:t>三、支出决算表</w:t>
      </w:r>
      <w:bookmarkEnd w:id="50"/>
    </w:p>
    <w:p w14:paraId="0EC86E3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2"/>
      <w:r>
        <w:rPr>
          <w:rFonts w:hint="eastAsia" w:ascii="Times New Roman" w:hAnsi="Times New Roman" w:eastAsia="仿宋_GB2312" w:cs="仿宋_GB2312"/>
          <w:color w:val="auto"/>
          <w:sz w:val="32"/>
          <w:szCs w:val="32"/>
          <w:highlight w:val="none"/>
        </w:rPr>
        <w:t>四、财政拨款收入支出决算总表</w:t>
      </w:r>
      <w:bookmarkEnd w:id="51"/>
    </w:p>
    <w:p w14:paraId="768EFE0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3"/>
      <w:r>
        <w:rPr>
          <w:rFonts w:hint="eastAsia" w:ascii="Times New Roman" w:hAnsi="Times New Roman" w:eastAsia="仿宋_GB2312" w:cs="仿宋_GB2312"/>
          <w:color w:val="auto"/>
          <w:sz w:val="32"/>
          <w:szCs w:val="32"/>
          <w:highlight w:val="none"/>
        </w:rPr>
        <w:t>五、财政拨款支出决算明细表</w:t>
      </w:r>
      <w:bookmarkEnd w:id="52"/>
      <w:bookmarkStart w:id="53" w:name="_Toc15396624"/>
    </w:p>
    <w:p w14:paraId="4BE54F7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3"/>
    </w:p>
    <w:p w14:paraId="520B69A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5"/>
      <w:r>
        <w:rPr>
          <w:rFonts w:hint="eastAsia" w:ascii="Times New Roman" w:hAnsi="Times New Roman" w:eastAsia="仿宋_GB2312" w:cs="仿宋_GB2312"/>
          <w:color w:val="auto"/>
          <w:sz w:val="32"/>
          <w:szCs w:val="32"/>
          <w:highlight w:val="none"/>
        </w:rPr>
        <w:t>七、一般公共预算财政拨款支出决算明细表</w:t>
      </w:r>
      <w:bookmarkEnd w:id="54"/>
    </w:p>
    <w:p w14:paraId="18A4C64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6"/>
      <w:r>
        <w:rPr>
          <w:rFonts w:hint="eastAsia" w:ascii="Times New Roman" w:hAnsi="Times New Roman" w:eastAsia="仿宋_GB2312" w:cs="仿宋_GB2312"/>
          <w:color w:val="auto"/>
          <w:sz w:val="32"/>
          <w:szCs w:val="32"/>
          <w:highlight w:val="none"/>
        </w:rPr>
        <w:t>八、一般公共预算财政拨款基本支出决算表</w:t>
      </w:r>
      <w:bookmarkEnd w:id="55"/>
    </w:p>
    <w:p w14:paraId="186A108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7"/>
      <w:r>
        <w:rPr>
          <w:rFonts w:hint="eastAsia" w:ascii="Times New Roman" w:hAnsi="Times New Roman" w:eastAsia="仿宋_GB2312" w:cs="仿宋_GB2312"/>
          <w:color w:val="auto"/>
          <w:sz w:val="32"/>
          <w:szCs w:val="32"/>
          <w:highlight w:val="none"/>
        </w:rPr>
        <w:t>九、一般公共预算财政拨款项目支出决算表</w:t>
      </w:r>
      <w:bookmarkEnd w:id="56"/>
    </w:p>
    <w:p w14:paraId="7D5A156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8"/>
      <w:r>
        <w:rPr>
          <w:rFonts w:hint="eastAsia" w:ascii="Times New Roman" w:hAnsi="Times New Roman" w:eastAsia="仿宋_GB2312" w:cs="仿宋_GB2312"/>
          <w:color w:val="auto"/>
          <w:sz w:val="32"/>
          <w:szCs w:val="32"/>
          <w:highlight w:val="none"/>
        </w:rPr>
        <w:t>十、</w:t>
      </w:r>
      <w:bookmarkEnd w:id="57"/>
      <w:r>
        <w:rPr>
          <w:rFonts w:hint="eastAsia" w:ascii="Times New Roman" w:hAnsi="Times New Roman" w:eastAsia="仿宋_GB2312" w:cs="仿宋_GB2312"/>
          <w:color w:val="auto"/>
          <w:sz w:val="32"/>
          <w:szCs w:val="32"/>
          <w:highlight w:val="none"/>
        </w:rPr>
        <w:t>政府性基金预算财政拨款收入支出决算表</w:t>
      </w:r>
    </w:p>
    <w:p w14:paraId="3E459A3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9"/>
      <w:r>
        <w:rPr>
          <w:rFonts w:hint="eastAsia" w:ascii="Times New Roman" w:hAnsi="Times New Roman" w:eastAsia="仿宋_GB2312" w:cs="仿宋_GB2312"/>
          <w:color w:val="auto"/>
          <w:sz w:val="32"/>
          <w:szCs w:val="32"/>
          <w:highlight w:val="none"/>
        </w:rPr>
        <w:t>十一、</w:t>
      </w:r>
      <w:bookmarkEnd w:id="58"/>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1ABC257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30"/>
      <w:r>
        <w:rPr>
          <w:rFonts w:hint="eastAsia" w:ascii="Times New Roman" w:hAnsi="Times New Roman" w:eastAsia="仿宋_GB2312" w:cs="仿宋_GB2312"/>
          <w:color w:val="auto"/>
          <w:sz w:val="32"/>
          <w:szCs w:val="32"/>
          <w:highlight w:val="none"/>
        </w:rPr>
        <w:t>十二、</w:t>
      </w:r>
      <w:bookmarkEnd w:id="59"/>
      <w:r>
        <w:rPr>
          <w:rFonts w:hint="eastAsia" w:ascii="Times New Roman" w:hAnsi="Times New Roman" w:eastAsia="仿宋_GB2312" w:cs="仿宋_GB2312"/>
          <w:color w:val="auto"/>
          <w:sz w:val="32"/>
          <w:szCs w:val="32"/>
          <w:highlight w:val="none"/>
          <w:lang w:eastAsia="zh-CN"/>
        </w:rPr>
        <w:t>国有资本经营预算财政拨款支出决算表</w:t>
      </w:r>
    </w:p>
    <w:p w14:paraId="2DAD5A9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0" w:name="_Toc15396631"/>
      <w:r>
        <w:rPr>
          <w:rFonts w:hint="eastAsia" w:ascii="Times New Roman" w:hAnsi="Times New Roman" w:eastAsia="仿宋_GB2312" w:cs="仿宋_GB2312"/>
          <w:color w:val="auto"/>
          <w:sz w:val="32"/>
          <w:szCs w:val="32"/>
          <w:highlight w:val="none"/>
        </w:rPr>
        <w:t>十三、</w:t>
      </w:r>
      <w:bookmarkEnd w:id="60"/>
      <w:r>
        <w:rPr>
          <w:rFonts w:hint="eastAsia" w:ascii="Times New Roman" w:hAnsi="Times New Roman" w:eastAsia="仿宋_GB2312" w:cs="仿宋_GB2312"/>
          <w:color w:val="auto"/>
          <w:sz w:val="32"/>
          <w:szCs w:val="32"/>
          <w:highlight w:val="none"/>
          <w:lang w:eastAsia="zh-CN"/>
        </w:rPr>
        <w:t>财政拨款“三公”经费支出决算表</w:t>
      </w:r>
    </w:p>
    <w:p w14:paraId="77B3124B">
      <w:pPr>
        <w:rPr>
          <w:rFonts w:hint="eastAsia" w:ascii="Times New Roman" w:hAnsi="Times New Roman"/>
          <w:lang w:eastAsia="zh-CN"/>
        </w:rPr>
      </w:pPr>
    </w:p>
    <w:sectPr>
      <w:footerReference r:id="rId5" w:type="first"/>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
    <w:altName w:val="国标仿宋"/>
    <w:panose1 w:val="00000000000000000000"/>
    <w:charset w:val="00"/>
    <w:family w:val="roman"/>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3D6FD">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CC4CD6">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ECC4CD6">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1DEBE052">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1BF0E">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01A288">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801A288">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76D2B">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YmE1YzlmMGI1ZTk3OTJmY2Q1MzM5OWFlZjc5ND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6C3242B"/>
    <w:rsid w:val="07996F6E"/>
    <w:rsid w:val="07DFD8BA"/>
    <w:rsid w:val="09867E8F"/>
    <w:rsid w:val="0A2032A3"/>
    <w:rsid w:val="0B5D34C1"/>
    <w:rsid w:val="0CA8290A"/>
    <w:rsid w:val="0D35B1ED"/>
    <w:rsid w:val="0DAE24F2"/>
    <w:rsid w:val="0E254B6B"/>
    <w:rsid w:val="0F98263C"/>
    <w:rsid w:val="101860EC"/>
    <w:rsid w:val="101F47CC"/>
    <w:rsid w:val="1088677F"/>
    <w:rsid w:val="10C055FF"/>
    <w:rsid w:val="11694EBD"/>
    <w:rsid w:val="11772AA4"/>
    <w:rsid w:val="118107EC"/>
    <w:rsid w:val="12E24EE2"/>
    <w:rsid w:val="13867B11"/>
    <w:rsid w:val="13D50BC4"/>
    <w:rsid w:val="14B17F78"/>
    <w:rsid w:val="165E0673"/>
    <w:rsid w:val="16B831D5"/>
    <w:rsid w:val="16BB723D"/>
    <w:rsid w:val="17E50567"/>
    <w:rsid w:val="186504BB"/>
    <w:rsid w:val="19A445FC"/>
    <w:rsid w:val="1AF43976"/>
    <w:rsid w:val="1BE8440E"/>
    <w:rsid w:val="1D155CEE"/>
    <w:rsid w:val="1D1638FE"/>
    <w:rsid w:val="1E312DEB"/>
    <w:rsid w:val="1E717245"/>
    <w:rsid w:val="1E740ACF"/>
    <w:rsid w:val="1FF35744"/>
    <w:rsid w:val="1FF6BC77"/>
    <w:rsid w:val="2186353C"/>
    <w:rsid w:val="226C124A"/>
    <w:rsid w:val="23860B96"/>
    <w:rsid w:val="240371BF"/>
    <w:rsid w:val="243D61CE"/>
    <w:rsid w:val="244F3473"/>
    <w:rsid w:val="24C97D99"/>
    <w:rsid w:val="25A718F0"/>
    <w:rsid w:val="25BB59F6"/>
    <w:rsid w:val="260F557C"/>
    <w:rsid w:val="2657053A"/>
    <w:rsid w:val="26970054"/>
    <w:rsid w:val="269D222F"/>
    <w:rsid w:val="281408E2"/>
    <w:rsid w:val="29FD04D3"/>
    <w:rsid w:val="2BFF7BC6"/>
    <w:rsid w:val="2C8A61B5"/>
    <w:rsid w:val="2DF04E50"/>
    <w:rsid w:val="2E354F9E"/>
    <w:rsid w:val="2E586DFA"/>
    <w:rsid w:val="2EE00E86"/>
    <w:rsid w:val="2F040D46"/>
    <w:rsid w:val="2F6B035B"/>
    <w:rsid w:val="2FAE5751"/>
    <w:rsid w:val="2FB1A395"/>
    <w:rsid w:val="2FD9A7D8"/>
    <w:rsid w:val="2FDBF714"/>
    <w:rsid w:val="30AB6865"/>
    <w:rsid w:val="319F7F4E"/>
    <w:rsid w:val="32186568"/>
    <w:rsid w:val="32BD1EF1"/>
    <w:rsid w:val="32E17A4F"/>
    <w:rsid w:val="3304709D"/>
    <w:rsid w:val="33A773CB"/>
    <w:rsid w:val="3407336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875872"/>
    <w:rsid w:val="3D98207C"/>
    <w:rsid w:val="3DEE7CF3"/>
    <w:rsid w:val="3E740A63"/>
    <w:rsid w:val="3E78745D"/>
    <w:rsid w:val="3EE17838"/>
    <w:rsid w:val="3F55381A"/>
    <w:rsid w:val="3F7F7599"/>
    <w:rsid w:val="3FF4CAE0"/>
    <w:rsid w:val="3FF7B227"/>
    <w:rsid w:val="427B58E0"/>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5E75E60"/>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2053CA"/>
    <w:rsid w:val="63B3701E"/>
    <w:rsid w:val="647F5392"/>
    <w:rsid w:val="65E66580"/>
    <w:rsid w:val="664B1D71"/>
    <w:rsid w:val="664B4E8E"/>
    <w:rsid w:val="67277B67"/>
    <w:rsid w:val="67AA3209"/>
    <w:rsid w:val="683B0442"/>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D5301C"/>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490191"/>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7FE19E5"/>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Title"/>
    <w:basedOn w:val="1"/>
    <w:qFormat/>
    <w:uiPriority w:val="0"/>
    <w:pPr>
      <w:spacing w:before="240" w:after="60"/>
      <w:jc w:val="center"/>
      <w:outlineLvl w:val="0"/>
    </w:pPr>
    <w:rPr>
      <w:rFonts w:ascii="Arial" w:hAnsi="Arial" w:cs="Arial"/>
      <w:b/>
      <w:bCs/>
      <w:sz w:val="32"/>
      <w:szCs w:val="32"/>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7">
    <w:name w:val="标题 1 字符"/>
    <w:basedOn w:val="18"/>
    <w:link w:val="3"/>
    <w:qFormat/>
    <w:uiPriority w:val="9"/>
    <w:rPr>
      <w:rFonts w:ascii="Times New Roman" w:hAnsi="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5237</Words>
  <Characters>5691</Characters>
  <Lines>61</Lines>
  <Paragraphs>17</Paragraphs>
  <TotalTime>12</TotalTime>
  <ScaleCrop>false</ScaleCrop>
  <LinksUpToDate>false</LinksUpToDate>
  <CharactersWithSpaces>5759</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十八克拉</cp:lastModifiedBy>
  <cp:lastPrinted>2025-08-07T01:34:00Z</cp:lastPrinted>
  <dcterms:modified xsi:type="dcterms:W3CDTF">2025-10-30T09:58:40Z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2FE224E597FC65C150C602696A9FD01E_43</vt:lpwstr>
  </property>
</Properties>
</file>