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1CD17">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p>
    <w:p w14:paraId="6EDCE650">
      <w:pPr>
        <w:spacing w:line="600" w:lineRule="exact"/>
        <w:jc w:val="center"/>
        <w:outlineLvl w:val="0"/>
        <w:rPr>
          <w:rFonts w:hint="default" w:ascii="Times New Roman" w:hAnsi="Times New Roman" w:eastAsia="方正小标宋简体" w:cs="Times New Roman"/>
          <w:color w:val="000000"/>
          <w:sz w:val="72"/>
          <w:szCs w:val="72"/>
        </w:rPr>
      </w:pPr>
    </w:p>
    <w:p w14:paraId="49DECAF3">
      <w:pPr>
        <w:spacing w:line="600" w:lineRule="exact"/>
        <w:jc w:val="center"/>
        <w:outlineLvl w:val="0"/>
        <w:rPr>
          <w:rFonts w:hint="default" w:ascii="Times New Roman" w:hAnsi="Times New Roman" w:eastAsia="方正小标宋简体" w:cs="Times New Roman"/>
          <w:color w:val="000000"/>
          <w:sz w:val="72"/>
          <w:szCs w:val="72"/>
        </w:rPr>
      </w:pPr>
    </w:p>
    <w:p w14:paraId="7926019B">
      <w:pPr>
        <w:spacing w:line="600" w:lineRule="exact"/>
        <w:jc w:val="center"/>
        <w:outlineLvl w:val="0"/>
        <w:rPr>
          <w:rFonts w:hint="default" w:ascii="Times New Roman" w:hAnsi="Times New Roman" w:eastAsia="方正小标宋简体" w:cs="Times New Roman"/>
          <w:color w:val="000000"/>
          <w:sz w:val="72"/>
          <w:szCs w:val="72"/>
        </w:rPr>
      </w:pPr>
    </w:p>
    <w:bookmarkEnd w:id="0"/>
    <w:p w14:paraId="0B0B9167">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1" w:name="_Toc15377194"/>
      <w:bookmarkStart w:id="2" w:name="_Toc15378442"/>
      <w:bookmarkStart w:id="3" w:name="_Toc15396476"/>
      <w:bookmarkStart w:id="4" w:name="_Toc15396598"/>
      <w:bookmarkStart w:id="5" w:name="_Toc15377426"/>
      <w:bookmarkStart w:id="6" w:name="_Toc15306268"/>
      <w:r>
        <w:rPr>
          <w:rFonts w:hint="default" w:ascii="Times New Roman" w:hAnsi="Times New Roman" w:eastAsia="黑体" w:cs="Times New Roman"/>
          <w:color w:val="000000"/>
          <w:spacing w:val="0"/>
          <w:sz w:val="52"/>
          <w:szCs w:val="52"/>
        </w:rPr>
        <w:t>202</w:t>
      </w:r>
      <w:r>
        <w:rPr>
          <w:rFonts w:hint="eastAsia" w:eastAsia="黑体" w:cs="Times New Roman"/>
          <w:color w:val="000000"/>
          <w:spacing w:val="0"/>
          <w:sz w:val="52"/>
          <w:szCs w:val="52"/>
          <w:lang w:val="en-US" w:eastAsia="zh-CN"/>
        </w:rPr>
        <w:t>4</w:t>
      </w:r>
      <w:r>
        <w:rPr>
          <w:rFonts w:hint="default" w:ascii="Times New Roman" w:hAnsi="Times New Roman" w:eastAsia="方正小标宋简体" w:cs="Times New Roman"/>
          <w:color w:val="000000"/>
          <w:spacing w:val="0"/>
          <w:sz w:val="52"/>
          <w:szCs w:val="52"/>
        </w:rPr>
        <w:t>年度</w:t>
      </w:r>
    </w:p>
    <w:p w14:paraId="33939FDE">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r>
        <w:rPr>
          <w:rFonts w:hint="default" w:ascii="Times New Roman" w:hAnsi="Times New Roman" w:eastAsia="方正小标宋简体" w:cs="Times New Roman"/>
          <w:color w:val="000000"/>
          <w:spacing w:val="0"/>
          <w:sz w:val="52"/>
          <w:szCs w:val="52"/>
        </w:rPr>
        <w:t>攀枝花市西区土地储备中心决算</w:t>
      </w:r>
      <w:bookmarkEnd w:id="1"/>
      <w:bookmarkEnd w:id="2"/>
      <w:bookmarkEnd w:id="3"/>
      <w:bookmarkEnd w:id="4"/>
      <w:bookmarkEnd w:id="5"/>
      <w:bookmarkEnd w:id="6"/>
    </w:p>
    <w:p w14:paraId="39E5DFCB">
      <w:pPr>
        <w:widowControl/>
        <w:jc w:val="center"/>
        <w:rPr>
          <w:rFonts w:hint="default" w:ascii="Times New Roman" w:hAnsi="Times New Roman" w:eastAsia="黑体" w:cs="Times New Roman"/>
          <w:color w:val="000000"/>
          <w:sz w:val="48"/>
          <w:szCs w:val="48"/>
        </w:rPr>
      </w:pPr>
      <w:r>
        <w:rPr>
          <w:rFonts w:hint="default" w:ascii="Times New Roman" w:hAnsi="Times New Roman" w:eastAsia="方正小标宋简体" w:cs="Times New Roman"/>
          <w:color w:val="000000"/>
          <w:sz w:val="36"/>
          <w:szCs w:val="36"/>
        </w:rPr>
        <w:br w:type="page"/>
      </w:r>
      <w:r>
        <w:rPr>
          <w:rFonts w:hint="default" w:ascii="Times New Roman" w:hAnsi="Times New Roman" w:eastAsia="黑体" w:cs="Times New Roman"/>
          <w:color w:val="000000"/>
          <w:sz w:val="48"/>
          <w:szCs w:val="48"/>
        </w:rPr>
        <w:t>目录</w:t>
      </w:r>
    </w:p>
    <w:p w14:paraId="67F04813">
      <w:pPr>
        <w:widowControl/>
        <w:jc w:val="center"/>
        <w:rPr>
          <w:rFonts w:hint="default" w:ascii="Times New Roman" w:hAnsi="Times New Roman" w:eastAsia="黑体" w:cs="Times New Roman"/>
          <w:sz w:val="28"/>
          <w:szCs w:val="28"/>
        </w:rPr>
      </w:pPr>
    </w:p>
    <w:p w14:paraId="13EE80DF">
      <w:pPr>
        <w:pStyle w:val="13"/>
        <w:rPr>
          <w:rFonts w:hint="default" w:ascii="Times New Roman" w:hAnsi="Times New Roman" w:cs="Times New Roman"/>
          <w:highlight w:val="yellow"/>
        </w:rPr>
      </w:pPr>
      <w:bookmarkStart w:id="7" w:name="_Toc15377196"/>
      <w:bookmarkStart w:id="8" w:name="_Toc15396599"/>
      <w:r>
        <w:rPr>
          <w:rFonts w:hint="default" w:ascii="Times New Roman" w:hAnsi="Times New Roman" w:cs="Times New Roman"/>
        </w:rPr>
        <w:t>公开时间：202</w:t>
      </w:r>
      <w:r>
        <w:rPr>
          <w:rFonts w:hint="eastAsia" w:ascii="Times New Roman" w:hAnsi="Times New Roman" w:cs="Times New Roman"/>
          <w:lang w:val="en-US" w:eastAsia="zh-CN"/>
        </w:rPr>
        <w:t>5</w:t>
      </w:r>
      <w:r>
        <w:rPr>
          <w:rFonts w:hint="default" w:ascii="Times New Roman" w:hAnsi="Times New Roman" w:cs="Times New Roman"/>
        </w:rPr>
        <w:t>年</w:t>
      </w:r>
      <w:r>
        <w:rPr>
          <w:rFonts w:hint="default" w:ascii="Times New Roman" w:hAnsi="Times New Roman" w:cs="Times New Roman"/>
          <w:highlight w:val="none"/>
        </w:rPr>
        <w:t>10月</w:t>
      </w:r>
      <w:bookmarkStart w:id="65" w:name="_GoBack"/>
      <w:r>
        <w:rPr>
          <w:rFonts w:hint="eastAsia" w:ascii="Times New Roman" w:hAnsi="Times New Roman" w:cs="Times New Roman"/>
          <w:color w:val="auto"/>
          <w:highlight w:val="none"/>
          <w:lang w:val="en-US" w:eastAsia="zh-CN"/>
        </w:rPr>
        <w:t>31</w:t>
      </w:r>
      <w:bookmarkEnd w:id="65"/>
      <w:r>
        <w:rPr>
          <w:rFonts w:hint="default" w:ascii="Times New Roman" w:hAnsi="Times New Roman" w:cs="Times New Roman"/>
          <w:highlight w:val="none"/>
        </w:rPr>
        <w:t>日</w:t>
      </w:r>
    </w:p>
    <w:p w14:paraId="5A1CE0E3">
      <w:pPr>
        <w:rPr>
          <w:rFonts w:hint="default" w:ascii="Times New Roman" w:hAnsi="Times New Roman" w:cs="Times New Roman"/>
        </w:rPr>
      </w:pPr>
    </w:p>
    <w:p w14:paraId="3C8DE883">
      <w:pPr>
        <w:pStyle w:val="13"/>
        <w:rPr>
          <w:rFonts w:hint="default" w:ascii="Times New Roman" w:hAnsi="Times New Roman" w:eastAsia="仿宋_GB2312" w:cs="Times New Roman"/>
        </w:rPr>
      </w:pPr>
      <w:r>
        <w:rPr>
          <w:rFonts w:hint="default" w:ascii="Times New Roman" w:hAnsi="Times New Roman" w:eastAsia="仿宋_GB2312" w:cs="Times New Roman"/>
        </w:rPr>
        <w:t>第一部分部门概况</w:t>
      </w:r>
      <w:r>
        <w:rPr>
          <w:rFonts w:hint="default" w:ascii="Times New Roman" w:hAnsi="Times New Roman" w:eastAsia="仿宋_GB2312" w:cs="Times New Roman"/>
        </w:rPr>
        <w:tab/>
      </w:r>
      <w:r>
        <w:rPr>
          <w:rFonts w:hint="default" w:ascii="Times New Roman" w:hAnsi="Times New Roman" w:eastAsia="仿宋_GB2312" w:cs="Times New Roman"/>
        </w:rPr>
        <w:t>4</w:t>
      </w:r>
    </w:p>
    <w:p w14:paraId="22195696">
      <w:pPr>
        <w:pStyle w:val="1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eastAsia="zh-CN"/>
        </w:rPr>
        <w:t>部门职责</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4</w:t>
      </w:r>
    </w:p>
    <w:p w14:paraId="4F15DD13">
      <w:pPr>
        <w:pStyle w:val="1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二、机构设置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5</w:t>
      </w:r>
    </w:p>
    <w:p w14:paraId="29B916E5">
      <w:pPr>
        <w:pStyle w:val="13"/>
        <w:rPr>
          <w:rFonts w:hint="default" w:ascii="Times New Roman" w:hAnsi="Times New Roman" w:eastAsia="仿宋_GB2312" w:cs="Times New Roman"/>
          <w:lang w:eastAsia="zh-CN"/>
        </w:rPr>
      </w:pPr>
      <w:r>
        <w:rPr>
          <w:rFonts w:hint="default" w:ascii="Times New Roman" w:hAnsi="Times New Roman" w:eastAsia="仿宋_GB2312" w:cs="Times New Roman"/>
        </w:rPr>
        <w:t>第二部分 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年度部门决算情况说明</w:t>
      </w:r>
      <w:r>
        <w:rPr>
          <w:rFonts w:hint="default" w:ascii="Times New Roman" w:hAnsi="Times New Roman" w:eastAsia="仿宋_GB2312" w:cs="Times New Roman"/>
        </w:rPr>
        <w:tab/>
      </w:r>
      <w:r>
        <w:rPr>
          <w:rFonts w:hint="default" w:ascii="Times New Roman" w:hAnsi="Times New Roman" w:eastAsia="仿宋_GB2312" w:cs="Times New Roman"/>
          <w:lang w:val="en-US" w:eastAsia="zh-CN"/>
        </w:rPr>
        <w:t>5</w:t>
      </w:r>
    </w:p>
    <w:p w14:paraId="17FDDE39">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Cs/>
          <w:sz w:val="28"/>
          <w:szCs w:val="28"/>
        </w:rPr>
        <w:t>一、</w:t>
      </w:r>
      <w:r>
        <w:rPr>
          <w:rFonts w:hint="default" w:ascii="Times New Roman" w:hAnsi="Times New Roman" w:eastAsia="仿宋_GB2312" w:cs="Times New Roman"/>
          <w:sz w:val="28"/>
          <w:szCs w:val="28"/>
        </w:rPr>
        <w:t>收</w:t>
      </w:r>
      <w:r>
        <w:rPr>
          <w:rFonts w:hint="default" w:ascii="Times New Roman" w:hAnsi="Times New Roman" w:eastAsia="仿宋_GB2312" w:cs="Times New Roman"/>
          <w:bCs/>
          <w:sz w:val="28"/>
          <w:szCs w:val="28"/>
        </w:rPr>
        <w:t>入支出决算总体情况说明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lang w:val="en-US" w:eastAsia="zh-CN"/>
        </w:rPr>
        <w:t>5</w:t>
      </w:r>
    </w:p>
    <w:p w14:paraId="515E6675">
      <w:pPr>
        <w:pStyle w:val="15"/>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Cs/>
          <w:sz w:val="28"/>
          <w:szCs w:val="28"/>
        </w:rPr>
        <w:t>二、</w:t>
      </w:r>
      <w:r>
        <w:rPr>
          <w:rFonts w:hint="default" w:ascii="Times New Roman" w:hAnsi="Times New Roman" w:eastAsia="仿宋_GB2312" w:cs="Times New Roman"/>
          <w:sz w:val="28"/>
          <w:szCs w:val="28"/>
        </w:rPr>
        <w:t>收</w:t>
      </w:r>
      <w:r>
        <w:rPr>
          <w:rFonts w:hint="default" w:ascii="Times New Roman" w:hAnsi="Times New Roman" w:eastAsia="仿宋_GB2312" w:cs="Times New Roman"/>
          <w:bCs/>
          <w:sz w:val="28"/>
          <w:szCs w:val="28"/>
        </w:rPr>
        <w:t>入决算情况说明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lang w:val="en-US" w:eastAsia="zh-CN"/>
        </w:rPr>
        <w:t>5</w:t>
      </w:r>
    </w:p>
    <w:p w14:paraId="6BFC12B3">
      <w:pPr>
        <w:pStyle w:val="15"/>
        <w:rPr>
          <w:rFonts w:hint="default" w:ascii="Times New Roman" w:hAnsi="Times New Roman" w:eastAsia="仿宋_GB2312" w:cs="Times New Roman"/>
          <w:sz w:val="28"/>
          <w:szCs w:val="28"/>
        </w:rPr>
      </w:pPr>
      <w:r>
        <w:rPr>
          <w:rFonts w:hint="default" w:ascii="Times New Roman" w:hAnsi="Times New Roman" w:eastAsia="仿宋_GB2312" w:cs="Times New Roman"/>
          <w:bCs/>
          <w:sz w:val="28"/>
          <w:szCs w:val="28"/>
        </w:rPr>
        <w:t>三、</w:t>
      </w:r>
      <w:r>
        <w:rPr>
          <w:rFonts w:hint="default" w:ascii="Times New Roman" w:hAnsi="Times New Roman" w:eastAsia="仿宋_GB2312" w:cs="Times New Roman"/>
          <w:sz w:val="28"/>
          <w:szCs w:val="28"/>
        </w:rPr>
        <w:t>支</w:t>
      </w:r>
      <w:r>
        <w:rPr>
          <w:rFonts w:hint="default" w:ascii="Times New Roman" w:hAnsi="Times New Roman" w:eastAsia="仿宋_GB2312" w:cs="Times New Roman"/>
          <w:bCs/>
          <w:sz w:val="28"/>
          <w:szCs w:val="28"/>
        </w:rPr>
        <w:t>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6</w:t>
      </w:r>
    </w:p>
    <w:p w14:paraId="4D8C6D2C">
      <w:pPr>
        <w:pStyle w:val="15"/>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四、财</w:t>
      </w:r>
      <w:r>
        <w:rPr>
          <w:rFonts w:hint="default" w:ascii="Times New Roman" w:hAnsi="Times New Roman" w:eastAsia="仿宋_GB2312" w:cs="Times New Roman"/>
          <w:bCs/>
          <w:sz w:val="28"/>
          <w:szCs w:val="28"/>
        </w:rPr>
        <w:t>政拨款收入支出决算总体情况说明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lang w:val="en-US" w:eastAsia="zh-CN"/>
        </w:rPr>
        <w:t>6</w:t>
      </w:r>
    </w:p>
    <w:p w14:paraId="2888B5F8">
      <w:pPr>
        <w:pStyle w:val="1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五、一</w:t>
      </w:r>
      <w:r>
        <w:rPr>
          <w:rFonts w:hint="default" w:ascii="Times New Roman" w:hAnsi="Times New Roman" w:eastAsia="仿宋_GB2312" w:cs="Times New Roman"/>
          <w:bCs/>
          <w:sz w:val="28"/>
          <w:szCs w:val="28"/>
        </w:rPr>
        <w:t>般公共预算财政拨款支出决算情况说明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7</w:t>
      </w:r>
    </w:p>
    <w:p w14:paraId="7329C7CD">
      <w:pPr>
        <w:pStyle w:val="1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六、一</w:t>
      </w:r>
      <w:r>
        <w:rPr>
          <w:rFonts w:hint="default" w:ascii="Times New Roman" w:hAnsi="Times New Roman" w:eastAsia="仿宋_GB2312" w:cs="Times New Roman"/>
          <w:bCs/>
          <w:sz w:val="28"/>
          <w:szCs w:val="28"/>
        </w:rPr>
        <w:t>般公共预算财政拨款基本支出决算情况说明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8</w:t>
      </w:r>
    </w:p>
    <w:p w14:paraId="2B30AD0D">
      <w:pPr>
        <w:pStyle w:val="15"/>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七、“</w:t>
      </w:r>
      <w:r>
        <w:rPr>
          <w:rFonts w:hint="default" w:ascii="Times New Roman" w:hAnsi="Times New Roman" w:eastAsia="仿宋_GB2312" w:cs="Times New Roman"/>
          <w:bCs/>
          <w:sz w:val="28"/>
          <w:szCs w:val="28"/>
        </w:rPr>
        <w:t>三公”经费财政拨款支出决算情况说明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lang w:val="en-US" w:eastAsia="zh-CN"/>
        </w:rPr>
        <w:t>9</w:t>
      </w:r>
    </w:p>
    <w:p w14:paraId="6A95FFDE">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八、</w:t>
      </w:r>
      <w:r>
        <w:rPr>
          <w:rFonts w:hint="default" w:ascii="Times New Roman" w:hAnsi="Times New Roman" w:eastAsia="仿宋_GB2312" w:cs="Times New Roman"/>
          <w:bCs/>
          <w:sz w:val="28"/>
          <w:szCs w:val="28"/>
        </w:rPr>
        <w:t>政府性基金预算支出决算情况说明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lang w:val="en-US" w:eastAsia="zh-CN"/>
        </w:rPr>
        <w:t>10</w:t>
      </w:r>
    </w:p>
    <w:p w14:paraId="484CCB10">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Cs/>
          <w:sz w:val="28"/>
          <w:szCs w:val="28"/>
        </w:rPr>
        <w:t>九、</w:t>
      </w:r>
      <w:r>
        <w:rPr>
          <w:rFonts w:hint="default" w:ascii="Times New Roman" w:hAnsi="Times New Roman" w:eastAsia="仿宋_GB2312" w:cs="Times New Roman"/>
          <w:sz w:val="28"/>
          <w:szCs w:val="28"/>
        </w:rPr>
        <w:t xml:space="preserve"> 国</w:t>
      </w:r>
      <w:r>
        <w:rPr>
          <w:rFonts w:hint="default" w:ascii="Times New Roman" w:hAnsi="Times New Roman" w:eastAsia="仿宋_GB2312" w:cs="Times New Roman"/>
          <w:bCs/>
          <w:sz w:val="28"/>
          <w:szCs w:val="28"/>
        </w:rPr>
        <w:t>有资本经营预算支出决算情况说明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lang w:val="en-US" w:eastAsia="zh-CN"/>
        </w:rPr>
        <w:t>10</w:t>
      </w:r>
    </w:p>
    <w:p w14:paraId="6E6F480E">
      <w:pPr>
        <w:pStyle w:val="15"/>
        <w:rPr>
          <w:rStyle w:val="21"/>
          <w:rFonts w:hint="default" w:ascii="Times New Roman" w:hAnsi="Times New Roman" w:eastAsia="仿宋_GB2312" w:cs="Times New Roman"/>
          <w:bCs/>
          <w:color w:val="auto"/>
          <w:sz w:val="28"/>
          <w:szCs w:val="28"/>
          <w:u w:val="none"/>
          <w:lang w:val="en-US" w:eastAsia="zh-CN"/>
        </w:rPr>
      </w:pPr>
      <w:r>
        <w:rPr>
          <w:rStyle w:val="21"/>
          <w:rFonts w:hint="default" w:ascii="Times New Roman" w:hAnsi="Times New Roman" w:eastAsia="仿宋_GB2312" w:cs="Times New Roman"/>
          <w:bCs/>
          <w:color w:val="auto"/>
          <w:sz w:val="28"/>
          <w:szCs w:val="28"/>
          <w:u w:val="none"/>
        </w:rPr>
        <w:t>十、</w:t>
      </w:r>
      <w:r>
        <w:rPr>
          <w:rStyle w:val="21"/>
          <w:rFonts w:hint="default" w:ascii="Times New Roman" w:hAnsi="Times New Roman" w:eastAsia="仿宋_GB2312" w:cs="Times New Roman"/>
          <w:bCs/>
          <w:color w:val="auto"/>
          <w:sz w:val="28"/>
          <w:szCs w:val="28"/>
          <w:u w:val="none"/>
          <w:lang w:eastAsia="zh-CN"/>
        </w:rPr>
        <w:t>其他重要事项的情况说明</w:t>
      </w:r>
      <w:r>
        <w:rPr>
          <w:rStyle w:val="21"/>
          <w:rFonts w:hint="default" w:ascii="Times New Roman" w:hAnsi="Times New Roman" w:eastAsia="仿宋_GB2312" w:cs="Times New Roman"/>
          <w:bCs/>
          <w:color w:val="auto"/>
          <w:sz w:val="28"/>
          <w:szCs w:val="28"/>
          <w:u w:val="none"/>
        </w:rPr>
        <w:tab/>
      </w:r>
      <w:r>
        <w:rPr>
          <w:rStyle w:val="21"/>
          <w:rFonts w:hint="default" w:ascii="Times New Roman" w:hAnsi="Times New Roman" w:eastAsia="仿宋_GB2312" w:cs="Times New Roman"/>
          <w:bCs/>
          <w:color w:val="auto"/>
          <w:sz w:val="28"/>
          <w:szCs w:val="28"/>
          <w:u w:val="none"/>
          <w:lang w:val="en-US" w:eastAsia="zh-CN"/>
        </w:rPr>
        <w:t>10</w:t>
      </w:r>
    </w:p>
    <w:p w14:paraId="0E45A20D">
      <w:pPr>
        <w:pStyle w:val="13"/>
        <w:rPr>
          <w:rFonts w:hint="default" w:ascii="Times New Roman" w:hAnsi="Times New Roman" w:eastAsia="仿宋_GB2312" w:cs="Times New Roman"/>
          <w:lang w:eastAsia="zh-CN"/>
        </w:rPr>
      </w:pPr>
      <w:r>
        <w:rPr>
          <w:rFonts w:hint="default" w:ascii="Times New Roman" w:hAnsi="Times New Roman" w:eastAsia="仿宋_GB2312" w:cs="Times New Roman"/>
          <w:bCs/>
          <w:kern w:val="44"/>
        </w:rPr>
        <w:t>第三部分</w:t>
      </w:r>
      <w:r>
        <w:rPr>
          <w:rFonts w:hint="default" w:ascii="Times New Roman" w:hAnsi="Times New Roman" w:eastAsia="仿宋_GB2312" w:cs="Times New Roman"/>
        </w:rPr>
        <w:t xml:space="preserve"> 名</w:t>
      </w:r>
      <w:r>
        <w:rPr>
          <w:rFonts w:hint="default" w:ascii="Times New Roman" w:hAnsi="Times New Roman" w:eastAsia="仿宋_GB2312" w:cs="Times New Roman"/>
          <w:bCs/>
          <w:kern w:val="44"/>
        </w:rPr>
        <w:t>词解释</w:t>
      </w:r>
      <w:r>
        <w:rPr>
          <w:rFonts w:hint="default" w:ascii="Times New Roman" w:hAnsi="Times New Roman" w:eastAsia="仿宋_GB2312" w:cs="Times New Roman"/>
        </w:rPr>
        <w:tab/>
      </w:r>
      <w:r>
        <w:rPr>
          <w:rFonts w:hint="default" w:ascii="Times New Roman" w:hAnsi="Times New Roman" w:eastAsia="仿宋_GB2312" w:cs="Times New Roman"/>
        </w:rPr>
        <w:t>1</w:t>
      </w:r>
      <w:r>
        <w:rPr>
          <w:rFonts w:hint="default" w:ascii="Times New Roman" w:hAnsi="Times New Roman" w:eastAsia="仿宋_GB2312" w:cs="Times New Roman"/>
          <w:lang w:val="en-US" w:eastAsia="zh-CN"/>
        </w:rPr>
        <w:t>2</w:t>
      </w:r>
    </w:p>
    <w:p w14:paraId="2B15BB59">
      <w:pPr>
        <w:pStyle w:val="13"/>
        <w:rPr>
          <w:rFonts w:hint="default" w:ascii="Times New Roman" w:hAnsi="Times New Roman" w:eastAsia="仿宋_GB2312" w:cs="Times New Roman"/>
          <w:lang w:eastAsia="zh-CN"/>
        </w:rPr>
      </w:pPr>
      <w:r>
        <w:rPr>
          <w:rFonts w:hint="default" w:ascii="Times New Roman" w:hAnsi="Times New Roman" w:eastAsia="仿宋_GB2312" w:cs="Times New Roman"/>
        </w:rPr>
        <w:t>第</w:t>
      </w:r>
      <w:r>
        <w:rPr>
          <w:rFonts w:hint="default" w:ascii="Times New Roman" w:hAnsi="Times New Roman" w:eastAsia="仿宋_GB2312" w:cs="Times New Roman"/>
          <w:bCs/>
          <w:kern w:val="44"/>
        </w:rPr>
        <w:t>四部分附件</w:t>
      </w:r>
      <w:r>
        <w:rPr>
          <w:rFonts w:hint="default" w:ascii="Times New Roman" w:hAnsi="Times New Roman" w:eastAsia="仿宋_GB2312" w:cs="Times New Roman"/>
        </w:rPr>
        <w:tab/>
      </w:r>
      <w:r>
        <w:rPr>
          <w:rFonts w:hint="default" w:ascii="Times New Roman" w:hAnsi="Times New Roman" w:eastAsia="仿宋_GB2312" w:cs="Times New Roman"/>
        </w:rPr>
        <w:t>1</w:t>
      </w:r>
      <w:r>
        <w:rPr>
          <w:rFonts w:hint="default" w:ascii="Times New Roman" w:hAnsi="Times New Roman" w:eastAsia="仿宋_GB2312" w:cs="Times New Roman"/>
          <w:lang w:val="en-US" w:eastAsia="zh-CN"/>
        </w:rPr>
        <w:t>5</w:t>
      </w:r>
    </w:p>
    <w:p w14:paraId="2044E17D">
      <w:pPr>
        <w:pStyle w:val="13"/>
        <w:rPr>
          <w:rFonts w:hint="default" w:ascii="Times New Roman" w:hAnsi="Times New Roman" w:eastAsia="仿宋_GB2312"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"_Toc15396618"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u w:val="none"/>
        </w:rPr>
        <w:t>第</w:t>
      </w:r>
      <w:r>
        <w:rPr>
          <w:rStyle w:val="21"/>
          <w:rFonts w:hint="default" w:ascii="Times New Roman" w:hAnsi="Times New Roman" w:eastAsia="仿宋_GB2312" w:cs="Times New Roman"/>
          <w:bCs/>
          <w:color w:val="auto"/>
          <w:kern w:val="44"/>
          <w:u w:val="none"/>
        </w:rPr>
        <w:t>五部分附表</w:t>
      </w:r>
      <w:r>
        <w:rPr>
          <w:rFonts w:hint="default" w:ascii="Times New Roman" w:hAnsi="Times New Roman" w:eastAsia="仿宋_GB2312" w:cs="Times New Roman"/>
        </w:rPr>
        <w:tab/>
      </w:r>
      <w:r>
        <w:rPr>
          <w:rFonts w:hint="default" w:ascii="Times New Roman" w:hAnsi="Times New Roman" w:eastAsia="仿宋_GB2312" w:cs="Times New Roman"/>
        </w:rPr>
        <w:fldChar w:fldCharType="end"/>
      </w:r>
      <w:r>
        <w:rPr>
          <w:rFonts w:hint="eastAsia" w:ascii="Times New Roman" w:hAnsi="Times New Roman" w:eastAsia="仿宋_GB2312" w:cs="Times New Roman"/>
          <w:lang w:val="en-US" w:eastAsia="zh-CN"/>
        </w:rPr>
        <w:t>57</w:t>
      </w:r>
    </w:p>
    <w:p w14:paraId="5F341245">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一、</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"_Toc15396619"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收入支出决算总表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30A96B69">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二、</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"_Toc15396620"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收入总表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7FDDFF79">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三、</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"_Toc15396621"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支出总表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052C8D48">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四、</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"_Toc15396622"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财政拨款收入支出决算总表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0638DC50">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五、</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"_Toc15396623" </w:instrText>
      </w:r>
      <w:r>
        <w:rPr>
          <w:rFonts w:hint="default" w:ascii="Times New Roman" w:hAnsi="Times New Roman" w:cs="Times New Roman"/>
        </w:rPr>
        <w:fldChar w:fldCharType="separate"/>
      </w:r>
      <w:r>
        <w:rPr>
          <w:rFonts w:hint="default" w:ascii="Times New Roman" w:hAnsi="Times New Roman" w:eastAsia="仿宋_GB2312" w:cs="Times New Roman"/>
          <w:sz w:val="28"/>
          <w:szCs w:val="28"/>
        </w:rPr>
        <w:t>财政拨款支出决算明细表（政府经济分类科目）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4219909E">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六、</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"_Toc15396624"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一般公共预算财政拨款支出决算表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6F7E6F8D">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七、</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"_Toc15396625"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一般公共预算财政拨款支出决算明细表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5CE8ABBC">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八、</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"_Toc15396626"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一般公共预算财政拨款基本支出决算表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13188AD5">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九、</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"_Toc15396627"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一般公共预算财政拨款项目支出决算表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41701D71">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十、</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"_Toc15396628"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一般公共预算财政拨款“三公”经费支出决算表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198A810D">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十一、</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"_Toc15396629"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政府性基金预算财政拨款收入支出决算表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39F22F7A">
      <w:pPr>
        <w:pStyle w:val="15"/>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十二、</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"_Toc15396630"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政府性基金预算财政拨款“三公”经费支出决算表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27BB5C5A">
      <w:pPr>
        <w:pStyle w:val="15"/>
        <w:adjustRightInd w:val="0"/>
        <w:snapToGrid w:val="0"/>
        <w:spacing w:line="440" w:lineRule="exact"/>
        <w:jc w:val="left"/>
        <w:rPr>
          <w:rFonts w:hint="default" w:ascii="Times New Roman" w:hAnsi="Times New Roman" w:eastAsia="仿宋_GB2312" w:cs="Times New Roman"/>
          <w:sz w:val="28"/>
          <w:szCs w:val="28"/>
          <w:lang w:val="en-US" w:eastAsia="zh-CN"/>
        </w:rPr>
      </w:pPr>
      <w:r>
        <w:rPr>
          <w:rStyle w:val="21"/>
          <w:rFonts w:hint="default" w:ascii="Times New Roman" w:hAnsi="Times New Roman" w:eastAsia="仿宋" w:cs="Times New Roman"/>
          <w:color w:val="auto"/>
          <w:sz w:val="28"/>
          <w:szCs w:val="28"/>
          <w:u w:val="none"/>
        </w:rPr>
        <w:t>十三</w:t>
      </w:r>
      <w:r>
        <w:rPr>
          <w:rFonts w:hint="default" w:ascii="Times New Roman" w:hAnsi="Times New Roman" w:eastAsia="仿宋_GB2312" w:cs="Times New Roman"/>
          <w:sz w:val="28"/>
          <w:szCs w:val="28"/>
        </w:rPr>
        <w:t>、</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"_Toc15396630" </w:instrText>
      </w:r>
      <w:r>
        <w:rPr>
          <w:rFonts w:hint="default" w:ascii="Times New Roman" w:hAnsi="Times New Roman" w:cs="Times New Roman"/>
        </w:rPr>
        <w:fldChar w:fldCharType="separate"/>
      </w:r>
      <w:r>
        <w:rPr>
          <w:rFonts w:hint="default" w:ascii="Times New Roman" w:hAnsi="Times New Roman" w:eastAsia="仿宋" w:cs="Times New Roman"/>
          <w:sz w:val="28"/>
          <w:szCs w:val="28"/>
        </w:rPr>
        <w:t>国有资本经营预算财政拨款收入支出决算表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693CD952">
      <w:pPr>
        <w:pStyle w:val="15"/>
        <w:rPr>
          <w:rFonts w:hint="default" w:ascii="Times New Roman" w:hAnsi="Times New Roman" w:eastAsia="仿宋_GB2312" w:cs="Times New Roman"/>
          <w:b w:val="0"/>
          <w:lang w:val="en-US" w:eastAsia="zh-CN"/>
        </w:rPr>
        <w:sectPr>
          <w:footerReference r:id="rId5" w:type="first"/>
          <w:headerReference r:id="rId3" w:type="default"/>
          <w:footerReference r:id="rId4" w:type="default"/>
          <w:pgSz w:w="11906" w:h="16838"/>
          <w:pgMar w:top="1440" w:right="1800" w:bottom="1440" w:left="1800" w:header="851" w:footer="992" w:gutter="0"/>
          <w:cols w:space="425" w:num="1"/>
          <w:titlePg/>
          <w:docGrid w:type="lines" w:linePitch="312" w:charSpace="0"/>
        </w:sectPr>
      </w:pPr>
      <w:r>
        <w:rPr>
          <w:rStyle w:val="21"/>
          <w:rFonts w:hint="default" w:ascii="Times New Roman" w:hAnsi="Times New Roman" w:eastAsia="仿宋" w:cs="Times New Roman"/>
          <w:color w:val="auto"/>
          <w:sz w:val="28"/>
          <w:szCs w:val="28"/>
          <w:u w:val="none"/>
        </w:rPr>
        <w:t>十四</w:t>
      </w:r>
      <w:r>
        <w:rPr>
          <w:rFonts w:hint="default" w:ascii="Times New Roman" w:hAnsi="Times New Roman" w:eastAsia="仿宋_GB2312" w:cs="Times New Roman"/>
          <w:sz w:val="28"/>
          <w:szCs w:val="28"/>
        </w:rPr>
        <w:t>、</w:t>
      </w:r>
      <w:r>
        <w:rPr>
          <w:rFonts w:hint="default" w:ascii="Times New Roman" w:hAnsi="Times New Roman" w:cs="Times New Roman"/>
        </w:rPr>
        <w:fldChar w:fldCharType="begin"/>
      </w:r>
      <w:r>
        <w:rPr>
          <w:rFonts w:hint="default" w:ascii="Times New Roman" w:hAnsi="Times New Roman" w:cs="Times New Roman"/>
        </w:rPr>
        <w:instrText xml:space="preserve"> HYPERLINK \l "_Toc15396630" </w:instrText>
      </w:r>
      <w:r>
        <w:rPr>
          <w:rFonts w:hint="default" w:ascii="Times New Roman" w:hAnsi="Times New Roman" w:cs="Times New Roman"/>
        </w:rPr>
        <w:fldChar w:fldCharType="separate"/>
      </w:r>
      <w:r>
        <w:rPr>
          <w:rStyle w:val="21"/>
          <w:rFonts w:hint="default" w:ascii="Times New Roman" w:hAnsi="Times New Roman" w:eastAsia="仿宋_GB2312" w:cs="Times New Roman"/>
          <w:color w:val="auto"/>
          <w:sz w:val="28"/>
          <w:szCs w:val="28"/>
          <w:u w:val="none"/>
        </w:rPr>
        <w:t>国有资本经营预算财政拨款支出决算表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end"/>
      </w:r>
      <w:r>
        <w:rPr>
          <w:rFonts w:hint="eastAsia" w:eastAsia="仿宋_GB2312" w:cs="Times New Roman"/>
          <w:sz w:val="28"/>
          <w:szCs w:val="28"/>
          <w:lang w:val="en-US" w:eastAsia="zh-CN"/>
        </w:rPr>
        <w:t>57</w:t>
      </w:r>
    </w:p>
    <w:p w14:paraId="39432B09">
      <w:pPr>
        <w:pStyle w:val="3"/>
        <w:jc w:val="center"/>
        <w:rPr>
          <w:rStyle w:val="31"/>
          <w:rFonts w:hint="default" w:ascii="Times New Roman" w:hAnsi="Times New Roman" w:eastAsia="黑体" w:cs="Times New Roman"/>
          <w:b/>
          <w:bCs w:val="0"/>
        </w:rPr>
      </w:pPr>
      <w:r>
        <w:rPr>
          <w:rFonts w:hint="default" w:ascii="Times New Roman" w:hAnsi="Times New Roman" w:eastAsia="黑体" w:cs="Times New Roman"/>
          <w:b w:val="0"/>
        </w:rPr>
        <w:t xml:space="preserve">第一部分 </w:t>
      </w:r>
      <w:r>
        <w:rPr>
          <w:rStyle w:val="31"/>
          <w:rFonts w:hint="default" w:ascii="Times New Roman" w:hAnsi="Times New Roman" w:eastAsia="黑体" w:cs="Times New Roman"/>
          <w:b w:val="0"/>
          <w:bCs w:val="0"/>
        </w:rPr>
        <w:t>部门概况</w:t>
      </w:r>
      <w:bookmarkEnd w:id="7"/>
      <w:bookmarkEnd w:id="8"/>
    </w:p>
    <w:p w14:paraId="7CF5DEEE">
      <w:pPr>
        <w:pStyle w:val="4"/>
        <w:ind w:firstLine="640" w:firstLineChars="200"/>
        <w:rPr>
          <w:rStyle w:val="32"/>
          <w:rFonts w:hint="default" w:ascii="Times New Roman" w:hAnsi="Times New Roman" w:eastAsia="黑体" w:cs="Times New Roman"/>
          <w:b w:val="0"/>
          <w:bCs w:val="0"/>
          <w:lang w:eastAsia="zh-CN"/>
        </w:rPr>
      </w:pPr>
      <w:bookmarkStart w:id="9" w:name="_Toc15396600"/>
      <w:bookmarkStart w:id="10" w:name="_Toc15377197"/>
      <w:r>
        <w:rPr>
          <w:rFonts w:hint="default" w:ascii="Times New Roman" w:hAnsi="Times New Roman" w:eastAsia="黑体" w:cs="Times New Roman"/>
          <w:b w:val="0"/>
          <w:color w:val="000000"/>
        </w:rPr>
        <w:t>一、</w:t>
      </w:r>
      <w:bookmarkEnd w:id="9"/>
      <w:bookmarkEnd w:id="10"/>
      <w:r>
        <w:rPr>
          <w:rFonts w:hint="default" w:ascii="Times New Roman" w:hAnsi="Times New Roman" w:eastAsia="黑体" w:cs="Times New Roman"/>
          <w:b w:val="0"/>
          <w:color w:val="000000"/>
          <w:lang w:eastAsia="zh-CN"/>
        </w:rPr>
        <w:t>部门职责</w:t>
      </w:r>
    </w:p>
    <w:p w14:paraId="1E69E258">
      <w:pPr>
        <w:spacing w:line="580" w:lineRule="exact"/>
        <w:ind w:firstLine="640" w:firstLineChars="200"/>
        <w:rPr>
          <w:rFonts w:hint="default" w:ascii="Times New Roman" w:hAnsi="Times New Roman" w:eastAsia="仿宋" w:cs="Times New Roman"/>
          <w:color w:val="000000"/>
          <w:sz w:val="32"/>
          <w:szCs w:val="32"/>
        </w:rPr>
      </w:pPr>
      <w:bookmarkStart w:id="11" w:name="_Toc15396601"/>
      <w:bookmarkStart w:id="12" w:name="_Toc15377200"/>
      <w:r>
        <w:rPr>
          <w:rFonts w:hint="default" w:ascii="Times New Roman" w:hAnsi="Times New Roman" w:eastAsia="仿宋" w:cs="Times New Roman"/>
          <w:color w:val="000000"/>
          <w:sz w:val="32"/>
          <w:szCs w:val="32"/>
        </w:rPr>
        <w:t>1 .根据城市规划和土地利用总体规划，结合全区土地市场需求情况，草拟土地储备年度计划。</w:t>
      </w:r>
    </w:p>
    <w:p w14:paraId="484B3118">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2.开展全区土地开发整理资源调查，对拟收购土地进行市场调查分析，草拟土地开发计划、收购和储备方案。</w:t>
      </w:r>
    </w:p>
    <w:p w14:paraId="71858DB6">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3.负责全区农村集体土地的征收拆迁补偿安置、收购及储备等事务性工作。</w:t>
      </w:r>
    </w:p>
    <w:p w14:paraId="1EA9D6BD">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4.对按规定管理依法收回的违法用地、闲置荒芜土地、无主土地和置换土地等纳入储备土地范围，并对储备土地按规定进行管理。</w:t>
      </w:r>
    </w:p>
    <w:p w14:paraId="7712D858">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5.根据规划部门的土地规划方案，拟订储备土地开发整理方案，负责组织实施全区储备土地的一级开发整理、工程招投标和工程进度及质量监督。</w:t>
      </w:r>
    </w:p>
    <w:p w14:paraId="47885427">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6.协助规划部门做好储备土地规划方案的优化，拟制储备土地出让计划。</w:t>
      </w:r>
    </w:p>
    <w:p w14:paraId="03E346F2">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7.严格执行土地收购储备资金管理规定，资金纳入区政府预决算。</w:t>
      </w:r>
    </w:p>
    <w:p w14:paraId="69A9D1BF">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8.做好储备土地招商引资和投入市场的前期准备工作。</w:t>
      </w:r>
    </w:p>
    <w:p w14:paraId="2D1339CD">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9.负责国有土地上房屋征收与补偿的相关工作，负责被征收居民的过渡搬迁安置和征收房屋的拆迁，负责组织调查被征收居民基本情况及房屋情况，拟定搬迁安置计划，负责协调、指导和监督检查居民安置点建设。</w:t>
      </w:r>
    </w:p>
    <w:p w14:paraId="29420AB9">
      <w:pPr>
        <w:spacing w:line="58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10.承办区委、区政府交办的其他工作。</w:t>
      </w:r>
    </w:p>
    <w:p w14:paraId="0C97F252">
      <w:pPr>
        <w:pStyle w:val="4"/>
        <w:ind w:firstLine="640" w:firstLineChars="200"/>
        <w:rPr>
          <w:rStyle w:val="32"/>
          <w:rFonts w:hint="default" w:ascii="Times New Roman" w:hAnsi="Times New Roman" w:cs="Times New Roman"/>
          <w:b w:val="0"/>
          <w:bCs w:val="0"/>
        </w:rPr>
      </w:pPr>
      <w:r>
        <w:rPr>
          <w:rFonts w:hint="default" w:ascii="Times New Roman" w:hAnsi="Times New Roman" w:eastAsia="黑体" w:cs="Times New Roman"/>
          <w:b w:val="0"/>
          <w:color w:val="000000"/>
        </w:rPr>
        <w:t>二、机</w:t>
      </w:r>
      <w:r>
        <w:rPr>
          <w:rStyle w:val="32"/>
          <w:rFonts w:hint="default" w:ascii="Times New Roman" w:hAnsi="Times New Roman" w:eastAsia="黑体" w:cs="Times New Roman"/>
          <w:b w:val="0"/>
          <w:bCs w:val="0"/>
        </w:rPr>
        <w:t>构设置</w:t>
      </w:r>
      <w:bookmarkEnd w:id="11"/>
      <w:bookmarkEnd w:id="12"/>
    </w:p>
    <w:p w14:paraId="7993811B">
      <w:pPr>
        <w:spacing w:line="580" w:lineRule="exact"/>
        <w:ind w:firstLine="640" w:firstLineChars="200"/>
        <w:rPr>
          <w:rFonts w:hint="default" w:ascii="Times New Roman" w:hAnsi="Times New Roman" w:eastAsia="仿宋" w:cs="Times New Roman"/>
          <w:color w:val="000000"/>
          <w:sz w:val="32"/>
          <w:szCs w:val="32"/>
        </w:rPr>
      </w:pPr>
      <w:r>
        <w:rPr>
          <w:rFonts w:hint="eastAsia" w:eastAsia="仿宋" w:cs="Times New Roman"/>
          <w:color w:val="000000"/>
          <w:sz w:val="32"/>
          <w:szCs w:val="32"/>
          <w:lang w:val="en-US" w:eastAsia="zh-CN"/>
        </w:rPr>
        <w:t>区土地储备中心</w:t>
      </w:r>
      <w:r>
        <w:rPr>
          <w:rFonts w:hint="default" w:ascii="Times New Roman" w:hAnsi="Times New Roman" w:eastAsia="仿宋" w:cs="Times New Roman"/>
          <w:color w:val="000000"/>
          <w:sz w:val="32"/>
          <w:szCs w:val="32"/>
        </w:rPr>
        <w:t>是一个独立核算单位，纳入202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年度部门决算汇编的独立核算单位共1个，占单位总数的100%；上年比较无增减。</w:t>
      </w:r>
    </w:p>
    <w:p w14:paraId="02FA3BAD">
      <w:pPr>
        <w:pStyle w:val="3"/>
        <w:ind w:right="440"/>
        <w:jc w:val="right"/>
        <w:rPr>
          <w:rStyle w:val="31"/>
          <w:rFonts w:hint="default" w:ascii="Times New Roman" w:hAnsi="Times New Roman" w:eastAsia="黑体" w:cs="Times New Roman"/>
          <w:b w:val="0"/>
          <w:bCs w:val="0"/>
        </w:rPr>
      </w:pPr>
      <w:bookmarkStart w:id="13" w:name="_Toc15396602"/>
      <w:bookmarkStart w:id="14" w:name="_Toc15377204"/>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31"/>
          <w:rFonts w:hint="default" w:ascii="Times New Roman" w:hAnsi="Times New Roman" w:eastAsia="黑体" w:cs="Times New Roman"/>
          <w:b w:val="0"/>
          <w:bCs w:val="0"/>
        </w:rPr>
        <w:t>202</w:t>
      </w:r>
      <w:r>
        <w:rPr>
          <w:rStyle w:val="31"/>
          <w:rFonts w:hint="eastAsia" w:eastAsia="黑体" w:cs="Times New Roman"/>
          <w:b w:val="0"/>
          <w:bCs w:val="0"/>
          <w:lang w:val="en-US" w:eastAsia="zh-CN"/>
        </w:rPr>
        <w:t>4</w:t>
      </w:r>
      <w:r>
        <w:rPr>
          <w:rStyle w:val="31"/>
          <w:rFonts w:hint="default" w:ascii="Times New Roman" w:hAnsi="Times New Roman" w:eastAsia="黑体" w:cs="Times New Roman"/>
          <w:b w:val="0"/>
          <w:bCs w:val="0"/>
        </w:rPr>
        <w:t>年度部门决算情况说明</w:t>
      </w:r>
      <w:bookmarkEnd w:id="13"/>
      <w:bookmarkEnd w:id="14"/>
    </w:p>
    <w:p w14:paraId="3F1E9BBC">
      <w:pPr>
        <w:pStyle w:val="30"/>
        <w:spacing w:line="600" w:lineRule="exact"/>
        <w:ind w:firstLine="640"/>
        <w:outlineLvl w:val="1"/>
        <w:rPr>
          <w:rStyle w:val="32"/>
          <w:rFonts w:hint="default" w:ascii="Times New Roman" w:hAnsi="Times New Roman" w:eastAsia="黑体" w:cs="Times New Roman"/>
          <w:b w:val="0"/>
        </w:rPr>
      </w:pPr>
      <w:bookmarkStart w:id="15" w:name="_Toc15377205"/>
      <w:bookmarkStart w:id="16" w:name="_Toc15396603"/>
      <w:r>
        <w:rPr>
          <w:rFonts w:hint="default" w:ascii="Times New Roman" w:hAnsi="Times New Roman" w:eastAsia="黑体" w:cs="Times New Roman"/>
          <w:color w:val="000000"/>
          <w:sz w:val="32"/>
          <w:szCs w:val="32"/>
        </w:rPr>
        <w:t>一、收</w:t>
      </w:r>
      <w:r>
        <w:rPr>
          <w:rStyle w:val="32"/>
          <w:rFonts w:hint="default" w:ascii="Times New Roman" w:hAnsi="Times New Roman" w:eastAsia="黑体" w:cs="Times New Roman"/>
          <w:b w:val="0"/>
        </w:rPr>
        <w:t>入支出决算总体情况说明</w:t>
      </w:r>
      <w:bookmarkEnd w:id="15"/>
      <w:bookmarkEnd w:id="16"/>
    </w:p>
    <w:p w14:paraId="59F332D5">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年度收、支总计</w:t>
      </w:r>
      <w:r>
        <w:rPr>
          <w:rFonts w:hint="eastAsia" w:eastAsia="仿宋" w:cs="Times New Roman"/>
          <w:sz w:val="32"/>
          <w:szCs w:val="32"/>
          <w:lang w:val="en-US" w:eastAsia="zh-CN"/>
        </w:rPr>
        <w:t>5791.13</w:t>
      </w:r>
      <w:r>
        <w:rPr>
          <w:rFonts w:hint="default" w:ascii="Times New Roman" w:hAnsi="Times New Roman" w:eastAsia="仿宋" w:cs="Times New Roman"/>
          <w:sz w:val="32"/>
          <w:szCs w:val="32"/>
        </w:rPr>
        <w:t>万元。与202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年相比，收、支总计各增加</w:t>
      </w:r>
      <w:r>
        <w:rPr>
          <w:rFonts w:hint="eastAsia" w:eastAsia="仿宋" w:cs="Times New Roman"/>
          <w:sz w:val="32"/>
          <w:szCs w:val="32"/>
          <w:lang w:val="en-US" w:eastAsia="zh-CN"/>
        </w:rPr>
        <w:t>822.04</w:t>
      </w:r>
      <w:r>
        <w:rPr>
          <w:rFonts w:hint="default" w:ascii="Times New Roman" w:hAnsi="Times New Roman" w:eastAsia="仿宋" w:cs="Times New Roman"/>
          <w:sz w:val="32"/>
          <w:szCs w:val="32"/>
        </w:rPr>
        <w:t>万元，增长</w:t>
      </w:r>
      <w:r>
        <w:rPr>
          <w:rFonts w:hint="eastAsia" w:eastAsia="仿宋" w:cs="Times New Roman"/>
          <w:sz w:val="32"/>
          <w:szCs w:val="32"/>
          <w:lang w:val="en-US" w:eastAsia="zh-CN"/>
        </w:rPr>
        <w:t>16.54</w:t>
      </w:r>
      <w:r>
        <w:rPr>
          <w:rFonts w:hint="default" w:ascii="Times New Roman" w:hAnsi="Times New Roman" w:eastAsia="仿宋" w:cs="Times New Roman"/>
          <w:sz w:val="32"/>
          <w:szCs w:val="32"/>
        </w:rPr>
        <w:t>%。主要变动原因是</w:t>
      </w:r>
      <w:r>
        <w:rPr>
          <w:rFonts w:hint="default" w:ascii="Times New Roman" w:hAnsi="Times New Roman" w:eastAsia="仿宋" w:cs="Times New Roman"/>
          <w:sz w:val="32"/>
          <w:szCs w:val="32"/>
          <w:lang w:eastAsia="zh-CN"/>
        </w:rPr>
        <w:t>项目工程及人员增加</w:t>
      </w:r>
      <w:r>
        <w:rPr>
          <w:rFonts w:hint="default" w:ascii="Times New Roman" w:hAnsi="Times New Roman" w:eastAsia="仿宋" w:cs="Times New Roman"/>
          <w:sz w:val="32"/>
          <w:szCs w:val="32"/>
        </w:rPr>
        <w:t>。</w:t>
      </w:r>
    </w:p>
    <w:p w14:paraId="55812E01">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drawing>
          <wp:anchor distT="0" distB="0" distL="114300" distR="114300" simplePos="0" relativeHeight="251659264" behindDoc="0" locked="0" layoutInCell="1" allowOverlap="1">
            <wp:simplePos x="0" y="0"/>
            <wp:positionH relativeFrom="column">
              <wp:posOffset>561975</wp:posOffset>
            </wp:positionH>
            <wp:positionV relativeFrom="paragraph">
              <wp:posOffset>249555</wp:posOffset>
            </wp:positionV>
            <wp:extent cx="3976370" cy="1371600"/>
            <wp:effectExtent l="0" t="0" r="0" b="0"/>
            <wp:wrapNone/>
            <wp:docPr id="9" name="对象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A6B90BB">
      <w:pPr>
        <w:spacing w:line="600" w:lineRule="exact"/>
        <w:ind w:firstLine="640" w:firstLineChars="200"/>
        <w:rPr>
          <w:rFonts w:hint="default" w:ascii="Times New Roman" w:hAnsi="Times New Roman" w:eastAsia="仿宋" w:cs="Times New Roman"/>
          <w:color w:val="000000"/>
          <w:sz w:val="32"/>
          <w:szCs w:val="32"/>
        </w:rPr>
      </w:pPr>
    </w:p>
    <w:p w14:paraId="0E2C9BCE">
      <w:pPr>
        <w:spacing w:line="600" w:lineRule="exact"/>
        <w:ind w:firstLine="640" w:firstLineChars="200"/>
        <w:jc w:val="left"/>
        <w:rPr>
          <w:rFonts w:hint="default" w:ascii="Times New Roman" w:hAnsi="Times New Roman" w:eastAsia="仿宋_GB2312" w:cs="Times New Roman"/>
          <w:color w:val="000000"/>
          <w:sz w:val="32"/>
          <w:szCs w:val="32"/>
        </w:rPr>
      </w:pPr>
    </w:p>
    <w:p w14:paraId="64E99D7B">
      <w:pPr>
        <w:spacing w:line="600" w:lineRule="exact"/>
        <w:ind w:firstLine="640" w:firstLineChars="200"/>
        <w:jc w:val="left"/>
        <w:rPr>
          <w:rFonts w:hint="default" w:ascii="Times New Roman" w:hAnsi="Times New Roman" w:eastAsia="仿宋_GB2312" w:cs="Times New Roman"/>
          <w:color w:val="000000"/>
          <w:sz w:val="32"/>
          <w:szCs w:val="32"/>
        </w:rPr>
      </w:pPr>
    </w:p>
    <w:p w14:paraId="6C3E37DE">
      <w:pPr>
        <w:pStyle w:val="30"/>
        <w:spacing w:line="600" w:lineRule="exact"/>
        <w:ind w:left="640" w:firstLine="0" w:firstLineChars="0"/>
        <w:outlineLvl w:val="1"/>
        <w:rPr>
          <w:rFonts w:hint="default" w:ascii="Times New Roman" w:hAnsi="Times New Roman" w:eastAsia="黑体" w:cs="Times New Roman"/>
          <w:color w:val="000000"/>
          <w:sz w:val="32"/>
          <w:szCs w:val="32"/>
        </w:rPr>
      </w:pPr>
      <w:bookmarkStart w:id="17" w:name="_Toc15396604"/>
      <w:bookmarkStart w:id="18" w:name="_Toc15377206"/>
    </w:p>
    <w:p w14:paraId="334EB7F6">
      <w:pPr>
        <w:pStyle w:val="30"/>
        <w:spacing w:line="600" w:lineRule="exact"/>
        <w:ind w:left="640" w:firstLine="0" w:firstLineChars="0"/>
        <w:outlineLvl w:val="1"/>
        <w:rPr>
          <w:rStyle w:val="32"/>
          <w:rFonts w:hint="default" w:ascii="Times New Roman" w:hAnsi="Times New Roman" w:eastAsia="黑体" w:cs="Times New Roman"/>
          <w:b w:val="0"/>
        </w:rPr>
      </w:pPr>
      <w:r>
        <w:rPr>
          <w:rFonts w:hint="default" w:ascii="Times New Roman" w:hAnsi="Times New Roman" w:eastAsia="黑体" w:cs="Times New Roman"/>
          <w:color w:val="000000"/>
          <w:sz w:val="32"/>
          <w:szCs w:val="32"/>
        </w:rPr>
        <w:t>二、收</w:t>
      </w:r>
      <w:r>
        <w:rPr>
          <w:rStyle w:val="32"/>
          <w:rFonts w:hint="default" w:ascii="Times New Roman" w:hAnsi="Times New Roman" w:eastAsia="黑体" w:cs="Times New Roman"/>
          <w:b w:val="0"/>
        </w:rPr>
        <w:t>入决算情况说明</w:t>
      </w:r>
      <w:bookmarkEnd w:id="17"/>
      <w:bookmarkEnd w:id="18"/>
    </w:p>
    <w:p w14:paraId="3EE45E96">
      <w:pPr>
        <w:spacing w:line="600" w:lineRule="exact"/>
        <w:ind w:firstLine="640" w:firstLineChars="200"/>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年本年收入合计</w:t>
      </w:r>
      <w:r>
        <w:rPr>
          <w:rFonts w:hint="eastAsia" w:eastAsia="仿宋" w:cs="Times New Roman"/>
          <w:sz w:val="32"/>
          <w:szCs w:val="32"/>
          <w:lang w:val="en-US" w:eastAsia="zh-CN"/>
        </w:rPr>
        <w:t>5121.16</w:t>
      </w:r>
      <w:r>
        <w:rPr>
          <w:rFonts w:hint="default" w:ascii="Times New Roman" w:hAnsi="Times New Roman" w:eastAsia="仿宋" w:cs="Times New Roman"/>
          <w:sz w:val="32"/>
          <w:szCs w:val="32"/>
        </w:rPr>
        <w:t>万元，其中：一般公共预算财政拨款收入</w:t>
      </w:r>
      <w:r>
        <w:rPr>
          <w:rFonts w:hint="eastAsia" w:eastAsia="仿宋" w:cs="Times New Roman"/>
          <w:sz w:val="32"/>
          <w:szCs w:val="32"/>
          <w:lang w:val="en-US" w:eastAsia="zh-CN"/>
        </w:rPr>
        <w:t>4914.17</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95.96</w:t>
      </w:r>
      <w:r>
        <w:rPr>
          <w:rFonts w:hint="default" w:ascii="Times New Roman" w:hAnsi="Times New Roman" w:eastAsia="仿宋" w:cs="Times New Roman"/>
          <w:sz w:val="32"/>
          <w:szCs w:val="32"/>
        </w:rPr>
        <w:t>%；政府性基金预算财政拨款收入</w:t>
      </w:r>
      <w:r>
        <w:rPr>
          <w:rFonts w:hint="eastAsia" w:eastAsia="仿宋" w:cs="Times New Roman"/>
          <w:sz w:val="32"/>
          <w:szCs w:val="32"/>
          <w:lang w:val="en-US" w:eastAsia="zh-CN"/>
        </w:rPr>
        <w:t>206.99</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4.04</w:t>
      </w:r>
      <w:r>
        <w:rPr>
          <w:rFonts w:hint="default" w:ascii="Times New Roman" w:hAnsi="Times New Roman" w:eastAsia="仿宋" w:cs="Times New Roman"/>
          <w:sz w:val="32"/>
          <w:szCs w:val="32"/>
        </w:rPr>
        <w:t>%；国有资本经营预算财政拨款收入</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%；上级补助收入</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%；事业收入</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%；经营收入</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%；附属单位上缴收入</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w:t>
      </w:r>
      <w:r>
        <w:rPr>
          <w:rFonts w:hint="default" w:ascii="Times New Roman" w:hAnsi="Times New Roman" w:eastAsia="仿宋" w:cs="Times New Roman"/>
          <w:color w:val="000000"/>
          <w:sz w:val="32"/>
          <w:szCs w:val="32"/>
        </w:rPr>
        <w:t>其他收入0万元，占0%</w:t>
      </w:r>
      <w:r>
        <w:rPr>
          <w:rFonts w:hint="default" w:ascii="Times New Roman" w:hAnsi="Times New Roman" w:eastAsia="仿宋" w:cs="Times New Roman"/>
          <w:sz w:val="32"/>
          <w:szCs w:val="32"/>
        </w:rPr>
        <w:t>。</w:t>
      </w:r>
    </w:p>
    <w:p w14:paraId="5978DF2E">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drawing>
          <wp:anchor distT="0" distB="0" distL="114300" distR="114300" simplePos="0" relativeHeight="251660288" behindDoc="0" locked="0" layoutInCell="1" allowOverlap="1">
            <wp:simplePos x="0" y="0"/>
            <wp:positionH relativeFrom="column">
              <wp:posOffset>57150</wp:posOffset>
            </wp:positionH>
            <wp:positionV relativeFrom="paragraph">
              <wp:posOffset>104775</wp:posOffset>
            </wp:positionV>
            <wp:extent cx="5305425" cy="1209675"/>
            <wp:effectExtent l="0" t="0" r="0" b="0"/>
            <wp:wrapNone/>
            <wp:docPr id="10" name="对象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9C0233B">
      <w:pPr>
        <w:spacing w:line="600" w:lineRule="exact"/>
        <w:ind w:firstLine="640" w:firstLineChars="200"/>
        <w:outlineLvl w:val="1"/>
        <w:rPr>
          <w:rFonts w:hint="default" w:ascii="Times New Roman" w:hAnsi="Times New Roman" w:eastAsia="仿宋" w:cs="Times New Roman"/>
          <w:color w:val="000000"/>
          <w:sz w:val="32"/>
          <w:szCs w:val="32"/>
        </w:rPr>
      </w:pPr>
    </w:p>
    <w:p w14:paraId="774F6B07">
      <w:pPr>
        <w:spacing w:line="600" w:lineRule="exact"/>
        <w:ind w:firstLine="640" w:firstLineChars="200"/>
        <w:outlineLvl w:val="1"/>
        <w:rPr>
          <w:rFonts w:hint="default" w:ascii="Times New Roman" w:hAnsi="Times New Roman" w:eastAsia="仿宋" w:cs="Times New Roman"/>
          <w:color w:val="000000"/>
          <w:sz w:val="32"/>
          <w:szCs w:val="32"/>
        </w:rPr>
      </w:pPr>
    </w:p>
    <w:p w14:paraId="4F03B29C">
      <w:pPr>
        <w:spacing w:line="600" w:lineRule="exact"/>
        <w:ind w:firstLine="640" w:firstLineChars="200"/>
        <w:outlineLvl w:val="1"/>
        <w:rPr>
          <w:rFonts w:hint="default" w:ascii="Times New Roman" w:hAnsi="Times New Roman" w:eastAsia="仿宋" w:cs="Times New Roman"/>
          <w:color w:val="000000"/>
          <w:sz w:val="32"/>
          <w:szCs w:val="32"/>
        </w:rPr>
      </w:pPr>
    </w:p>
    <w:p w14:paraId="14598A5B">
      <w:pPr>
        <w:pStyle w:val="30"/>
        <w:spacing w:line="600" w:lineRule="exact"/>
        <w:ind w:left="640" w:firstLine="0" w:firstLineChars="0"/>
        <w:outlineLvl w:val="1"/>
        <w:rPr>
          <w:rStyle w:val="32"/>
          <w:rFonts w:hint="default" w:ascii="Times New Roman" w:hAnsi="Times New Roman" w:eastAsia="黑体" w:cs="Times New Roman"/>
          <w:b w:val="0"/>
        </w:rPr>
      </w:pPr>
      <w:bookmarkStart w:id="19" w:name="_Toc15396605"/>
      <w:bookmarkStart w:id="20" w:name="_Toc15377207"/>
      <w:r>
        <w:rPr>
          <w:rFonts w:hint="default" w:ascii="Times New Roman" w:hAnsi="Times New Roman" w:eastAsia="黑体" w:cs="Times New Roman"/>
          <w:color w:val="000000"/>
          <w:sz w:val="32"/>
          <w:szCs w:val="32"/>
        </w:rPr>
        <w:t>三、支</w:t>
      </w:r>
      <w:r>
        <w:rPr>
          <w:rStyle w:val="32"/>
          <w:rFonts w:hint="default" w:ascii="Times New Roman" w:hAnsi="Times New Roman" w:eastAsia="黑体" w:cs="Times New Roman"/>
          <w:b w:val="0"/>
        </w:rPr>
        <w:t>出决算情况说明</w:t>
      </w:r>
      <w:bookmarkEnd w:id="19"/>
      <w:bookmarkEnd w:id="20"/>
    </w:p>
    <w:p w14:paraId="68043C00">
      <w:pPr>
        <w:spacing w:line="600" w:lineRule="exact"/>
        <w:ind w:firstLine="640" w:firstLineChars="200"/>
        <w:outlineLvl w:val="1"/>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年本年支出合计</w:t>
      </w:r>
      <w:r>
        <w:rPr>
          <w:rFonts w:hint="eastAsia" w:eastAsia="仿宋" w:cs="Times New Roman"/>
          <w:sz w:val="32"/>
          <w:szCs w:val="32"/>
          <w:lang w:val="en-US" w:eastAsia="zh-CN"/>
        </w:rPr>
        <w:t>5791.13</w:t>
      </w:r>
      <w:r>
        <w:rPr>
          <w:rFonts w:hint="default" w:ascii="Times New Roman" w:hAnsi="Times New Roman" w:eastAsia="仿宋" w:cs="Times New Roman"/>
          <w:sz w:val="32"/>
          <w:szCs w:val="32"/>
        </w:rPr>
        <w:t>万元，其中：基本支出</w:t>
      </w:r>
      <w:r>
        <w:rPr>
          <w:rFonts w:hint="eastAsia" w:eastAsia="仿宋" w:cs="Times New Roman"/>
          <w:sz w:val="32"/>
          <w:szCs w:val="32"/>
          <w:lang w:val="en-US" w:eastAsia="zh-CN"/>
        </w:rPr>
        <w:t>209.80</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3.62</w:t>
      </w:r>
      <w:r>
        <w:rPr>
          <w:rFonts w:hint="default" w:ascii="Times New Roman" w:hAnsi="Times New Roman" w:eastAsia="仿宋" w:cs="Times New Roman"/>
          <w:sz w:val="32"/>
          <w:szCs w:val="32"/>
        </w:rPr>
        <w:t>%；项目支出</w:t>
      </w:r>
      <w:r>
        <w:rPr>
          <w:rFonts w:hint="eastAsia" w:eastAsia="仿宋" w:cs="Times New Roman"/>
          <w:sz w:val="32"/>
          <w:szCs w:val="32"/>
          <w:lang w:val="en-US" w:eastAsia="zh-CN"/>
        </w:rPr>
        <w:t>5581.33</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9</w:t>
      </w:r>
      <w:r>
        <w:rPr>
          <w:rFonts w:hint="eastAsia" w:eastAsia="仿宋" w:cs="Times New Roman"/>
          <w:sz w:val="32"/>
          <w:szCs w:val="32"/>
          <w:lang w:val="en-US" w:eastAsia="zh-CN"/>
        </w:rPr>
        <w:t>6.38</w:t>
      </w:r>
      <w:r>
        <w:rPr>
          <w:rFonts w:hint="default" w:ascii="Times New Roman" w:hAnsi="Times New Roman" w:eastAsia="仿宋" w:cs="Times New Roman"/>
          <w:sz w:val="32"/>
          <w:szCs w:val="32"/>
        </w:rPr>
        <w:t>%；上缴上级支出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%；经营支出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%；对附属单位补助支出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w:t>
      </w:r>
    </w:p>
    <w:p w14:paraId="1CF27A1E">
      <w:pPr>
        <w:spacing w:line="600" w:lineRule="exact"/>
        <w:ind w:firstLine="640" w:firstLineChars="200"/>
        <w:outlineLvl w:val="1"/>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drawing>
          <wp:anchor distT="0" distB="0" distL="114300" distR="114300" simplePos="0" relativeHeight="251661312" behindDoc="0" locked="0" layoutInCell="1" allowOverlap="1">
            <wp:simplePos x="0" y="0"/>
            <wp:positionH relativeFrom="column">
              <wp:posOffset>304800</wp:posOffset>
            </wp:positionH>
            <wp:positionV relativeFrom="paragraph">
              <wp:posOffset>114300</wp:posOffset>
            </wp:positionV>
            <wp:extent cx="4724400" cy="1238250"/>
            <wp:effectExtent l="0" t="0" r="0" b="0"/>
            <wp:wrapNone/>
            <wp:docPr id="12" name="对象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D9A12AE">
      <w:pPr>
        <w:spacing w:line="600" w:lineRule="exact"/>
        <w:ind w:firstLine="640" w:firstLineChars="200"/>
        <w:rPr>
          <w:rFonts w:hint="default" w:ascii="Times New Roman" w:hAnsi="Times New Roman" w:eastAsia="仿宋" w:cs="Times New Roman"/>
          <w:color w:val="000000" w:themeColor="text1"/>
          <w:sz w:val="32"/>
          <w:szCs w:val="32"/>
          <w:highlight w:val="yellow"/>
          <w14:textFill>
            <w14:solidFill>
              <w14:schemeClr w14:val="tx1"/>
            </w14:solidFill>
          </w14:textFill>
        </w:rPr>
      </w:pPr>
    </w:p>
    <w:p w14:paraId="7FA4667D">
      <w:pPr>
        <w:spacing w:line="600" w:lineRule="exact"/>
        <w:ind w:firstLine="640" w:firstLineChars="200"/>
        <w:rPr>
          <w:rFonts w:hint="default" w:ascii="Times New Roman" w:hAnsi="Times New Roman" w:eastAsia="仿宋" w:cs="Times New Roman"/>
          <w:color w:val="000000" w:themeColor="text1"/>
          <w:sz w:val="32"/>
          <w:szCs w:val="32"/>
          <w:highlight w:val="yellow"/>
          <w14:textFill>
            <w14:solidFill>
              <w14:schemeClr w14:val="tx1"/>
            </w14:solidFill>
          </w14:textFill>
        </w:rPr>
      </w:pPr>
    </w:p>
    <w:p w14:paraId="19E4B894">
      <w:pPr>
        <w:spacing w:line="600" w:lineRule="exact"/>
        <w:ind w:firstLine="640" w:firstLineChars="200"/>
        <w:rPr>
          <w:rFonts w:hint="default" w:ascii="Times New Roman" w:hAnsi="Times New Roman" w:eastAsia="仿宋" w:cs="Times New Roman"/>
          <w:color w:val="000000" w:themeColor="text1"/>
          <w:sz w:val="32"/>
          <w:szCs w:val="32"/>
          <w:highlight w:val="yellow"/>
          <w14:textFill>
            <w14:solidFill>
              <w14:schemeClr w14:val="tx1"/>
            </w14:solidFill>
          </w14:textFill>
        </w:rPr>
      </w:pPr>
    </w:p>
    <w:p w14:paraId="6DD5F84C">
      <w:pPr>
        <w:spacing w:line="600" w:lineRule="exact"/>
        <w:ind w:firstLine="640" w:firstLineChars="200"/>
        <w:outlineLvl w:val="1"/>
        <w:rPr>
          <w:rStyle w:val="32"/>
          <w:rFonts w:hint="default" w:ascii="Times New Roman" w:hAnsi="Times New Roman" w:eastAsia="黑体" w:cs="Times New Roman"/>
          <w:b w:val="0"/>
        </w:rPr>
      </w:pPr>
      <w:bookmarkStart w:id="21" w:name="_Toc15396606"/>
      <w:bookmarkStart w:id="22" w:name="_Toc15377208"/>
      <w:r>
        <w:rPr>
          <w:rFonts w:hint="default" w:ascii="Times New Roman" w:hAnsi="Times New Roman" w:eastAsia="黑体" w:cs="Times New Roman"/>
          <w:color w:val="000000"/>
          <w:sz w:val="32"/>
          <w:szCs w:val="32"/>
        </w:rPr>
        <w:t>四、财</w:t>
      </w:r>
      <w:r>
        <w:rPr>
          <w:rStyle w:val="32"/>
          <w:rFonts w:hint="default" w:ascii="Times New Roman" w:hAnsi="Times New Roman" w:eastAsia="黑体" w:cs="Times New Roman"/>
          <w:b w:val="0"/>
        </w:rPr>
        <w:t>政拨款收入支出决算总体情况说明</w:t>
      </w:r>
      <w:bookmarkEnd w:id="21"/>
      <w:bookmarkEnd w:id="22"/>
    </w:p>
    <w:p w14:paraId="41F04DA8">
      <w:pPr>
        <w:spacing w:line="600" w:lineRule="exact"/>
        <w:ind w:firstLine="640"/>
        <w:rPr>
          <w:rFonts w:hint="default" w:ascii="Times New Roman" w:hAnsi="Times New Roman" w:eastAsia="仿宋" w:cs="Times New Roman"/>
          <w:sz w:val="32"/>
          <w:szCs w:val="32"/>
          <w:lang w:eastAsia="zh-CN"/>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2336" behindDoc="0" locked="0" layoutInCell="1" allowOverlap="1">
            <wp:simplePos x="0" y="0"/>
            <wp:positionH relativeFrom="column">
              <wp:posOffset>-41275</wp:posOffset>
            </wp:positionH>
            <wp:positionV relativeFrom="paragraph">
              <wp:posOffset>810260</wp:posOffset>
            </wp:positionV>
            <wp:extent cx="5382260" cy="1914525"/>
            <wp:effectExtent l="0" t="0" r="0" b="0"/>
            <wp:wrapNone/>
            <wp:docPr id="14" name="对象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年财政拨款收、支总计</w:t>
      </w:r>
      <w:r>
        <w:rPr>
          <w:rFonts w:hint="eastAsia" w:eastAsia="仿宋" w:cs="Times New Roman"/>
          <w:sz w:val="32"/>
          <w:szCs w:val="32"/>
          <w:lang w:val="en-US" w:eastAsia="zh-CN"/>
        </w:rPr>
        <w:t>5791.13</w:t>
      </w:r>
      <w:r>
        <w:rPr>
          <w:rFonts w:hint="default" w:ascii="Times New Roman" w:hAnsi="Times New Roman" w:eastAsia="仿宋" w:cs="Times New Roman"/>
          <w:sz w:val="32"/>
          <w:szCs w:val="32"/>
        </w:rPr>
        <w:t>万元。与202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年相比，财政拨款收、支总计各增加</w:t>
      </w:r>
      <w:r>
        <w:rPr>
          <w:rFonts w:hint="eastAsia" w:eastAsia="仿宋" w:cs="Times New Roman"/>
          <w:sz w:val="32"/>
          <w:szCs w:val="32"/>
          <w:lang w:val="en-US" w:eastAsia="zh-CN"/>
        </w:rPr>
        <w:t>822.04</w:t>
      </w:r>
      <w:r>
        <w:rPr>
          <w:rFonts w:hint="default" w:ascii="Times New Roman" w:hAnsi="Times New Roman" w:eastAsia="仿宋" w:cs="Times New Roman"/>
          <w:sz w:val="32"/>
          <w:szCs w:val="32"/>
        </w:rPr>
        <w:t>万元，增长</w:t>
      </w:r>
      <w:r>
        <w:rPr>
          <w:rFonts w:hint="eastAsia" w:eastAsia="仿宋" w:cs="Times New Roman"/>
          <w:sz w:val="32"/>
          <w:szCs w:val="32"/>
          <w:lang w:val="en-US" w:eastAsia="zh-CN"/>
        </w:rPr>
        <w:t>16.54</w:t>
      </w:r>
      <w:r>
        <w:rPr>
          <w:rFonts w:hint="default" w:ascii="Times New Roman" w:hAnsi="Times New Roman" w:eastAsia="仿宋" w:cs="Times New Roman"/>
          <w:sz w:val="32"/>
          <w:szCs w:val="32"/>
        </w:rPr>
        <w:t>%。主要变动原因是</w:t>
      </w:r>
      <w:r>
        <w:rPr>
          <w:rFonts w:hint="default" w:ascii="Times New Roman" w:hAnsi="Times New Roman" w:eastAsia="仿宋" w:cs="Times New Roman"/>
          <w:sz w:val="32"/>
          <w:szCs w:val="32"/>
          <w:lang w:eastAsia="zh-CN"/>
        </w:rPr>
        <w:t>项目工程及人员增加。</w:t>
      </w:r>
    </w:p>
    <w:p w14:paraId="272806CE">
      <w:pPr>
        <w:pStyle w:val="14"/>
        <w:rPr>
          <w:rFonts w:hint="default" w:ascii="Times New Roman" w:hAnsi="Times New Roman" w:eastAsia="仿宋" w:cs="Times New Roman"/>
          <w:sz w:val="32"/>
          <w:szCs w:val="32"/>
          <w:lang w:eastAsia="zh-CN"/>
        </w:rPr>
      </w:pPr>
    </w:p>
    <w:p w14:paraId="415C0995">
      <w:pPr>
        <w:pStyle w:val="8"/>
        <w:rPr>
          <w:rFonts w:hint="default" w:ascii="Times New Roman" w:hAnsi="Times New Roman" w:eastAsia="仿宋" w:cs="Times New Roman"/>
          <w:sz w:val="32"/>
          <w:szCs w:val="32"/>
          <w:lang w:eastAsia="zh-CN"/>
        </w:rPr>
      </w:pPr>
    </w:p>
    <w:p w14:paraId="5B873FC8">
      <w:pPr>
        <w:rPr>
          <w:rFonts w:hint="default"/>
        </w:rPr>
      </w:pPr>
    </w:p>
    <w:p w14:paraId="14CDB95B">
      <w:pPr>
        <w:spacing w:line="600" w:lineRule="exact"/>
        <w:rPr>
          <w:rFonts w:hint="default" w:ascii="Times New Roman" w:hAnsi="Times New Roman" w:eastAsia="仿宋" w:cs="Times New Roman"/>
          <w:color w:val="000000"/>
          <w:sz w:val="32"/>
          <w:szCs w:val="32"/>
        </w:rPr>
      </w:pPr>
    </w:p>
    <w:p w14:paraId="00DFBE5B">
      <w:pPr>
        <w:spacing w:line="600" w:lineRule="exact"/>
        <w:ind w:firstLine="640" w:firstLineChars="200"/>
        <w:outlineLvl w:val="1"/>
        <w:rPr>
          <w:rStyle w:val="32"/>
          <w:rFonts w:hint="default" w:ascii="Times New Roman" w:hAnsi="Times New Roman" w:eastAsia="黑体" w:cs="Times New Roman"/>
          <w:b w:val="0"/>
        </w:rPr>
      </w:pPr>
      <w:bookmarkStart w:id="23" w:name="_Toc15377209"/>
      <w:bookmarkStart w:id="24" w:name="_Toc15396607"/>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32"/>
          <w:rFonts w:hint="default" w:ascii="Times New Roman" w:hAnsi="Times New Roman" w:eastAsia="黑体" w:cs="Times New Roman"/>
          <w:b w:val="0"/>
        </w:rPr>
        <w:t>般公共预算财政拨款支出决算情况说明</w:t>
      </w:r>
      <w:bookmarkEnd w:id="23"/>
      <w:bookmarkEnd w:id="24"/>
    </w:p>
    <w:p w14:paraId="4839516C">
      <w:pPr>
        <w:spacing w:line="600" w:lineRule="exact"/>
        <w:ind w:firstLine="643" w:firstLineChars="200"/>
        <w:outlineLvl w:val="2"/>
        <w:rPr>
          <w:rFonts w:hint="default" w:ascii="Times New Roman" w:hAnsi="Times New Roman" w:eastAsia="仿宋" w:cs="Times New Roman"/>
          <w:b/>
          <w:color w:val="000000"/>
          <w:sz w:val="32"/>
          <w:szCs w:val="32"/>
        </w:rPr>
      </w:pPr>
      <w:bookmarkStart w:id="25" w:name="_Toc15377210"/>
      <w:r>
        <w:rPr>
          <w:rFonts w:hint="default" w:ascii="Times New Roman" w:hAnsi="Times New Roman" w:eastAsia="仿宋" w:cs="Times New Roman"/>
          <w:b/>
          <w:color w:val="000000"/>
          <w:sz w:val="32"/>
          <w:szCs w:val="32"/>
        </w:rPr>
        <w:t>（一）一般公共预算财政拨款支出决算总体情况</w:t>
      </w:r>
      <w:bookmarkEnd w:id="25"/>
    </w:p>
    <w:p w14:paraId="5C3F6B47">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年一般公共预算财政拨款支出</w:t>
      </w:r>
      <w:r>
        <w:rPr>
          <w:rFonts w:hint="eastAsia" w:eastAsia="仿宋" w:cs="Times New Roman"/>
          <w:sz w:val="32"/>
          <w:szCs w:val="32"/>
          <w:lang w:val="en-US" w:eastAsia="zh-CN"/>
        </w:rPr>
        <w:t>4914.17</w:t>
      </w:r>
      <w:r>
        <w:rPr>
          <w:rFonts w:hint="default" w:ascii="Times New Roman" w:hAnsi="Times New Roman" w:eastAsia="仿宋" w:cs="Times New Roman"/>
          <w:sz w:val="32"/>
          <w:szCs w:val="32"/>
        </w:rPr>
        <w:t>万元，占本年支出合计的</w:t>
      </w:r>
      <w:r>
        <w:rPr>
          <w:rFonts w:hint="eastAsia" w:eastAsia="仿宋" w:cs="Times New Roman"/>
          <w:sz w:val="32"/>
          <w:szCs w:val="32"/>
          <w:lang w:val="en-US" w:eastAsia="zh-CN"/>
        </w:rPr>
        <w:t>84.86</w:t>
      </w:r>
      <w:r>
        <w:rPr>
          <w:rFonts w:hint="default" w:ascii="Times New Roman" w:hAnsi="Times New Roman" w:eastAsia="仿宋" w:cs="Times New Roman"/>
          <w:sz w:val="32"/>
          <w:szCs w:val="32"/>
        </w:rPr>
        <w:t>%。与202</w:t>
      </w:r>
      <w:r>
        <w:rPr>
          <w:rFonts w:hint="eastAsia" w:eastAsia="仿宋" w:cs="Times New Roman"/>
          <w:sz w:val="32"/>
          <w:szCs w:val="32"/>
          <w:lang w:val="en-US" w:eastAsia="zh-CN"/>
        </w:rPr>
        <w:t>3</w:t>
      </w:r>
      <w:r>
        <w:rPr>
          <w:rFonts w:hint="default" w:ascii="Times New Roman" w:hAnsi="Times New Roman" w:eastAsia="仿宋" w:cs="Times New Roman"/>
          <w:sz w:val="32"/>
          <w:szCs w:val="32"/>
        </w:rPr>
        <w:t>年相比，一般公共预算财政拨款支出增加</w:t>
      </w:r>
      <w:r>
        <w:rPr>
          <w:rFonts w:hint="eastAsia" w:eastAsia="仿宋" w:cs="Times New Roman"/>
          <w:sz w:val="32"/>
          <w:szCs w:val="32"/>
          <w:lang w:val="en-US" w:eastAsia="zh-CN"/>
        </w:rPr>
        <w:t>2710.9</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lang w:val="en-US" w:eastAsia="zh-CN"/>
        </w:rPr>
        <w:t>1</w:t>
      </w:r>
      <w:r>
        <w:rPr>
          <w:rFonts w:hint="eastAsia" w:eastAsia="仿宋" w:cs="Times New Roman"/>
          <w:sz w:val="32"/>
          <w:szCs w:val="32"/>
          <w:lang w:val="en-US" w:eastAsia="zh-CN"/>
        </w:rPr>
        <w:t>23.04</w:t>
      </w:r>
      <w:r>
        <w:rPr>
          <w:rFonts w:hint="default" w:ascii="Times New Roman" w:hAnsi="Times New Roman" w:eastAsia="仿宋" w:cs="Times New Roman"/>
          <w:sz w:val="32"/>
          <w:szCs w:val="32"/>
        </w:rPr>
        <w:t>%。主要变动原因是</w:t>
      </w:r>
      <w:r>
        <w:rPr>
          <w:rFonts w:hint="default" w:ascii="Times New Roman" w:hAnsi="Times New Roman" w:eastAsia="仿宋" w:cs="Times New Roman"/>
          <w:sz w:val="32"/>
          <w:szCs w:val="32"/>
          <w:lang w:eastAsia="zh-CN"/>
        </w:rPr>
        <w:t>项目工程及人员增加</w:t>
      </w:r>
      <w:r>
        <w:rPr>
          <w:rFonts w:hint="default" w:ascii="Times New Roman" w:hAnsi="Times New Roman" w:eastAsia="仿宋" w:cs="Times New Roman"/>
          <w:color w:val="000000"/>
          <w:sz w:val="32"/>
          <w:szCs w:val="32"/>
        </w:rPr>
        <w:t>。</w:t>
      </w:r>
    </w:p>
    <w:p w14:paraId="02512A7C">
      <w:pPr>
        <w:spacing w:line="600" w:lineRule="exact"/>
        <w:ind w:firstLine="640" w:firstLineChars="200"/>
        <w:outlineLvl w:val="2"/>
        <w:rPr>
          <w:rFonts w:hint="default" w:ascii="Times New Roman" w:hAnsi="Times New Roman" w:eastAsia="仿宋" w:cs="Times New Roman"/>
          <w:b/>
          <w:color w:val="000000"/>
          <w:sz w:val="32"/>
          <w:szCs w:val="32"/>
        </w:rPr>
      </w:pPr>
      <w:bookmarkStart w:id="26" w:name="_Toc15377211"/>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276225</wp:posOffset>
            </wp:positionH>
            <wp:positionV relativeFrom="paragraph">
              <wp:posOffset>19050</wp:posOffset>
            </wp:positionV>
            <wp:extent cx="5103495" cy="1499235"/>
            <wp:effectExtent l="0" t="0" r="0" b="0"/>
            <wp:wrapNone/>
            <wp:docPr id="43" name="对象 4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43D38D4">
      <w:pPr>
        <w:spacing w:line="600" w:lineRule="exact"/>
        <w:ind w:firstLine="643" w:firstLineChars="200"/>
        <w:outlineLvl w:val="2"/>
        <w:rPr>
          <w:rFonts w:hint="default" w:ascii="Times New Roman" w:hAnsi="Times New Roman" w:eastAsia="仿宋" w:cs="Times New Roman"/>
          <w:b/>
          <w:color w:val="000000"/>
          <w:sz w:val="32"/>
          <w:szCs w:val="32"/>
        </w:rPr>
      </w:pPr>
    </w:p>
    <w:p w14:paraId="492FD44B">
      <w:pPr>
        <w:spacing w:line="600" w:lineRule="exact"/>
        <w:ind w:firstLine="643" w:firstLineChars="200"/>
        <w:outlineLvl w:val="2"/>
        <w:rPr>
          <w:rFonts w:hint="default" w:ascii="Times New Roman" w:hAnsi="Times New Roman" w:eastAsia="仿宋" w:cs="Times New Roman"/>
          <w:b/>
          <w:color w:val="000000"/>
          <w:sz w:val="32"/>
          <w:szCs w:val="32"/>
        </w:rPr>
      </w:pPr>
    </w:p>
    <w:p w14:paraId="42BF1208">
      <w:pPr>
        <w:spacing w:line="600" w:lineRule="exact"/>
        <w:ind w:firstLine="643" w:firstLineChars="200"/>
        <w:outlineLvl w:val="2"/>
        <w:rPr>
          <w:rFonts w:hint="default" w:ascii="Times New Roman" w:hAnsi="Times New Roman" w:eastAsia="仿宋" w:cs="Times New Roman"/>
          <w:b/>
          <w:color w:val="000000"/>
          <w:sz w:val="32"/>
          <w:szCs w:val="32"/>
        </w:rPr>
      </w:pPr>
    </w:p>
    <w:p w14:paraId="2F424B17">
      <w:pPr>
        <w:spacing w:line="600" w:lineRule="exact"/>
        <w:ind w:firstLine="643" w:firstLineChars="200"/>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（二）一般公共预算财政拨款支出决算结构情况</w:t>
      </w:r>
      <w:bookmarkEnd w:id="26"/>
    </w:p>
    <w:p w14:paraId="6DFB01BC">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anchor distT="0" distB="0" distL="114300" distR="114300" simplePos="0" relativeHeight="251664384" behindDoc="0" locked="0" layoutInCell="1" allowOverlap="1">
            <wp:simplePos x="0" y="0"/>
            <wp:positionH relativeFrom="column">
              <wp:posOffset>120650</wp:posOffset>
            </wp:positionH>
            <wp:positionV relativeFrom="paragraph">
              <wp:posOffset>1861820</wp:posOffset>
            </wp:positionV>
            <wp:extent cx="5276850" cy="1885950"/>
            <wp:effectExtent l="0" t="0" r="0" b="0"/>
            <wp:wrapNone/>
            <wp:docPr id="46" name="对象 4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年一般公共预算财政拨款支出</w:t>
      </w:r>
      <w:r>
        <w:rPr>
          <w:rFonts w:hint="eastAsia" w:ascii="Times New Roman" w:hAnsi="Times New Roman" w:eastAsia="仿宋" w:cs="Times New Roman"/>
          <w:sz w:val="32"/>
          <w:szCs w:val="32"/>
          <w:lang w:val="en-US" w:eastAsia="zh-CN"/>
        </w:rPr>
        <w:t>4914.17</w:t>
      </w:r>
      <w:r>
        <w:rPr>
          <w:rFonts w:hint="default" w:ascii="Times New Roman" w:hAnsi="Times New Roman" w:eastAsia="仿宋" w:cs="Times New Roman"/>
          <w:sz w:val="32"/>
          <w:szCs w:val="32"/>
        </w:rPr>
        <w:t>万元，主要用于以下方面:社会保障和就业支出</w:t>
      </w:r>
      <w:r>
        <w:rPr>
          <w:rFonts w:hint="default" w:ascii="Times New Roman" w:hAnsi="Times New Roman" w:eastAsia="仿宋" w:cs="Times New Roman"/>
          <w:sz w:val="32"/>
          <w:szCs w:val="32"/>
          <w:lang w:val="en-US" w:eastAsia="zh-CN"/>
        </w:rPr>
        <w:t>20.</w:t>
      </w:r>
      <w:r>
        <w:rPr>
          <w:rFonts w:hint="eastAsia" w:ascii="Times New Roman" w:hAnsi="Times New Roman" w:eastAsia="仿宋" w:cs="Times New Roman"/>
          <w:sz w:val="32"/>
          <w:szCs w:val="32"/>
          <w:lang w:val="en-US" w:eastAsia="zh-CN"/>
        </w:rPr>
        <w:t>88</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lang w:val="en-US" w:eastAsia="zh-CN"/>
        </w:rPr>
        <w:t>42</w:t>
      </w:r>
      <w:r>
        <w:rPr>
          <w:rFonts w:hint="default" w:ascii="Times New Roman" w:hAnsi="Times New Roman" w:eastAsia="仿宋" w:cs="Times New Roman"/>
          <w:sz w:val="32"/>
          <w:szCs w:val="32"/>
        </w:rPr>
        <w:t>%；卫生健康支出</w:t>
      </w: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6.10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lang w:val="en-US" w:eastAsia="zh-CN"/>
        </w:rPr>
        <w:t>33</w:t>
      </w:r>
      <w:r>
        <w:rPr>
          <w:rFonts w:hint="default" w:ascii="Times New Roman" w:hAnsi="Times New Roman" w:eastAsia="仿宋" w:cs="Times New Roman"/>
          <w:sz w:val="32"/>
          <w:szCs w:val="32"/>
        </w:rPr>
        <w:t>%；自然资源海洋气象等支出</w:t>
      </w:r>
      <w:r>
        <w:rPr>
          <w:rFonts w:hint="eastAsia" w:ascii="Times New Roman" w:hAnsi="Times New Roman" w:eastAsia="仿宋" w:cs="Times New Roman"/>
          <w:sz w:val="32"/>
          <w:szCs w:val="32"/>
          <w:lang w:val="en-US" w:eastAsia="zh-CN"/>
        </w:rPr>
        <w:t>4861.45</w:t>
      </w:r>
      <w:r>
        <w:rPr>
          <w:rFonts w:hint="default" w:ascii="Times New Roman" w:hAnsi="Times New Roman" w:eastAsia="仿宋" w:cs="Times New Roman"/>
          <w:sz w:val="32"/>
          <w:szCs w:val="32"/>
          <w:lang w:eastAsia="zh-CN"/>
        </w:rPr>
        <w:t>万元，占</w:t>
      </w:r>
      <w:r>
        <w:rPr>
          <w:rFonts w:hint="default" w:ascii="Times New Roman" w:hAnsi="Times New Roman" w:eastAsia="仿宋" w:cs="Times New Roman"/>
          <w:sz w:val="32"/>
          <w:szCs w:val="32"/>
          <w:lang w:val="en-US" w:eastAsia="zh-CN"/>
        </w:rPr>
        <w:t>9</w:t>
      </w:r>
      <w:r>
        <w:rPr>
          <w:rFonts w:hint="eastAsia" w:ascii="Times New Roman" w:hAnsi="Times New Roman" w:eastAsia="仿宋" w:cs="Times New Roman"/>
          <w:sz w:val="32"/>
          <w:szCs w:val="32"/>
          <w:lang w:val="en-US" w:eastAsia="zh-CN"/>
        </w:rPr>
        <w:t>8.93</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住房保障支出</w:t>
      </w: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5.74</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lang w:val="en-US" w:eastAsia="zh-CN"/>
        </w:rPr>
        <w:t>32</w:t>
      </w:r>
      <w:r>
        <w:rPr>
          <w:rFonts w:hint="default" w:ascii="Times New Roman" w:hAnsi="Times New Roman" w:eastAsia="仿宋" w:cs="Times New Roman"/>
          <w:sz w:val="32"/>
          <w:szCs w:val="32"/>
        </w:rPr>
        <w:t>%。</w:t>
      </w:r>
    </w:p>
    <w:p w14:paraId="44C29934">
      <w:pPr>
        <w:spacing w:line="600" w:lineRule="exact"/>
        <w:ind w:firstLine="640" w:firstLineChars="200"/>
        <w:rPr>
          <w:rFonts w:hint="default" w:ascii="Times New Roman" w:hAnsi="Times New Roman" w:eastAsia="仿宋" w:cs="Times New Roman"/>
          <w:color w:val="000000"/>
          <w:sz w:val="32"/>
          <w:szCs w:val="32"/>
        </w:rPr>
      </w:pPr>
    </w:p>
    <w:p w14:paraId="4FD62DA3">
      <w:pPr>
        <w:spacing w:line="600" w:lineRule="exact"/>
        <w:ind w:firstLine="640" w:firstLineChars="200"/>
        <w:rPr>
          <w:rFonts w:hint="default" w:ascii="Times New Roman" w:hAnsi="Times New Roman" w:eastAsia="仿宋" w:cs="Times New Roman"/>
          <w:color w:val="000000"/>
          <w:sz w:val="32"/>
          <w:szCs w:val="32"/>
        </w:rPr>
      </w:pPr>
    </w:p>
    <w:p w14:paraId="26B570BA">
      <w:pPr>
        <w:spacing w:line="600" w:lineRule="exact"/>
        <w:ind w:firstLine="640" w:firstLineChars="200"/>
        <w:rPr>
          <w:rFonts w:hint="default" w:ascii="Times New Roman" w:hAnsi="Times New Roman" w:eastAsia="仿宋" w:cs="Times New Roman"/>
          <w:color w:val="000000"/>
          <w:sz w:val="32"/>
          <w:szCs w:val="32"/>
        </w:rPr>
      </w:pPr>
    </w:p>
    <w:p w14:paraId="37709A7B">
      <w:pPr>
        <w:spacing w:line="600" w:lineRule="exact"/>
        <w:ind w:firstLine="640" w:firstLineChars="200"/>
        <w:rPr>
          <w:rFonts w:hint="default" w:ascii="Times New Roman" w:hAnsi="Times New Roman" w:eastAsia="仿宋" w:cs="Times New Roman"/>
          <w:color w:val="000000"/>
          <w:sz w:val="32"/>
          <w:szCs w:val="32"/>
        </w:rPr>
      </w:pPr>
    </w:p>
    <w:p w14:paraId="2DE2DADE">
      <w:pPr>
        <w:spacing w:line="600" w:lineRule="exact"/>
        <w:ind w:firstLine="640" w:firstLineChars="200"/>
        <w:rPr>
          <w:rFonts w:hint="default" w:ascii="Times New Roman" w:hAnsi="Times New Roman" w:eastAsia="仿宋" w:cs="Times New Roman"/>
          <w:color w:val="000000"/>
          <w:sz w:val="32"/>
          <w:szCs w:val="32"/>
        </w:rPr>
      </w:pPr>
    </w:p>
    <w:p w14:paraId="15978A69">
      <w:pPr>
        <w:spacing w:line="600" w:lineRule="exact"/>
        <w:ind w:firstLine="643" w:firstLineChars="200"/>
        <w:outlineLvl w:val="2"/>
        <w:rPr>
          <w:rFonts w:hint="default" w:ascii="Times New Roman" w:hAnsi="Times New Roman" w:eastAsia="仿宋" w:cs="Times New Roman"/>
          <w:b/>
          <w:color w:val="000000"/>
          <w:sz w:val="32"/>
          <w:szCs w:val="32"/>
        </w:rPr>
      </w:pPr>
      <w:bookmarkStart w:id="27" w:name="_Toc15377212"/>
      <w:r>
        <w:rPr>
          <w:rFonts w:hint="default" w:ascii="Times New Roman" w:hAnsi="Times New Roman" w:eastAsia="仿宋" w:cs="Times New Roman"/>
          <w:b/>
          <w:color w:val="000000"/>
          <w:sz w:val="32"/>
          <w:szCs w:val="32"/>
        </w:rPr>
        <w:t>（三）一般公共预算财政拨款支出决算具体情况</w:t>
      </w:r>
      <w:bookmarkEnd w:id="27"/>
    </w:p>
    <w:p w14:paraId="16A0CF75">
      <w:pPr>
        <w:spacing w:line="600" w:lineRule="exact"/>
        <w:ind w:firstLine="640"/>
        <w:rPr>
          <w:rFonts w:hint="default" w:ascii="Times New Roman" w:hAnsi="Times New Roman" w:eastAsia="仿宋" w:cs="Times New Roman"/>
          <w:sz w:val="32"/>
          <w:szCs w:val="32"/>
        </w:rPr>
      </w:pPr>
      <w:bookmarkStart w:id="28" w:name="_Toc15378460"/>
      <w:bookmarkStart w:id="29" w:name="_Toc15377444"/>
      <w:bookmarkStart w:id="30" w:name="_Toc15377213"/>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年一般公共预算支出决算数为</w:t>
      </w:r>
      <w:r>
        <w:rPr>
          <w:rFonts w:hint="eastAsia" w:ascii="Times New Roman" w:hAnsi="Times New Roman" w:eastAsia="仿宋" w:cs="Times New Roman"/>
          <w:sz w:val="32"/>
          <w:szCs w:val="32"/>
          <w:lang w:val="en-US" w:eastAsia="zh-CN"/>
        </w:rPr>
        <w:t>4914.17万元</w:t>
      </w:r>
      <w:r>
        <w:rPr>
          <w:rFonts w:hint="default" w:ascii="Times New Roman" w:hAnsi="Times New Roman" w:eastAsia="仿宋" w:cs="Times New Roman"/>
          <w:sz w:val="32"/>
          <w:szCs w:val="32"/>
        </w:rPr>
        <w:t>，完成预算</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%。其中：</w:t>
      </w:r>
      <w:bookmarkEnd w:id="28"/>
      <w:bookmarkEnd w:id="29"/>
      <w:bookmarkEnd w:id="30"/>
    </w:p>
    <w:p w14:paraId="1951054E">
      <w:pPr>
        <w:spacing w:line="600" w:lineRule="exact"/>
        <w:ind w:firstLine="643" w:firstLineChars="200"/>
        <w:rPr>
          <w:rFonts w:hint="default" w:ascii="Times New Roman" w:hAnsi="Times New Roman" w:eastAsia="仿宋" w:cs="Times New Roman"/>
          <w:b/>
          <w:sz w:val="32"/>
          <w:szCs w:val="32"/>
        </w:rPr>
      </w:pPr>
      <w:bookmarkStart w:id="31" w:name="_Toc15396608"/>
      <w:bookmarkStart w:id="32" w:name="_Toc15377214"/>
      <w:r>
        <w:rPr>
          <w:rStyle w:val="19"/>
          <w:rFonts w:hint="default" w:ascii="Times New Roman" w:hAnsi="Times New Roman" w:eastAsia="仿宋" w:cs="Times New Roman"/>
          <w:bCs/>
          <w:sz w:val="32"/>
          <w:szCs w:val="32"/>
          <w:highlight w:val="none"/>
          <w:lang w:val="en-US" w:eastAsia="zh-CN"/>
        </w:rPr>
        <w:t>1</w:t>
      </w:r>
      <w:r>
        <w:rPr>
          <w:rStyle w:val="19"/>
          <w:rFonts w:hint="default" w:ascii="Times New Roman" w:hAnsi="Times New Roman" w:eastAsia="仿宋" w:cs="Times New Roman"/>
          <w:bCs/>
          <w:sz w:val="32"/>
          <w:szCs w:val="32"/>
          <w:highlight w:val="none"/>
        </w:rPr>
        <w:t>.社会保障和就业</w:t>
      </w:r>
      <w:r>
        <w:rPr>
          <w:rStyle w:val="19"/>
          <w:rFonts w:hint="default" w:ascii="Times New Roman" w:hAnsi="Times New Roman" w:eastAsia="仿宋" w:cs="Times New Roman"/>
          <w:bCs/>
          <w:sz w:val="32"/>
          <w:szCs w:val="32"/>
          <w:highlight w:val="none"/>
          <w:lang w:val="en-US" w:eastAsia="zh-CN"/>
        </w:rPr>
        <w:t>支出</w:t>
      </w:r>
      <w:r>
        <w:rPr>
          <w:rStyle w:val="19"/>
          <w:rFonts w:hint="default" w:ascii="Times New Roman" w:hAnsi="Times New Roman" w:eastAsia="仿宋" w:cs="Times New Roman"/>
          <w:bCs/>
          <w:sz w:val="32"/>
          <w:szCs w:val="32"/>
          <w:highlight w:val="none"/>
        </w:rPr>
        <w:t>（类）</w:t>
      </w:r>
      <w:r>
        <w:rPr>
          <w:rStyle w:val="19"/>
          <w:rFonts w:hint="default" w:ascii="Times New Roman" w:hAnsi="Times New Roman" w:eastAsia="仿宋" w:cs="Times New Roman"/>
          <w:bCs/>
          <w:sz w:val="32"/>
          <w:szCs w:val="32"/>
          <w:highlight w:val="none"/>
          <w:lang w:eastAsia="zh-CN"/>
        </w:rPr>
        <w:t>行政事业单位</w:t>
      </w:r>
      <w:r>
        <w:rPr>
          <w:rStyle w:val="19"/>
          <w:rFonts w:hint="default" w:ascii="Times New Roman" w:hAnsi="Times New Roman" w:eastAsia="仿宋" w:cs="Times New Roman"/>
          <w:bCs/>
          <w:sz w:val="32"/>
          <w:szCs w:val="32"/>
          <w:highlight w:val="none"/>
          <w:lang w:val="en-US" w:eastAsia="zh-CN"/>
        </w:rPr>
        <w:t>养老支出</w:t>
      </w:r>
      <w:r>
        <w:rPr>
          <w:rStyle w:val="19"/>
          <w:rFonts w:hint="default" w:ascii="Times New Roman" w:hAnsi="Times New Roman" w:eastAsia="仿宋" w:cs="Times New Roman"/>
          <w:bCs/>
          <w:sz w:val="32"/>
          <w:szCs w:val="32"/>
          <w:highlight w:val="none"/>
        </w:rPr>
        <w:t>（款）</w:t>
      </w:r>
      <w:r>
        <w:rPr>
          <w:rStyle w:val="19"/>
          <w:rFonts w:hint="default" w:ascii="Times New Roman" w:hAnsi="Times New Roman" w:eastAsia="仿宋" w:cs="Times New Roman"/>
          <w:bCs/>
          <w:sz w:val="32"/>
          <w:szCs w:val="32"/>
          <w:highlight w:val="none"/>
          <w:lang w:eastAsia="zh-CN"/>
        </w:rPr>
        <w:t>机关事业单位基本养老保险缴费支付</w:t>
      </w:r>
      <w:r>
        <w:rPr>
          <w:rStyle w:val="19"/>
          <w:rFonts w:hint="default" w:ascii="Times New Roman" w:hAnsi="Times New Roman" w:eastAsia="仿宋" w:cs="Times New Roman"/>
          <w:bCs/>
          <w:sz w:val="32"/>
          <w:szCs w:val="32"/>
          <w:highlight w:val="none"/>
        </w:rPr>
        <w:t>（项）:</w:t>
      </w:r>
      <w:r>
        <w:rPr>
          <w:rStyle w:val="19"/>
          <w:rFonts w:hint="default" w:ascii="Times New Roman" w:hAnsi="Times New Roman" w:eastAsia="仿宋" w:cs="Times New Roman"/>
          <w:b w:val="0"/>
          <w:bCs/>
          <w:sz w:val="32"/>
          <w:szCs w:val="32"/>
          <w:highlight w:val="none"/>
        </w:rPr>
        <w:t xml:space="preserve"> </w:t>
      </w:r>
      <w:r>
        <w:rPr>
          <w:rStyle w:val="19"/>
          <w:rFonts w:hint="default" w:ascii="Times New Roman" w:hAnsi="Times New Roman" w:eastAsia="仿宋" w:cs="Times New Roman"/>
          <w:b w:val="0"/>
          <w:bCs/>
          <w:sz w:val="32"/>
          <w:szCs w:val="32"/>
        </w:rPr>
        <w:t>支出决算为</w:t>
      </w:r>
      <w:r>
        <w:rPr>
          <w:rFonts w:hint="default" w:ascii="Times New Roman" w:hAnsi="Times New Roman" w:eastAsia="仿宋" w:cs="Times New Roman"/>
          <w:sz w:val="32"/>
          <w:szCs w:val="32"/>
          <w:lang w:val="en-US" w:eastAsia="zh-CN"/>
        </w:rPr>
        <w:t>20.</w:t>
      </w:r>
      <w:r>
        <w:rPr>
          <w:rFonts w:hint="eastAsia" w:ascii="Times New Roman" w:hAnsi="Times New Roman" w:eastAsia="仿宋" w:cs="Times New Roman"/>
          <w:sz w:val="32"/>
          <w:szCs w:val="32"/>
          <w:lang w:val="en-US" w:eastAsia="zh-CN"/>
        </w:rPr>
        <w:t>88</w:t>
      </w:r>
      <w:r>
        <w:rPr>
          <w:rStyle w:val="19"/>
          <w:rFonts w:hint="default" w:ascii="Times New Roman" w:hAnsi="Times New Roman" w:eastAsia="仿宋" w:cs="Times New Roman"/>
          <w:b w:val="0"/>
          <w:bCs/>
          <w:sz w:val="32"/>
          <w:szCs w:val="32"/>
        </w:rPr>
        <w:t>万元，完成预算</w:t>
      </w:r>
      <w:r>
        <w:rPr>
          <w:rStyle w:val="19"/>
          <w:rFonts w:hint="default" w:ascii="Times New Roman" w:hAnsi="Times New Roman" w:eastAsia="仿宋" w:cs="Times New Roman"/>
          <w:b w:val="0"/>
          <w:bCs/>
          <w:sz w:val="32"/>
          <w:szCs w:val="32"/>
          <w:lang w:val="en-US" w:eastAsia="zh-CN"/>
        </w:rPr>
        <w:t>100</w:t>
      </w:r>
      <w:r>
        <w:rPr>
          <w:rStyle w:val="19"/>
          <w:rFonts w:hint="default" w:ascii="Times New Roman" w:hAnsi="Times New Roman" w:eastAsia="仿宋" w:cs="Times New Roman"/>
          <w:b w:val="0"/>
          <w:bCs/>
          <w:sz w:val="32"/>
          <w:szCs w:val="32"/>
        </w:rPr>
        <w:t>%。</w:t>
      </w:r>
    </w:p>
    <w:p w14:paraId="63B0E5B7">
      <w:pPr>
        <w:spacing w:line="600" w:lineRule="exact"/>
        <w:ind w:firstLine="643" w:firstLineChars="200"/>
        <w:rPr>
          <w:rFonts w:hint="default" w:ascii="Times New Roman" w:hAnsi="Times New Roman" w:eastAsia="仿宋_GB2312" w:cs="Times New Roman"/>
          <w:color w:val="000000"/>
          <w:sz w:val="32"/>
          <w:szCs w:val="32"/>
        </w:rPr>
      </w:pPr>
      <w:r>
        <w:rPr>
          <w:rStyle w:val="19"/>
          <w:rFonts w:hint="default" w:ascii="Times New Roman" w:hAnsi="Times New Roman" w:eastAsia="仿宋" w:cs="Times New Roman"/>
          <w:bCs/>
          <w:sz w:val="32"/>
          <w:szCs w:val="32"/>
          <w:lang w:val="en-US" w:eastAsia="zh-CN"/>
        </w:rPr>
        <w:t>2</w:t>
      </w:r>
      <w:r>
        <w:rPr>
          <w:rStyle w:val="19"/>
          <w:rFonts w:hint="default" w:ascii="Times New Roman" w:hAnsi="Times New Roman" w:eastAsia="仿宋" w:cs="Times New Roman"/>
          <w:bCs/>
          <w:sz w:val="32"/>
          <w:szCs w:val="32"/>
        </w:rPr>
        <w:t>.</w:t>
      </w:r>
      <w:r>
        <w:rPr>
          <w:rFonts w:hint="default" w:ascii="Times New Roman" w:hAnsi="Times New Roman" w:eastAsia="仿宋" w:cs="Times New Roman"/>
          <w:b/>
          <w:bCs/>
          <w:sz w:val="32"/>
          <w:szCs w:val="32"/>
        </w:rPr>
        <w:t>卫生健康支出（类）行政事业单位医疗（款）事业单位医疗（项）:</w:t>
      </w:r>
      <w:r>
        <w:rPr>
          <w:rFonts w:hint="default" w:ascii="Times New Roman" w:hAnsi="Times New Roman" w:eastAsia="仿宋_GB2312" w:cs="Times New Roman"/>
          <w:color w:val="000000"/>
          <w:sz w:val="32"/>
          <w:szCs w:val="32"/>
        </w:rPr>
        <w:t>支出决算为</w:t>
      </w:r>
      <w:r>
        <w:rPr>
          <w:rStyle w:val="19"/>
          <w:rFonts w:hint="eastAsia" w:eastAsia="仿宋" w:cs="Times New Roman"/>
          <w:b w:val="0"/>
          <w:bCs/>
          <w:sz w:val="32"/>
          <w:szCs w:val="32"/>
          <w:lang w:val="en-US" w:eastAsia="zh-CN"/>
        </w:rPr>
        <w:t>10.49</w:t>
      </w:r>
      <w:r>
        <w:rPr>
          <w:rFonts w:hint="default" w:ascii="Times New Roman" w:hAnsi="Times New Roman" w:eastAsia="仿宋_GB2312" w:cs="Times New Roman"/>
          <w:color w:val="000000"/>
          <w:sz w:val="32"/>
          <w:szCs w:val="32"/>
        </w:rPr>
        <w:t>万元，完成预算100%，</w:t>
      </w:r>
    </w:p>
    <w:p w14:paraId="4450A5EB">
      <w:pPr>
        <w:spacing w:line="600" w:lineRule="exact"/>
        <w:ind w:firstLine="643" w:firstLineChars="200"/>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3</w:t>
      </w:r>
      <w:r>
        <w:rPr>
          <w:rStyle w:val="19"/>
          <w:rFonts w:hint="default" w:ascii="Times New Roman" w:hAnsi="Times New Roman" w:eastAsia="仿宋" w:cs="Times New Roman"/>
          <w:bCs/>
          <w:sz w:val="32"/>
          <w:szCs w:val="32"/>
        </w:rPr>
        <w:t>.</w:t>
      </w:r>
      <w:r>
        <w:rPr>
          <w:rFonts w:hint="default" w:ascii="Times New Roman" w:hAnsi="Times New Roman" w:eastAsia="仿宋" w:cs="Times New Roman"/>
          <w:b/>
          <w:bCs/>
          <w:sz w:val="32"/>
          <w:szCs w:val="32"/>
        </w:rPr>
        <w:t>卫生健康支出（类）行政事业单位医疗（款）其他行政事业单位医疗支出（项）：</w:t>
      </w:r>
      <w:r>
        <w:rPr>
          <w:rFonts w:hint="default" w:ascii="Times New Roman" w:hAnsi="Times New Roman" w:eastAsia="仿宋_GB2312" w:cs="Times New Roman"/>
          <w:color w:val="000000"/>
          <w:sz w:val="32"/>
          <w:szCs w:val="32"/>
        </w:rPr>
        <w:t>支出决算为</w:t>
      </w:r>
      <w:r>
        <w:rPr>
          <w:rStyle w:val="19"/>
          <w:rFonts w:hint="default" w:ascii="Times New Roman" w:hAnsi="Times New Roman" w:eastAsia="仿宋" w:cs="Times New Roman"/>
          <w:b w:val="0"/>
          <w:bCs/>
          <w:sz w:val="32"/>
          <w:szCs w:val="32"/>
          <w:lang w:val="en-US" w:eastAsia="zh-CN"/>
        </w:rPr>
        <w:t>5.</w:t>
      </w:r>
      <w:r>
        <w:rPr>
          <w:rStyle w:val="19"/>
          <w:rFonts w:hint="eastAsia" w:eastAsia="仿宋" w:cs="Times New Roman"/>
          <w:b w:val="0"/>
          <w:bCs/>
          <w:sz w:val="32"/>
          <w:szCs w:val="32"/>
          <w:lang w:val="en-US" w:eastAsia="zh-CN"/>
        </w:rPr>
        <w:t>61</w:t>
      </w:r>
      <w:r>
        <w:rPr>
          <w:rFonts w:hint="default" w:ascii="Times New Roman" w:hAnsi="Times New Roman" w:eastAsia="仿宋_GB2312" w:cs="Times New Roman"/>
          <w:color w:val="000000"/>
          <w:sz w:val="32"/>
          <w:szCs w:val="32"/>
        </w:rPr>
        <w:t>万元，完成预算100%</w:t>
      </w:r>
      <w:r>
        <w:rPr>
          <w:rStyle w:val="19"/>
          <w:rFonts w:hint="default" w:ascii="Times New Roman" w:hAnsi="Times New Roman" w:eastAsia="仿宋" w:cs="Times New Roman"/>
          <w:b w:val="0"/>
          <w:bCs/>
          <w:sz w:val="32"/>
          <w:szCs w:val="32"/>
        </w:rPr>
        <w:t>。</w:t>
      </w:r>
    </w:p>
    <w:p w14:paraId="4A2D6102">
      <w:pPr>
        <w:spacing w:line="600" w:lineRule="exact"/>
        <w:ind w:firstLine="643" w:firstLineChars="200"/>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4</w:t>
      </w:r>
      <w:r>
        <w:rPr>
          <w:rStyle w:val="19"/>
          <w:rFonts w:hint="default" w:ascii="Times New Roman" w:hAnsi="Times New Roman" w:eastAsia="仿宋" w:cs="Times New Roman"/>
          <w:bCs/>
          <w:sz w:val="32"/>
          <w:szCs w:val="32"/>
        </w:rPr>
        <w:t>.自然资源海洋气象等支出（类）</w:t>
      </w:r>
      <w:r>
        <w:rPr>
          <w:rStyle w:val="19"/>
          <w:rFonts w:hint="default" w:ascii="Times New Roman" w:hAnsi="Times New Roman" w:eastAsia="仿宋" w:cs="Times New Roman"/>
          <w:bCs/>
          <w:sz w:val="32"/>
          <w:szCs w:val="32"/>
          <w:lang w:eastAsia="zh-CN"/>
        </w:rPr>
        <w:t>自然资源事务</w:t>
      </w:r>
      <w:r>
        <w:rPr>
          <w:rStyle w:val="19"/>
          <w:rFonts w:hint="default" w:ascii="Times New Roman" w:hAnsi="Times New Roman" w:eastAsia="仿宋" w:cs="Times New Roman"/>
          <w:bCs/>
          <w:sz w:val="32"/>
          <w:szCs w:val="32"/>
        </w:rPr>
        <w:t>（款）</w:t>
      </w:r>
      <w:r>
        <w:rPr>
          <w:rStyle w:val="19"/>
          <w:rFonts w:hint="default" w:ascii="Times New Roman" w:hAnsi="Times New Roman" w:eastAsia="仿宋" w:cs="Times New Roman"/>
          <w:bCs/>
          <w:sz w:val="32"/>
          <w:szCs w:val="32"/>
          <w:lang w:val="en-US" w:eastAsia="zh-CN"/>
        </w:rPr>
        <w:t>土地资源储备支出</w:t>
      </w:r>
      <w:r>
        <w:rPr>
          <w:rStyle w:val="19"/>
          <w:rFonts w:hint="default" w:ascii="Times New Roman" w:hAnsi="Times New Roman" w:eastAsia="仿宋" w:cs="Times New Roman"/>
          <w:bCs/>
          <w:sz w:val="32"/>
          <w:szCs w:val="32"/>
        </w:rPr>
        <w:t>（项）:</w:t>
      </w:r>
      <w:r>
        <w:rPr>
          <w:rStyle w:val="19"/>
          <w:rFonts w:hint="default" w:ascii="Times New Roman" w:hAnsi="Times New Roman" w:eastAsia="仿宋" w:cs="Times New Roman"/>
          <w:b w:val="0"/>
          <w:bCs/>
          <w:sz w:val="32"/>
          <w:szCs w:val="32"/>
        </w:rPr>
        <w:t xml:space="preserve"> 支出决算为</w:t>
      </w:r>
      <w:r>
        <w:rPr>
          <w:rStyle w:val="19"/>
          <w:rFonts w:hint="eastAsia" w:eastAsia="仿宋" w:cs="Times New Roman"/>
          <w:b w:val="0"/>
          <w:bCs/>
          <w:sz w:val="32"/>
          <w:szCs w:val="32"/>
          <w:lang w:val="en-US" w:eastAsia="zh-CN"/>
        </w:rPr>
        <w:t>4675.76</w:t>
      </w:r>
      <w:r>
        <w:rPr>
          <w:rStyle w:val="19"/>
          <w:rFonts w:hint="default" w:ascii="Times New Roman" w:hAnsi="Times New Roman" w:eastAsia="仿宋" w:cs="Times New Roman"/>
          <w:b w:val="0"/>
          <w:bCs/>
          <w:sz w:val="32"/>
          <w:szCs w:val="32"/>
        </w:rPr>
        <w:t>万元，完成预算</w:t>
      </w:r>
      <w:r>
        <w:rPr>
          <w:rStyle w:val="19"/>
          <w:rFonts w:hint="default" w:ascii="Times New Roman" w:hAnsi="Times New Roman" w:eastAsia="仿宋" w:cs="Times New Roman"/>
          <w:b w:val="0"/>
          <w:bCs/>
          <w:sz w:val="32"/>
          <w:szCs w:val="32"/>
          <w:lang w:val="en-US" w:eastAsia="zh-CN"/>
        </w:rPr>
        <w:t>100</w:t>
      </w:r>
      <w:r>
        <w:rPr>
          <w:rStyle w:val="19"/>
          <w:rFonts w:hint="default" w:ascii="Times New Roman" w:hAnsi="Times New Roman" w:eastAsia="仿宋" w:cs="Times New Roman"/>
          <w:b w:val="0"/>
          <w:bCs/>
          <w:sz w:val="32"/>
          <w:szCs w:val="32"/>
        </w:rPr>
        <w:t>%。</w:t>
      </w:r>
    </w:p>
    <w:p w14:paraId="0C73ACE4">
      <w:pPr>
        <w:spacing w:line="600" w:lineRule="exact"/>
        <w:ind w:firstLine="643" w:firstLineChars="200"/>
        <w:rPr>
          <w:rStyle w:val="19"/>
          <w:rFonts w:hint="default" w:ascii="Times New Roman" w:hAnsi="Times New Roman" w:eastAsia="仿宋" w:cs="Times New Roman"/>
          <w:b w:val="0"/>
          <w:bCs/>
          <w:sz w:val="32"/>
          <w:szCs w:val="32"/>
        </w:rPr>
      </w:pPr>
      <w:r>
        <w:rPr>
          <w:rStyle w:val="19"/>
          <w:rFonts w:hint="default" w:ascii="Times New Roman" w:hAnsi="Times New Roman" w:eastAsia="仿宋" w:cs="Times New Roman"/>
          <w:bCs/>
          <w:sz w:val="32"/>
          <w:szCs w:val="32"/>
          <w:lang w:val="en-US" w:eastAsia="zh-CN"/>
        </w:rPr>
        <w:t>5</w:t>
      </w:r>
      <w:r>
        <w:rPr>
          <w:rStyle w:val="19"/>
          <w:rFonts w:hint="default" w:ascii="Times New Roman" w:hAnsi="Times New Roman" w:eastAsia="仿宋" w:cs="Times New Roman"/>
          <w:bCs/>
          <w:sz w:val="32"/>
          <w:szCs w:val="32"/>
        </w:rPr>
        <w:t>.自然资源海洋气象等支出（类）</w:t>
      </w:r>
      <w:r>
        <w:rPr>
          <w:rStyle w:val="19"/>
          <w:rFonts w:hint="default" w:ascii="Times New Roman" w:hAnsi="Times New Roman" w:eastAsia="仿宋" w:cs="Times New Roman"/>
          <w:bCs/>
          <w:sz w:val="32"/>
          <w:szCs w:val="32"/>
          <w:lang w:eastAsia="zh-CN"/>
        </w:rPr>
        <w:t>自然资源事务</w:t>
      </w:r>
      <w:r>
        <w:rPr>
          <w:rStyle w:val="19"/>
          <w:rFonts w:hint="default" w:ascii="Times New Roman" w:hAnsi="Times New Roman" w:eastAsia="仿宋" w:cs="Times New Roman"/>
          <w:bCs/>
          <w:sz w:val="32"/>
          <w:szCs w:val="32"/>
        </w:rPr>
        <w:t>（款）</w:t>
      </w:r>
      <w:r>
        <w:rPr>
          <w:rStyle w:val="19"/>
          <w:rFonts w:hint="default" w:ascii="Times New Roman" w:hAnsi="Times New Roman" w:eastAsia="仿宋" w:cs="Times New Roman"/>
          <w:bCs/>
          <w:sz w:val="32"/>
          <w:szCs w:val="32"/>
          <w:lang w:eastAsia="zh-CN"/>
        </w:rPr>
        <w:t>事业运行</w:t>
      </w:r>
      <w:r>
        <w:rPr>
          <w:rStyle w:val="19"/>
          <w:rFonts w:hint="default" w:ascii="Times New Roman" w:hAnsi="Times New Roman" w:eastAsia="仿宋" w:cs="Times New Roman"/>
          <w:bCs/>
          <w:sz w:val="32"/>
          <w:szCs w:val="32"/>
        </w:rPr>
        <w:t>（项）:</w:t>
      </w:r>
      <w:r>
        <w:rPr>
          <w:rStyle w:val="19"/>
          <w:rFonts w:hint="default" w:ascii="Times New Roman" w:hAnsi="Times New Roman" w:eastAsia="仿宋" w:cs="Times New Roman"/>
          <w:b w:val="0"/>
          <w:bCs/>
          <w:sz w:val="32"/>
          <w:szCs w:val="32"/>
        </w:rPr>
        <w:t xml:space="preserve"> 支出决算为</w:t>
      </w:r>
      <w:r>
        <w:rPr>
          <w:rStyle w:val="19"/>
          <w:rFonts w:hint="default" w:ascii="Times New Roman" w:hAnsi="Times New Roman" w:eastAsia="仿宋" w:cs="Times New Roman"/>
          <w:b w:val="0"/>
          <w:bCs/>
          <w:sz w:val="32"/>
          <w:szCs w:val="32"/>
          <w:lang w:val="en-US" w:eastAsia="zh-CN"/>
        </w:rPr>
        <w:t>1</w:t>
      </w:r>
      <w:r>
        <w:rPr>
          <w:rStyle w:val="19"/>
          <w:rFonts w:hint="eastAsia" w:eastAsia="仿宋" w:cs="Times New Roman"/>
          <w:b w:val="0"/>
          <w:bCs/>
          <w:sz w:val="32"/>
          <w:szCs w:val="32"/>
          <w:lang w:val="en-US" w:eastAsia="zh-CN"/>
        </w:rPr>
        <w:t>57.09</w:t>
      </w:r>
      <w:r>
        <w:rPr>
          <w:rStyle w:val="19"/>
          <w:rFonts w:hint="default" w:ascii="Times New Roman" w:hAnsi="Times New Roman" w:eastAsia="仿宋" w:cs="Times New Roman"/>
          <w:b w:val="0"/>
          <w:bCs/>
          <w:sz w:val="32"/>
          <w:szCs w:val="32"/>
        </w:rPr>
        <w:t>万元，完成预算</w:t>
      </w:r>
      <w:r>
        <w:rPr>
          <w:rStyle w:val="19"/>
          <w:rFonts w:hint="default" w:ascii="Times New Roman" w:hAnsi="Times New Roman" w:eastAsia="仿宋" w:cs="Times New Roman"/>
          <w:b w:val="0"/>
          <w:bCs/>
          <w:sz w:val="32"/>
          <w:szCs w:val="32"/>
          <w:lang w:val="en-US" w:eastAsia="zh-CN"/>
        </w:rPr>
        <w:t>100</w:t>
      </w:r>
      <w:r>
        <w:rPr>
          <w:rStyle w:val="19"/>
          <w:rFonts w:hint="default" w:ascii="Times New Roman" w:hAnsi="Times New Roman" w:eastAsia="仿宋" w:cs="Times New Roman"/>
          <w:b w:val="0"/>
          <w:bCs/>
          <w:sz w:val="32"/>
          <w:szCs w:val="32"/>
        </w:rPr>
        <w:t>%。</w:t>
      </w:r>
    </w:p>
    <w:p w14:paraId="5D1FA7FF">
      <w:pPr>
        <w:spacing w:line="600" w:lineRule="exact"/>
        <w:ind w:firstLine="643" w:firstLineChars="200"/>
        <w:rPr>
          <w:rStyle w:val="19"/>
          <w:rFonts w:hint="default" w:ascii="Times New Roman" w:hAnsi="Times New Roman" w:eastAsia="仿宋" w:cs="Times New Roman"/>
          <w:bCs/>
          <w:sz w:val="32"/>
          <w:szCs w:val="32"/>
          <w:lang w:val="en-US" w:eastAsia="zh-CN"/>
        </w:rPr>
      </w:pPr>
      <w:r>
        <w:rPr>
          <w:rStyle w:val="19"/>
          <w:rFonts w:hint="eastAsia" w:eastAsia="仿宋" w:cs="Times New Roman"/>
          <w:bCs/>
          <w:sz w:val="32"/>
          <w:szCs w:val="32"/>
          <w:lang w:val="en-US" w:eastAsia="zh-CN"/>
        </w:rPr>
        <w:t>6</w:t>
      </w:r>
      <w:r>
        <w:rPr>
          <w:rStyle w:val="19"/>
          <w:rFonts w:hint="default" w:ascii="Times New Roman" w:hAnsi="Times New Roman" w:eastAsia="仿宋" w:cs="Times New Roman"/>
          <w:bCs/>
          <w:sz w:val="32"/>
          <w:szCs w:val="32"/>
        </w:rPr>
        <w:t>.自然资源海洋气象等支出（类）</w:t>
      </w:r>
      <w:r>
        <w:rPr>
          <w:rStyle w:val="19"/>
          <w:rFonts w:hint="default" w:ascii="Times New Roman" w:hAnsi="Times New Roman" w:eastAsia="仿宋" w:cs="Times New Roman"/>
          <w:bCs/>
          <w:sz w:val="32"/>
          <w:szCs w:val="32"/>
          <w:lang w:eastAsia="zh-CN"/>
        </w:rPr>
        <w:t>自然资源事务</w:t>
      </w:r>
      <w:r>
        <w:rPr>
          <w:rStyle w:val="19"/>
          <w:rFonts w:hint="default" w:ascii="Times New Roman" w:hAnsi="Times New Roman" w:eastAsia="仿宋" w:cs="Times New Roman"/>
          <w:bCs/>
          <w:sz w:val="32"/>
          <w:szCs w:val="32"/>
        </w:rPr>
        <w:t>（款）</w:t>
      </w:r>
      <w:r>
        <w:rPr>
          <w:rStyle w:val="19"/>
          <w:rFonts w:hint="eastAsia" w:eastAsia="仿宋" w:cs="Times New Roman"/>
          <w:bCs/>
          <w:sz w:val="32"/>
          <w:szCs w:val="32"/>
          <w:lang w:val="en-US" w:eastAsia="zh-CN"/>
        </w:rPr>
        <w:t>其他自然资源事务支出</w:t>
      </w:r>
      <w:r>
        <w:rPr>
          <w:rStyle w:val="19"/>
          <w:rFonts w:hint="default" w:ascii="Times New Roman" w:hAnsi="Times New Roman" w:eastAsia="仿宋" w:cs="Times New Roman"/>
          <w:bCs/>
          <w:sz w:val="32"/>
          <w:szCs w:val="32"/>
        </w:rPr>
        <w:t>（项）:</w:t>
      </w:r>
      <w:r>
        <w:rPr>
          <w:rStyle w:val="19"/>
          <w:rFonts w:hint="default" w:ascii="Times New Roman" w:hAnsi="Times New Roman" w:eastAsia="仿宋" w:cs="Times New Roman"/>
          <w:b w:val="0"/>
          <w:bCs/>
          <w:sz w:val="32"/>
          <w:szCs w:val="32"/>
        </w:rPr>
        <w:t xml:space="preserve"> 支出决算为</w:t>
      </w:r>
      <w:r>
        <w:rPr>
          <w:rStyle w:val="19"/>
          <w:rFonts w:hint="eastAsia" w:eastAsia="仿宋" w:cs="Times New Roman"/>
          <w:b w:val="0"/>
          <w:bCs/>
          <w:sz w:val="32"/>
          <w:szCs w:val="32"/>
          <w:lang w:val="en-US" w:eastAsia="zh-CN"/>
        </w:rPr>
        <w:t>28.6</w:t>
      </w:r>
      <w:r>
        <w:rPr>
          <w:rStyle w:val="19"/>
          <w:rFonts w:hint="default" w:ascii="Times New Roman" w:hAnsi="Times New Roman" w:eastAsia="仿宋" w:cs="Times New Roman"/>
          <w:b w:val="0"/>
          <w:bCs/>
          <w:sz w:val="32"/>
          <w:szCs w:val="32"/>
        </w:rPr>
        <w:t>万元，完成预算</w:t>
      </w:r>
      <w:r>
        <w:rPr>
          <w:rStyle w:val="19"/>
          <w:rFonts w:hint="default" w:ascii="Times New Roman" w:hAnsi="Times New Roman" w:eastAsia="仿宋" w:cs="Times New Roman"/>
          <w:b w:val="0"/>
          <w:bCs/>
          <w:sz w:val="32"/>
          <w:szCs w:val="32"/>
          <w:lang w:val="en-US" w:eastAsia="zh-CN"/>
        </w:rPr>
        <w:t>100</w:t>
      </w:r>
      <w:r>
        <w:rPr>
          <w:rStyle w:val="19"/>
          <w:rFonts w:hint="default" w:ascii="Times New Roman" w:hAnsi="Times New Roman" w:eastAsia="仿宋" w:cs="Times New Roman"/>
          <w:b w:val="0"/>
          <w:bCs/>
          <w:sz w:val="32"/>
          <w:szCs w:val="32"/>
        </w:rPr>
        <w:t>%。</w:t>
      </w:r>
    </w:p>
    <w:p w14:paraId="7BB15A32">
      <w:pPr>
        <w:tabs>
          <w:tab w:val="right" w:pos="8306"/>
        </w:tabs>
        <w:spacing w:line="600" w:lineRule="exact"/>
        <w:ind w:firstLine="640"/>
        <w:outlineLvl w:val="1"/>
        <w:rPr>
          <w:rStyle w:val="19"/>
          <w:rFonts w:hint="default" w:ascii="Times New Roman" w:hAnsi="Times New Roman" w:eastAsia="仿宋" w:cs="Times New Roman"/>
          <w:b w:val="0"/>
          <w:bCs/>
          <w:sz w:val="32"/>
          <w:szCs w:val="32"/>
        </w:rPr>
      </w:pPr>
      <w:r>
        <w:rPr>
          <w:rStyle w:val="19"/>
          <w:rFonts w:hint="eastAsia" w:eastAsia="仿宋" w:cs="Times New Roman"/>
          <w:bCs/>
          <w:sz w:val="32"/>
          <w:szCs w:val="32"/>
          <w:lang w:val="en-US" w:eastAsia="zh-CN"/>
        </w:rPr>
        <w:t>7</w:t>
      </w:r>
      <w:r>
        <w:rPr>
          <w:rStyle w:val="19"/>
          <w:rFonts w:hint="default" w:ascii="Times New Roman" w:hAnsi="Times New Roman" w:eastAsia="仿宋" w:cs="Times New Roman"/>
          <w:bCs/>
          <w:sz w:val="32"/>
          <w:szCs w:val="32"/>
        </w:rPr>
        <w:t>.住房保障支出（类）</w:t>
      </w:r>
      <w:r>
        <w:rPr>
          <w:rStyle w:val="19"/>
          <w:rFonts w:hint="default" w:ascii="Times New Roman" w:hAnsi="Times New Roman" w:eastAsia="仿宋" w:cs="Times New Roman"/>
          <w:bCs/>
          <w:sz w:val="32"/>
          <w:szCs w:val="32"/>
          <w:lang w:eastAsia="zh-CN"/>
        </w:rPr>
        <w:t>住房改革支出</w:t>
      </w:r>
      <w:r>
        <w:rPr>
          <w:rStyle w:val="19"/>
          <w:rFonts w:hint="default" w:ascii="Times New Roman" w:hAnsi="Times New Roman" w:eastAsia="仿宋" w:cs="Times New Roman"/>
          <w:bCs/>
          <w:sz w:val="32"/>
          <w:szCs w:val="32"/>
        </w:rPr>
        <w:t>（款）</w:t>
      </w:r>
      <w:r>
        <w:rPr>
          <w:rStyle w:val="19"/>
          <w:rFonts w:hint="default" w:ascii="Times New Roman" w:hAnsi="Times New Roman" w:eastAsia="仿宋" w:cs="Times New Roman"/>
          <w:bCs/>
          <w:sz w:val="32"/>
          <w:szCs w:val="32"/>
          <w:lang w:eastAsia="zh-CN"/>
        </w:rPr>
        <w:t>住房公积金</w:t>
      </w:r>
      <w:r>
        <w:rPr>
          <w:rStyle w:val="19"/>
          <w:rFonts w:hint="default" w:ascii="Times New Roman" w:hAnsi="Times New Roman" w:eastAsia="仿宋" w:cs="Times New Roman"/>
          <w:bCs/>
          <w:sz w:val="32"/>
          <w:szCs w:val="32"/>
        </w:rPr>
        <w:t>（项）:</w:t>
      </w:r>
      <w:r>
        <w:rPr>
          <w:rStyle w:val="19"/>
          <w:rFonts w:hint="default" w:ascii="Times New Roman" w:hAnsi="Times New Roman" w:eastAsia="仿宋" w:cs="Times New Roman"/>
          <w:b w:val="0"/>
          <w:bCs/>
          <w:sz w:val="32"/>
          <w:szCs w:val="32"/>
        </w:rPr>
        <w:t xml:space="preserve"> 支出决算为</w:t>
      </w:r>
      <w:r>
        <w:rPr>
          <w:rStyle w:val="19"/>
          <w:rFonts w:hint="default" w:ascii="Times New Roman" w:hAnsi="Times New Roman" w:eastAsia="仿宋" w:cs="Times New Roman"/>
          <w:b w:val="0"/>
          <w:bCs/>
          <w:sz w:val="32"/>
          <w:szCs w:val="32"/>
          <w:lang w:val="en-US" w:eastAsia="zh-CN"/>
        </w:rPr>
        <w:t>1</w:t>
      </w:r>
      <w:r>
        <w:rPr>
          <w:rStyle w:val="19"/>
          <w:rFonts w:hint="eastAsia" w:eastAsia="仿宋" w:cs="Times New Roman"/>
          <w:b w:val="0"/>
          <w:bCs/>
          <w:sz w:val="32"/>
          <w:szCs w:val="32"/>
          <w:lang w:val="en-US" w:eastAsia="zh-CN"/>
        </w:rPr>
        <w:t>5.74</w:t>
      </w:r>
      <w:r>
        <w:rPr>
          <w:rStyle w:val="19"/>
          <w:rFonts w:hint="default" w:ascii="Times New Roman" w:hAnsi="Times New Roman" w:eastAsia="仿宋" w:cs="Times New Roman"/>
          <w:b w:val="0"/>
          <w:bCs/>
          <w:sz w:val="32"/>
          <w:szCs w:val="32"/>
        </w:rPr>
        <w:t>万元，完成预算</w:t>
      </w:r>
      <w:r>
        <w:rPr>
          <w:rStyle w:val="19"/>
          <w:rFonts w:hint="default" w:ascii="Times New Roman" w:hAnsi="Times New Roman" w:eastAsia="仿宋" w:cs="Times New Roman"/>
          <w:b w:val="0"/>
          <w:bCs/>
          <w:sz w:val="32"/>
          <w:szCs w:val="32"/>
          <w:lang w:val="en-US" w:eastAsia="zh-CN"/>
        </w:rPr>
        <w:t>100</w:t>
      </w:r>
      <w:r>
        <w:rPr>
          <w:rStyle w:val="19"/>
          <w:rFonts w:hint="default" w:ascii="Times New Roman" w:hAnsi="Times New Roman" w:eastAsia="仿宋" w:cs="Times New Roman"/>
          <w:b w:val="0"/>
          <w:bCs/>
          <w:sz w:val="32"/>
          <w:szCs w:val="32"/>
        </w:rPr>
        <w:t>%。</w:t>
      </w:r>
    </w:p>
    <w:p w14:paraId="029BE316">
      <w:pPr>
        <w:tabs>
          <w:tab w:val="right" w:pos="8306"/>
        </w:tabs>
        <w:spacing w:line="600" w:lineRule="exact"/>
        <w:ind w:firstLine="640"/>
        <w:outlineLvl w:val="1"/>
        <w:rPr>
          <w:rStyle w:val="32"/>
          <w:rFonts w:hint="default" w:ascii="Times New Roman" w:hAnsi="Times New Roman" w:cs="Times New Roman"/>
        </w:rPr>
      </w:pPr>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32"/>
          <w:rFonts w:hint="default" w:ascii="Times New Roman" w:hAnsi="Times New Roman" w:eastAsia="黑体" w:cs="Times New Roman"/>
          <w:b w:val="0"/>
        </w:rPr>
        <w:t>般公共预算财政拨款基本支出决算情况说明</w:t>
      </w:r>
      <w:bookmarkEnd w:id="31"/>
      <w:bookmarkEnd w:id="32"/>
      <w:r>
        <w:rPr>
          <w:rStyle w:val="32"/>
          <w:rFonts w:hint="default" w:ascii="Times New Roman" w:hAnsi="Times New Roman" w:eastAsia="黑体" w:cs="Times New Roman"/>
          <w:b w:val="0"/>
        </w:rPr>
        <w:tab/>
      </w:r>
    </w:p>
    <w:p w14:paraId="7FC4C80F">
      <w:pPr>
        <w:spacing w:line="600" w:lineRule="exact"/>
        <w:ind w:firstLine="645"/>
        <w:rPr>
          <w:rFonts w:hint="default" w:ascii="Times New Roman" w:hAnsi="Times New Roman" w:eastAsia="仿宋" w:cs="Times New Roman"/>
          <w:sz w:val="32"/>
          <w:szCs w:val="32"/>
        </w:rPr>
      </w:pPr>
      <w:bookmarkStart w:id="33" w:name="_Toc15396609"/>
      <w:bookmarkStart w:id="34" w:name="_Toc15377215"/>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年一般公共预算财政拨款基本支出</w:t>
      </w:r>
      <w:r>
        <w:rPr>
          <w:rFonts w:hint="eastAsia" w:eastAsia="仿宋" w:cs="Times New Roman"/>
          <w:sz w:val="32"/>
          <w:szCs w:val="32"/>
          <w:lang w:val="en-US" w:eastAsia="zh-CN"/>
        </w:rPr>
        <w:t>209.81</w:t>
      </w:r>
      <w:r>
        <w:rPr>
          <w:rFonts w:hint="default" w:ascii="Times New Roman" w:hAnsi="Times New Roman" w:eastAsia="仿宋" w:cs="Times New Roman"/>
          <w:sz w:val="32"/>
          <w:szCs w:val="32"/>
        </w:rPr>
        <w:t>万元，其中：</w:t>
      </w:r>
    </w:p>
    <w:p w14:paraId="32405696">
      <w:pPr>
        <w:spacing w:line="600" w:lineRule="exact"/>
        <w:ind w:firstLine="645"/>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人员经费</w:t>
      </w:r>
      <w:r>
        <w:rPr>
          <w:rFonts w:hint="default" w:ascii="Times New Roman" w:hAnsi="Times New Roman" w:eastAsia="仿宋" w:cs="Times New Roman"/>
          <w:sz w:val="32"/>
          <w:szCs w:val="32"/>
          <w:lang w:val="en-US" w:eastAsia="zh-CN"/>
        </w:rPr>
        <w:t>20</w:t>
      </w:r>
      <w:r>
        <w:rPr>
          <w:rFonts w:hint="eastAsia" w:eastAsia="仿宋" w:cs="Times New Roman"/>
          <w:sz w:val="32"/>
          <w:szCs w:val="32"/>
          <w:lang w:val="en-US" w:eastAsia="zh-CN"/>
        </w:rPr>
        <w:t>2.74</w:t>
      </w:r>
      <w:r>
        <w:rPr>
          <w:rFonts w:hint="default" w:ascii="Times New Roman" w:hAnsi="Times New Roman" w:eastAsia="仿宋" w:cs="Times New Roman"/>
          <w:sz w:val="32"/>
          <w:szCs w:val="32"/>
        </w:rPr>
        <w:t>万元，主要包括：基本工资、津贴补贴、机关事业单位基本养老保险缴费、职工基本医疗保险缴费、公务员医疗补助缴费、其他社会保障缴费、住房公积金、其他工资福利支出。</w:t>
      </w:r>
    </w:p>
    <w:p w14:paraId="385679E0">
      <w:pPr>
        <w:spacing w:line="600" w:lineRule="exact"/>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公用经费</w:t>
      </w:r>
      <w:r>
        <w:rPr>
          <w:rFonts w:hint="eastAsia" w:eastAsia="仿宋" w:cs="Times New Roman"/>
          <w:sz w:val="32"/>
          <w:szCs w:val="32"/>
          <w:lang w:val="en-US" w:eastAsia="zh-CN"/>
        </w:rPr>
        <w:t>7.07</w:t>
      </w:r>
      <w:r>
        <w:rPr>
          <w:rFonts w:hint="default" w:ascii="Times New Roman" w:hAnsi="Times New Roman" w:eastAsia="仿宋" w:cs="Times New Roman"/>
          <w:sz w:val="32"/>
          <w:szCs w:val="32"/>
        </w:rPr>
        <w:t>万元，主要包括：办公费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差旅费、工会经费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福利费、其他商品和服务支出</w:t>
      </w:r>
      <w:r>
        <w:rPr>
          <w:rFonts w:hint="default" w:ascii="Times New Roman" w:hAnsi="Times New Roman" w:eastAsia="仿宋" w:cs="Times New Roman"/>
          <w:sz w:val="32"/>
          <w:szCs w:val="32"/>
        </w:rPr>
        <w:t>。</w:t>
      </w:r>
    </w:p>
    <w:p w14:paraId="3D845573">
      <w:pPr>
        <w:spacing w:line="600" w:lineRule="exact"/>
        <w:ind w:firstLine="640"/>
        <w:outlineLvl w:val="1"/>
        <w:rPr>
          <w:rStyle w:val="32"/>
          <w:rFonts w:hint="default" w:ascii="Times New Roman" w:hAnsi="Times New Roman" w:eastAsia="黑体" w:cs="Times New Roman"/>
          <w:b w:val="0"/>
        </w:rPr>
      </w:pPr>
      <w:r>
        <w:rPr>
          <w:rFonts w:hint="default" w:ascii="Times New Roman" w:hAnsi="Times New Roman" w:eastAsia="黑体" w:cs="Times New Roman"/>
          <w:color w:val="000000"/>
          <w:sz w:val="32"/>
          <w:szCs w:val="32"/>
        </w:rPr>
        <w:t>七、</w:t>
      </w:r>
      <w:r>
        <w:rPr>
          <w:rStyle w:val="32"/>
          <w:rFonts w:hint="default" w:ascii="Times New Roman" w:hAnsi="Times New Roman" w:eastAsia="黑体" w:cs="Times New Roman"/>
        </w:rPr>
        <w:t>“</w:t>
      </w:r>
      <w:r>
        <w:rPr>
          <w:rStyle w:val="32"/>
          <w:rFonts w:hint="default" w:ascii="Times New Roman" w:hAnsi="Times New Roman" w:eastAsia="黑体" w:cs="Times New Roman"/>
          <w:b w:val="0"/>
        </w:rPr>
        <w:t>三公”经费财政拨款支出决算情况说明</w:t>
      </w:r>
      <w:bookmarkEnd w:id="33"/>
      <w:bookmarkEnd w:id="34"/>
    </w:p>
    <w:p w14:paraId="43E08082">
      <w:pPr>
        <w:spacing w:line="600" w:lineRule="exact"/>
        <w:ind w:firstLine="640"/>
        <w:outlineLvl w:val="2"/>
        <w:rPr>
          <w:rFonts w:hint="default" w:ascii="Times New Roman" w:hAnsi="Times New Roman" w:eastAsia="仿宋" w:cs="Times New Roman"/>
          <w:b/>
          <w:sz w:val="32"/>
          <w:szCs w:val="32"/>
        </w:rPr>
      </w:pPr>
      <w:bookmarkStart w:id="35" w:name="_Toc15377216"/>
      <w:bookmarkStart w:id="36" w:name="_Toc15377217"/>
      <w:r>
        <w:rPr>
          <w:rFonts w:hint="default" w:ascii="Times New Roman" w:hAnsi="Times New Roman" w:eastAsia="仿宋" w:cs="Times New Roman"/>
          <w:b/>
          <w:sz w:val="32"/>
          <w:szCs w:val="32"/>
        </w:rPr>
        <w:t>（一）“三公”经费财政拨款支出决算总体情况说明</w:t>
      </w:r>
      <w:bookmarkEnd w:id="35"/>
    </w:p>
    <w:p w14:paraId="14FBA41E">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年“三公”经费财政拨款支出决算为</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万元，完成预算</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%，较上年增加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%。决算数小于预算数（或与预算数持平）的主要原因是</w:t>
      </w:r>
      <w:r>
        <w:rPr>
          <w:rFonts w:hint="default" w:ascii="Times New Roman" w:hAnsi="Times New Roman" w:eastAsia="仿宋" w:cs="Times New Roman"/>
          <w:sz w:val="32"/>
          <w:szCs w:val="32"/>
          <w:lang w:eastAsia="zh-CN"/>
        </w:rPr>
        <w:t>无“三公”经费支出</w:t>
      </w:r>
      <w:r>
        <w:rPr>
          <w:rFonts w:hint="default" w:ascii="Times New Roman" w:hAnsi="Times New Roman" w:eastAsia="仿宋" w:cs="Times New Roman"/>
          <w:sz w:val="32"/>
          <w:szCs w:val="32"/>
        </w:rPr>
        <w:t>。</w:t>
      </w:r>
    </w:p>
    <w:bookmarkEnd w:id="36"/>
    <w:p w14:paraId="32552E3F">
      <w:pPr>
        <w:spacing w:line="600" w:lineRule="exact"/>
        <w:ind w:firstLine="640"/>
        <w:outlineLvl w:val="2"/>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（二）“三公”经费财政拨款支出决算具体情况说明</w:t>
      </w:r>
    </w:p>
    <w:p w14:paraId="17D9C4CC">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年“三公”经费财政拨款支出决算中，因公出国（境）费支出决算</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%；公务用车购置及运行维护费支出决算</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%；公务接待费支出决算</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%。具体情况如下：</w:t>
      </w:r>
    </w:p>
    <w:p w14:paraId="293DE792">
      <w:pPr>
        <w:spacing w:line="600" w:lineRule="exact"/>
        <w:ind w:firstLine="64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1.因公出国（境）经费支出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Style w:val="19"/>
          <w:rFonts w:hint="default" w:ascii="Times New Roman" w:hAnsi="Times New Roman" w:eastAsia="仿宋" w:cs="Times New Roman"/>
          <w:b w:val="0"/>
          <w:bCs/>
          <w:sz w:val="32"/>
          <w:szCs w:val="32"/>
        </w:rPr>
        <w:t>完成预算</w:t>
      </w:r>
      <w:r>
        <w:rPr>
          <w:rStyle w:val="19"/>
          <w:rFonts w:hint="default" w:ascii="Times New Roman" w:hAnsi="Times New Roman" w:eastAsia="仿宋" w:cs="Times New Roman"/>
          <w:b w:val="0"/>
          <w:bCs/>
          <w:sz w:val="32"/>
          <w:szCs w:val="32"/>
          <w:lang w:val="en-US" w:eastAsia="zh-CN"/>
        </w:rPr>
        <w:t>0</w:t>
      </w:r>
      <w:r>
        <w:rPr>
          <w:rStyle w:val="19"/>
          <w:rFonts w:hint="default" w:ascii="Times New Roman" w:hAnsi="Times New Roman" w:eastAsia="仿宋" w:cs="Times New Roman"/>
          <w:b w:val="0"/>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人。因公出国（境）支出决算比202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%。主要原因是</w:t>
      </w:r>
      <w:r>
        <w:rPr>
          <w:rFonts w:hint="default" w:ascii="Times New Roman" w:hAnsi="Times New Roman" w:eastAsia="仿宋" w:cs="Times New Roman"/>
          <w:sz w:val="32"/>
          <w:szCs w:val="32"/>
          <w:lang w:eastAsia="zh-CN"/>
        </w:rPr>
        <w:t>无“三公”经费支出</w:t>
      </w:r>
      <w:r>
        <w:rPr>
          <w:rFonts w:hint="default" w:ascii="Times New Roman" w:hAnsi="Times New Roman" w:eastAsia="仿宋_GB2312" w:cs="Times New Roman"/>
          <w:sz w:val="32"/>
          <w:szCs w:val="32"/>
        </w:rPr>
        <w:t>。</w:t>
      </w:r>
    </w:p>
    <w:p w14:paraId="2C21D969">
      <w:pPr>
        <w:spacing w:line="600" w:lineRule="exact"/>
        <w:ind w:firstLine="640"/>
        <w:rPr>
          <w:rFonts w:hint="default" w:ascii="Times New Roman" w:hAnsi="Times New Roman" w:eastAsia="仿宋_GB2312" w:cs="Times New Roman"/>
          <w:b/>
          <w:sz w:val="32"/>
          <w:szCs w:val="32"/>
        </w:rPr>
      </w:pPr>
      <w:bookmarkStart w:id="37" w:name="_Toc15377218"/>
      <w:bookmarkStart w:id="38" w:name="_Toc15396610"/>
      <w:r>
        <w:rPr>
          <w:rFonts w:hint="default" w:ascii="Times New Roman" w:hAnsi="Times New Roman" w:eastAsia="仿宋_GB2312" w:cs="Times New Roman"/>
          <w:b/>
          <w:sz w:val="32"/>
          <w:szCs w:val="32"/>
        </w:rPr>
        <w:t>2.公务用车购置及运行维护费支出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Style w:val="19"/>
          <w:rFonts w:hint="default" w:ascii="Times New Roman" w:hAnsi="Times New Roman" w:eastAsia="仿宋" w:cs="Times New Roman"/>
          <w:b w:val="0"/>
          <w:bCs/>
          <w:sz w:val="32"/>
          <w:szCs w:val="32"/>
        </w:rPr>
        <w:t>完成预算</w:t>
      </w:r>
      <w:r>
        <w:rPr>
          <w:rStyle w:val="19"/>
          <w:rFonts w:hint="default" w:ascii="Times New Roman" w:hAnsi="Times New Roman" w:eastAsia="仿宋" w:cs="Times New Roman"/>
          <w:b w:val="0"/>
          <w:bCs/>
          <w:sz w:val="32"/>
          <w:szCs w:val="32"/>
          <w:lang w:val="en-US" w:eastAsia="zh-CN"/>
        </w:rPr>
        <w:t>0</w:t>
      </w:r>
      <w:r>
        <w:rPr>
          <w:rStyle w:val="19"/>
          <w:rFonts w:hint="default" w:ascii="Times New Roman" w:hAnsi="Times New Roman" w:eastAsia="仿宋" w:cs="Times New Roman"/>
          <w:b w:val="0"/>
          <w:bCs/>
          <w:sz w:val="32"/>
          <w:szCs w:val="32"/>
        </w:rPr>
        <w:t>%。</w:t>
      </w:r>
      <w:r>
        <w:rPr>
          <w:rFonts w:hint="default" w:ascii="Times New Roman" w:hAnsi="Times New Roman" w:eastAsia="仿宋_GB2312" w:cs="Times New Roman"/>
          <w:sz w:val="32"/>
          <w:szCs w:val="32"/>
        </w:rPr>
        <w:t>公务用车购置及运行维护费支出决算比202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%。主要原因是</w:t>
      </w:r>
      <w:r>
        <w:rPr>
          <w:rFonts w:hint="default" w:ascii="Times New Roman" w:hAnsi="Times New Roman" w:eastAsia="仿宋" w:cs="Times New Roman"/>
          <w:sz w:val="32"/>
          <w:szCs w:val="32"/>
          <w:lang w:eastAsia="zh-CN"/>
        </w:rPr>
        <w:t>无“三公”经费支出</w:t>
      </w:r>
      <w:r>
        <w:rPr>
          <w:rFonts w:hint="default" w:ascii="Times New Roman" w:hAnsi="Times New Roman" w:eastAsia="仿宋_GB2312" w:cs="Times New Roman"/>
          <w:sz w:val="32"/>
          <w:szCs w:val="32"/>
        </w:rPr>
        <w:t>。</w:t>
      </w:r>
    </w:p>
    <w:p w14:paraId="486032C0">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b/>
          <w:sz w:val="32"/>
          <w:szCs w:val="32"/>
        </w:rPr>
        <w:t>公务用车购置支出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。截至202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年12月底，单位共有公务用车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p>
    <w:p w14:paraId="18517890">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公务用车运行维护费支出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14:paraId="0D7DF8A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3.公务接待费支出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Style w:val="19"/>
          <w:rFonts w:hint="default" w:ascii="Times New Roman" w:hAnsi="Times New Roman" w:eastAsia="仿宋" w:cs="Times New Roman"/>
          <w:b w:val="0"/>
          <w:bCs/>
          <w:sz w:val="32"/>
          <w:szCs w:val="32"/>
        </w:rPr>
        <w:t>完成预算</w:t>
      </w:r>
      <w:r>
        <w:rPr>
          <w:rStyle w:val="19"/>
          <w:rFonts w:hint="default" w:ascii="Times New Roman" w:hAnsi="Times New Roman" w:eastAsia="仿宋" w:cs="Times New Roman"/>
          <w:b w:val="0"/>
          <w:bCs/>
          <w:sz w:val="32"/>
          <w:szCs w:val="32"/>
          <w:lang w:val="en-US" w:eastAsia="zh-CN"/>
        </w:rPr>
        <w:t>0</w:t>
      </w:r>
      <w:r>
        <w:rPr>
          <w:rStyle w:val="19"/>
          <w:rFonts w:hint="default" w:ascii="Times New Roman" w:hAnsi="Times New Roman" w:eastAsia="仿宋" w:cs="Times New Roman"/>
          <w:b w:val="0"/>
          <w:bCs/>
          <w:sz w:val="32"/>
          <w:szCs w:val="32"/>
        </w:rPr>
        <w:t>%。</w:t>
      </w:r>
      <w:r>
        <w:rPr>
          <w:rFonts w:hint="default" w:ascii="Times New Roman" w:hAnsi="Times New Roman" w:eastAsia="仿宋_GB2312" w:cs="Times New Roman"/>
          <w:sz w:val="32"/>
          <w:szCs w:val="32"/>
        </w:rPr>
        <w:t>公务接待费支出决算比202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年增加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%。主要原因是</w:t>
      </w:r>
      <w:r>
        <w:rPr>
          <w:rFonts w:hint="default" w:ascii="Times New Roman" w:hAnsi="Times New Roman" w:eastAsia="仿宋" w:cs="Times New Roman"/>
          <w:sz w:val="32"/>
          <w:szCs w:val="32"/>
          <w:lang w:eastAsia="zh-CN"/>
        </w:rPr>
        <w:t>无“三公”经费支出</w:t>
      </w:r>
      <w:r>
        <w:rPr>
          <w:rFonts w:hint="default" w:ascii="Times New Roman" w:hAnsi="Times New Roman" w:eastAsia="仿宋_GB2312" w:cs="Times New Roman"/>
          <w:sz w:val="32"/>
          <w:szCs w:val="32"/>
        </w:rPr>
        <w:t>。其中：</w:t>
      </w:r>
    </w:p>
    <w:p w14:paraId="05E188B3">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国内公务接待支出</w:t>
      </w:r>
      <w:r>
        <w:rPr>
          <w:rFonts w:hint="default" w:ascii="Times New Roman" w:hAnsi="Times New Roman" w:eastAsia="仿宋" w:cs="Times New Roman"/>
          <w:sz w:val="32"/>
          <w:szCs w:val="32"/>
          <w:lang w:val="en-US" w:eastAsia="zh-CN"/>
        </w:rPr>
        <w:t>0</w:t>
      </w:r>
      <w:r>
        <w:rPr>
          <w:rFonts w:hint="default" w:ascii="Times New Roman" w:hAnsi="Times New Roman" w:eastAsia="仿宋_GB2312" w:cs="Times New Roman"/>
          <w:sz w:val="32"/>
          <w:szCs w:val="32"/>
        </w:rPr>
        <w:t>万元。国内公务接待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14:paraId="7697DFF2">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rPr>
        <w:t>外事接待支出</w:t>
      </w:r>
      <w:r>
        <w:rPr>
          <w:rFonts w:hint="default" w:ascii="Times New Roman" w:hAnsi="Times New Roman" w:eastAsia="仿宋" w:cs="Times New Roman"/>
          <w:sz w:val="32"/>
          <w:szCs w:val="32"/>
          <w:lang w:val="en-US" w:eastAsia="zh-CN"/>
        </w:rPr>
        <w:t>0</w:t>
      </w:r>
      <w:r>
        <w:rPr>
          <w:rFonts w:hint="default" w:ascii="Times New Roman" w:hAnsi="Times New Roman" w:eastAsia="仿宋_GB2312" w:cs="Times New Roman"/>
          <w:sz w:val="32"/>
          <w:szCs w:val="32"/>
        </w:rPr>
        <w:t>万元。</w:t>
      </w:r>
    </w:p>
    <w:p w14:paraId="5E2A3216">
      <w:pPr>
        <w:spacing w:line="600" w:lineRule="exact"/>
        <w:ind w:firstLine="640"/>
        <w:outlineLvl w:val="1"/>
        <w:rPr>
          <w:rStyle w:val="32"/>
          <w:rFonts w:hint="default" w:ascii="Times New Roman" w:hAnsi="Times New Roman" w:eastAsia="黑体" w:cs="Times New Roman"/>
        </w:rPr>
      </w:pPr>
      <w:r>
        <w:rPr>
          <w:rFonts w:hint="default" w:ascii="Times New Roman" w:hAnsi="Times New Roman" w:eastAsia="黑体" w:cs="Times New Roman"/>
          <w:color w:val="000000"/>
          <w:sz w:val="32"/>
          <w:szCs w:val="32"/>
        </w:rPr>
        <w:t>八、</w:t>
      </w:r>
      <w:r>
        <w:rPr>
          <w:rStyle w:val="32"/>
          <w:rFonts w:hint="default" w:ascii="Times New Roman" w:hAnsi="Times New Roman" w:eastAsia="黑体" w:cs="Times New Roman"/>
          <w:b w:val="0"/>
        </w:rPr>
        <w:t>政府性基金预算支出决算情况说明</w:t>
      </w:r>
      <w:bookmarkEnd w:id="37"/>
      <w:bookmarkEnd w:id="38"/>
    </w:p>
    <w:p w14:paraId="6162937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年政府性基金预算财政拨款支出</w:t>
      </w:r>
      <w:r>
        <w:rPr>
          <w:rFonts w:hint="eastAsia" w:eastAsia="仿宋_GB2312" w:cs="Times New Roman"/>
          <w:sz w:val="32"/>
          <w:szCs w:val="32"/>
          <w:lang w:val="en-US" w:eastAsia="zh-CN"/>
        </w:rPr>
        <w:t>876.96</w:t>
      </w:r>
      <w:r>
        <w:rPr>
          <w:rFonts w:hint="default" w:ascii="Times New Roman" w:hAnsi="Times New Roman" w:eastAsia="仿宋_GB2312" w:cs="Times New Roman"/>
          <w:sz w:val="32"/>
          <w:szCs w:val="32"/>
        </w:rPr>
        <w:t>万元。</w:t>
      </w:r>
    </w:p>
    <w:p w14:paraId="7C07FA5A">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其中：城乡社区支出类国有土地使用权出让收入安排的支出款土地开发支出项</w:t>
      </w:r>
      <w:r>
        <w:rPr>
          <w:rFonts w:hint="eastAsia" w:eastAsia="仿宋_GB2312" w:cs="Times New Roman"/>
          <w:sz w:val="32"/>
          <w:szCs w:val="32"/>
          <w:lang w:val="en-US" w:eastAsia="zh-CN"/>
        </w:rPr>
        <w:t>676.96</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lang w:eastAsia="zh-CN"/>
        </w:rPr>
        <w:t>城乡社区支出类国有土地使用权出让收入安排的支出款农业生产发展支出项</w:t>
      </w:r>
      <w:r>
        <w:rPr>
          <w:rFonts w:hint="default" w:ascii="Times New Roman" w:hAnsi="Times New Roman" w:eastAsia="仿宋_GB2312" w:cs="Times New Roman"/>
          <w:sz w:val="32"/>
          <w:szCs w:val="32"/>
          <w:lang w:val="en-US" w:eastAsia="zh-CN"/>
        </w:rPr>
        <w:t>20</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万元。</w:t>
      </w:r>
    </w:p>
    <w:p w14:paraId="01270E7A">
      <w:pPr>
        <w:spacing w:line="600" w:lineRule="exact"/>
        <w:ind w:firstLine="640" w:firstLineChars="200"/>
        <w:outlineLvl w:val="1"/>
        <w:rPr>
          <w:rStyle w:val="32"/>
          <w:rFonts w:hint="default" w:ascii="Times New Roman" w:hAnsi="Times New Roman" w:eastAsia="黑体" w:cs="Times New Roman"/>
          <w:b w:val="0"/>
        </w:rPr>
      </w:pPr>
      <w:bookmarkStart w:id="39" w:name="_Toc15396611"/>
      <w:bookmarkStart w:id="40" w:name="_Toc15377219"/>
      <w:r>
        <w:rPr>
          <w:rStyle w:val="32"/>
          <w:rFonts w:hint="default" w:ascii="Times New Roman" w:hAnsi="Times New Roman" w:eastAsia="黑体" w:cs="Times New Roman"/>
          <w:b w:val="0"/>
        </w:rPr>
        <w:t>九、国有资本经营预算支出决算情况说明</w:t>
      </w:r>
      <w:bookmarkEnd w:id="39"/>
      <w:bookmarkEnd w:id="40"/>
    </w:p>
    <w:p w14:paraId="5D53BDA0">
      <w:pPr>
        <w:spacing w:line="600" w:lineRule="exact"/>
        <w:ind w:firstLine="640"/>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年国有资本经营预算拨款支出0万元。</w:t>
      </w:r>
    </w:p>
    <w:p w14:paraId="3E0C63FA">
      <w:pPr>
        <w:spacing w:line="600" w:lineRule="exact"/>
        <w:ind w:firstLine="640" w:firstLineChars="200"/>
        <w:outlineLvl w:val="1"/>
        <w:rPr>
          <w:rStyle w:val="32"/>
          <w:rFonts w:hint="default" w:ascii="Times New Roman" w:hAnsi="Times New Roman" w:eastAsia="黑体" w:cs="Times New Roman"/>
        </w:rPr>
      </w:pPr>
      <w:bookmarkStart w:id="41" w:name="_Toc15396612"/>
      <w:bookmarkStart w:id="42" w:name="_Toc15377221"/>
      <w:r>
        <w:rPr>
          <w:rFonts w:hint="default" w:ascii="Times New Roman" w:hAnsi="Times New Roman" w:eastAsia="黑体" w:cs="Times New Roman"/>
          <w:color w:val="000000"/>
          <w:sz w:val="32"/>
          <w:szCs w:val="32"/>
        </w:rPr>
        <w:t>十</w:t>
      </w:r>
      <w:r>
        <w:rPr>
          <w:rStyle w:val="32"/>
          <w:rFonts w:hint="default" w:ascii="Times New Roman" w:hAnsi="Times New Roman" w:eastAsia="黑体" w:cs="Times New Roman"/>
        </w:rPr>
        <w:t>、</w:t>
      </w:r>
      <w:r>
        <w:rPr>
          <w:rStyle w:val="32"/>
          <w:rFonts w:hint="default" w:ascii="Times New Roman" w:hAnsi="Times New Roman" w:eastAsia="黑体" w:cs="Times New Roman"/>
          <w:b w:val="0"/>
        </w:rPr>
        <w:t>其他重要事项的情况说明</w:t>
      </w:r>
      <w:bookmarkEnd w:id="41"/>
      <w:bookmarkEnd w:id="42"/>
    </w:p>
    <w:p w14:paraId="492C406D">
      <w:pPr>
        <w:spacing w:line="600" w:lineRule="exact"/>
        <w:ind w:firstLine="643" w:firstLineChars="200"/>
        <w:outlineLvl w:val="2"/>
        <w:rPr>
          <w:rFonts w:hint="default" w:ascii="Times New Roman" w:hAnsi="Times New Roman" w:eastAsia="仿宋" w:cs="Times New Roman"/>
          <w:color w:val="000000"/>
          <w:sz w:val="32"/>
          <w:szCs w:val="32"/>
        </w:rPr>
      </w:pPr>
      <w:bookmarkStart w:id="43" w:name="_Toc15377222"/>
      <w:r>
        <w:rPr>
          <w:rFonts w:hint="default" w:ascii="Times New Roman" w:hAnsi="Times New Roman" w:eastAsia="仿宋" w:cs="Times New Roman"/>
          <w:b/>
          <w:color w:val="000000"/>
          <w:sz w:val="32"/>
          <w:szCs w:val="32"/>
        </w:rPr>
        <w:t>（一）机关运行经费支出情况</w:t>
      </w:r>
      <w:bookmarkEnd w:id="43"/>
    </w:p>
    <w:p w14:paraId="28AB5B04">
      <w:pPr>
        <w:autoSpaceDE w:val="0"/>
        <w:autoSpaceDN w:val="0"/>
        <w:adjustRightInd w:val="0"/>
        <w:spacing w:line="600" w:lineRule="exact"/>
        <w:ind w:firstLine="640" w:firstLineChars="200"/>
        <w:jc w:val="left"/>
        <w:outlineLvl w:val="2"/>
        <w:rPr>
          <w:rFonts w:hint="default" w:ascii="Times New Roman" w:hAnsi="Times New Roman" w:eastAsia="仿宋_GB2312" w:cs="Times New Roman"/>
          <w:sz w:val="32"/>
          <w:szCs w:val="32"/>
        </w:rPr>
      </w:pPr>
      <w:bookmarkStart w:id="44" w:name="_Toc15377223"/>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攀枝花市西区土地储备中心</w:t>
      </w:r>
      <w:r>
        <w:rPr>
          <w:rFonts w:hint="default" w:ascii="Times New Roman" w:hAnsi="Times New Roman" w:eastAsia="仿宋_GB2312" w:cs="Times New Roman"/>
          <w:sz w:val="32"/>
          <w:szCs w:val="32"/>
        </w:rPr>
        <w:t>机关运行经费支出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14:paraId="36A440EF">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（二）政府采购支出情况</w:t>
      </w:r>
      <w:bookmarkEnd w:id="44"/>
    </w:p>
    <w:p w14:paraId="69C7BC4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攀枝花市西区土地储备中心</w:t>
      </w:r>
      <w:r>
        <w:rPr>
          <w:rFonts w:hint="default" w:ascii="Times New Roman" w:hAnsi="Times New Roman" w:eastAsia="仿宋_GB2312" w:cs="Times New Roman"/>
          <w:color w:val="000000"/>
          <w:sz w:val="32"/>
          <w:szCs w:val="32"/>
        </w:rPr>
        <w:t>政府采购支出总额</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万元。</w:t>
      </w:r>
    </w:p>
    <w:p w14:paraId="0C951479">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bookmarkStart w:id="45" w:name="_Toc15377224"/>
      <w:r>
        <w:rPr>
          <w:rFonts w:hint="default" w:ascii="Times New Roman" w:hAnsi="Times New Roman" w:eastAsia="仿宋" w:cs="Times New Roman"/>
          <w:b/>
          <w:color w:val="000000"/>
          <w:sz w:val="32"/>
          <w:szCs w:val="32"/>
        </w:rPr>
        <w:t>（三）国有资产占有使用情况</w:t>
      </w:r>
      <w:bookmarkEnd w:id="45"/>
    </w:p>
    <w:p w14:paraId="4C7B45ED">
      <w:pPr>
        <w:autoSpaceDE w:val="0"/>
        <w:autoSpaceDN w:val="0"/>
        <w:adjustRightInd w:val="0"/>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截至202</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年12月31日，</w:t>
      </w:r>
      <w:r>
        <w:rPr>
          <w:rFonts w:hint="default" w:ascii="Times New Roman" w:hAnsi="Times New Roman" w:eastAsia="仿宋_GB2312" w:cs="Times New Roman"/>
          <w:color w:val="000000"/>
          <w:sz w:val="32"/>
          <w:szCs w:val="32"/>
          <w:lang w:eastAsia="zh-CN"/>
        </w:rPr>
        <w:t>攀枝花市西区土地储备中心</w:t>
      </w:r>
      <w:r>
        <w:rPr>
          <w:rFonts w:hint="default" w:ascii="Times New Roman" w:hAnsi="Times New Roman" w:eastAsia="仿宋_GB2312" w:cs="Times New Roman"/>
          <w:color w:val="000000"/>
          <w:sz w:val="32"/>
          <w:szCs w:val="32"/>
        </w:rPr>
        <w:t>共有车辆0辆。</w:t>
      </w:r>
    </w:p>
    <w:p w14:paraId="580721C5">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（四）预算绩效管理情况。</w:t>
      </w:r>
    </w:p>
    <w:p w14:paraId="03A0F17A">
      <w:pPr>
        <w:spacing w:line="600" w:lineRule="exact"/>
        <w:ind w:firstLine="640" w:firstLineChars="200"/>
        <w:rPr>
          <w:rFonts w:hint="default" w:ascii="Times New Roman" w:hAnsi="Times New Roman" w:eastAsia="仿宋_GB2312" w:cs="Times New Roman"/>
          <w:sz w:val="32"/>
          <w:szCs w:val="32"/>
          <w:lang w:val="en-US" w:eastAsia="zh-CN"/>
        </w:rPr>
      </w:pPr>
      <w:bookmarkStart w:id="46" w:name="_Toc15396614"/>
      <w:bookmarkStart w:id="47" w:name="_Toc15377226"/>
      <w:r>
        <w:rPr>
          <w:rFonts w:hint="default" w:ascii="Times New Roman" w:hAnsi="Times New Roman" w:eastAsia="仿宋_GB2312" w:cs="Times New Roman"/>
          <w:sz w:val="32"/>
          <w:szCs w:val="32"/>
          <w:lang w:val="en-US" w:eastAsia="zh-CN"/>
        </w:rPr>
        <w:t>根据预算绩效管理要求，本部门在202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年度预算编制阶段，组织对</w:t>
      </w:r>
      <w:r>
        <w:rPr>
          <w:rFonts w:hint="default" w:ascii="Times New Roman" w:hAnsi="Times New Roman" w:eastAsia="仿宋_GB2312" w:cs="Times New Roman"/>
          <w:sz w:val="32"/>
          <w:szCs w:val="32"/>
        </w:rPr>
        <w:t>“土地出让前期工作相关费用”、“农村土地征收专项经费”、“农村集体土地征收生产生活安置资金”、“ 2021年第2批城市建设用地林地报件工作”、“ 文化岛拆迁商业用房停产停业损失补助费”、“ 国有土地收储工作经费”、“ 市公安局西区分局原家属楼2024年度拆迁过渡费”、“ 格里坪镇金桥村504电厂西侧片区第一批次范围内约110亩农村集体土地征收补偿安置及安置房维修资金及安置房维修资金”、“金帆工贸龙洞175.09亩土地补偿费”、“ 庄上</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梅子箐彝家水寨新村乡村旅游示范点遗留村民安置点“五通一平”建设”、“ 大水井新区内部道路B4线河门口水厂营业厅6.52亩土地收储”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规划调整经费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西区江北片区、江南片区棚改土地测绘及涉及原攀煤公司权属土地测绘调查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攀煤联合焦化厂供水管线改造工程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四川钛米科技有限公司约73.96亩土地及地上附着物第二期补偿资金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西区循环经济园区物流大道工程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规划调整服务费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等</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0个项目开展了预算事前绩效评估，对</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个项目编制了绩效目标，预算执行过程中，选取</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个项目开展绩效监控。组织对</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个项目开展绩效自评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，绩效自评表详见第四部分附件。</w:t>
      </w:r>
    </w:p>
    <w:p w14:paraId="7E9433B4">
      <w:pPr>
        <w:widowControl/>
        <w:jc w:val="center"/>
        <w:rPr>
          <w:rStyle w:val="31"/>
          <w:rFonts w:hint="default" w:ascii="Times New Roman" w:hAnsi="Times New Roman" w:eastAsia="黑体" w:cs="Times New Roman"/>
        </w:rPr>
      </w:pPr>
      <w:bookmarkStart w:id="48" w:name="_Toc15377225"/>
      <w:bookmarkStart w:id="49" w:name="_Toc15396613"/>
    </w:p>
    <w:p w14:paraId="12B16686">
      <w:pPr>
        <w:widowControl/>
        <w:jc w:val="center"/>
        <w:rPr>
          <w:rStyle w:val="31"/>
          <w:rFonts w:hint="default" w:ascii="Times New Roman" w:hAnsi="Times New Roman" w:eastAsia="黑体" w:cs="Times New Roman"/>
          <w:b w:val="0"/>
        </w:rPr>
      </w:pPr>
      <w:r>
        <w:rPr>
          <w:rStyle w:val="31"/>
          <w:rFonts w:hint="default" w:ascii="Times New Roman" w:hAnsi="Times New Roman" w:eastAsia="黑体" w:cs="Times New Roman"/>
        </w:rPr>
        <w:t xml:space="preserve">第三部分 </w:t>
      </w:r>
      <w:r>
        <w:rPr>
          <w:rStyle w:val="31"/>
          <w:rFonts w:hint="default" w:ascii="Times New Roman" w:hAnsi="Times New Roman" w:cs="Times New Roman"/>
        </w:rPr>
        <w:t>名</w:t>
      </w:r>
      <w:r>
        <w:rPr>
          <w:rStyle w:val="31"/>
          <w:rFonts w:hint="default" w:ascii="Times New Roman" w:hAnsi="Times New Roman" w:eastAsia="黑体" w:cs="Times New Roman"/>
          <w:b w:val="0"/>
        </w:rPr>
        <w:t>词解释</w:t>
      </w:r>
      <w:bookmarkEnd w:id="48"/>
      <w:bookmarkEnd w:id="49"/>
    </w:p>
    <w:p w14:paraId="5E496267">
      <w:pPr>
        <w:spacing w:line="600" w:lineRule="exact"/>
        <w:jc w:val="left"/>
        <w:rPr>
          <w:rFonts w:hint="default" w:ascii="Times New Roman" w:hAnsi="Times New Roman" w:cs="Times New Roman"/>
          <w:b/>
          <w:color w:val="000000"/>
          <w:sz w:val="44"/>
          <w:szCs w:val="44"/>
        </w:rPr>
      </w:pPr>
    </w:p>
    <w:p w14:paraId="0F75C6CE">
      <w:pPr>
        <w:pStyle w:val="29"/>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14:paraId="01D1BB72">
      <w:pPr>
        <w:pStyle w:val="29"/>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2.政府性基金预算财政拨款收入：单位从同级财政部门取得的</w:t>
      </w:r>
      <w:r>
        <w:rPr>
          <w:rFonts w:hint="default" w:ascii="Times New Roman" w:hAnsi="Times New Roman" w:eastAsia="仿宋_GB2312" w:cs="Times New Roman"/>
          <w:color w:val="auto"/>
          <w:sz w:val="32"/>
          <w:szCs w:val="32"/>
          <w:lang w:eastAsia="zh-CN"/>
        </w:rPr>
        <w:t>用于国有土地使用权出让安排的支出收入，如土地开发支出、农业生产发展支出</w:t>
      </w:r>
      <w:r>
        <w:rPr>
          <w:rFonts w:hint="default" w:ascii="Times New Roman" w:hAnsi="Times New Roman" w:eastAsia="仿宋_GB2312" w:cs="Times New Roman"/>
          <w:color w:val="auto"/>
          <w:sz w:val="32"/>
          <w:szCs w:val="32"/>
        </w:rPr>
        <w:t>的收入。</w:t>
      </w:r>
    </w:p>
    <w:p w14:paraId="6AFE0E26">
      <w:pPr>
        <w:pStyle w:val="29"/>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 xml:space="preserve">.年初结转和结余：指以前年度尚未完成、结转到本年按有关规定继续使用的资金。 </w:t>
      </w:r>
    </w:p>
    <w:p w14:paraId="199F35EB">
      <w:pPr>
        <w:pStyle w:val="29"/>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Style w:val="38"/>
          <w:rFonts w:hint="default" w:ascii="Times New Roman" w:hAnsi="Times New Roman" w:cs="Times New Roman"/>
        </w:rPr>
        <w:t>社会保障和就业支出（类）人力资源和社会保障管理事务（项）</w:t>
      </w:r>
      <w:r>
        <w:rPr>
          <w:rFonts w:hint="default" w:ascii="Times New Roman" w:hAnsi="Times New Roman" w:cs="Times New Roman"/>
          <w:color w:val="000000"/>
          <w:sz w:val="32"/>
          <w:szCs w:val="32"/>
        </w:rPr>
        <w:t>其他</w:t>
      </w:r>
      <w:r>
        <w:rPr>
          <w:rStyle w:val="38"/>
          <w:rFonts w:hint="default" w:ascii="Times New Roman" w:hAnsi="Times New Roman" w:cs="Times New Roman"/>
        </w:rPr>
        <w:t>人力资源和社会保障管理事务支出（项）：指用于社会保险业务管理的项目支出</w:t>
      </w:r>
      <w:r>
        <w:rPr>
          <w:rFonts w:hint="default" w:ascii="Times New Roman" w:hAnsi="Times New Roman" w:eastAsia="仿宋_GB2312" w:cs="Times New Roman"/>
          <w:color w:val="auto"/>
          <w:sz w:val="32"/>
          <w:szCs w:val="32"/>
        </w:rPr>
        <w:t>。</w:t>
      </w:r>
    </w:p>
    <w:p w14:paraId="2A61BD4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.卫生健康（类）</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职工基本医疗保险缴费</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指用于单位医疗保险管理的项目支出</w:t>
      </w:r>
      <w:r>
        <w:rPr>
          <w:rFonts w:hint="default" w:ascii="Times New Roman" w:hAnsi="Times New Roman" w:eastAsia="仿宋_GB2312" w:cs="Times New Roman"/>
          <w:sz w:val="32"/>
          <w:szCs w:val="32"/>
        </w:rPr>
        <w:t>。</w:t>
      </w:r>
    </w:p>
    <w:p w14:paraId="0D77CD3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.卫生健康（类）</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公用医疗补助缴费</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指用于单位公用医疗补助缴费管理的项目支出</w:t>
      </w:r>
      <w:r>
        <w:rPr>
          <w:rFonts w:hint="default" w:ascii="Times New Roman" w:hAnsi="Times New Roman" w:eastAsia="仿宋_GB2312" w:cs="Times New Roman"/>
          <w:sz w:val="32"/>
          <w:szCs w:val="32"/>
        </w:rPr>
        <w:t>。</w:t>
      </w:r>
    </w:p>
    <w:p w14:paraId="5F058D53">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8.城乡社区（类）</w:t>
      </w:r>
      <w:r>
        <w:rPr>
          <w:rFonts w:hint="default" w:ascii="Times New Roman" w:hAnsi="Times New Roman" w:eastAsia="仿宋_GB2312" w:cs="Times New Roman"/>
          <w:sz w:val="32"/>
          <w:szCs w:val="32"/>
          <w:highlight w:val="none"/>
          <w:lang w:eastAsia="zh-CN"/>
        </w:rPr>
        <w:t>国有土地使用权出让收入安排的支出</w:t>
      </w:r>
      <w:r>
        <w:rPr>
          <w:rFonts w:hint="default" w:ascii="Times New Roman" w:hAnsi="Times New Roman" w:eastAsia="仿宋_GB2312" w:cs="Times New Roman"/>
          <w:sz w:val="32"/>
          <w:szCs w:val="32"/>
          <w:highlight w:val="none"/>
        </w:rPr>
        <w:t>（款）</w:t>
      </w:r>
      <w:r>
        <w:rPr>
          <w:rFonts w:hint="default" w:ascii="Times New Roman" w:hAnsi="Times New Roman" w:eastAsia="仿宋_GB2312" w:cs="Times New Roman"/>
          <w:sz w:val="32"/>
          <w:szCs w:val="32"/>
          <w:highlight w:val="none"/>
          <w:lang w:eastAsia="zh-CN"/>
        </w:rPr>
        <w:t>土地开发支出</w:t>
      </w:r>
      <w:r>
        <w:rPr>
          <w:rFonts w:hint="default" w:ascii="Times New Roman" w:hAnsi="Times New Roman" w:eastAsia="仿宋_GB2312" w:cs="Times New Roman"/>
          <w:sz w:val="32"/>
          <w:szCs w:val="32"/>
          <w:highlight w:val="none"/>
        </w:rPr>
        <w:t>（项）：指</w:t>
      </w:r>
      <w:r>
        <w:rPr>
          <w:rFonts w:hint="default" w:ascii="Times New Roman" w:hAnsi="Times New Roman" w:eastAsia="仿宋_GB2312" w:cs="Times New Roman"/>
          <w:sz w:val="32"/>
          <w:szCs w:val="32"/>
          <w:highlight w:val="none"/>
          <w:lang w:eastAsia="zh-CN"/>
        </w:rPr>
        <w:t>用于国有土地开发方面的支出</w:t>
      </w:r>
      <w:r>
        <w:rPr>
          <w:rFonts w:hint="default" w:ascii="Times New Roman" w:hAnsi="Times New Roman" w:eastAsia="仿宋_GB2312" w:cs="Times New Roman"/>
          <w:sz w:val="32"/>
          <w:szCs w:val="32"/>
          <w:highlight w:val="none"/>
        </w:rPr>
        <w:t>。</w:t>
      </w:r>
    </w:p>
    <w:p w14:paraId="43828C43">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.城乡社区（类）</w:t>
      </w:r>
      <w:r>
        <w:rPr>
          <w:rFonts w:hint="default" w:ascii="Times New Roman" w:hAnsi="Times New Roman" w:eastAsia="仿宋_GB2312" w:cs="Times New Roman"/>
          <w:sz w:val="32"/>
          <w:szCs w:val="32"/>
          <w:highlight w:val="none"/>
          <w:lang w:eastAsia="zh-CN"/>
        </w:rPr>
        <w:t>国有土地使用权出让收入安排的支出</w:t>
      </w:r>
      <w:r>
        <w:rPr>
          <w:rFonts w:hint="default" w:ascii="Times New Roman" w:hAnsi="Times New Roman" w:eastAsia="仿宋_GB2312" w:cs="Times New Roman"/>
          <w:sz w:val="32"/>
          <w:szCs w:val="32"/>
          <w:highlight w:val="none"/>
        </w:rPr>
        <w:t>（款）</w:t>
      </w:r>
      <w:r>
        <w:rPr>
          <w:rFonts w:hint="default" w:ascii="Times New Roman" w:hAnsi="Times New Roman" w:eastAsia="仿宋_GB2312" w:cs="Times New Roman"/>
          <w:sz w:val="32"/>
          <w:szCs w:val="32"/>
          <w:highlight w:val="none"/>
          <w:lang w:eastAsia="zh-CN"/>
        </w:rPr>
        <w:t>农业生产发展支出</w:t>
      </w:r>
      <w:r>
        <w:rPr>
          <w:rFonts w:hint="default" w:ascii="Times New Roman" w:hAnsi="Times New Roman" w:eastAsia="仿宋_GB2312" w:cs="Times New Roman"/>
          <w:sz w:val="32"/>
          <w:szCs w:val="32"/>
          <w:highlight w:val="none"/>
        </w:rPr>
        <w:t>（项）：指</w:t>
      </w:r>
      <w:r>
        <w:rPr>
          <w:rFonts w:hint="default" w:ascii="Times New Roman" w:hAnsi="Times New Roman" w:eastAsia="仿宋_GB2312" w:cs="Times New Roman"/>
          <w:sz w:val="32"/>
          <w:szCs w:val="32"/>
          <w:highlight w:val="none"/>
          <w:lang w:eastAsia="zh-CN"/>
        </w:rPr>
        <w:t>用于国有土地开发中涉及农业生产发展方面的支出</w:t>
      </w:r>
      <w:r>
        <w:rPr>
          <w:rFonts w:hint="default" w:ascii="Times New Roman" w:hAnsi="Times New Roman" w:eastAsia="仿宋_GB2312" w:cs="Times New Roman"/>
          <w:sz w:val="32"/>
          <w:szCs w:val="32"/>
          <w:highlight w:val="none"/>
        </w:rPr>
        <w:t>。</w:t>
      </w:r>
    </w:p>
    <w:p w14:paraId="3E5A3478">
      <w:pPr>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.自然资源海洋气象等（类）（类）自然资源事务（款）事业运行（项）：</w:t>
      </w:r>
      <w:r>
        <w:rPr>
          <w:rFonts w:hint="default" w:ascii="Times New Roman" w:hAnsi="Times New Roman" w:eastAsia="仿宋_GB2312" w:cs="Times New Roman"/>
          <w:sz w:val="32"/>
          <w:szCs w:val="32"/>
          <w:highlight w:val="none"/>
        </w:rPr>
        <w:t>指</w:t>
      </w:r>
      <w:r>
        <w:rPr>
          <w:rFonts w:hint="default" w:ascii="Times New Roman" w:hAnsi="Times New Roman" w:eastAsia="仿宋_GB2312" w:cs="Times New Roman"/>
          <w:sz w:val="32"/>
          <w:szCs w:val="32"/>
          <w:highlight w:val="none"/>
          <w:lang w:eastAsia="zh-CN"/>
        </w:rPr>
        <w:t>用于事业运行方面的支出，如事业人员基本工资、津贴补贴等</w:t>
      </w:r>
      <w:r>
        <w:rPr>
          <w:rFonts w:hint="default" w:ascii="Times New Roman" w:hAnsi="Times New Roman" w:eastAsia="仿宋_GB2312" w:cs="Times New Roman"/>
          <w:sz w:val="32"/>
          <w:szCs w:val="32"/>
          <w:highlight w:val="none"/>
        </w:rPr>
        <w:t>。</w:t>
      </w:r>
    </w:p>
    <w:p w14:paraId="6C55D52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.住房保障（类）</w:t>
      </w:r>
      <w:r>
        <w:rPr>
          <w:rStyle w:val="38"/>
          <w:rFonts w:hint="default" w:ascii="Times New Roman" w:hAnsi="Times New Roman" w:cs="Times New Roman"/>
        </w:rPr>
        <w:t>住房改革支出（款）住房公积金（项）：指按照《住房公积金管理条例》的规定，由单位及其在职职工缴存的长期住房储金。缴存比例最低不低于 5%，最高不超过 12%，缴存基数为职工本人上年工资</w:t>
      </w:r>
      <w:r>
        <w:rPr>
          <w:rFonts w:hint="default" w:ascii="Times New Roman" w:hAnsi="Times New Roman" w:eastAsia="仿宋_GB2312" w:cs="Times New Roman"/>
          <w:sz w:val="32"/>
          <w:szCs w:val="32"/>
        </w:rPr>
        <w:t>。</w:t>
      </w:r>
    </w:p>
    <w:p w14:paraId="5A41B81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.基本支出：指为保障机构正常运转、完成日常工作任务而发生的人员支出和公用支出。</w:t>
      </w:r>
    </w:p>
    <w:p w14:paraId="587BB7C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00F291AD">
      <w:pPr>
        <w:pStyle w:val="29"/>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0265AF3">
      <w:pPr>
        <w:pStyle w:val="29"/>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CEAC5D">
      <w:pPr>
        <w:spacing w:line="600" w:lineRule="exact"/>
        <w:jc w:val="center"/>
        <w:outlineLvl w:val="0"/>
        <w:rPr>
          <w:rFonts w:hint="default" w:ascii="Times New Roman" w:hAnsi="Times New Roman" w:eastAsia="黑体" w:cs="Times New Roman"/>
          <w:color w:val="000000"/>
          <w:sz w:val="44"/>
          <w:szCs w:val="44"/>
        </w:rPr>
      </w:pPr>
    </w:p>
    <w:p w14:paraId="413CB130">
      <w:pPr>
        <w:spacing w:line="600" w:lineRule="exact"/>
        <w:jc w:val="center"/>
        <w:outlineLvl w:val="0"/>
        <w:rPr>
          <w:rFonts w:hint="default" w:ascii="Times New Roman" w:hAnsi="Times New Roman" w:eastAsia="黑体" w:cs="Times New Roman"/>
          <w:color w:val="000000"/>
          <w:sz w:val="44"/>
          <w:szCs w:val="44"/>
        </w:rPr>
      </w:pPr>
    </w:p>
    <w:p w14:paraId="237406EB">
      <w:pPr>
        <w:spacing w:line="600" w:lineRule="exact"/>
        <w:jc w:val="center"/>
        <w:outlineLvl w:val="0"/>
        <w:rPr>
          <w:rFonts w:hint="default" w:ascii="Times New Roman" w:hAnsi="Times New Roman" w:eastAsia="黑体" w:cs="Times New Roman"/>
          <w:color w:val="000000"/>
          <w:sz w:val="44"/>
          <w:szCs w:val="44"/>
        </w:rPr>
      </w:pPr>
    </w:p>
    <w:p w14:paraId="42765C6A">
      <w:pPr>
        <w:spacing w:line="600" w:lineRule="exact"/>
        <w:jc w:val="center"/>
        <w:outlineLvl w:val="0"/>
        <w:rPr>
          <w:rFonts w:hint="default" w:ascii="Times New Roman" w:hAnsi="Times New Roman" w:eastAsia="黑体" w:cs="Times New Roman"/>
          <w:color w:val="000000"/>
          <w:sz w:val="44"/>
          <w:szCs w:val="44"/>
        </w:rPr>
      </w:pPr>
    </w:p>
    <w:p w14:paraId="0B705E0D">
      <w:pPr>
        <w:spacing w:line="600" w:lineRule="exact"/>
        <w:jc w:val="center"/>
        <w:outlineLvl w:val="0"/>
        <w:rPr>
          <w:rFonts w:hint="default" w:ascii="Times New Roman" w:hAnsi="Times New Roman" w:eastAsia="黑体" w:cs="Times New Roman"/>
          <w:color w:val="000000"/>
          <w:sz w:val="44"/>
          <w:szCs w:val="44"/>
        </w:rPr>
      </w:pPr>
    </w:p>
    <w:p w14:paraId="170B2400">
      <w:pPr>
        <w:spacing w:line="600" w:lineRule="exact"/>
        <w:jc w:val="center"/>
        <w:outlineLvl w:val="0"/>
        <w:rPr>
          <w:rFonts w:hint="default" w:ascii="Times New Roman" w:hAnsi="Times New Roman" w:eastAsia="黑体" w:cs="Times New Roman"/>
          <w:color w:val="000000"/>
          <w:sz w:val="44"/>
          <w:szCs w:val="44"/>
        </w:rPr>
      </w:pPr>
    </w:p>
    <w:p w14:paraId="042B57A3">
      <w:pPr>
        <w:spacing w:line="600" w:lineRule="exact"/>
        <w:jc w:val="center"/>
        <w:outlineLvl w:val="0"/>
        <w:rPr>
          <w:rFonts w:hint="default" w:ascii="Times New Roman" w:hAnsi="Times New Roman" w:eastAsia="黑体" w:cs="Times New Roman"/>
          <w:color w:val="000000"/>
          <w:sz w:val="44"/>
          <w:szCs w:val="44"/>
        </w:rPr>
      </w:pPr>
    </w:p>
    <w:p w14:paraId="27A5935E">
      <w:pPr>
        <w:spacing w:line="600" w:lineRule="exact"/>
        <w:jc w:val="center"/>
        <w:outlineLvl w:val="0"/>
        <w:rPr>
          <w:rFonts w:hint="default" w:ascii="Times New Roman" w:hAnsi="Times New Roman" w:eastAsia="黑体" w:cs="Times New Roman"/>
          <w:color w:val="000000"/>
          <w:sz w:val="44"/>
          <w:szCs w:val="44"/>
        </w:rPr>
      </w:pPr>
    </w:p>
    <w:p w14:paraId="6A932CC9">
      <w:pPr>
        <w:spacing w:line="600" w:lineRule="exact"/>
        <w:jc w:val="center"/>
        <w:outlineLvl w:val="0"/>
        <w:rPr>
          <w:rFonts w:hint="default" w:ascii="Times New Roman" w:hAnsi="Times New Roman" w:eastAsia="黑体" w:cs="Times New Roman"/>
          <w:color w:val="000000"/>
          <w:sz w:val="44"/>
          <w:szCs w:val="44"/>
        </w:rPr>
      </w:pPr>
    </w:p>
    <w:p w14:paraId="6B91D22D">
      <w:pPr>
        <w:spacing w:line="600" w:lineRule="exact"/>
        <w:jc w:val="center"/>
        <w:outlineLvl w:val="0"/>
        <w:rPr>
          <w:rFonts w:hint="default" w:ascii="Times New Roman" w:hAnsi="Times New Roman" w:eastAsia="黑体" w:cs="Times New Roman"/>
          <w:color w:val="000000"/>
          <w:sz w:val="44"/>
          <w:szCs w:val="44"/>
        </w:rPr>
      </w:pPr>
    </w:p>
    <w:p w14:paraId="24CC11E6">
      <w:pPr>
        <w:spacing w:line="600" w:lineRule="exact"/>
        <w:jc w:val="center"/>
        <w:outlineLvl w:val="0"/>
        <w:rPr>
          <w:rFonts w:hint="default" w:ascii="Times New Roman" w:hAnsi="Times New Roman" w:eastAsia="黑体" w:cs="Times New Roman"/>
          <w:color w:val="000000"/>
          <w:sz w:val="44"/>
          <w:szCs w:val="44"/>
        </w:rPr>
      </w:pPr>
    </w:p>
    <w:p w14:paraId="37A40D8E">
      <w:pPr>
        <w:pStyle w:val="22"/>
        <w:rPr>
          <w:rFonts w:hint="default" w:ascii="Times New Roman" w:hAnsi="Times New Roman" w:eastAsia="黑体" w:cs="Times New Roman"/>
          <w:color w:val="000000"/>
          <w:sz w:val="44"/>
          <w:szCs w:val="44"/>
        </w:rPr>
      </w:pPr>
    </w:p>
    <w:p w14:paraId="79911706">
      <w:pPr>
        <w:rPr>
          <w:rFonts w:hint="default" w:ascii="Times New Roman" w:hAnsi="Times New Roman" w:eastAsia="黑体" w:cs="Times New Roman"/>
          <w:color w:val="000000"/>
          <w:sz w:val="44"/>
          <w:szCs w:val="44"/>
        </w:rPr>
      </w:pPr>
    </w:p>
    <w:p w14:paraId="0ED92950">
      <w:pPr>
        <w:pStyle w:val="22"/>
        <w:rPr>
          <w:rFonts w:hint="default" w:ascii="Times New Roman" w:hAnsi="Times New Roman" w:cs="Times New Roman"/>
        </w:rPr>
      </w:pPr>
    </w:p>
    <w:p w14:paraId="18FB6876">
      <w:pPr>
        <w:spacing w:line="600" w:lineRule="exact"/>
        <w:jc w:val="center"/>
        <w:outlineLvl w:val="0"/>
        <w:rPr>
          <w:rFonts w:hint="default" w:ascii="Times New Roman" w:hAnsi="Times New Roman" w:eastAsia="黑体" w:cs="Times New Roman"/>
          <w:color w:val="000000"/>
          <w:sz w:val="44"/>
          <w:szCs w:val="44"/>
        </w:rPr>
      </w:pPr>
    </w:p>
    <w:p w14:paraId="7599FD86">
      <w:pPr>
        <w:spacing w:line="600" w:lineRule="exact"/>
        <w:jc w:val="center"/>
        <w:outlineLvl w:val="0"/>
        <w:rPr>
          <w:rFonts w:hint="default" w:ascii="Times New Roman" w:hAnsi="Times New Roman" w:eastAsia="黑体" w:cs="Times New Roman"/>
          <w:color w:val="000000"/>
          <w:sz w:val="44"/>
          <w:szCs w:val="44"/>
        </w:rPr>
      </w:pPr>
    </w:p>
    <w:p w14:paraId="760311AE">
      <w:pPr>
        <w:spacing w:line="600" w:lineRule="exact"/>
        <w:jc w:val="center"/>
        <w:outlineLvl w:val="0"/>
        <w:rPr>
          <w:rFonts w:hint="default" w:ascii="Times New Roman" w:hAnsi="Times New Roman" w:eastAsia="黑体" w:cs="Times New Roman"/>
          <w:color w:val="000000"/>
          <w:sz w:val="44"/>
          <w:szCs w:val="44"/>
        </w:rPr>
      </w:pPr>
    </w:p>
    <w:p w14:paraId="3DBC7789">
      <w:pPr>
        <w:pStyle w:val="14"/>
        <w:rPr>
          <w:rFonts w:hint="default" w:ascii="Times New Roman" w:hAnsi="Times New Roman" w:eastAsia="黑体" w:cs="Times New Roman"/>
          <w:color w:val="000000"/>
          <w:sz w:val="44"/>
          <w:szCs w:val="44"/>
        </w:rPr>
      </w:pPr>
    </w:p>
    <w:p w14:paraId="29051EFC">
      <w:pPr>
        <w:pStyle w:val="8"/>
        <w:rPr>
          <w:rFonts w:hint="default"/>
        </w:rPr>
      </w:pPr>
    </w:p>
    <w:p w14:paraId="37BB2D00">
      <w:pPr>
        <w:rPr>
          <w:rFonts w:hint="default"/>
        </w:rPr>
      </w:pPr>
    </w:p>
    <w:p w14:paraId="28CEBC37">
      <w:pPr>
        <w:spacing w:line="600" w:lineRule="exact"/>
        <w:jc w:val="center"/>
        <w:outlineLvl w:val="0"/>
        <w:rPr>
          <w:rStyle w:val="31"/>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31"/>
          <w:rFonts w:hint="default" w:ascii="Times New Roman" w:hAnsi="Times New Roman" w:eastAsia="黑体" w:cs="Times New Roman"/>
          <w:b w:val="0"/>
        </w:rPr>
        <w:t>四部分 附件</w:t>
      </w:r>
      <w:bookmarkEnd w:id="46"/>
    </w:p>
    <w:p w14:paraId="22A771DE">
      <w:pPr>
        <w:spacing w:line="580" w:lineRule="exact"/>
        <w:jc w:val="center"/>
        <w:rPr>
          <w:rFonts w:hint="default" w:ascii="Times New Roman" w:hAnsi="Times New Roman" w:eastAsia="方正小标宋简体" w:cs="Times New Roman"/>
          <w:sz w:val="44"/>
          <w:szCs w:val="44"/>
        </w:rPr>
      </w:pPr>
    </w:p>
    <w:p w14:paraId="62BF9EFF">
      <w:pPr>
        <w:spacing w:line="600" w:lineRule="exact"/>
        <w:jc w:val="left"/>
        <w:outlineLvl w:val="0"/>
        <w:rPr>
          <w:rFonts w:hint="default" w:ascii="Times New Roman" w:hAnsi="Times New Roman" w:eastAsia="黑体" w:cs="Times New Roman"/>
          <w:kern w:val="0"/>
          <w:sz w:val="32"/>
          <w:szCs w:val="32"/>
          <w:shd w:val="clear" w:color="auto" w:fill="FFFFFF"/>
          <w:lang w:val="en-US" w:eastAsia="zh-CN"/>
        </w:rPr>
      </w:pPr>
      <w:bookmarkStart w:id="50" w:name="_Toc15396616"/>
      <w:r>
        <w:rPr>
          <w:rFonts w:hint="default" w:ascii="Times New Roman" w:hAnsi="Times New Roman" w:eastAsia="黑体" w:cs="Times New Roman"/>
          <w:kern w:val="0"/>
          <w:sz w:val="32"/>
          <w:szCs w:val="32"/>
          <w:shd w:val="clear" w:color="auto" w:fill="FFFFFF"/>
          <w:lang w:val="zh-CN"/>
        </w:rPr>
        <w:t>附件 1</w:t>
      </w:r>
      <w:r>
        <w:rPr>
          <w:rFonts w:hint="default" w:ascii="Times New Roman" w:hAnsi="Times New Roman" w:eastAsia="黑体" w:cs="Times New Roman"/>
          <w:kern w:val="0"/>
          <w:sz w:val="32"/>
          <w:szCs w:val="32"/>
          <w:shd w:val="clear" w:color="auto" w:fill="FFFFFF"/>
          <w:lang w:val="en-US" w:eastAsia="zh-CN"/>
        </w:rPr>
        <w:t xml:space="preserve">    </w:t>
      </w:r>
    </w:p>
    <w:p w14:paraId="65BAC125">
      <w:pPr>
        <w:spacing w:line="600" w:lineRule="exact"/>
        <w:jc w:val="center"/>
        <w:outlineLvl w:val="0"/>
        <w:rPr>
          <w:rFonts w:hint="default" w:ascii="Times New Roman" w:hAnsi="Times New Roman" w:eastAsia="黑体" w:cs="Times New Roman"/>
          <w:sz w:val="36"/>
          <w:szCs w:val="36"/>
        </w:rPr>
      </w:pPr>
      <w:r>
        <w:rPr>
          <w:rFonts w:hint="default" w:ascii="Times New Roman" w:hAnsi="Times New Roman" w:eastAsia="黑体" w:cs="Times New Roman"/>
          <w:color w:val="000000" w:themeColor="text1"/>
          <w:sz w:val="36"/>
          <w:szCs w:val="36"/>
          <w14:textFill>
            <w14:solidFill>
              <w14:schemeClr w14:val="tx1"/>
            </w14:solidFill>
          </w14:textFill>
        </w:rPr>
        <w:t>部门</w:t>
      </w:r>
      <w:r>
        <w:rPr>
          <w:rFonts w:hint="default" w:ascii="Times New Roman" w:hAnsi="Times New Roman" w:eastAsia="黑体" w:cs="Times New Roman"/>
          <w:sz w:val="36"/>
          <w:szCs w:val="36"/>
          <w:lang w:val="en-US" w:eastAsia="zh-CN"/>
        </w:rPr>
        <w:t>预算</w:t>
      </w:r>
      <w:r>
        <w:rPr>
          <w:rFonts w:hint="default" w:ascii="Times New Roman" w:hAnsi="Times New Roman" w:eastAsia="黑体" w:cs="Times New Roman"/>
          <w:sz w:val="36"/>
          <w:szCs w:val="36"/>
        </w:rPr>
        <w:t>绩效评价报告</w:t>
      </w:r>
      <w:bookmarkEnd w:id="50"/>
    </w:p>
    <w:p w14:paraId="049077CB">
      <w:pPr>
        <w:widowControl/>
        <w:adjustRightInd w:val="0"/>
        <w:snapToGrid w:val="0"/>
        <w:spacing w:line="580" w:lineRule="exact"/>
        <w:ind w:firstLine="480" w:firstLineChars="200"/>
        <w:contextualSpacing/>
        <w:jc w:val="left"/>
        <w:rPr>
          <w:rFonts w:hint="default" w:ascii="Times New Roman" w:hAnsi="Times New Roman" w:eastAsia="黑体" w:cs="Times New Roman"/>
          <w:color w:val="000000"/>
          <w:kern w:val="0"/>
          <w:sz w:val="24"/>
          <w:szCs w:val="32"/>
          <w:shd w:val="clear" w:color="auto" w:fill="FFFFFF"/>
        </w:rPr>
      </w:pPr>
    </w:p>
    <w:p w14:paraId="44C311FB">
      <w:pPr>
        <w:widowControl/>
        <w:numPr>
          <w:ilvl w:val="0"/>
          <w:numId w:val="1"/>
        </w:numPr>
        <w:adjustRightInd w:val="0"/>
        <w:snapToGrid w:val="0"/>
        <w:spacing w:line="560"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部门基本情况</w:t>
      </w:r>
    </w:p>
    <w:p w14:paraId="3CBDEF14">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（一）机构组成。</w:t>
      </w:r>
    </w:p>
    <w:p w14:paraId="29920A35">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仿宋_GB2312" w:cs="Times New Roman"/>
          <w:sz w:val="32"/>
          <w:szCs w:val="32"/>
          <w:lang w:val="en-US" w:eastAsia="zh-CN"/>
        </w:rPr>
        <w:t>区土地储备中心内设3股1</w:t>
      </w:r>
      <w:r>
        <w:rPr>
          <w:rFonts w:hint="eastAsia" w:eastAsia="仿宋_GB2312" w:cs="Times New Roman"/>
          <w:sz w:val="32"/>
          <w:szCs w:val="32"/>
          <w:lang w:val="en-US" w:eastAsia="zh-CN"/>
        </w:rPr>
        <w:t>室</w:t>
      </w:r>
      <w:r>
        <w:rPr>
          <w:rFonts w:hint="default" w:ascii="Times New Roman" w:hAnsi="Times New Roman" w:eastAsia="仿宋_GB2312" w:cs="Times New Roman"/>
          <w:sz w:val="32"/>
          <w:szCs w:val="32"/>
          <w:lang w:val="en-US" w:eastAsia="zh-CN"/>
        </w:rPr>
        <w:t>，分别是集体土地征收股、国有土地上房屋征收股、储备土地管理股</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办公室。</w:t>
      </w:r>
    </w:p>
    <w:p w14:paraId="01C9A9FE">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（二）机构职能和人员概况。</w:t>
      </w:r>
    </w:p>
    <w:p w14:paraId="0B996DFB">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区土地储备中心主要职能</w:t>
      </w:r>
    </w:p>
    <w:p w14:paraId="746CC868">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1.根据城市规划和土地利用总体规划，结合全区土地市场需求情况，草拟土地储备年度计划。 </w:t>
      </w:r>
    </w:p>
    <w:p w14:paraId="4CBF973E">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2.开展全区土地开发整理资源调查，对拟收购土地进行市场调查分析，草拟土地开发计划、收购和储备方案。 </w:t>
      </w:r>
    </w:p>
    <w:p w14:paraId="62F2AE92">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3.负责全区农村集体土地的征收拆迁补偿安置、收购及储备等事务性工作。 </w:t>
      </w:r>
    </w:p>
    <w:p w14:paraId="0DA220F7">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4.对按规定管理依法收回的违法用地、闲置荒芜土地、无主土地和置换土地等纳入储备土地范围，并对储备土地按规定进行管理。 </w:t>
      </w:r>
    </w:p>
    <w:p w14:paraId="08391F9C">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5.根据规划部门的土地规划方案，拟订储备土地开发整理方案，负责组织实施全区储备土地的一级开发整理、工程招投标和工程进度及质量监督。 </w:t>
      </w:r>
    </w:p>
    <w:p w14:paraId="03D2FE40">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6.协助规划部门做好储备土地规划方案的优化，拟制储备土地出让计划。 </w:t>
      </w:r>
    </w:p>
    <w:p w14:paraId="5C00B73B">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7.严格执行土地收购储备资金管理规定，资金纳入区政府预决算。 </w:t>
      </w:r>
    </w:p>
    <w:p w14:paraId="24A19BF0">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8.做好储备土地招商引资和投入市场的前期准备工作。 </w:t>
      </w:r>
    </w:p>
    <w:p w14:paraId="46E356D4">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9.负责国有土地上房屋征收与补偿相关工作，负责被征居民的过渡搬迁安置和征收房屋拆除，负责组织调查被征收居民基本情况及房屋情况，拟定搬迁安置计划，负责协调、指导和监督检查居民安置点设置。</w:t>
      </w:r>
    </w:p>
    <w:p w14:paraId="043FAABB">
      <w:pPr>
        <w:widowControl/>
        <w:adjustRightInd w:val="0"/>
        <w:snapToGrid w:val="0"/>
        <w:spacing w:line="560" w:lineRule="exact"/>
        <w:ind w:firstLine="640" w:firstLineChars="200"/>
        <w:contextualSpacing/>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10.承办区委、区政府交办的其他工作。</w:t>
      </w:r>
    </w:p>
    <w:p w14:paraId="5EF18FFE">
      <w:pPr>
        <w:keepNext w:val="0"/>
        <w:keepLines w:val="0"/>
        <w:pageBreakBefore w:val="0"/>
        <w:widowControl w:val="0"/>
        <w:kinsoku/>
        <w:wordWrap/>
        <w:overflowPunct/>
        <w:topLinePunct w:val="0"/>
        <w:autoSpaceDE/>
        <w:autoSpaceDN/>
        <w:bidi w:val="0"/>
        <w:adjustRightInd/>
        <w:snapToGrid/>
        <w:spacing w:line="520" w:lineRule="atLeast"/>
        <w:ind w:firstLine="643"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p>
    <w:p w14:paraId="373DCAD1">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cs="Times New Roman"/>
          <w:lang w:val="zh-CN"/>
        </w:rPr>
      </w:pPr>
      <w:r>
        <w:rPr>
          <w:rFonts w:hint="default" w:ascii="Times New Roman" w:hAnsi="Times New Roman" w:eastAsia="仿宋_GB2312" w:cs="Times New Roman"/>
          <w:sz w:val="32"/>
          <w:szCs w:val="32"/>
          <w:lang w:val="en-US" w:eastAsia="zh-CN"/>
        </w:rPr>
        <w:t>截止202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年末，区土地储备中心设主任1名，副主任2名，核定事业编制11名，临聘编制</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名；现实有人员1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人，其中事业编制人员10人，临聘编制</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人。</w:t>
      </w:r>
    </w:p>
    <w:p w14:paraId="05CBD93B">
      <w:pPr>
        <w:widowControl/>
        <w:adjustRightInd w:val="0"/>
        <w:snapToGrid w:val="0"/>
        <w:spacing w:line="560"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二、部门资金收支情况</w:t>
      </w:r>
    </w:p>
    <w:p w14:paraId="1FEC0CDB">
      <w:pPr>
        <w:keepNext w:val="0"/>
        <w:keepLines w:val="0"/>
        <w:pageBreakBefore w:val="0"/>
        <w:widowControl w:val="0"/>
        <w:kinsoku/>
        <w:wordWrap/>
        <w:overflowPunct/>
        <w:topLinePunct w:val="0"/>
        <w:autoSpaceDE/>
        <w:autoSpaceDN/>
        <w:bidi w:val="0"/>
        <w:adjustRightInd/>
        <w:snapToGrid/>
        <w:spacing w:line="520" w:lineRule="atLeast"/>
        <w:ind w:firstLine="643"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p>
    <w:p w14:paraId="559377F8">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区土地储备中心202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年年初预算收入</w:t>
      </w:r>
      <w:r>
        <w:rPr>
          <w:rFonts w:hint="eastAsia" w:eastAsia="仿宋_GB2312" w:cs="Times New Roman"/>
          <w:sz w:val="32"/>
          <w:szCs w:val="32"/>
          <w:lang w:val="en-US" w:eastAsia="zh-CN"/>
        </w:rPr>
        <w:t>217.19</w:t>
      </w:r>
      <w:r>
        <w:rPr>
          <w:rFonts w:hint="default" w:ascii="Times New Roman" w:hAnsi="Times New Roman" w:eastAsia="仿宋_GB2312" w:cs="Times New Roman"/>
          <w:sz w:val="32"/>
          <w:szCs w:val="32"/>
          <w:lang w:val="en-US" w:eastAsia="zh-CN"/>
        </w:rPr>
        <w:t>万元，其中：一般公共预算拨款收入</w:t>
      </w:r>
      <w:r>
        <w:rPr>
          <w:rFonts w:hint="eastAsia" w:eastAsia="仿宋_GB2312" w:cs="Times New Roman"/>
          <w:sz w:val="32"/>
          <w:szCs w:val="32"/>
          <w:lang w:val="en-US" w:eastAsia="zh-CN"/>
        </w:rPr>
        <w:t>207.19</w:t>
      </w:r>
      <w:r>
        <w:rPr>
          <w:rFonts w:hint="default" w:ascii="Times New Roman" w:hAnsi="Times New Roman" w:eastAsia="仿宋_GB2312" w:cs="Times New Roman"/>
          <w:sz w:val="32"/>
          <w:szCs w:val="32"/>
          <w:lang w:val="en-US" w:eastAsia="zh-CN"/>
        </w:rPr>
        <w:t>万元，占总收入9</w:t>
      </w:r>
      <w:r>
        <w:rPr>
          <w:rFonts w:hint="eastAsia" w:eastAsia="仿宋_GB2312" w:cs="Times New Roman"/>
          <w:sz w:val="32"/>
          <w:szCs w:val="32"/>
          <w:lang w:val="en-US" w:eastAsia="zh-CN"/>
        </w:rPr>
        <w:t>5.40</w:t>
      </w:r>
      <w:r>
        <w:rPr>
          <w:rFonts w:hint="default" w:ascii="Times New Roman" w:hAnsi="Times New Roman" w:eastAsia="仿宋_GB2312" w:cs="Times New Roman"/>
          <w:sz w:val="32"/>
          <w:szCs w:val="32"/>
          <w:lang w:val="en-US" w:eastAsia="zh-CN"/>
        </w:rPr>
        <w:t>%；政府性基金预算财政拨款支出10万元，占总收入</w:t>
      </w:r>
      <w:r>
        <w:rPr>
          <w:rFonts w:hint="eastAsia" w:eastAsia="仿宋_GB2312" w:cs="Times New Roman"/>
          <w:sz w:val="32"/>
          <w:szCs w:val="32"/>
          <w:lang w:val="en-US" w:eastAsia="zh-CN"/>
        </w:rPr>
        <w:t>4.60</w:t>
      </w:r>
      <w:r>
        <w:rPr>
          <w:rFonts w:hint="default" w:ascii="Times New Roman" w:hAnsi="Times New Roman" w:eastAsia="仿宋_GB2312" w:cs="Times New Roman"/>
          <w:sz w:val="32"/>
          <w:szCs w:val="32"/>
          <w:lang w:val="en-US" w:eastAsia="zh-CN"/>
        </w:rPr>
        <w:t>%。决算报表收入</w:t>
      </w:r>
      <w:r>
        <w:rPr>
          <w:rFonts w:hint="eastAsia" w:eastAsia="仿宋_GB2312" w:cs="Times New Roman"/>
          <w:sz w:val="32"/>
          <w:szCs w:val="32"/>
          <w:lang w:val="en-US" w:eastAsia="zh-CN"/>
        </w:rPr>
        <w:t>5791.13</w:t>
      </w:r>
      <w:r>
        <w:rPr>
          <w:rFonts w:hint="default" w:ascii="Times New Roman" w:hAnsi="Times New Roman" w:eastAsia="仿宋_GB2312" w:cs="Times New Roman"/>
          <w:sz w:val="32"/>
          <w:szCs w:val="32"/>
          <w:lang w:val="en-US" w:eastAsia="zh-CN"/>
        </w:rPr>
        <w:t>万元，其中：一般公共预算拨款收入</w:t>
      </w:r>
      <w:r>
        <w:rPr>
          <w:rFonts w:hint="eastAsia" w:eastAsia="仿宋_GB2312" w:cs="Times New Roman"/>
          <w:sz w:val="32"/>
          <w:szCs w:val="32"/>
          <w:lang w:val="en-US" w:eastAsia="zh-CN"/>
        </w:rPr>
        <w:t>4914.17</w:t>
      </w:r>
      <w:r>
        <w:rPr>
          <w:rFonts w:hint="default" w:ascii="Times New Roman" w:hAnsi="Times New Roman" w:eastAsia="仿宋_GB2312" w:cs="Times New Roman"/>
          <w:sz w:val="32"/>
          <w:szCs w:val="32"/>
          <w:lang w:val="en-US" w:eastAsia="zh-CN"/>
        </w:rPr>
        <w:t>万元，占总收入</w:t>
      </w:r>
      <w:r>
        <w:rPr>
          <w:rFonts w:hint="eastAsia" w:eastAsia="仿宋_GB2312" w:cs="Times New Roman"/>
          <w:sz w:val="32"/>
          <w:szCs w:val="32"/>
          <w:lang w:val="en-US" w:eastAsia="zh-CN"/>
        </w:rPr>
        <w:t>84.86</w:t>
      </w:r>
      <w:r>
        <w:rPr>
          <w:rFonts w:hint="default" w:ascii="Times New Roman" w:hAnsi="Times New Roman" w:eastAsia="仿宋_GB2312" w:cs="Times New Roman"/>
          <w:sz w:val="32"/>
          <w:szCs w:val="32"/>
          <w:lang w:val="en-US" w:eastAsia="zh-CN"/>
        </w:rPr>
        <w:t>%；政府性基金预算财政拨款支出</w:t>
      </w:r>
      <w:r>
        <w:rPr>
          <w:rFonts w:hint="eastAsia" w:eastAsia="仿宋_GB2312" w:cs="Times New Roman"/>
          <w:sz w:val="32"/>
          <w:szCs w:val="32"/>
          <w:lang w:val="en-US" w:eastAsia="zh-CN"/>
        </w:rPr>
        <w:t>876.96</w:t>
      </w:r>
      <w:r>
        <w:rPr>
          <w:rFonts w:hint="default" w:ascii="Times New Roman" w:hAnsi="Times New Roman" w:eastAsia="仿宋_GB2312" w:cs="Times New Roman"/>
          <w:sz w:val="32"/>
          <w:szCs w:val="32"/>
          <w:lang w:val="en-US" w:eastAsia="zh-CN"/>
        </w:rPr>
        <w:t>万元，占总收入</w:t>
      </w:r>
      <w:r>
        <w:rPr>
          <w:rFonts w:hint="eastAsia" w:eastAsia="仿宋_GB2312" w:cs="Times New Roman"/>
          <w:sz w:val="32"/>
          <w:szCs w:val="32"/>
          <w:lang w:val="en-US" w:eastAsia="zh-CN"/>
        </w:rPr>
        <w:t>15.14</w:t>
      </w:r>
      <w:r>
        <w:rPr>
          <w:rFonts w:hint="default" w:ascii="Times New Roman" w:hAnsi="Times New Roman" w:eastAsia="仿宋_GB2312" w:cs="Times New Roman"/>
          <w:sz w:val="32"/>
          <w:szCs w:val="32"/>
          <w:lang w:val="en-US" w:eastAsia="zh-CN"/>
        </w:rPr>
        <w:t>%。</w:t>
      </w:r>
    </w:p>
    <w:p w14:paraId="2A7B1DC2">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p>
    <w:p w14:paraId="40D9785C">
      <w:pPr>
        <w:widowControl/>
        <w:adjustRightInd w:val="0"/>
        <w:snapToGrid w:val="0"/>
        <w:spacing w:line="560" w:lineRule="exact"/>
        <w:ind w:firstLine="640" w:firstLineChars="200"/>
        <w:contextualSpacing/>
        <w:jc w:val="left"/>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sz w:val="32"/>
          <w:szCs w:val="32"/>
          <w:lang w:val="en-US" w:eastAsia="zh-CN"/>
        </w:rPr>
        <w:t>区土地储备中心202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年支出预算</w:t>
      </w:r>
      <w:r>
        <w:rPr>
          <w:rFonts w:hint="eastAsia" w:eastAsia="仿宋_GB2312" w:cs="Times New Roman"/>
          <w:sz w:val="32"/>
          <w:szCs w:val="32"/>
          <w:lang w:val="en-US" w:eastAsia="zh-CN"/>
        </w:rPr>
        <w:t>5791.13</w:t>
      </w:r>
      <w:r>
        <w:rPr>
          <w:rFonts w:hint="default" w:ascii="Times New Roman" w:hAnsi="Times New Roman" w:eastAsia="仿宋_GB2312" w:cs="Times New Roman"/>
          <w:sz w:val="32"/>
          <w:szCs w:val="32"/>
          <w:lang w:val="en-US" w:eastAsia="zh-CN"/>
        </w:rPr>
        <w:t>万元。其中：基本支出</w:t>
      </w:r>
      <w:r>
        <w:rPr>
          <w:rFonts w:hint="eastAsia" w:eastAsia="仿宋_GB2312" w:cs="Times New Roman"/>
          <w:sz w:val="32"/>
          <w:szCs w:val="32"/>
          <w:lang w:val="en-US" w:eastAsia="zh-CN"/>
        </w:rPr>
        <w:t>209.80</w:t>
      </w:r>
      <w:r>
        <w:rPr>
          <w:rFonts w:hint="default" w:ascii="Times New Roman" w:hAnsi="Times New Roman" w:eastAsia="仿宋_GB2312" w:cs="Times New Roman"/>
          <w:sz w:val="32"/>
          <w:szCs w:val="32"/>
          <w:lang w:val="en-US" w:eastAsia="zh-CN"/>
        </w:rPr>
        <w:t>万元，占总支出</w:t>
      </w:r>
      <w:r>
        <w:rPr>
          <w:rFonts w:hint="eastAsia" w:eastAsia="仿宋_GB2312" w:cs="Times New Roman"/>
          <w:sz w:val="32"/>
          <w:szCs w:val="32"/>
          <w:lang w:val="en-US" w:eastAsia="zh-CN"/>
        </w:rPr>
        <w:t>3.62</w:t>
      </w:r>
      <w:r>
        <w:rPr>
          <w:rFonts w:hint="default" w:ascii="Times New Roman" w:hAnsi="Times New Roman" w:eastAsia="仿宋_GB2312" w:cs="Times New Roman"/>
          <w:sz w:val="32"/>
          <w:szCs w:val="32"/>
          <w:lang w:val="en-US" w:eastAsia="zh-CN"/>
        </w:rPr>
        <w:t>%；项目支出</w:t>
      </w:r>
      <w:r>
        <w:rPr>
          <w:rFonts w:hint="eastAsia" w:eastAsia="仿宋_GB2312" w:cs="Times New Roman"/>
          <w:sz w:val="32"/>
          <w:szCs w:val="32"/>
          <w:lang w:val="en-US" w:eastAsia="zh-CN"/>
        </w:rPr>
        <w:t>5581.33</w:t>
      </w:r>
      <w:r>
        <w:rPr>
          <w:rFonts w:hint="default" w:ascii="Times New Roman" w:hAnsi="Times New Roman" w:eastAsia="仿宋_GB2312" w:cs="Times New Roman"/>
          <w:sz w:val="32"/>
          <w:szCs w:val="32"/>
          <w:lang w:val="en-US" w:eastAsia="zh-CN"/>
        </w:rPr>
        <w:t>万元，占总支出9</w:t>
      </w:r>
      <w:r>
        <w:rPr>
          <w:rFonts w:hint="eastAsia" w:eastAsia="仿宋_GB2312" w:cs="Times New Roman"/>
          <w:sz w:val="32"/>
          <w:szCs w:val="32"/>
          <w:lang w:val="en-US" w:eastAsia="zh-CN"/>
        </w:rPr>
        <w:t>6.38</w:t>
      </w:r>
      <w:r>
        <w:rPr>
          <w:rFonts w:hint="default" w:ascii="Times New Roman" w:hAnsi="Times New Roman" w:eastAsia="仿宋_GB2312" w:cs="Times New Roman"/>
          <w:sz w:val="32"/>
          <w:szCs w:val="32"/>
          <w:lang w:val="en-US" w:eastAsia="zh-CN"/>
        </w:rPr>
        <w:t>%。</w:t>
      </w:r>
    </w:p>
    <w:p w14:paraId="57D8E6B0">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p>
    <w:p w14:paraId="194AF8DA">
      <w:pPr>
        <w:widowControl/>
        <w:adjustRightInd w:val="0"/>
        <w:snapToGrid w:val="0"/>
        <w:spacing w:line="560" w:lineRule="exact"/>
        <w:ind w:firstLine="640" w:firstLineChars="200"/>
        <w:contextualSpacing/>
        <w:jc w:val="left"/>
        <w:rPr>
          <w:rFonts w:hint="default" w:ascii="Times New Roman" w:hAnsi="Times New Roman" w:eastAsia="楷体_GB2312" w:cs="Times New Roman"/>
          <w:b/>
          <w:bCs/>
          <w:kern w:val="0"/>
          <w:sz w:val="32"/>
          <w:szCs w:val="32"/>
          <w:shd w:val="clear" w:color="auto" w:fill="FFFFFF"/>
          <w:lang w:val="en-US"/>
        </w:rPr>
      </w:pPr>
      <w:r>
        <w:rPr>
          <w:rFonts w:hint="default" w:ascii="Times New Roman" w:hAnsi="Times New Roman" w:eastAsia="仿宋_GB2312" w:cs="Times New Roman"/>
          <w:sz w:val="32"/>
          <w:szCs w:val="32"/>
          <w:lang w:val="en-US" w:eastAsia="zh-CN"/>
        </w:rPr>
        <w:t>区土地储备中心202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年部门总体无资金结余。</w:t>
      </w:r>
    </w:p>
    <w:p w14:paraId="11FC84AD">
      <w:pPr>
        <w:widowControl/>
        <w:adjustRightInd w:val="0"/>
        <w:snapToGrid w:val="0"/>
        <w:spacing w:line="560" w:lineRule="exact"/>
        <w:ind w:firstLine="640" w:firstLineChars="200"/>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rPr>
        <w:t>三、部门整体绩效分析</w:t>
      </w:r>
    </w:p>
    <w:p w14:paraId="424002D8">
      <w:pPr>
        <w:widowControl/>
        <w:adjustRightInd w:val="0"/>
        <w:snapToGrid w:val="0"/>
        <w:spacing w:line="560" w:lineRule="exact"/>
        <w:ind w:firstLine="643" w:firstLineChars="200"/>
        <w:contextualSpacing/>
        <w:jc w:val="left"/>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（一）部门预算</w:t>
      </w:r>
      <w:r>
        <w:rPr>
          <w:rFonts w:hint="default" w:ascii="Times New Roman" w:hAnsi="Times New Roman" w:eastAsia="楷体_GB2312" w:cs="Times New Roman"/>
          <w:b/>
          <w:bCs/>
          <w:kern w:val="0"/>
          <w:sz w:val="32"/>
          <w:szCs w:val="32"/>
          <w:shd w:val="clear" w:color="auto" w:fill="FFFFFF"/>
          <w:lang w:val="en-US" w:eastAsia="zh-CN"/>
        </w:rPr>
        <w:t>总体绩效分析</w:t>
      </w:r>
      <w:r>
        <w:rPr>
          <w:rFonts w:hint="default" w:ascii="Times New Roman" w:hAnsi="Times New Roman" w:eastAsia="楷体_GB2312" w:cs="Times New Roman"/>
          <w:b/>
          <w:bCs/>
          <w:kern w:val="0"/>
          <w:sz w:val="32"/>
          <w:szCs w:val="32"/>
          <w:shd w:val="clear" w:color="auto" w:fill="FFFFFF"/>
          <w:lang w:val="zh-CN"/>
        </w:rPr>
        <w:t>。</w:t>
      </w:r>
    </w:p>
    <w:p w14:paraId="2606C487">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履职效能。</w:t>
      </w:r>
      <w:r>
        <w:rPr>
          <w:rFonts w:hint="eastAsia" w:eastAsia="仿宋_GB2312" w:cs="Times New Roman"/>
          <w:color w:val="000000" w:themeColor="text1"/>
          <w:kern w:val="2"/>
          <w:sz w:val="32"/>
          <w:szCs w:val="32"/>
          <w:lang w:val="en-US" w:eastAsia="zh-CN" w:bidi="ar-SA"/>
          <w14:textFill>
            <w14:solidFill>
              <w14:schemeClr w14:val="tx1"/>
            </w14:solidFill>
          </w14:textFill>
        </w:rPr>
        <w:t>区土地储备中心</w:t>
      </w:r>
      <w:r>
        <w:rPr>
          <w:rFonts w:hint="default" w:ascii="Times New Roman" w:hAnsi="Times New Roman" w:eastAsia="仿宋_GB2312" w:cs="Times New Roman"/>
          <w:sz w:val="32"/>
          <w:szCs w:val="32"/>
          <w:lang w:val="zh-CN" w:eastAsia="zh-CN"/>
        </w:rPr>
        <w:t>整体绩效目标中选定3-5个核心职能目标，对职能目标完成效果情况绩效分析。</w:t>
      </w:r>
    </w:p>
    <w:p w14:paraId="06444DDB">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年度预算编制阶段，对农村集体土地征收专项经费、土地出让前期工作相关费用、农村集体土地征收生产生活安置资金等</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个项目开展了预算事前绩效评估，对</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个项目编制了绩效目标，预算执行过程中，选取</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个项目开展绩效监控。在202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年度对一般公共预算、政府性基金预算、国有资本经营预算、社会保险基金预算以及资本资产、债券资金等全面开展绩效自评，形成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区土地储备中心</w:t>
      </w:r>
      <w:r>
        <w:rPr>
          <w:rFonts w:hint="default" w:ascii="Times New Roman" w:hAnsi="Times New Roman" w:eastAsia="仿宋_GB2312" w:cs="Times New Roman"/>
          <w:sz w:val="32"/>
          <w:szCs w:val="32"/>
          <w:lang w:val="en-US" w:eastAsia="zh-CN"/>
        </w:rPr>
        <w:t>整体（含部门预算项目）绩效自评报告、农村集体土地征收专项经费、土地出让前期工作相关费用、农村集体土地征收生产生活安置资金等专项预算项目绩效自评报告。</w:t>
      </w:r>
    </w:p>
    <w:p w14:paraId="5773F793">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预算管理。</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年项目追加预算</w:t>
      </w:r>
      <w:r>
        <w:rPr>
          <w:rFonts w:hint="eastAsia" w:eastAsia="仿宋_GB2312" w:cs="Times New Roman"/>
          <w:sz w:val="32"/>
          <w:szCs w:val="32"/>
          <w:lang w:val="en-US" w:eastAsia="zh-CN"/>
        </w:rPr>
        <w:t>5573.94</w:t>
      </w:r>
      <w:r>
        <w:rPr>
          <w:rFonts w:hint="default" w:ascii="Times New Roman" w:hAnsi="Times New Roman" w:eastAsia="仿宋_GB2312" w:cs="Times New Roman"/>
          <w:sz w:val="32"/>
          <w:szCs w:val="32"/>
          <w:lang w:val="en-US" w:eastAsia="zh-CN"/>
        </w:rPr>
        <w:t>万元，年终无结余、严控一般性支出并进行绩效分析</w:t>
      </w:r>
      <w:r>
        <w:rPr>
          <w:rFonts w:hint="default" w:ascii="Times New Roman" w:hAnsi="Times New Roman" w:eastAsia="仿宋_GB2312" w:cs="Times New Roman"/>
          <w:sz w:val="32"/>
          <w:szCs w:val="32"/>
          <w:lang w:val="zh-CN" w:eastAsia="zh-CN"/>
        </w:rPr>
        <w:t>。</w:t>
      </w:r>
    </w:p>
    <w:p w14:paraId="4070CF18">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财务管理。</w:t>
      </w:r>
      <w:r>
        <w:rPr>
          <w:rFonts w:hint="eastAsia" w:eastAsia="仿宋_GB2312" w:cs="Times New Roman"/>
          <w:color w:val="000000" w:themeColor="text1"/>
          <w:sz w:val="32"/>
          <w:szCs w:val="32"/>
          <w:lang w:val="en-US" w:eastAsia="zh-CN"/>
          <w14:textFill>
            <w14:solidFill>
              <w14:schemeClr w14:val="tx1"/>
            </w14:solidFill>
          </w14:textFill>
        </w:rPr>
        <w:t>区土地储备中心</w:t>
      </w:r>
      <w:r>
        <w:rPr>
          <w:rFonts w:hint="default" w:ascii="Times New Roman" w:hAnsi="Times New Roman" w:eastAsia="仿宋_GB2312" w:cs="Times New Roman"/>
          <w:sz w:val="32"/>
          <w:szCs w:val="32"/>
          <w:lang w:val="en-US" w:eastAsia="zh-CN"/>
        </w:rPr>
        <w:t>根据实际情况制定财务管理制度、财务岗位设置、并按区财政要求对资金使用规范进行绩效分析</w:t>
      </w:r>
      <w:r>
        <w:rPr>
          <w:rFonts w:hint="default" w:ascii="Times New Roman" w:hAnsi="Times New Roman" w:eastAsia="仿宋_GB2312" w:cs="Times New Roman"/>
          <w:sz w:val="32"/>
          <w:szCs w:val="32"/>
          <w:lang w:val="zh-CN" w:eastAsia="zh-CN"/>
        </w:rPr>
        <w:t>。</w:t>
      </w:r>
    </w:p>
    <w:p w14:paraId="09B8034D">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资产管理</w:t>
      </w: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区土地储备中心</w:t>
      </w:r>
      <w:r>
        <w:rPr>
          <w:rFonts w:hint="default" w:ascii="Times New Roman" w:hAnsi="Times New Roman" w:eastAsia="仿宋_GB2312" w:cs="Times New Roman"/>
          <w:sz w:val="32"/>
          <w:szCs w:val="32"/>
          <w:lang w:val="en-US" w:eastAsia="zh-CN"/>
        </w:rPr>
        <w:t>资产包括房屋及构筑物、通用设备家具、用具、装具、土地使用权，用于单位内部日常运行使用，无闲置资产</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均处于使用状态</w:t>
      </w:r>
      <w:r>
        <w:rPr>
          <w:rFonts w:hint="default" w:ascii="Times New Roman" w:hAnsi="Times New Roman" w:eastAsia="仿宋_GB2312" w:cs="Times New Roman"/>
          <w:sz w:val="32"/>
          <w:szCs w:val="32"/>
          <w:lang w:val="zh-CN" w:eastAsia="zh-CN"/>
        </w:rPr>
        <w:t>。</w:t>
      </w:r>
    </w:p>
    <w:p w14:paraId="5A178744">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eastAsia="zh-CN"/>
        </w:rPr>
        <w:t>采购管理。</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年政府采购项目</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攀枝花市不动产登记平台升级与完善网络运行环境</w:t>
      </w:r>
      <w:r>
        <w:rPr>
          <w:rFonts w:hint="eastAsia" w:ascii="Times New Roman" w:hAnsi="Times New Roman" w:eastAsia="仿宋_GB2312" w:cs="Times New Roman"/>
          <w:sz w:val="32"/>
          <w:szCs w:val="32"/>
          <w:lang w:val="en-US" w:eastAsia="zh-CN"/>
        </w:rPr>
        <w:t>执行数5万元，为构建网络状态</w:t>
      </w:r>
      <w:r>
        <w:rPr>
          <w:rFonts w:hint="default" w:ascii="Times New Roman" w:hAnsi="Times New Roman" w:eastAsia="仿宋_GB2312" w:cs="Times New Roman"/>
          <w:sz w:val="32"/>
          <w:szCs w:val="32"/>
          <w:lang w:val="zh-CN" w:eastAsia="zh-CN"/>
        </w:rPr>
        <w:t>。</w:t>
      </w:r>
    </w:p>
    <w:p w14:paraId="7375BFA2">
      <w:pPr>
        <w:keepNext w:val="0"/>
        <w:keepLines w:val="0"/>
        <w:pageBreakBefore w:val="0"/>
        <w:widowControl w:val="0"/>
        <w:kinsoku/>
        <w:wordWrap/>
        <w:overflowPunct/>
        <w:topLinePunct w:val="0"/>
        <w:autoSpaceDE/>
        <w:autoSpaceDN/>
        <w:bidi w:val="0"/>
        <w:spacing w:line="353" w:lineRule="auto"/>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15FB80E8">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zh-CN" w:eastAsia="zh-CN"/>
        </w:rPr>
        <w:t>个，涉及预算总金额</w:t>
      </w:r>
      <w:r>
        <w:rPr>
          <w:rFonts w:hint="eastAsia" w:eastAsia="仿宋_GB2312" w:cs="Times New Roman"/>
          <w:sz w:val="32"/>
          <w:szCs w:val="32"/>
          <w:lang w:val="en-US" w:eastAsia="zh-CN"/>
        </w:rPr>
        <w:t>209.80</w:t>
      </w:r>
      <w:r>
        <w:rPr>
          <w:rFonts w:hint="default" w:ascii="Times New Roman" w:hAnsi="Times New Roman" w:eastAsia="仿宋_GB2312" w:cs="Times New Roman"/>
          <w:sz w:val="32"/>
          <w:szCs w:val="32"/>
          <w:lang w:val="zh-CN" w:eastAsia="zh-CN"/>
        </w:rPr>
        <w:t>万元，1—1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 xml:space="preserve">0 </w:t>
      </w:r>
      <w:r>
        <w:rPr>
          <w:rFonts w:hint="default" w:ascii="Times New Roman" w:hAnsi="Times New Roman" w:eastAsia="仿宋_GB2312" w:cs="Times New Roman"/>
          <w:sz w:val="32"/>
          <w:szCs w:val="32"/>
          <w:lang w:val="zh-CN" w:eastAsia="zh-CN"/>
        </w:rPr>
        <w:t>个。</w:t>
      </w:r>
    </w:p>
    <w:p w14:paraId="35B3A653">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阶段（一次性）项目绩效分析。</w:t>
      </w:r>
      <w:r>
        <w:rPr>
          <w:rFonts w:hint="default" w:ascii="Times New Roman" w:hAnsi="Times New Roman" w:eastAsia="仿宋_GB2312" w:cs="Times New Roman"/>
          <w:sz w:val="32"/>
          <w:szCs w:val="32"/>
          <w:lang w:val="zh-CN" w:eastAsia="zh-CN"/>
        </w:rPr>
        <w:t>该类项目总数</w:t>
      </w:r>
      <w:r>
        <w:rPr>
          <w:rFonts w:hint="eastAsia" w:eastAsia="仿宋_GB2312" w:cs="Times New Roman"/>
          <w:sz w:val="32"/>
          <w:szCs w:val="32"/>
          <w:lang w:val="en-US" w:eastAsia="zh-CN"/>
        </w:rPr>
        <w:t>40</w:t>
      </w:r>
      <w:r>
        <w:rPr>
          <w:rFonts w:hint="default" w:ascii="Times New Roman" w:hAnsi="Times New Roman" w:eastAsia="仿宋_GB2312" w:cs="Times New Roman"/>
          <w:sz w:val="32"/>
          <w:szCs w:val="32"/>
          <w:lang w:val="zh-CN" w:eastAsia="zh-CN"/>
        </w:rPr>
        <w:t>个，涉及预算总金额</w:t>
      </w:r>
      <w:r>
        <w:rPr>
          <w:rFonts w:hint="eastAsia" w:eastAsia="仿宋_GB2312" w:cs="Times New Roman"/>
          <w:sz w:val="32"/>
          <w:szCs w:val="32"/>
          <w:lang w:val="en-US" w:eastAsia="zh-CN"/>
        </w:rPr>
        <w:t>5581.33</w:t>
      </w:r>
      <w:r>
        <w:rPr>
          <w:rFonts w:hint="default" w:ascii="Times New Roman" w:hAnsi="Times New Roman" w:eastAsia="仿宋_GB2312" w:cs="Times New Roman"/>
          <w:sz w:val="32"/>
          <w:szCs w:val="32"/>
          <w:lang w:val="zh-CN" w:eastAsia="zh-CN"/>
        </w:rPr>
        <w:t>万元，1—1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14:paraId="7B35A350">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项目决策。</w:t>
      </w:r>
      <w:r>
        <w:rPr>
          <w:rFonts w:hint="default" w:ascii="Times New Roman" w:hAnsi="Times New Roman" w:eastAsia="仿宋_GB2312" w:cs="Times New Roman"/>
          <w:sz w:val="32"/>
          <w:szCs w:val="32"/>
          <w:lang w:val="en-US" w:eastAsia="zh-CN"/>
        </w:rPr>
        <w:t>结合区定审计项目及区政府交办的审计项目实际，科学制定重大政策措施落实情况跟踪审计、预算执行审计、专项审计、领导干部自然资源资产离任审计、经济责任审计、固定资产投资审计计划及方案</w:t>
      </w:r>
      <w:r>
        <w:rPr>
          <w:rFonts w:hint="default" w:ascii="Times New Roman" w:hAnsi="Times New Roman" w:eastAsia="仿宋_GB2312" w:cs="Times New Roman"/>
          <w:sz w:val="32"/>
          <w:szCs w:val="32"/>
          <w:lang w:val="zh-CN" w:eastAsia="zh-CN"/>
        </w:rPr>
        <w:t>。</w:t>
      </w:r>
    </w:p>
    <w:p w14:paraId="6D81313F">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2.项目执行</w:t>
      </w:r>
      <w:r>
        <w:rPr>
          <w:rFonts w:hint="default" w:ascii="Times New Roman" w:hAnsi="Times New Roman" w:eastAsia="仿宋_GB2312" w:cs="Times New Roman"/>
          <w:sz w:val="32"/>
          <w:szCs w:val="32"/>
          <w:lang w:val="zh-CN" w:eastAsia="zh-CN"/>
        </w:rPr>
        <w:t>。严格按照年度制定审计计划开展工作，同时加大与纪委监委、巡察机构、组织部门、财政部门、区目督办的协作联动，形成审计整改监督合力。</w:t>
      </w:r>
    </w:p>
    <w:p w14:paraId="4096D75F">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目标实现。依法履行</w:t>
      </w:r>
      <w:r>
        <w:rPr>
          <w:rFonts w:hint="eastAsia"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sz w:val="32"/>
          <w:szCs w:val="32"/>
          <w:lang w:val="en-US" w:eastAsia="zh-CN"/>
        </w:rPr>
        <w:t>土地储备中心主要职能</w:t>
      </w:r>
      <w:r>
        <w:rPr>
          <w:rFonts w:hint="default" w:ascii="Times New Roman" w:hAnsi="Times New Roman" w:eastAsia="仿宋_GB2312" w:cs="Times New Roman"/>
          <w:sz w:val="32"/>
          <w:szCs w:val="32"/>
          <w:lang w:val="zh-CN" w:eastAsia="zh-CN"/>
        </w:rPr>
        <w:t>，推动西区经济社会高质量发展。项目实施的人、财、物等基础条件保障都由区财政全额拨款保障，</w:t>
      </w:r>
      <w:r>
        <w:rPr>
          <w:rFonts w:hint="eastAsia" w:eastAsia="仿宋_GB2312" w:cs="Times New Roman"/>
          <w:color w:val="000000" w:themeColor="text1"/>
          <w:kern w:val="2"/>
          <w:sz w:val="32"/>
          <w:szCs w:val="32"/>
          <w:lang w:val="en-US" w:eastAsia="zh-CN" w:bidi="ar-SA"/>
          <w14:textFill>
            <w14:solidFill>
              <w14:schemeClr w14:val="tx1"/>
            </w14:solidFill>
          </w14:textFill>
        </w:rPr>
        <w:t>区土地储备中心</w:t>
      </w:r>
      <w:r>
        <w:rPr>
          <w:rFonts w:hint="default" w:ascii="Times New Roman" w:hAnsi="Times New Roman" w:eastAsia="仿宋_GB2312" w:cs="Times New Roman"/>
          <w:sz w:val="32"/>
          <w:szCs w:val="32"/>
          <w:lang w:val="zh-CN" w:eastAsia="zh-CN"/>
        </w:rPr>
        <w:t>按照内部控制管理各项制度以及上级相关要求执行。</w:t>
      </w:r>
    </w:p>
    <w:p w14:paraId="026E1EB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p>
    <w:p w14:paraId="1F3B6599">
      <w:pPr>
        <w:pStyle w:val="14"/>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eastAsia="仿宋_GB2312" w:cs="Times New Roman"/>
          <w:color w:val="000000" w:themeColor="text1"/>
          <w:kern w:val="2"/>
          <w:sz w:val="32"/>
          <w:szCs w:val="32"/>
          <w:lang w:val="en-US" w:eastAsia="zh-CN" w:bidi="ar-SA"/>
          <w14:textFill>
            <w14:solidFill>
              <w14:schemeClr w14:val="tx1"/>
            </w14:solidFill>
          </w14:textFill>
        </w:rPr>
        <w:t>区土地储备中心</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不涉及国有资本、行政事业性国有资产、债券资金。</w:t>
      </w:r>
    </w:p>
    <w:p w14:paraId="0EA104BC">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color w:val="000000" w:themeColor="text1"/>
          <w:kern w:val="0"/>
          <w:sz w:val="32"/>
          <w:szCs w:val="32"/>
          <w:highlight w:val="none"/>
          <w:shd w:val="clear" w:color="auto" w:fill="FFFFFF"/>
          <w:lang w:val="zh-CN" w:eastAsia="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shd w:val="clear" w:color="auto" w:fill="FFFFFF"/>
          <w:lang w:val="zh-CN" w:eastAsia="zh-CN"/>
          <w14:textFill>
            <w14:solidFill>
              <w14:schemeClr w14:val="tx1"/>
            </w14:solidFill>
          </w14:textFill>
        </w:rPr>
        <w:t>（四）绩效结果应用情况。</w:t>
      </w:r>
    </w:p>
    <w:p w14:paraId="3F3804D8">
      <w:pPr>
        <w:widowControl/>
        <w:adjustRightInd w:val="0"/>
        <w:snapToGrid w:val="0"/>
        <w:spacing w:line="560" w:lineRule="exact"/>
        <w:ind w:firstLine="640" w:firstLineChars="200"/>
        <w:contextualSpacing/>
        <w:jc w:val="left"/>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全年按年初审计计划有序推进，不能完成的项目及时进行了项目调整，总体效果良好。</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w:t>
      </w:r>
    </w:p>
    <w:p w14:paraId="64939ED1">
      <w:pPr>
        <w:widowControl/>
        <w:adjustRightInd w:val="0"/>
        <w:snapToGrid w:val="0"/>
        <w:spacing w:line="560" w:lineRule="exact"/>
        <w:ind w:firstLine="640" w:firstLineChars="200"/>
        <w:contextualSpacing/>
        <w:jc w:val="left"/>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黑体" w:cs="Times New Roman"/>
          <w:color w:val="000000" w:themeColor="text1"/>
          <w:kern w:val="0"/>
          <w:sz w:val="32"/>
          <w:szCs w:val="32"/>
          <w:shd w:val="clear" w:color="auto" w:fill="FFFFFF"/>
          <w14:textFill>
            <w14:solidFill>
              <w14:schemeClr w14:val="tx1"/>
            </w14:solidFill>
          </w14:textFill>
        </w:rPr>
        <w:t>四、评价结论及建议</w:t>
      </w:r>
    </w:p>
    <w:p w14:paraId="1A83221B">
      <w:pPr>
        <w:keepNext w:val="0"/>
        <w:keepLines w:val="0"/>
        <w:pageBreakBefore w:val="0"/>
        <w:widowControl w:val="0"/>
        <w:kinsoku/>
        <w:wordWrap/>
        <w:overflowPunct/>
        <w:topLinePunct w:val="0"/>
        <w:autoSpaceDE/>
        <w:autoSpaceDN/>
        <w:bidi w:val="0"/>
        <w:spacing w:line="353" w:lineRule="auto"/>
        <w:ind w:firstLine="640" w:firstLineChars="200"/>
        <w:textAlignment w:val="auto"/>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（一）评价结论。</w:t>
      </w:r>
    </w:p>
    <w:p w14:paraId="5767EF6A">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eastAsia="仿宋_GB2312" w:cs="Times New Roman"/>
          <w:color w:val="000000" w:themeColor="text1"/>
          <w:sz w:val="32"/>
          <w:szCs w:val="32"/>
          <w:lang w:val="en-US" w:eastAsia="zh-CN"/>
          <w14:textFill>
            <w14:solidFill>
              <w14:schemeClr w14:val="tx1"/>
            </w14:solidFill>
          </w14:textFill>
        </w:rPr>
        <w:t>区土地储备中心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整体支出绩效目标实现情况。</w:t>
      </w:r>
    </w:p>
    <w:p w14:paraId="1D3E9A8E">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全年通过加强预算收支管理，健全内部管理制度，严格内部管理流程，</w:t>
      </w:r>
      <w:r>
        <w:rPr>
          <w:rFonts w:hint="eastAsia" w:eastAsia="仿宋_GB2312" w:cs="Times New Roman"/>
          <w:color w:val="000000" w:themeColor="text1"/>
          <w:sz w:val="32"/>
          <w:szCs w:val="32"/>
          <w:lang w:val="en-US" w:eastAsia="zh-CN"/>
          <w14:textFill>
            <w14:solidFill>
              <w14:schemeClr w14:val="tx1"/>
            </w14:solidFill>
          </w14:textFill>
        </w:rPr>
        <w:t>区土地储备中心</w:t>
      </w:r>
      <w:r>
        <w:rPr>
          <w:rFonts w:hint="default" w:ascii="Times New Roman" w:hAnsi="Times New Roman" w:eastAsia="仿宋_GB2312" w:cs="Times New Roman"/>
          <w:sz w:val="32"/>
          <w:szCs w:val="32"/>
          <w:lang w:val="en-US" w:eastAsia="zh-CN"/>
        </w:rPr>
        <w:t>整体支出控制在预算范围内，财务收支平衡，有效保障了单位各项工作有序开展。</w:t>
      </w:r>
    </w:p>
    <w:p w14:paraId="4EECA879">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2.项目绩效目标完成情况。</w:t>
      </w:r>
    </w:p>
    <w:p w14:paraId="39C91347">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全年各项目按照工作计划顺利推进，数量、质量、时效、社会效益和服务对象满意度指标均达标。随着功能科目细化，直接支付业务增加，继续加强完善支付流程，保障</w:t>
      </w:r>
      <w:r>
        <w:rPr>
          <w:rFonts w:hint="eastAsia" w:eastAsia="仿宋_GB2312" w:cs="Times New Roman"/>
          <w:color w:val="000000" w:themeColor="text1"/>
          <w:sz w:val="32"/>
          <w:szCs w:val="32"/>
          <w:lang w:val="en-US" w:eastAsia="zh-CN"/>
          <w14:textFill>
            <w14:solidFill>
              <w14:schemeClr w14:val="tx1"/>
            </w14:solidFill>
          </w14:textFill>
        </w:rPr>
        <w:t>区土地储备中心</w:t>
      </w:r>
      <w:r>
        <w:rPr>
          <w:rFonts w:hint="default" w:ascii="Times New Roman" w:hAnsi="Times New Roman" w:eastAsia="仿宋_GB2312" w:cs="Times New Roman"/>
          <w:sz w:val="32"/>
          <w:szCs w:val="32"/>
          <w:lang w:val="en-US" w:eastAsia="zh-CN"/>
        </w:rPr>
        <w:t>财政资金正常、规范、有序支付。</w:t>
      </w:r>
    </w:p>
    <w:p w14:paraId="09AD420C">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（二）存在问题。</w:t>
      </w:r>
    </w:p>
    <w:p w14:paraId="5D829B3B">
      <w:pPr>
        <w:pStyle w:val="6"/>
        <w:ind w:firstLine="600" w:firstLineChars="200"/>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无</w:t>
      </w:r>
    </w:p>
    <w:p w14:paraId="63C6D7D2">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（三）改进建议。</w:t>
      </w:r>
    </w:p>
    <w:p w14:paraId="596533E0">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93" w:beforeAutospacing="0" w:after="0" w:afterAutospacing="0"/>
        <w:ind w:left="0" w:right="0" w:firstLine="640"/>
        <w:jc w:val="both"/>
        <w:rPr>
          <w:rFonts w:hint="default" w:ascii="Times New Roman" w:hAnsi="Times New Roman" w:cs="Times New Roman"/>
          <w:color w:val="000000" w:themeColor="text1"/>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区土地储备中心</w:t>
      </w:r>
      <w:r>
        <w:rPr>
          <w:rFonts w:hint="default" w:ascii="Times New Roman" w:hAnsi="Times New Roman" w:eastAsia="仿宋_GB2312" w:cs="Times New Roman"/>
          <w:color w:val="000000" w:themeColor="text1"/>
          <w:sz w:val="32"/>
          <w:szCs w:val="32"/>
          <w14:textFill>
            <w14:solidFill>
              <w14:schemeClr w14:val="tx1"/>
            </w14:solidFill>
          </w14:textFill>
        </w:rPr>
        <w:t>无偏离绩效目标的情况，</w:t>
      </w:r>
      <w:r>
        <w:rPr>
          <w:rFonts w:hint="eastAsia" w:eastAsia="仿宋_GB2312" w:cs="Times New Roman"/>
          <w:color w:val="000000" w:themeColor="text1"/>
          <w:sz w:val="32"/>
          <w:szCs w:val="32"/>
          <w:lang w:val="en-US" w:eastAsia="zh-CN"/>
          <w14:textFill>
            <w14:solidFill>
              <w14:schemeClr w14:val="tx1"/>
            </w14:solidFill>
          </w14:textFill>
        </w:rPr>
        <w:t>无</w:t>
      </w:r>
      <w:r>
        <w:rPr>
          <w:rFonts w:hint="default" w:ascii="Times New Roman" w:hAnsi="Times New Roman" w:eastAsia="仿宋_GB2312" w:cs="Times New Roman"/>
          <w:color w:val="000000" w:themeColor="text1"/>
          <w:sz w:val="32"/>
          <w:szCs w:val="32"/>
          <w14:textFill>
            <w14:solidFill>
              <w14:schemeClr w14:val="tx1"/>
            </w14:solidFill>
          </w14:textFill>
        </w:rPr>
        <w:t>改进建议。</w:t>
      </w:r>
    </w:p>
    <w:p w14:paraId="127BB62D">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000000" w:themeColor="text1"/>
          <w:sz w:val="32"/>
          <w:szCs w:val="32"/>
          <w:highlight w:val="none"/>
          <w:lang w:val="zh-CN" w:eastAsia="zh-CN"/>
          <w14:textFill>
            <w14:solidFill>
              <w14:schemeClr w14:val="tx1"/>
            </w14:solidFill>
          </w14:textFill>
        </w:rPr>
      </w:pPr>
    </w:p>
    <w:p w14:paraId="02B7A289">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sz w:val="32"/>
          <w:szCs w:val="32"/>
          <w:highlight w:val="none"/>
          <w:lang w:val="zh-CN" w:eastAsia="zh-CN"/>
        </w:rPr>
      </w:pPr>
      <w:r>
        <w:rPr>
          <w:rFonts w:hint="default" w:ascii="Times New Roman" w:hAnsi="Times New Roman" w:cs="Times New Roman"/>
          <w:color w:val="000000" w:themeColor="text1"/>
          <w:sz w:val="32"/>
          <w:szCs w:val="32"/>
          <w:highlight w:val="none"/>
          <w:lang w:val="zh-CN" w:eastAsia="zh-CN"/>
          <w14:textFill>
            <w14:solidFill>
              <w14:schemeClr w14:val="tx1"/>
            </w14:solidFill>
          </w14:textFill>
        </w:rPr>
        <w:t>附表：</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部门预</w:t>
      </w:r>
      <w:r>
        <w:rPr>
          <w:rFonts w:hint="default" w:ascii="Times New Roman" w:hAnsi="Times New Roman" w:cs="Times New Roman"/>
          <w:color w:val="auto"/>
          <w:sz w:val="32"/>
          <w:szCs w:val="32"/>
          <w:highlight w:val="none"/>
          <w:lang w:val="en-US" w:eastAsia="zh-CN"/>
        </w:rPr>
        <w:t>算项目支出绩效自评表（202</w:t>
      </w:r>
      <w:r>
        <w:rPr>
          <w:rFonts w:hint="eastAsia" w:asci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val="en-US" w:eastAsia="zh-CN"/>
        </w:rPr>
        <w:t>年度）</w:t>
      </w:r>
    </w:p>
    <w:p w14:paraId="2D53DFA0">
      <w:pPr>
        <w:spacing w:line="580" w:lineRule="exact"/>
        <w:rPr>
          <w:rFonts w:hint="default" w:ascii="Times New Roman" w:hAnsi="Times New Roman" w:eastAsia="黑体" w:cs="Times New Roman"/>
          <w:sz w:val="32"/>
          <w:szCs w:val="32"/>
        </w:rPr>
      </w:pPr>
    </w:p>
    <w:p w14:paraId="65B0FE2E">
      <w:pPr>
        <w:pStyle w:val="6"/>
        <w:rPr>
          <w:rFonts w:hint="default" w:ascii="Times New Roman" w:hAnsi="Times New Roman" w:eastAsia="黑体" w:cs="Times New Roman"/>
          <w:sz w:val="32"/>
          <w:szCs w:val="32"/>
        </w:rPr>
      </w:pPr>
    </w:p>
    <w:p w14:paraId="2A2FEEF3">
      <w:pPr>
        <w:pStyle w:val="6"/>
        <w:rPr>
          <w:rFonts w:hint="default" w:ascii="Times New Roman" w:hAnsi="Times New Roman" w:eastAsia="黑体" w:cs="Times New Roman"/>
          <w:sz w:val="32"/>
          <w:szCs w:val="32"/>
        </w:rPr>
      </w:pPr>
    </w:p>
    <w:p w14:paraId="6182B62C">
      <w:pPr>
        <w:pStyle w:val="6"/>
        <w:rPr>
          <w:rFonts w:hint="default" w:ascii="Times New Roman" w:hAnsi="Times New Roman" w:eastAsia="黑体" w:cs="Times New Roman"/>
          <w:sz w:val="32"/>
          <w:szCs w:val="32"/>
        </w:rPr>
      </w:pPr>
    </w:p>
    <w:p w14:paraId="747D9E1A">
      <w:pPr>
        <w:pStyle w:val="6"/>
        <w:rPr>
          <w:rFonts w:hint="default" w:ascii="Times New Roman" w:hAnsi="Times New Roman" w:eastAsia="黑体" w:cs="Times New Roman"/>
          <w:sz w:val="32"/>
          <w:szCs w:val="32"/>
        </w:rPr>
      </w:pPr>
    </w:p>
    <w:p w14:paraId="797C0B3B">
      <w:pPr>
        <w:pStyle w:val="6"/>
        <w:rPr>
          <w:rFonts w:hint="default" w:ascii="Times New Roman" w:hAnsi="Times New Roman" w:eastAsia="黑体" w:cs="Times New Roman"/>
          <w:sz w:val="32"/>
          <w:szCs w:val="32"/>
        </w:rPr>
      </w:pPr>
    </w:p>
    <w:p w14:paraId="7F9FD2EE">
      <w:pPr>
        <w:pStyle w:val="6"/>
        <w:rPr>
          <w:rFonts w:hint="default" w:ascii="Times New Roman" w:hAnsi="Times New Roman" w:eastAsia="黑体" w:cs="Times New Roman"/>
          <w:sz w:val="32"/>
          <w:szCs w:val="32"/>
        </w:rPr>
      </w:pPr>
    </w:p>
    <w:p w14:paraId="2B29D289">
      <w:pPr>
        <w:pStyle w:val="6"/>
        <w:rPr>
          <w:rFonts w:hint="default" w:ascii="Times New Roman" w:hAnsi="Times New Roman" w:eastAsia="黑体" w:cs="Times New Roman"/>
          <w:sz w:val="32"/>
          <w:szCs w:val="32"/>
        </w:rPr>
      </w:pPr>
    </w:p>
    <w:p w14:paraId="00D6975D">
      <w:pPr>
        <w:pStyle w:val="6"/>
        <w:rPr>
          <w:rFonts w:hint="default" w:ascii="Times New Roman" w:hAnsi="Times New Roman" w:eastAsia="黑体" w:cs="Times New Roman"/>
          <w:sz w:val="32"/>
          <w:szCs w:val="32"/>
        </w:rPr>
      </w:pPr>
    </w:p>
    <w:p w14:paraId="58678364">
      <w:pPr>
        <w:pStyle w:val="6"/>
        <w:rPr>
          <w:rFonts w:hint="default" w:ascii="Times New Roman" w:hAnsi="Times New Roman" w:eastAsia="黑体" w:cs="Times New Roman"/>
          <w:sz w:val="32"/>
          <w:szCs w:val="32"/>
        </w:rPr>
      </w:pPr>
    </w:p>
    <w:p w14:paraId="3592718D">
      <w:pPr>
        <w:pStyle w:val="6"/>
        <w:rPr>
          <w:rFonts w:hint="default" w:ascii="Times New Roman" w:hAnsi="Times New Roman" w:eastAsia="黑体" w:cs="Times New Roman"/>
          <w:sz w:val="32"/>
          <w:szCs w:val="32"/>
        </w:rPr>
      </w:pPr>
    </w:p>
    <w:p w14:paraId="7E80BB30">
      <w:pPr>
        <w:pStyle w:val="6"/>
        <w:rPr>
          <w:rFonts w:hint="default" w:ascii="Times New Roman" w:hAnsi="Times New Roman" w:eastAsia="黑体" w:cs="Times New Roman"/>
          <w:sz w:val="32"/>
          <w:szCs w:val="32"/>
        </w:rPr>
      </w:pPr>
    </w:p>
    <w:p w14:paraId="4CF2A4E4">
      <w:pPr>
        <w:pStyle w:val="6"/>
        <w:rPr>
          <w:rFonts w:hint="default" w:ascii="Times New Roman" w:hAnsi="Times New Roman" w:eastAsia="黑体" w:cs="Times New Roman"/>
          <w:sz w:val="32"/>
          <w:szCs w:val="32"/>
        </w:rPr>
      </w:pPr>
    </w:p>
    <w:p w14:paraId="2D9E55C1">
      <w:pPr>
        <w:pStyle w:val="6"/>
        <w:rPr>
          <w:rFonts w:hint="default" w:ascii="Times New Roman" w:hAnsi="Times New Roman" w:eastAsia="黑体" w:cs="Times New Roman"/>
          <w:sz w:val="32"/>
          <w:szCs w:val="32"/>
        </w:rPr>
      </w:pPr>
    </w:p>
    <w:p w14:paraId="47BBAE14">
      <w:pPr>
        <w:spacing w:line="580" w:lineRule="exact"/>
        <w:rPr>
          <w:rFonts w:hint="default" w:ascii="Times New Roman" w:hAnsi="Times New Roman" w:eastAsia="方正小标宋简体" w:cs="Times New Roman"/>
          <w:sz w:val="40"/>
          <w:szCs w:val="40"/>
          <w:lang w:val="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5081BD8A">
      <w:pPr>
        <w:spacing w:line="600" w:lineRule="exact"/>
        <w:jc w:val="center"/>
        <w:rPr>
          <w:rFonts w:hint="default" w:ascii="Times New Roman" w:hAnsi="Times New Roman" w:cs="Times New Roman"/>
          <w:sz w:val="32"/>
          <w:szCs w:val="32"/>
          <w:lang w:val="zh-CN"/>
        </w:rPr>
      </w:pPr>
      <w:r>
        <w:rPr>
          <w:rFonts w:hint="default" w:ascii="Times New Roman" w:hAnsi="Times New Roman" w:eastAsia="方正小标宋简体" w:cs="Times New Roman"/>
          <w:sz w:val="40"/>
          <w:szCs w:val="40"/>
          <w:lang w:val="zh-CN"/>
        </w:rPr>
        <w:t>格里坪镇金桥村504电厂西侧片区第一批次范围内约110亩农村集体土地征收补偿安置及安置房维修资金及安置房维修资金项目支出绩效自评报告</w:t>
      </w:r>
    </w:p>
    <w:p w14:paraId="44EAE9A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rPr>
      </w:pPr>
    </w:p>
    <w:p w14:paraId="7AC4807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6BD458F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472DC432">
      <w:pPr>
        <w:spacing w:line="353"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格里坪镇金桥村504电厂西侧片区第一批次建设项目用地范围内涉及的农村集体土地、房屋及地上附着物等进行征拆补偿安置工作。根据区土地储备中心职能职责，负责统筹农村集体土地的征收拆迁补偿安置，格里坪镇政府负责补偿安置具体事务性工作。主要内容包括对征收的农村集体土地进行测量测绘，</w:t>
      </w:r>
      <w:r>
        <w:rPr>
          <w:rFonts w:ascii="仿宋_GB2312" w:eastAsia="仿宋_GB2312"/>
          <w:bCs/>
          <w:spacing w:val="-4"/>
          <w:sz w:val="32"/>
          <w:szCs w:val="32"/>
        </w:rPr>
        <w:t>确定征收</w:t>
      </w:r>
      <w:r>
        <w:rPr>
          <w:rFonts w:hint="eastAsia" w:ascii="仿宋_GB2312" w:eastAsia="仿宋_GB2312"/>
          <w:bCs/>
          <w:spacing w:val="-4"/>
          <w:sz w:val="32"/>
          <w:szCs w:val="32"/>
        </w:rPr>
        <w:t>土地</w:t>
      </w:r>
      <w:r>
        <w:rPr>
          <w:rFonts w:ascii="仿宋_GB2312" w:eastAsia="仿宋_GB2312"/>
          <w:bCs/>
          <w:spacing w:val="-4"/>
          <w:sz w:val="32"/>
          <w:szCs w:val="32"/>
        </w:rPr>
        <w:t>红线</w:t>
      </w:r>
      <w:r>
        <w:rPr>
          <w:rFonts w:hint="eastAsia" w:ascii="仿宋_GB2312" w:eastAsia="仿宋_GB2312"/>
          <w:bCs/>
          <w:spacing w:val="-4"/>
          <w:sz w:val="32"/>
          <w:szCs w:val="32"/>
        </w:rPr>
        <w:t>范围，对被</w:t>
      </w:r>
      <w:r>
        <w:rPr>
          <w:rFonts w:hint="eastAsia" w:ascii="Times New Roman" w:hAnsi="Times New Roman" w:eastAsia="仿宋_GB2312"/>
          <w:sz w:val="32"/>
          <w:szCs w:val="32"/>
        </w:rPr>
        <w:t>征收的农村集体土地上附着物、建构筑物等开展调查、补偿、拆迁工作，</w:t>
      </w:r>
      <w:r>
        <w:rPr>
          <w:rFonts w:hint="eastAsia" w:ascii="仿宋_GB2312" w:eastAsia="仿宋_GB2312"/>
          <w:bCs/>
          <w:spacing w:val="-4"/>
          <w:sz w:val="32"/>
          <w:szCs w:val="32"/>
        </w:rPr>
        <w:t>以及对拆迁范围人口开展安置工作</w:t>
      </w:r>
      <w:r>
        <w:rPr>
          <w:rFonts w:hint="eastAsia" w:ascii="Times New Roman" w:hAnsi="Times New Roman" w:eastAsia="仿宋_GB2312"/>
          <w:sz w:val="32"/>
          <w:szCs w:val="32"/>
        </w:rPr>
        <w:t>。</w:t>
      </w:r>
    </w:p>
    <w:p w14:paraId="21224DDC">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highlight w:val="none"/>
          <w:u w:val="none"/>
          <w:lang w:val="zh-CN"/>
          <w14:textFill>
            <w14:solidFill>
              <w14:schemeClr w14:val="tx1"/>
            </w14:solidFill>
          </w14:textFill>
        </w:rPr>
        <w:t>（二）</w:t>
      </w:r>
      <w:r>
        <w:rPr>
          <w:rFonts w:hint="default" w:ascii="Times New Roman" w:hAnsi="Times New Roman" w:eastAsia="楷体_GB2312" w:cs="Times New Roman"/>
          <w:b/>
          <w:color w:val="000000" w:themeColor="text1"/>
          <w:sz w:val="32"/>
          <w:szCs w:val="32"/>
          <w:highlight w:val="none"/>
          <w:u w:val="none"/>
          <w:lang w:val="en-US" w:eastAsia="zh-CN"/>
          <w14:textFill>
            <w14:solidFill>
              <w14:schemeClr w14:val="tx1"/>
            </w14:solidFill>
          </w14:textFill>
        </w:rPr>
        <w:t>实施目的及支持方向。</w:t>
      </w:r>
    </w:p>
    <w:p w14:paraId="0094A918">
      <w:pPr>
        <w:keepNext w:val="0"/>
        <w:keepLines w:val="0"/>
        <w:widowControl/>
        <w:suppressLineNumbers w:val="0"/>
        <w:ind w:firstLine="640" w:firstLineChars="200"/>
        <w:jc w:val="left"/>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根据区土地储备中心职能职责，负责全区</w:t>
      </w:r>
      <w:r>
        <w:rPr>
          <w:rFonts w:hint="eastAsia" w:eastAsia="仿宋_GB2312" w:cs="Times New Roman"/>
          <w:color w:val="000000" w:themeColor="text1"/>
          <w:sz w:val="32"/>
          <w:szCs w:val="32"/>
          <w:highlight w:val="none"/>
          <w:lang w:val="en-US" w:eastAsia="zh-CN"/>
          <w14:textFill>
            <w14:solidFill>
              <w14:schemeClr w14:val="tx1"/>
            </w14:solidFill>
          </w14:textFill>
        </w:rPr>
        <w:t>农村集体土地上房屋征收与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补偿安置、收购及</w:t>
      </w:r>
      <w:r>
        <w:rPr>
          <w:rFonts w:hint="eastAsia" w:eastAsia="仿宋_GB2312" w:cs="Times New Roman"/>
          <w:color w:val="000000" w:themeColor="text1"/>
          <w:sz w:val="32"/>
          <w:szCs w:val="32"/>
          <w:highlight w:val="none"/>
          <w:lang w:val="en-US" w:eastAsia="zh-CN"/>
          <w14:textFill>
            <w14:solidFill>
              <w14:schemeClr w14:val="tx1"/>
            </w14:solidFill>
          </w14:textFill>
        </w:rPr>
        <w:t>土地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储备等事务性工作，为西区</w:t>
      </w:r>
      <w:r>
        <w:rPr>
          <w:rFonts w:hint="eastAsia" w:eastAsia="仿宋_GB2312" w:cs="Times New Roman"/>
          <w:color w:val="000000" w:themeColor="text1"/>
          <w:sz w:val="32"/>
          <w:szCs w:val="32"/>
          <w:highlight w:val="none"/>
          <w:lang w:val="en-US" w:eastAsia="zh-CN"/>
          <w14:textFill>
            <w14:solidFill>
              <w14:schemeClr w14:val="tx1"/>
            </w14:solidFill>
          </w14:textFill>
        </w:rPr>
        <w:t>望伦项目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建设提供</w:t>
      </w:r>
      <w:r>
        <w:rPr>
          <w:rFonts w:hint="eastAsia" w:eastAsia="仿宋_GB2312" w:cs="Times New Roman"/>
          <w:color w:val="000000" w:themeColor="text1"/>
          <w:sz w:val="32"/>
          <w:szCs w:val="32"/>
          <w:highlight w:val="none"/>
          <w:lang w:val="en-US" w:eastAsia="zh-CN"/>
          <w14:textFill>
            <w14:solidFill>
              <w14:schemeClr w14:val="tx1"/>
            </w14:solidFill>
          </w14:textFill>
        </w:rPr>
        <w:t>土地要素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保障。</w:t>
      </w:r>
    </w:p>
    <w:p w14:paraId="1836C4C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5C156CAC">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项目资金主要来源于区级</w:t>
      </w:r>
      <w:r>
        <w:rPr>
          <w:rFonts w:hint="eastAsia" w:eastAsia="仿宋_GB2312" w:cs="Times New Roman"/>
          <w:sz w:val="32"/>
          <w:szCs w:val="32"/>
          <w:lang w:val="en-US" w:eastAsia="zh-CN"/>
        </w:rPr>
        <w:t>城乡社区支出项农村集体土地上房屋征收于补偿安置</w:t>
      </w:r>
      <w:r>
        <w:rPr>
          <w:rFonts w:hint="default" w:ascii="Times New Roman" w:hAnsi="Times New Roman" w:eastAsia="仿宋_GB2312" w:cs="Times New Roman"/>
          <w:sz w:val="32"/>
          <w:szCs w:val="32"/>
          <w:lang w:val="zh-CN" w:eastAsia="zh-CN"/>
        </w:rPr>
        <w:t>资金。资金分配按照项目实施方案和预算计划进行，确保各项实施内容得到落实。</w:t>
      </w:r>
    </w:p>
    <w:p w14:paraId="177B8AF9">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14:paraId="7BD6F513">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sz w:val="32"/>
          <w:szCs w:val="32"/>
        </w:rPr>
        <w:t>格里坪镇金桥村504电厂西侧片区第一批次建设</w:t>
      </w:r>
      <w:r>
        <w:rPr>
          <w:rFonts w:ascii="Times New Roman" w:hAnsi="Times New Roman" w:eastAsia="仿宋"/>
          <w:spacing w:val="-4"/>
          <w:kern w:val="0"/>
          <w:sz w:val="32"/>
          <w:szCs w:val="32"/>
        </w:rPr>
        <w:t>项目</w:t>
      </w:r>
      <w:r>
        <w:rPr>
          <w:rFonts w:ascii="Times New Roman" w:hAnsi="Times New Roman" w:eastAsia="仿宋_GB2312"/>
          <w:spacing w:val="-4"/>
          <w:kern w:val="0"/>
          <w:sz w:val="32"/>
          <w:szCs w:val="32"/>
        </w:rPr>
        <w:t>用地范围内</w:t>
      </w:r>
      <w:r>
        <w:rPr>
          <w:rFonts w:hint="eastAsia" w:ascii="Times New Roman" w:eastAsia="仿宋_GB2312"/>
          <w:spacing w:val="-4"/>
          <w:kern w:val="0"/>
          <w:sz w:val="32"/>
          <w:szCs w:val="32"/>
        </w:rPr>
        <w:t>涉及的</w:t>
      </w:r>
      <w:r>
        <w:rPr>
          <w:rFonts w:ascii="Times New Roman" w:hAnsi="Times New Roman" w:eastAsia="仿宋_GB2312"/>
          <w:spacing w:val="-4"/>
          <w:kern w:val="0"/>
          <w:sz w:val="32"/>
          <w:szCs w:val="32"/>
        </w:rPr>
        <w:t>农村集体土地</w:t>
      </w:r>
      <w:r>
        <w:rPr>
          <w:rFonts w:hint="eastAsia" w:ascii="Times New Roman" w:eastAsia="仿宋_GB2312"/>
          <w:spacing w:val="-4"/>
          <w:kern w:val="0"/>
          <w:sz w:val="32"/>
          <w:szCs w:val="32"/>
        </w:rPr>
        <w:t>、房屋及地上附着物等进行征拆补偿安置</w:t>
      </w:r>
      <w:r>
        <w:rPr>
          <w:rFonts w:hint="eastAsia" w:ascii="Times New Roman" w:hAnsi="Times New Roman" w:eastAsia="仿宋_GB2312"/>
          <w:sz w:val="32"/>
          <w:szCs w:val="32"/>
        </w:rPr>
        <w:t>费用</w:t>
      </w:r>
      <w:r>
        <w:rPr>
          <w:rFonts w:hint="default" w:ascii="Times New Roman" w:hAnsi="Times New Roman" w:eastAsia="仿宋_GB2312" w:cs="Times New Roman"/>
          <w:sz w:val="32"/>
          <w:szCs w:val="32"/>
          <w:lang w:val="en-US" w:eastAsia="zh-CN"/>
        </w:rPr>
        <w:t>。</w:t>
      </w:r>
    </w:p>
    <w:p w14:paraId="253F261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04773FB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2FA129FA">
      <w:pPr>
        <w:keepNext w:val="0"/>
        <w:keepLines w:val="0"/>
        <w:widowControl/>
        <w:suppressLineNumbers w:val="0"/>
        <w:ind w:firstLine="640" w:firstLineChars="200"/>
        <w:jc w:val="lef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按计划</w:t>
      </w:r>
      <w:r>
        <w:rPr>
          <w:rFonts w:hint="eastAsia" w:eastAsia="仿宋_GB2312" w:cs="Times New Roman"/>
          <w:color w:val="000000" w:themeColor="text1"/>
          <w:sz w:val="32"/>
          <w:szCs w:val="32"/>
          <w:lang w:val="en-US" w:eastAsia="zh-CN"/>
          <w14:textFill>
            <w14:solidFill>
              <w14:schemeClr w14:val="tx1"/>
            </w14:solidFill>
          </w14:textFill>
        </w:rPr>
        <w:t>开展农村集体土地上房屋征收与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补偿安置、收购及</w:t>
      </w:r>
      <w:r>
        <w:rPr>
          <w:rFonts w:hint="eastAsia" w:eastAsia="仿宋_GB2312" w:cs="Times New Roman"/>
          <w:color w:val="000000" w:themeColor="text1"/>
          <w:sz w:val="32"/>
          <w:szCs w:val="32"/>
          <w:lang w:val="en-US" w:eastAsia="zh-CN"/>
          <w14:textFill>
            <w14:solidFill>
              <w14:schemeClr w14:val="tx1"/>
            </w14:solidFill>
          </w14:textFill>
        </w:rPr>
        <w:t>土地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储备等事务性工作，为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西区</w:t>
      </w:r>
      <w:r>
        <w:rPr>
          <w:rFonts w:hint="eastAsia" w:eastAsia="仿宋_GB2312" w:cs="Times New Roman"/>
          <w:color w:val="000000" w:themeColor="text1"/>
          <w:sz w:val="32"/>
          <w:szCs w:val="32"/>
          <w:highlight w:val="none"/>
          <w:lang w:val="en-US" w:eastAsia="zh-CN"/>
          <w14:textFill>
            <w14:solidFill>
              <w14:schemeClr w14:val="tx1"/>
            </w14:solidFill>
          </w14:textFill>
        </w:rPr>
        <w:t>望伦项目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设提供</w:t>
      </w:r>
      <w:r>
        <w:rPr>
          <w:rFonts w:hint="eastAsia" w:eastAsia="仿宋_GB2312" w:cs="Times New Roman"/>
          <w:color w:val="000000" w:themeColor="text1"/>
          <w:sz w:val="32"/>
          <w:szCs w:val="32"/>
          <w:lang w:val="en-US" w:eastAsia="zh-CN"/>
          <w14:textFill>
            <w14:solidFill>
              <w14:schemeClr w14:val="tx1"/>
            </w14:solidFill>
          </w14:textFill>
        </w:rPr>
        <w:t>土地要素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保障</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节约集约</w:t>
      </w:r>
      <w:r>
        <w:rPr>
          <w:rFonts w:hint="eastAsia" w:eastAsia="仿宋_GB2312" w:cs="Times New Roman"/>
          <w:color w:val="000000" w:themeColor="text1"/>
          <w:sz w:val="32"/>
          <w:szCs w:val="32"/>
          <w:lang w:val="en-US" w:eastAsia="zh-CN"/>
          <w14:textFill>
            <w14:solidFill>
              <w14:schemeClr w14:val="tx1"/>
            </w14:solidFill>
          </w14:textFill>
        </w:rPr>
        <w:t>土地资源，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有效推</w:t>
      </w:r>
      <w:r>
        <w:rPr>
          <w:rFonts w:hint="eastAsia" w:eastAsia="仿宋_GB2312" w:cs="Times New Roman"/>
          <w:color w:val="000000" w:themeColor="text1"/>
          <w:sz w:val="32"/>
          <w:szCs w:val="32"/>
          <w:lang w:val="en-US" w:eastAsia="zh-CN"/>
          <w14:textFill>
            <w14:solidFill>
              <w14:schemeClr w14:val="tx1"/>
            </w14:solidFill>
          </w14:textFill>
        </w:rPr>
        <w:t>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西区</w:t>
      </w:r>
      <w:r>
        <w:rPr>
          <w:rFonts w:hint="eastAsia" w:eastAsia="仿宋_GB2312" w:cs="Times New Roman"/>
          <w:color w:val="000000" w:themeColor="text1"/>
          <w:sz w:val="32"/>
          <w:szCs w:val="32"/>
          <w:lang w:val="en-US" w:eastAsia="zh-CN"/>
          <w14:textFill>
            <w14:solidFill>
              <w14:schemeClr w14:val="tx1"/>
            </w14:solidFill>
          </w14:textFill>
        </w:rPr>
        <w:t>经济社会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建设，促进西区高质量发展提供用地保障，促进经济社会可持续发展。</w:t>
      </w:r>
    </w:p>
    <w:p w14:paraId="32C8491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color w:val="000000" w:themeColor="text1"/>
          <w:kern w:val="0"/>
          <w:position w:val="0"/>
          <w:sz w:val="32"/>
          <w:szCs w:val="32"/>
          <w:highlight w:val="none"/>
          <w:lang w:val="zh-CN" w:eastAsia="zh-CN" w:bidi="ar-SA"/>
          <w14:textFill>
            <w14:solidFill>
              <w14:schemeClr w14:val="tx1"/>
            </w14:solidFill>
          </w14:textFill>
        </w:rPr>
      </w:pPr>
      <w:r>
        <w:rPr>
          <w:rFonts w:hint="default" w:ascii="Times New Roman" w:hAnsi="Times New Roman" w:eastAsia="楷体_GB2312" w:cs="Times New Roman"/>
          <w:b/>
          <w:color w:val="000000" w:themeColor="text1"/>
          <w:sz w:val="32"/>
          <w:szCs w:val="32"/>
          <w:highlight w:val="none"/>
          <w:u w:val="none"/>
          <w:lang w:val="zh-CN"/>
          <w14:textFill>
            <w14:solidFill>
              <w14:schemeClr w14:val="tx1"/>
            </w14:solidFill>
          </w14:textFill>
        </w:rPr>
        <w:t>（二）预设问题及评价重点。</w:t>
      </w:r>
      <w:r>
        <w:rPr>
          <w:rFonts w:hint="default" w:ascii="Times New Roman" w:hAnsi="Times New Roman" w:eastAsia="仿宋_GB2312" w:cs="Times New Roman"/>
          <w:b w:val="0"/>
          <w:bCs w:val="0"/>
          <w:color w:val="000000" w:themeColor="text1"/>
          <w:kern w:val="0"/>
          <w:position w:val="0"/>
          <w:sz w:val="32"/>
          <w:szCs w:val="32"/>
          <w:highlight w:val="none"/>
          <w:lang w:val="zh-CN" w:eastAsia="zh-CN" w:bidi="ar-SA"/>
          <w14:textFill>
            <w14:solidFill>
              <w14:schemeClr w14:val="tx1"/>
            </w14:solidFill>
          </w14:textFill>
        </w:rPr>
        <w:t>无。</w:t>
      </w:r>
    </w:p>
    <w:p w14:paraId="1AD3905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color w:val="000000" w:themeColor="text1"/>
          <w:kern w:val="0"/>
          <w:position w:val="0"/>
          <w:sz w:val="32"/>
          <w:szCs w:val="32"/>
          <w:highlight w:val="none"/>
          <w:lang w:val="zh-CN" w:eastAsia="zh-CN" w:bidi="ar-SA"/>
          <w14:textFill>
            <w14:solidFill>
              <w14:schemeClr w14:val="tx1"/>
            </w14:solidFill>
          </w14:textFill>
        </w:rPr>
      </w:pPr>
      <w:r>
        <w:rPr>
          <w:rFonts w:hint="default" w:ascii="Times New Roman" w:hAnsi="Times New Roman" w:eastAsia="楷体_GB2312" w:cs="Times New Roman"/>
          <w:b/>
          <w:color w:val="000000" w:themeColor="text1"/>
          <w:sz w:val="32"/>
          <w:szCs w:val="32"/>
          <w:highlight w:val="none"/>
          <w:u w:val="none"/>
          <w:lang w:val="zh-CN"/>
          <w14:textFill>
            <w14:solidFill>
              <w14:schemeClr w14:val="tx1"/>
            </w14:solidFill>
          </w14:textFill>
        </w:rPr>
        <w:t>（三）评价选点。</w:t>
      </w:r>
      <w:r>
        <w:rPr>
          <w:rFonts w:hint="default" w:ascii="Times New Roman" w:hAnsi="Times New Roman" w:eastAsia="仿宋_GB2312" w:cs="Times New Roman"/>
          <w:b w:val="0"/>
          <w:bCs w:val="0"/>
          <w:color w:val="000000" w:themeColor="text1"/>
          <w:kern w:val="0"/>
          <w:position w:val="0"/>
          <w:sz w:val="32"/>
          <w:szCs w:val="32"/>
          <w:highlight w:val="none"/>
          <w:lang w:val="zh-CN" w:eastAsia="zh-CN" w:bidi="ar-SA"/>
          <w14:textFill>
            <w14:solidFill>
              <w14:schemeClr w14:val="tx1"/>
            </w14:solidFill>
          </w14:textFill>
        </w:rPr>
        <w:t>对项目实施成果报告进行审查。</w:t>
      </w:r>
    </w:p>
    <w:p w14:paraId="28CD4B33">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 w:val="0"/>
          <w:bCs w:val="0"/>
          <w:color w:val="000000" w:themeColor="text1"/>
          <w:kern w:val="0"/>
          <w:position w:val="0"/>
          <w:sz w:val="32"/>
          <w:szCs w:val="32"/>
          <w:highlight w:val="none"/>
          <w:lang w:val="zh-CN" w:eastAsia="zh-CN" w:bidi="ar-SA"/>
          <w14:textFill>
            <w14:solidFill>
              <w14:schemeClr w14:val="tx1"/>
            </w14:solidFill>
          </w14:textFill>
        </w:rPr>
      </w:pPr>
      <w:r>
        <w:rPr>
          <w:rFonts w:hint="default" w:ascii="Times New Roman" w:hAnsi="Times New Roman" w:eastAsia="楷体_GB2312" w:cs="Times New Roman"/>
          <w:b/>
          <w:color w:val="000000" w:themeColor="text1"/>
          <w:sz w:val="32"/>
          <w:szCs w:val="32"/>
          <w:highlight w:val="none"/>
          <w:u w:val="none"/>
          <w:lang w:val="zh-CN"/>
          <w14:textFill>
            <w14:solidFill>
              <w14:schemeClr w14:val="tx1"/>
            </w14:solidFill>
          </w14:textFill>
        </w:rPr>
        <w:t>（四）评价方法。</w:t>
      </w:r>
      <w:r>
        <w:rPr>
          <w:rFonts w:hint="default" w:ascii="Times New Roman" w:hAnsi="Times New Roman" w:eastAsia="仿宋_GB2312" w:cs="Times New Roman"/>
          <w:b w:val="0"/>
          <w:bCs w:val="0"/>
          <w:color w:val="000000" w:themeColor="text1"/>
          <w:kern w:val="0"/>
          <w:position w:val="0"/>
          <w:sz w:val="32"/>
          <w:szCs w:val="32"/>
          <w:highlight w:val="none"/>
          <w:lang w:val="zh-CN" w:eastAsia="zh-CN" w:bidi="ar-SA"/>
          <w14:textFill>
            <w14:solidFill>
              <w14:schemeClr w14:val="tx1"/>
            </w14:solidFill>
          </w14:textFill>
        </w:rPr>
        <w:t>单位自评法、实地勘察法、座谈调研法。</w:t>
      </w:r>
    </w:p>
    <w:p w14:paraId="373AC7E9">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Cs/>
          <w:color w:val="000000" w:themeColor="text1"/>
          <w:lang w:eastAsia="zh-CN"/>
          <w14:textFill>
            <w14:solidFill>
              <w14:schemeClr w14:val="tx1"/>
            </w14:solidFill>
          </w14:textFill>
        </w:rPr>
      </w:pPr>
      <w:r>
        <w:rPr>
          <w:rFonts w:hint="default" w:ascii="Times New Roman" w:hAnsi="Times New Roman" w:eastAsia="楷体_GB2312" w:cs="Times New Roman"/>
          <w:b/>
          <w:color w:val="000000" w:themeColor="text1"/>
          <w:sz w:val="32"/>
          <w:szCs w:val="32"/>
          <w:highlight w:val="none"/>
          <w:u w:val="none"/>
          <w:lang w:val="zh-CN"/>
          <w14:textFill>
            <w14:solidFill>
              <w14:schemeClr w14:val="tx1"/>
            </w14:solidFill>
          </w14:textFill>
        </w:rPr>
        <w:t>（五）评价组织。</w:t>
      </w:r>
      <w:r>
        <w:rPr>
          <w:rFonts w:hint="default" w:ascii="Times New Roman" w:hAnsi="Times New Roman" w:eastAsia="仿宋_GB2312" w:cs="Times New Roman"/>
          <w:b w:val="0"/>
          <w:bCs w:val="0"/>
          <w:color w:val="000000" w:themeColor="text1"/>
          <w:kern w:val="0"/>
          <w:position w:val="0"/>
          <w:sz w:val="32"/>
          <w:szCs w:val="32"/>
          <w:highlight w:val="none"/>
          <w:lang w:val="zh-CN" w:eastAsia="zh-CN" w:bidi="ar-SA"/>
          <w14:textFill>
            <w14:solidFill>
              <w14:schemeClr w14:val="tx1"/>
            </w14:solidFill>
          </w14:textFill>
        </w:rPr>
        <w:t>按照要求组成成果报告专家评审组对其进行审查。</w:t>
      </w:r>
    </w:p>
    <w:p w14:paraId="2F43AC18">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000000" w:themeColor="text1"/>
          <w:sz w:val="32"/>
          <w:szCs w:val="32"/>
          <w:highlight w:val="none"/>
          <w:u w:val="none"/>
          <w:lang w:val="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三、</w:t>
      </w:r>
      <w:r>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t>绩效分析</w:t>
      </w:r>
      <w:r>
        <w:rPr>
          <w:rFonts w:hint="default" w:ascii="Times New Roman" w:hAnsi="Times New Roman" w:cs="Times New Roman"/>
          <w:color w:val="000000" w:themeColor="text1"/>
          <w:sz w:val="32"/>
          <w:szCs w:val="32"/>
          <w:highlight w:val="none"/>
          <w:u w:val="none"/>
          <w:lang w:val="zh-CN"/>
          <w14:textFill>
            <w14:solidFill>
              <w14:schemeClr w14:val="tx1"/>
            </w14:solidFill>
          </w14:textFill>
        </w:rPr>
        <w:tab/>
      </w:r>
    </w:p>
    <w:p w14:paraId="0BD52732">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zh-CN" w:eastAsia="zh-CN"/>
          <w14:textFill>
            <w14:solidFill>
              <w14:schemeClr w14:val="tx1"/>
            </w14:solidFill>
          </w14:textFill>
        </w:rPr>
        <w:t>根据项目预算绩效评价指标体系“通用指标”“专用指标”“个性指标”涉及二、三级指标进行逐项绩效分析并评分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6F83576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楷体_GB2312" w:cs="Times New Roman"/>
          <w:b/>
          <w:color w:val="000000" w:themeColor="text1"/>
          <w:sz w:val="32"/>
          <w:szCs w:val="32"/>
          <w:highlight w:val="none"/>
          <w:u w:val="none"/>
          <w:lang w:val="zh-CN"/>
          <w14:textFill>
            <w14:solidFill>
              <w14:schemeClr w14:val="tx1"/>
            </w14:solidFill>
          </w14:textFill>
        </w:rPr>
        <w:t>（一）</w:t>
      </w:r>
      <w:r>
        <w:rPr>
          <w:rFonts w:hint="default" w:ascii="Times New Roman" w:hAnsi="Times New Roman" w:eastAsia="楷体_GB2312" w:cs="Times New Roman"/>
          <w:b/>
          <w:color w:val="000000" w:themeColor="text1"/>
          <w:sz w:val="32"/>
          <w:szCs w:val="32"/>
          <w:highlight w:val="none"/>
          <w:u w:val="none"/>
          <w:lang w:val="en-US" w:eastAsia="zh-CN"/>
          <w14:textFill>
            <w14:solidFill>
              <w14:schemeClr w14:val="tx1"/>
            </w14:solidFill>
          </w14:textFill>
        </w:rPr>
        <w:t>通用指标</w:t>
      </w:r>
      <w:r>
        <w:rPr>
          <w:rFonts w:hint="default" w:ascii="Times New Roman" w:hAnsi="Times New Roman" w:eastAsia="楷体_GB2312" w:cs="Times New Roman"/>
          <w:b/>
          <w:bCs/>
          <w:color w:val="000000" w:themeColor="text1"/>
          <w:kern w:val="0"/>
          <w:sz w:val="32"/>
          <w:szCs w:val="32"/>
          <w:highlight w:val="none"/>
          <w:shd w:val="clear" w:color="auto" w:fill="FFFFFF"/>
          <w:lang w:val="zh-CN"/>
          <w14:textFill>
            <w14:solidFill>
              <w14:schemeClr w14:val="tx1"/>
            </w14:solidFill>
          </w14:textFill>
        </w:rPr>
        <w:t>绩效分析。</w:t>
      </w:r>
    </w:p>
    <w:p w14:paraId="252DAF28">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项目决策。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西区</w:t>
      </w:r>
      <w:r>
        <w:rPr>
          <w:rFonts w:hint="eastAsia" w:eastAsia="仿宋_GB2312" w:cs="Times New Roman"/>
          <w:color w:val="000000" w:themeColor="text1"/>
          <w:sz w:val="32"/>
          <w:szCs w:val="32"/>
          <w:highlight w:val="none"/>
          <w:lang w:val="en-US" w:eastAsia="zh-CN"/>
          <w14:textFill>
            <w14:solidFill>
              <w14:schemeClr w14:val="tx1"/>
            </w14:solidFill>
          </w14:textFill>
        </w:rPr>
        <w:t>望伦项目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提供</w:t>
      </w:r>
      <w:r>
        <w:rPr>
          <w:rFonts w:hint="eastAsia" w:eastAsia="仿宋_GB2312" w:cs="Times New Roman"/>
          <w:color w:val="000000" w:themeColor="text1"/>
          <w:sz w:val="32"/>
          <w:szCs w:val="32"/>
          <w:lang w:val="en-US" w:eastAsia="zh-CN"/>
          <w14:textFill>
            <w14:solidFill>
              <w14:schemeClr w14:val="tx1"/>
            </w14:solidFill>
          </w14:textFill>
        </w:rPr>
        <w:t>土地要素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保障</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积极推动西区</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山水灵秀新城</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建设，促进西区高质量发展，根据规划及区政府工作安排开展</w:t>
      </w:r>
      <w:r>
        <w:rPr>
          <w:rFonts w:hint="eastAsia" w:ascii="Times New Roman" w:hAnsi="Times New Roman" w:eastAsia="仿宋_GB2312"/>
          <w:sz w:val="32"/>
          <w:szCs w:val="32"/>
        </w:rPr>
        <w:t>格里坪镇金桥村504电厂西侧片区第一批次建设项目用地范围内涉及的农村集体土地、房屋及地上附着物等进行征拆补偿安置工作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，监管补偿费用到位情况，完成拆迁工作进</w:t>
      </w:r>
      <w:r>
        <w:rPr>
          <w:rFonts w:hint="default" w:ascii="Times New Roman" w:hAnsi="Times New Roman" w:eastAsia="仿宋_GB2312" w:cs="Times New Roman"/>
          <w:sz w:val="32"/>
          <w:szCs w:val="32"/>
          <w:lang w:val="en-US" w:eastAsia="zh-CN"/>
        </w:rPr>
        <w:t>度。</w:t>
      </w:r>
    </w:p>
    <w:p w14:paraId="3F3BF6E8">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楷体_GB2312" w:cs="Times New Roman"/>
          <w:color w:val="auto"/>
          <w:sz w:val="32"/>
          <w:szCs w:val="32"/>
          <w:lang w:val="en-US" w:eastAsia="zh-CN"/>
        </w:rPr>
        <w:t>项目管理。</w:t>
      </w:r>
      <w:r>
        <w:rPr>
          <w:rFonts w:hint="default" w:ascii="Times New Roman" w:hAnsi="Times New Roman" w:eastAsia="仿宋_GB2312" w:cs="Times New Roman"/>
          <w:sz w:val="32"/>
          <w:szCs w:val="32"/>
          <w:lang w:val="zh-CN" w:eastAsia="zh-CN"/>
        </w:rPr>
        <w:t>定期与项目负责人沟通，了解项目进展情况，及时发现问题并解决。对项目的支出和预期效益进行评估分析，比较实际支出与预算的差异，找出节约成本的方法。通过对项目的各个环节进行分析，识别潜在的风险和问题，并制定相应的应对措施。</w:t>
      </w:r>
    </w:p>
    <w:p w14:paraId="0A135E23">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楷体_GB2312" w:cs="Times New Roman"/>
          <w:color w:val="auto"/>
          <w:sz w:val="32"/>
          <w:szCs w:val="32"/>
          <w:lang w:val="en-US" w:eastAsia="zh-CN"/>
        </w:rPr>
        <w:t>项目实施。</w:t>
      </w:r>
      <w:r>
        <w:rPr>
          <w:rFonts w:hint="default" w:ascii="Times New Roman" w:hAnsi="Times New Roman" w:eastAsia="仿宋_GB2312" w:cs="Times New Roman"/>
          <w:sz w:val="32"/>
          <w:szCs w:val="32"/>
          <w:lang w:val="zh-CN" w:eastAsia="zh-CN"/>
        </w:rPr>
        <w:t>项目实施过程中，严格按照预定计划进行，通过精细化的进度管理确保了项目按时完成且成本控制在预算范围内。</w:t>
      </w:r>
    </w:p>
    <w:p w14:paraId="19FF5FCE">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楷体_GB2312" w:cs="Times New Roman"/>
          <w:color w:val="auto"/>
          <w:sz w:val="32"/>
          <w:szCs w:val="32"/>
          <w:lang w:val="en-US" w:eastAsia="zh-CN"/>
        </w:rPr>
        <w:t>项目结果。</w:t>
      </w:r>
      <w:r>
        <w:rPr>
          <w:rFonts w:hint="default" w:ascii="Times New Roman" w:hAnsi="Times New Roman" w:eastAsia="仿宋_GB2312" w:cs="Times New Roman"/>
          <w:sz w:val="32"/>
          <w:szCs w:val="32"/>
          <w:lang w:val="en-US" w:eastAsia="zh-CN"/>
        </w:rPr>
        <w:t>完成</w:t>
      </w:r>
      <w:r>
        <w:rPr>
          <w:rFonts w:hint="eastAsia" w:ascii="Times New Roman" w:hAnsi="Times New Roman" w:eastAsia="仿宋_GB2312"/>
          <w:sz w:val="32"/>
          <w:szCs w:val="32"/>
        </w:rPr>
        <w:t>格里坪镇金桥村504电厂西侧片区第一批次建设项目用地范围内涉及的农村集体土地、房屋及地上附着物等进行征拆补偿</w:t>
      </w:r>
      <w:r>
        <w:rPr>
          <w:rFonts w:hint="default" w:ascii="Times New Roman" w:hAnsi="Times New Roman" w:eastAsia="仿宋_GB2312" w:cs="Times New Roman"/>
          <w:sz w:val="32"/>
          <w:szCs w:val="32"/>
          <w:lang w:val="en-US" w:eastAsia="zh-CN"/>
        </w:rPr>
        <w:t>费用支付</w:t>
      </w:r>
      <w:r>
        <w:rPr>
          <w:rFonts w:hint="default" w:ascii="Times New Roman" w:hAnsi="Times New Roman" w:eastAsia="仿宋_GB2312" w:cs="Times New Roman"/>
          <w:sz w:val="32"/>
          <w:szCs w:val="32"/>
          <w:highlight w:val="none"/>
          <w:lang w:val="en-US" w:eastAsia="zh-CN"/>
        </w:rPr>
        <w:t>工作，加快推进</w:t>
      </w:r>
      <w:r>
        <w:rPr>
          <w:rFonts w:hint="eastAsia" w:eastAsia="仿宋_GB2312" w:cs="Times New Roman"/>
          <w:sz w:val="32"/>
          <w:szCs w:val="32"/>
          <w:highlight w:val="none"/>
          <w:lang w:val="en-US" w:eastAsia="zh-CN"/>
        </w:rPr>
        <w:t>望伦项目</w:t>
      </w:r>
      <w:r>
        <w:rPr>
          <w:rFonts w:hint="default" w:ascii="Times New Roman" w:hAnsi="Times New Roman" w:eastAsia="仿宋_GB2312" w:cs="Times New Roman"/>
          <w:sz w:val="32"/>
          <w:szCs w:val="32"/>
          <w:highlight w:val="none"/>
          <w:lang w:val="en-US" w:eastAsia="zh-CN"/>
        </w:rPr>
        <w:t>建设，促进西区</w:t>
      </w:r>
      <w:r>
        <w:rPr>
          <w:rFonts w:hint="eastAsia" w:eastAsia="仿宋_GB2312" w:cs="Times New Roman"/>
          <w:sz w:val="32"/>
          <w:szCs w:val="32"/>
          <w:highlight w:val="none"/>
          <w:lang w:val="en-US" w:eastAsia="zh-CN"/>
        </w:rPr>
        <w:t>经济社会高质量</w:t>
      </w:r>
      <w:r>
        <w:rPr>
          <w:rFonts w:hint="default" w:ascii="Times New Roman" w:hAnsi="Times New Roman" w:eastAsia="仿宋_GB2312" w:cs="Times New Roman"/>
          <w:sz w:val="32"/>
          <w:szCs w:val="32"/>
          <w:highlight w:val="none"/>
          <w:lang w:val="en-US" w:eastAsia="zh-CN"/>
        </w:rPr>
        <w:t>发展。</w:t>
      </w:r>
    </w:p>
    <w:p w14:paraId="37EE6354">
      <w:pPr>
        <w:keepNext w:val="0"/>
        <w:keepLines w:val="0"/>
        <w:pageBreakBefore w:val="0"/>
        <w:widowControl w:val="0"/>
        <w:kinsoku/>
        <w:wordWrap/>
        <w:overflowPunct/>
        <w:topLinePunct w:val="0"/>
        <w:autoSpaceDE/>
        <w:autoSpaceDN/>
        <w:bidi w:val="0"/>
        <w:adjustRightInd/>
        <w:snapToGrid/>
        <w:spacing w:line="520" w:lineRule="atLeast"/>
        <w:ind w:firstLine="643"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sz w:val="32"/>
          <w:szCs w:val="32"/>
          <w:lang w:val="zh-CN" w:eastAsia="zh-CN"/>
        </w:rPr>
        <w:t>根据</w:t>
      </w:r>
      <w:r>
        <w:rPr>
          <w:rFonts w:hint="default" w:ascii="Times New Roman" w:hAnsi="Times New Roman" w:eastAsia="仿宋_GB2312" w:cs="Times New Roman"/>
          <w:sz w:val="32"/>
          <w:szCs w:val="32"/>
          <w:lang w:val="en-US" w:eastAsia="zh-CN"/>
        </w:rPr>
        <w:t>专项预算项目资金支持对象选择所属指标进行绩效分析。支持对象</w:t>
      </w:r>
      <w:r>
        <w:rPr>
          <w:rFonts w:hint="default" w:ascii="Times New Roman" w:hAnsi="Times New Roman" w:eastAsia="仿宋_GB2312" w:cs="Times New Roman"/>
          <w:sz w:val="32"/>
          <w:szCs w:val="32"/>
          <w:lang w:val="zh-CN" w:eastAsia="zh-CN"/>
        </w:rPr>
        <w:t>包括产业发展、民生保障、基础设施、行政运转等方面。</w:t>
      </w:r>
    </w:p>
    <w:p w14:paraId="7875E58B">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楷体_GB2312" w:cs="Times New Roman"/>
          <w:color w:val="auto"/>
          <w:sz w:val="32"/>
          <w:szCs w:val="32"/>
          <w:lang w:val="en-US" w:eastAsia="zh-CN"/>
        </w:rPr>
        <w:t>产业发展。</w:t>
      </w:r>
      <w:r>
        <w:rPr>
          <w:rFonts w:hint="default" w:ascii="Times New Roman" w:hAnsi="Times New Roman" w:eastAsia="仿宋_GB2312" w:cs="Times New Roman"/>
          <w:sz w:val="32"/>
          <w:szCs w:val="32"/>
          <w:lang w:val="en-US" w:eastAsia="zh-CN"/>
        </w:rPr>
        <w:t>完成</w:t>
      </w:r>
      <w:r>
        <w:rPr>
          <w:rFonts w:hint="eastAsia" w:ascii="Times New Roman" w:hAnsi="Times New Roman" w:eastAsia="仿宋_GB2312"/>
          <w:sz w:val="32"/>
          <w:szCs w:val="32"/>
        </w:rPr>
        <w:t>完成格里坪镇金桥村504电厂西侧片区第一批次建设</w:t>
      </w:r>
      <w:r>
        <w:rPr>
          <w:rFonts w:ascii="Times New Roman" w:hAnsi="Times New Roman" w:eastAsia="仿宋"/>
          <w:spacing w:val="-4"/>
          <w:kern w:val="0"/>
          <w:sz w:val="32"/>
          <w:szCs w:val="32"/>
        </w:rPr>
        <w:t>项目</w:t>
      </w:r>
      <w:r>
        <w:rPr>
          <w:rFonts w:ascii="Times New Roman" w:hAnsi="Times New Roman" w:eastAsia="仿宋_GB2312"/>
          <w:spacing w:val="-4"/>
          <w:kern w:val="0"/>
          <w:sz w:val="32"/>
          <w:szCs w:val="32"/>
        </w:rPr>
        <w:t>用地范围内</w:t>
      </w:r>
      <w:r>
        <w:rPr>
          <w:rFonts w:hint="eastAsia" w:ascii="Times New Roman" w:eastAsia="仿宋_GB2312"/>
          <w:spacing w:val="-4"/>
          <w:kern w:val="0"/>
          <w:sz w:val="32"/>
          <w:szCs w:val="32"/>
        </w:rPr>
        <w:t>涉及的</w:t>
      </w:r>
      <w:r>
        <w:rPr>
          <w:rFonts w:ascii="Times New Roman" w:hAnsi="Times New Roman" w:eastAsia="仿宋_GB2312"/>
          <w:spacing w:val="-4"/>
          <w:kern w:val="0"/>
          <w:sz w:val="32"/>
          <w:szCs w:val="32"/>
        </w:rPr>
        <w:t>农村集体土地</w:t>
      </w:r>
      <w:r>
        <w:rPr>
          <w:rFonts w:hint="eastAsia" w:ascii="Times New Roman" w:eastAsia="仿宋_GB2312"/>
          <w:spacing w:val="-4"/>
          <w:kern w:val="0"/>
          <w:sz w:val="32"/>
          <w:szCs w:val="32"/>
        </w:rPr>
        <w:t>、房屋</w:t>
      </w:r>
      <w:r>
        <w:rPr>
          <w:rFonts w:hint="eastAsia" w:ascii="Times New Roman" w:eastAsia="仿宋_GB2312"/>
          <w:spacing w:val="-4"/>
          <w:kern w:val="0"/>
          <w:sz w:val="32"/>
          <w:szCs w:val="32"/>
          <w:highlight w:val="none"/>
        </w:rPr>
        <w:t>及地上附着物等进行征拆补偿安置</w:t>
      </w:r>
      <w:r>
        <w:rPr>
          <w:rFonts w:hint="eastAsia" w:ascii="Times New Roman" w:hAnsi="Times New Roman" w:eastAsia="仿宋_GB2312"/>
          <w:sz w:val="32"/>
          <w:szCs w:val="32"/>
          <w:highlight w:val="none"/>
        </w:rPr>
        <w:t>费用</w:t>
      </w:r>
      <w:r>
        <w:rPr>
          <w:rFonts w:hint="default" w:ascii="Times New Roman" w:hAnsi="Times New Roman" w:eastAsia="仿宋_GB2312" w:cs="Times New Roman"/>
          <w:sz w:val="32"/>
          <w:szCs w:val="32"/>
          <w:highlight w:val="none"/>
          <w:lang w:val="en-US" w:eastAsia="zh-CN"/>
        </w:rPr>
        <w:t>支付工作，加快推进</w:t>
      </w:r>
      <w:r>
        <w:rPr>
          <w:rFonts w:hint="eastAsia" w:eastAsia="仿宋_GB2312" w:cs="Times New Roman"/>
          <w:sz w:val="32"/>
          <w:szCs w:val="32"/>
          <w:highlight w:val="none"/>
          <w:lang w:val="en-US" w:eastAsia="zh-CN"/>
        </w:rPr>
        <w:t>望伦项目</w:t>
      </w:r>
      <w:r>
        <w:rPr>
          <w:rFonts w:hint="default" w:ascii="Times New Roman" w:hAnsi="Times New Roman" w:eastAsia="仿宋_GB2312" w:cs="Times New Roman"/>
          <w:sz w:val="32"/>
          <w:szCs w:val="32"/>
          <w:highlight w:val="none"/>
          <w:lang w:val="en-US" w:eastAsia="zh-CN"/>
        </w:rPr>
        <w:t>建设。</w:t>
      </w:r>
    </w:p>
    <w:p w14:paraId="76738239">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楷体_GB2312" w:cs="Times New Roman"/>
          <w:color w:val="auto"/>
          <w:sz w:val="32"/>
          <w:szCs w:val="32"/>
          <w:highlight w:val="none"/>
          <w:lang w:val="zh-CN" w:eastAsia="zh-CN"/>
        </w:rPr>
        <w:t>民生保障。</w:t>
      </w:r>
      <w:r>
        <w:rPr>
          <w:rFonts w:hint="default" w:ascii="Times New Roman" w:hAnsi="Times New Roman" w:eastAsia="仿宋_GB2312" w:cs="Times New Roman"/>
          <w:sz w:val="32"/>
          <w:szCs w:val="32"/>
          <w:highlight w:val="none"/>
          <w:lang w:val="en-US" w:eastAsia="zh-CN"/>
        </w:rPr>
        <w:t>保障</w:t>
      </w:r>
      <w:r>
        <w:rPr>
          <w:rFonts w:hint="eastAsia" w:eastAsia="仿宋_GB2312" w:cs="Times New Roman"/>
          <w:sz w:val="32"/>
          <w:szCs w:val="32"/>
          <w:highlight w:val="none"/>
          <w:lang w:val="en-US" w:eastAsia="zh-CN"/>
        </w:rPr>
        <w:t>望伦项目</w:t>
      </w:r>
      <w:r>
        <w:rPr>
          <w:rFonts w:hint="default" w:ascii="Times New Roman" w:hAnsi="Times New Roman" w:eastAsia="仿宋_GB2312" w:cs="Times New Roman"/>
          <w:sz w:val="32"/>
          <w:szCs w:val="32"/>
          <w:highlight w:val="none"/>
          <w:lang w:val="en-US" w:eastAsia="zh-CN"/>
        </w:rPr>
        <w:t>建设，促进西区</w:t>
      </w:r>
      <w:r>
        <w:rPr>
          <w:rFonts w:hint="eastAsia" w:eastAsia="仿宋_GB2312" w:cs="Times New Roman"/>
          <w:sz w:val="32"/>
          <w:szCs w:val="32"/>
          <w:highlight w:val="none"/>
          <w:lang w:val="en-US" w:eastAsia="zh-CN"/>
        </w:rPr>
        <w:t>经济社会高质量</w:t>
      </w:r>
      <w:r>
        <w:rPr>
          <w:rFonts w:hint="default" w:ascii="Times New Roman" w:hAnsi="Times New Roman" w:eastAsia="仿宋_GB2312" w:cs="Times New Roman"/>
          <w:sz w:val="32"/>
          <w:szCs w:val="32"/>
          <w:highlight w:val="none"/>
          <w:lang w:val="en-US" w:eastAsia="zh-CN"/>
        </w:rPr>
        <w:t>发展。</w:t>
      </w:r>
    </w:p>
    <w:p w14:paraId="271CFC89">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楷体_GB2312" w:cs="Times New Roman"/>
          <w:color w:val="auto"/>
          <w:sz w:val="32"/>
          <w:szCs w:val="32"/>
          <w:highlight w:val="none"/>
          <w:lang w:val="en-US" w:eastAsia="zh-CN"/>
        </w:rPr>
        <w:t>基础设施。</w:t>
      </w:r>
      <w:r>
        <w:rPr>
          <w:rFonts w:hint="default" w:ascii="Times New Roman" w:hAnsi="Times New Roman" w:eastAsia="仿宋_GB2312" w:cs="Times New Roman"/>
          <w:sz w:val="32"/>
          <w:szCs w:val="32"/>
          <w:highlight w:val="none"/>
          <w:lang w:val="en-US" w:eastAsia="zh-CN"/>
        </w:rPr>
        <w:t>加快</w:t>
      </w:r>
      <w:r>
        <w:rPr>
          <w:rFonts w:hint="eastAsia" w:eastAsia="仿宋_GB2312" w:cs="Times New Roman"/>
          <w:sz w:val="32"/>
          <w:szCs w:val="32"/>
          <w:highlight w:val="none"/>
          <w:lang w:val="en-US" w:eastAsia="zh-CN"/>
        </w:rPr>
        <w:t>西区</w:t>
      </w:r>
      <w:r>
        <w:rPr>
          <w:rFonts w:hint="default" w:ascii="Times New Roman" w:hAnsi="Times New Roman" w:eastAsia="仿宋_GB2312" w:cs="Times New Roman"/>
          <w:sz w:val="32"/>
          <w:szCs w:val="32"/>
          <w:highlight w:val="none"/>
          <w:lang w:val="en-US" w:eastAsia="zh-CN"/>
        </w:rPr>
        <w:t>“山水灵秀新城”建设</w:t>
      </w:r>
      <w:r>
        <w:rPr>
          <w:rFonts w:hint="default" w:ascii="Times New Roman" w:hAnsi="Times New Roman" w:eastAsia="仿宋_GB2312" w:cs="Times New Roman"/>
          <w:sz w:val="32"/>
          <w:szCs w:val="32"/>
          <w:highlight w:val="none"/>
          <w:lang w:val="zh-CN" w:eastAsia="zh-CN"/>
        </w:rPr>
        <w:t>。</w:t>
      </w:r>
    </w:p>
    <w:p w14:paraId="1CC42C2D">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楷体_GB2312" w:cs="Times New Roman"/>
          <w:color w:val="auto"/>
          <w:sz w:val="32"/>
          <w:szCs w:val="32"/>
          <w:highlight w:val="none"/>
          <w:lang w:val="zh-CN" w:eastAsia="zh-CN"/>
        </w:rPr>
        <w:t>行政运转。</w:t>
      </w:r>
      <w:r>
        <w:rPr>
          <w:rFonts w:hint="default" w:ascii="Times New Roman" w:hAnsi="Times New Roman" w:eastAsia="仿宋_GB2312" w:cs="Times New Roman"/>
          <w:sz w:val="32"/>
          <w:szCs w:val="32"/>
          <w:highlight w:val="none"/>
          <w:lang w:val="en-US" w:eastAsia="zh-CN"/>
        </w:rPr>
        <w:t>满足西区</w:t>
      </w:r>
      <w:r>
        <w:rPr>
          <w:rFonts w:hint="eastAsia" w:eastAsia="仿宋_GB2312" w:cs="Times New Roman"/>
          <w:sz w:val="32"/>
          <w:szCs w:val="32"/>
          <w:highlight w:val="none"/>
          <w:lang w:val="en-US" w:eastAsia="zh-CN"/>
        </w:rPr>
        <w:t>望伦项目</w:t>
      </w:r>
      <w:r>
        <w:rPr>
          <w:rFonts w:hint="default" w:ascii="Times New Roman" w:hAnsi="Times New Roman" w:eastAsia="仿宋_GB2312" w:cs="Times New Roman"/>
          <w:sz w:val="32"/>
          <w:szCs w:val="32"/>
          <w:highlight w:val="none"/>
          <w:lang w:val="en-US" w:eastAsia="zh-CN"/>
        </w:rPr>
        <w:t>建设用地需要</w:t>
      </w:r>
      <w:r>
        <w:rPr>
          <w:rFonts w:hint="default" w:ascii="Times New Roman" w:hAnsi="Times New Roman" w:eastAsia="仿宋_GB2312" w:cs="Times New Roman"/>
          <w:sz w:val="32"/>
          <w:szCs w:val="32"/>
          <w:highlight w:val="none"/>
          <w:lang w:val="zh-CN" w:eastAsia="zh-CN"/>
        </w:rPr>
        <w:t>。</w:t>
      </w:r>
    </w:p>
    <w:p w14:paraId="338EE6F3">
      <w:pPr>
        <w:adjustRightInd w:val="0"/>
        <w:snapToGrid w:val="0"/>
        <w:spacing w:line="578" w:lineRule="exact"/>
        <w:ind w:firstLine="72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F8BB773">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w:t>
      </w:r>
      <w:r>
        <w:rPr>
          <w:rFonts w:hint="eastAsia" w:ascii="Times New Roman" w:hAnsi="Times New Roman" w:eastAsia="仿宋_GB2312"/>
          <w:sz w:val="32"/>
          <w:szCs w:val="32"/>
        </w:rPr>
        <w:t>格里坪镇金桥村504电厂西侧片区第一批次建设项目用地范围内涉及的农村</w:t>
      </w:r>
      <w:r>
        <w:rPr>
          <w:rFonts w:hint="eastAsia" w:ascii="Times New Roman" w:hAnsi="Times New Roman" w:eastAsia="仿宋_GB2312"/>
          <w:sz w:val="32"/>
          <w:szCs w:val="32"/>
          <w:highlight w:val="none"/>
        </w:rPr>
        <w:t>集体土地、房屋及地上附着物等进行征拆补偿</w:t>
      </w:r>
      <w:r>
        <w:rPr>
          <w:rFonts w:hint="default" w:ascii="Times New Roman" w:hAnsi="Times New Roman" w:eastAsia="仿宋_GB2312" w:cs="Times New Roman"/>
          <w:sz w:val="32"/>
          <w:szCs w:val="32"/>
          <w:highlight w:val="none"/>
          <w:lang w:val="en-US" w:eastAsia="zh-CN"/>
        </w:rPr>
        <w:t>费用支付工作，加快推进</w:t>
      </w:r>
      <w:r>
        <w:rPr>
          <w:rFonts w:hint="eastAsia" w:eastAsia="仿宋_GB2312" w:cs="Times New Roman"/>
          <w:sz w:val="32"/>
          <w:szCs w:val="32"/>
          <w:highlight w:val="none"/>
          <w:lang w:val="en-US" w:eastAsia="zh-CN"/>
        </w:rPr>
        <w:t>望伦项目</w:t>
      </w:r>
      <w:r>
        <w:rPr>
          <w:rFonts w:hint="default" w:ascii="Times New Roman" w:hAnsi="Times New Roman" w:eastAsia="仿宋_GB2312" w:cs="Times New Roman"/>
          <w:sz w:val="32"/>
          <w:szCs w:val="32"/>
          <w:highlight w:val="none"/>
          <w:lang w:val="en-US" w:eastAsia="zh-CN"/>
        </w:rPr>
        <w:t>建设，促进西区</w:t>
      </w:r>
      <w:r>
        <w:rPr>
          <w:rFonts w:hint="eastAsia" w:eastAsia="仿宋_GB2312" w:cs="Times New Roman"/>
          <w:sz w:val="32"/>
          <w:szCs w:val="32"/>
          <w:highlight w:val="none"/>
          <w:lang w:val="en-US" w:eastAsia="zh-CN"/>
        </w:rPr>
        <w:t>经济社会高质量</w:t>
      </w:r>
      <w:r>
        <w:rPr>
          <w:rFonts w:hint="default" w:ascii="Times New Roman" w:hAnsi="Times New Roman" w:eastAsia="仿宋_GB2312" w:cs="Times New Roman"/>
          <w:sz w:val="32"/>
          <w:szCs w:val="32"/>
          <w:highlight w:val="none"/>
          <w:lang w:val="en-US" w:eastAsia="zh-CN"/>
        </w:rPr>
        <w:t>发展。预期产出和效果能满足需求、不需要核减预算安排并支持政策出台、持续、保留</w:t>
      </w:r>
      <w:r>
        <w:rPr>
          <w:rFonts w:hint="default" w:ascii="Times New Roman" w:hAnsi="Times New Roman" w:eastAsia="仿宋_GB2312" w:cs="Times New Roman"/>
          <w:sz w:val="32"/>
          <w:szCs w:val="32"/>
          <w:lang w:val="en-US" w:eastAsia="zh-CN"/>
        </w:rPr>
        <w:t>或项目新增的意见。综合评估得分与评估等级较高。</w:t>
      </w:r>
    </w:p>
    <w:p w14:paraId="59259814">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66B42092">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根据绩效评价结果，本项目得出了以下结论：(1)土地储备满意度较高；(2)各项组织保障工作完成较好；(3)保障土地出让有序完成。</w:t>
      </w:r>
    </w:p>
    <w:p w14:paraId="51EB1ED4">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65952C38">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6556A7F3">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3AA995FC">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60A722FB">
      <w:pPr>
        <w:rPr>
          <w:rFonts w:hint="default"/>
        </w:rPr>
      </w:pPr>
    </w:p>
    <w:p w14:paraId="284813D3">
      <w:pPr>
        <w:spacing w:line="600" w:lineRule="exact"/>
        <w:jc w:val="center"/>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zh-CN"/>
        </w:rPr>
        <w:t>四川钛米科技有限公司约73.96亩土地及地上附着物第二期补偿资金</w:t>
      </w:r>
    </w:p>
    <w:p w14:paraId="61E751EA">
      <w:pPr>
        <w:spacing w:line="600" w:lineRule="exact"/>
        <w:jc w:val="center"/>
        <w:rPr>
          <w:rFonts w:hint="default" w:ascii="Times New Roman" w:hAnsi="Times New Roman" w:cs="Times New Roman"/>
          <w:sz w:val="32"/>
          <w:szCs w:val="32"/>
          <w:lang w:val="zh-CN"/>
        </w:rPr>
      </w:pPr>
      <w:r>
        <w:rPr>
          <w:rFonts w:hint="default" w:ascii="Times New Roman" w:hAnsi="Times New Roman" w:eastAsia="方正小标宋简体" w:cs="Times New Roman"/>
          <w:sz w:val="40"/>
          <w:szCs w:val="40"/>
          <w:lang w:val="zh-CN"/>
        </w:rPr>
        <w:t>专项预算项目支出绩效自评报告</w:t>
      </w:r>
    </w:p>
    <w:p w14:paraId="055BE9C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rPr>
      </w:pPr>
    </w:p>
    <w:p w14:paraId="5C2B923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63294E5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13C2FDCC">
      <w:pPr>
        <w:pStyle w:val="16"/>
        <w:widowControl/>
        <w:spacing w:beforeAutospacing="0" w:afterAutospacing="0" w:line="353"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为加快推动“</w:t>
      </w:r>
      <w:r>
        <w:rPr>
          <w:rFonts w:hint="eastAsia" w:ascii="Times New Roman" w:hAnsi="Times New Roman" w:eastAsia="仿宋_GB2312"/>
          <w:sz w:val="32"/>
          <w:szCs w:val="32"/>
        </w:rPr>
        <w:t>攀西工业强区</w:t>
      </w:r>
      <w:r>
        <w:rPr>
          <w:rFonts w:ascii="Times New Roman" w:hAnsi="Times New Roman" w:eastAsia="仿宋_GB2312"/>
          <w:sz w:val="32"/>
          <w:szCs w:val="32"/>
        </w:rPr>
        <w:t>”建设，优化土地资源利用，充分激发土地资源效益，满足格里坪特色产业园区</w:t>
      </w:r>
      <w:r>
        <w:rPr>
          <w:rFonts w:hint="eastAsia" w:ascii="Times New Roman" w:hAnsi="Times New Roman" w:eastAsia="仿宋_GB2312"/>
          <w:sz w:val="32"/>
          <w:szCs w:val="32"/>
        </w:rPr>
        <w:t>规划调整</w:t>
      </w:r>
      <w:r>
        <w:rPr>
          <w:rFonts w:ascii="Times New Roman" w:hAnsi="Times New Roman" w:eastAsia="仿宋_GB2312"/>
          <w:sz w:val="32"/>
          <w:szCs w:val="32"/>
        </w:rPr>
        <w:t>和招商引资落户企业用地需要，</w:t>
      </w:r>
      <w:r>
        <w:rPr>
          <w:rFonts w:ascii="Times New Roman" w:hAnsi="Times New Roman" w:eastAsia="仿宋_GB2312"/>
          <w:color w:val="000000"/>
          <w:sz w:val="32"/>
          <w:szCs w:val="32"/>
        </w:rPr>
        <w:t xml:space="preserve"> 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月，区土地储备中心</w:t>
      </w:r>
      <w:r>
        <w:rPr>
          <w:rFonts w:ascii="Times New Roman" w:hAnsi="Times New Roman" w:eastAsia="仿宋_GB2312"/>
          <w:sz w:val="32"/>
          <w:szCs w:val="32"/>
        </w:rPr>
        <w:t>收储</w:t>
      </w:r>
      <w:r>
        <w:rPr>
          <w:rFonts w:hint="eastAsia" w:ascii="Times New Roman" w:hAnsi="Times New Roman" w:eastAsia="仿宋_GB2312"/>
          <w:sz w:val="32"/>
          <w:szCs w:val="32"/>
        </w:rPr>
        <w:t>了</w:t>
      </w:r>
      <w:r>
        <w:rPr>
          <w:rFonts w:ascii="Times New Roman" w:hAnsi="Times New Roman" w:eastAsia="仿宋_GB2312"/>
          <w:sz w:val="32"/>
          <w:szCs w:val="32"/>
        </w:rPr>
        <w:t>格里坪特色产业园区内四川钛米科技有限公司</w:t>
      </w:r>
      <w:r>
        <w:rPr>
          <w:rFonts w:hint="eastAsia" w:ascii="Times New Roman" w:hAnsi="Times New Roman" w:eastAsia="仿宋_GB2312"/>
          <w:sz w:val="32"/>
          <w:szCs w:val="32"/>
        </w:rPr>
        <w:t>（以下简称钛米科技）</w:t>
      </w:r>
      <w:r>
        <w:rPr>
          <w:rFonts w:ascii="Times New Roman" w:hAnsi="Times New Roman" w:eastAsia="仿宋_GB2312"/>
          <w:sz w:val="32"/>
          <w:szCs w:val="32"/>
        </w:rPr>
        <w:t>约73.96亩土地</w:t>
      </w:r>
      <w:r>
        <w:rPr>
          <w:rFonts w:hint="eastAsia" w:ascii="Times New Roman" w:hAnsi="Times New Roman" w:eastAsia="仿宋_GB2312"/>
          <w:sz w:val="32"/>
          <w:szCs w:val="32"/>
        </w:rPr>
        <w:t>，</w:t>
      </w:r>
      <w:r>
        <w:rPr>
          <w:rFonts w:ascii="Times New Roman" w:hAnsi="Times New Roman" w:eastAsia="仿宋_GB2312"/>
          <w:sz w:val="32"/>
          <w:szCs w:val="32"/>
        </w:rPr>
        <w:t>土地</w:t>
      </w:r>
      <w:r>
        <w:rPr>
          <w:rFonts w:hint="eastAsia" w:ascii="Times New Roman" w:hAnsi="Times New Roman" w:eastAsia="仿宋_GB2312"/>
          <w:sz w:val="32"/>
          <w:szCs w:val="32"/>
        </w:rPr>
        <w:t>及其附着物</w:t>
      </w:r>
      <w:r>
        <w:rPr>
          <w:rFonts w:ascii="Times New Roman" w:hAnsi="Times New Roman" w:eastAsia="仿宋_GB2312"/>
          <w:sz w:val="32"/>
          <w:szCs w:val="32"/>
        </w:rPr>
        <w:t>补偿</w:t>
      </w:r>
      <w:r>
        <w:rPr>
          <w:rFonts w:hint="eastAsia" w:ascii="Times New Roman" w:hAnsi="Times New Roman" w:eastAsia="仿宋_GB2312"/>
          <w:sz w:val="32"/>
          <w:szCs w:val="32"/>
        </w:rPr>
        <w:t>资金共</w:t>
      </w:r>
      <w:r>
        <w:rPr>
          <w:rFonts w:ascii="Times New Roman" w:hAnsi="Times New Roman" w:eastAsia="仿宋_GB2312"/>
          <w:sz w:val="32"/>
          <w:szCs w:val="32"/>
        </w:rPr>
        <w:t>1784万元。</w:t>
      </w:r>
    </w:p>
    <w:p w14:paraId="2ABC7D9A">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105C305F">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根据区土地储备中心职能职责，负责全区的土地收储工作，为政府供应土地提供必要保障。</w:t>
      </w:r>
    </w:p>
    <w:p w14:paraId="739093B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4C7DCBB6">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项目资金主要来源于区级自然资源海洋气象等支出资金。资金分配按照项目实施方案和预算计划进行，确保各项实施内容得到落实。</w:t>
      </w:r>
    </w:p>
    <w:p w14:paraId="0557E591">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14:paraId="37E56BEC">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sz w:val="32"/>
          <w:szCs w:val="32"/>
          <w:lang w:val="en-US" w:eastAsia="zh-CN"/>
        </w:rPr>
        <w:t>钛米科技73.96亩土地收储的总体绩效目标为支付完成相关费用后清理、交付土地。</w:t>
      </w:r>
    </w:p>
    <w:p w14:paraId="5B8145F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74DCAEF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620CA379">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按计划储备土地，有效推进西区建设，促进西区高质量发展，在节约集约用地的同时，为经济发展提供用地保障，促进经济社会可持续发展。</w:t>
      </w:r>
    </w:p>
    <w:p w14:paraId="159920E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 w:val="0"/>
          <w:bCs w:val="0"/>
          <w:kern w:val="0"/>
          <w:position w:val="0"/>
          <w:sz w:val="32"/>
          <w:szCs w:val="32"/>
          <w:highlight w:val="none"/>
          <w:lang w:val="zh-CN" w:eastAsia="zh-CN" w:bidi="ar-SA"/>
        </w:rPr>
        <w:t>无。</w:t>
      </w:r>
    </w:p>
    <w:p w14:paraId="50DC83A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sz w:val="32"/>
          <w:szCs w:val="32"/>
          <w:lang w:val="zh-CN" w:eastAsia="zh-CN"/>
        </w:rPr>
        <w:t>对项目实施成果报告进行审查。</w:t>
      </w:r>
    </w:p>
    <w:p w14:paraId="52E73809">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sz w:val="32"/>
          <w:szCs w:val="32"/>
          <w:lang w:val="zh-CN" w:eastAsia="zh-CN"/>
        </w:rPr>
        <w:t>单位自评法、实地勘察法、座谈调研法。</w:t>
      </w:r>
    </w:p>
    <w:p w14:paraId="74A8A460">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Cs/>
          <w:lang w:eastAsia="zh-CN"/>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 w:val="0"/>
          <w:bCs w:val="0"/>
          <w:kern w:val="0"/>
          <w:position w:val="0"/>
          <w:sz w:val="32"/>
          <w:szCs w:val="32"/>
          <w:highlight w:val="none"/>
          <w:lang w:val="zh-CN" w:eastAsia="zh-CN" w:bidi="ar-SA"/>
        </w:rPr>
        <w:t>按照要求组成成果报告专家评审组对其进行审查。</w:t>
      </w:r>
    </w:p>
    <w:p w14:paraId="0788A3D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061FAD64">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eastAsia="zh-CN"/>
        </w:rPr>
        <w:t>根据项目预算绩效评价指标体系“通用指标”“专用指标”“个性指标”涉及二、三级指标进行逐项绩效分析并评分</w:t>
      </w:r>
      <w:r>
        <w:rPr>
          <w:rFonts w:hint="default" w:ascii="Times New Roman" w:hAnsi="Times New Roman" w:eastAsia="仿宋_GB2312" w:cs="Times New Roman"/>
          <w:sz w:val="32"/>
          <w:szCs w:val="32"/>
          <w:lang w:val="en-US" w:eastAsia="zh-CN"/>
        </w:rPr>
        <w:t>。</w:t>
      </w:r>
    </w:p>
    <w:p w14:paraId="602C8C5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6202A78">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楷体_GB2312" w:cs="Times New Roman"/>
          <w:color w:val="auto"/>
          <w:sz w:val="32"/>
          <w:szCs w:val="32"/>
          <w:lang w:val="en-US" w:eastAsia="zh-CN"/>
        </w:rPr>
        <w:t>项目决策。</w:t>
      </w:r>
      <w:r>
        <w:rPr>
          <w:rFonts w:hint="default" w:ascii="Times New Roman" w:hAnsi="Times New Roman" w:eastAsia="仿宋_GB2312" w:cs="Times New Roman"/>
          <w:sz w:val="32"/>
          <w:szCs w:val="32"/>
          <w:lang w:val="en-US" w:eastAsia="zh-CN"/>
        </w:rPr>
        <w:t>为加快推动“攀西工业强区”建设，优化土地资源利用，根据规划及区政府工作安排开展</w:t>
      </w:r>
      <w:r>
        <w:rPr>
          <w:rFonts w:hint="eastAsia" w:eastAsia="仿宋_GB2312" w:cs="Times New Roman"/>
          <w:sz w:val="32"/>
          <w:szCs w:val="32"/>
          <w:lang w:val="en-US" w:eastAsia="zh-CN"/>
        </w:rPr>
        <w:t>国有</w:t>
      </w:r>
      <w:r>
        <w:rPr>
          <w:rFonts w:hint="default" w:ascii="Times New Roman" w:hAnsi="Times New Roman" w:eastAsia="仿宋_GB2312" w:cs="Times New Roman"/>
          <w:sz w:val="32"/>
          <w:szCs w:val="32"/>
          <w:lang w:val="en-US" w:eastAsia="zh-CN"/>
        </w:rPr>
        <w:t>土地</w:t>
      </w:r>
      <w:r>
        <w:rPr>
          <w:rFonts w:hint="eastAsia" w:eastAsia="仿宋_GB2312" w:cs="Times New Roman"/>
          <w:sz w:val="32"/>
          <w:szCs w:val="32"/>
          <w:lang w:val="en-US" w:eastAsia="zh-CN"/>
        </w:rPr>
        <w:t>上房屋征收与补偿、土地储备等</w:t>
      </w:r>
      <w:r>
        <w:rPr>
          <w:rFonts w:hint="default" w:ascii="Times New Roman" w:hAnsi="Times New Roman" w:eastAsia="仿宋_GB2312" w:cs="Times New Roman"/>
          <w:sz w:val="32"/>
          <w:szCs w:val="32"/>
          <w:lang w:val="en-US" w:eastAsia="zh-CN"/>
        </w:rPr>
        <w:t>工作，监管补偿费用到位情况，拆迁工作完成进度。</w:t>
      </w:r>
    </w:p>
    <w:p w14:paraId="399CF475">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楷体_GB2312" w:cs="Times New Roman"/>
          <w:color w:val="auto"/>
          <w:sz w:val="32"/>
          <w:szCs w:val="32"/>
          <w:lang w:val="en-US" w:eastAsia="zh-CN"/>
        </w:rPr>
        <w:t>项目管理。</w:t>
      </w:r>
      <w:r>
        <w:rPr>
          <w:rFonts w:hint="default" w:ascii="Times New Roman" w:hAnsi="Times New Roman" w:eastAsia="仿宋_GB2312" w:cs="Times New Roman"/>
          <w:sz w:val="32"/>
          <w:szCs w:val="32"/>
          <w:lang w:val="zh-CN" w:eastAsia="zh-CN"/>
        </w:rPr>
        <w:t>定期与项目负责人沟通，了解项目进展情况，及时发现问题并解决。对项目的支出和预期效益进行评估分析，比较实际支出与预算的差异，找出节约成本的方法。通过对项目的各个环节进行分析，识别潜在的风险和问题，并制定相应的应对措施。</w:t>
      </w:r>
    </w:p>
    <w:p w14:paraId="09E3B5F5">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楷体_GB2312" w:cs="Times New Roman"/>
          <w:color w:val="auto"/>
          <w:sz w:val="32"/>
          <w:szCs w:val="32"/>
          <w:lang w:val="en-US" w:eastAsia="zh-CN"/>
        </w:rPr>
        <w:t>项目实施。</w:t>
      </w:r>
      <w:r>
        <w:rPr>
          <w:rFonts w:hint="default" w:ascii="Times New Roman" w:hAnsi="Times New Roman" w:eastAsia="仿宋_GB2312" w:cs="Times New Roman"/>
          <w:sz w:val="32"/>
          <w:szCs w:val="32"/>
          <w:lang w:val="zh-CN" w:eastAsia="zh-CN"/>
        </w:rPr>
        <w:t>项目实施过程中，严格按照预定计划进行，通过精细化的进度管理确保了项目按时完成且成本控制在预算范围内。</w:t>
      </w:r>
    </w:p>
    <w:p w14:paraId="5091C746">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楷体_GB2312" w:cs="Times New Roman"/>
          <w:color w:val="auto"/>
          <w:sz w:val="32"/>
          <w:szCs w:val="32"/>
          <w:lang w:val="en-US" w:eastAsia="zh-CN"/>
        </w:rPr>
        <w:t>项目结果。</w:t>
      </w:r>
      <w:r>
        <w:rPr>
          <w:rFonts w:hint="default" w:ascii="Times New Roman" w:hAnsi="Times New Roman" w:eastAsia="仿宋_GB2312" w:cs="Times New Roman"/>
          <w:sz w:val="32"/>
          <w:szCs w:val="32"/>
          <w:lang w:val="en-US" w:eastAsia="zh-CN"/>
        </w:rPr>
        <w:t>完成四川钛米科技有限公司收储费用支付工作，加快推进攀西工业强区”建设，优化土地资源利用，充分激发土地资源效益，满足格里坪特色产业园区规划调整和招商引资落户企业用地需要。</w:t>
      </w:r>
    </w:p>
    <w:p w14:paraId="7EC64B8F">
      <w:pPr>
        <w:keepNext w:val="0"/>
        <w:keepLines w:val="0"/>
        <w:pageBreakBefore w:val="0"/>
        <w:widowControl w:val="0"/>
        <w:kinsoku/>
        <w:wordWrap/>
        <w:overflowPunct/>
        <w:topLinePunct w:val="0"/>
        <w:autoSpaceDE/>
        <w:autoSpaceDN/>
        <w:bidi w:val="0"/>
        <w:adjustRightInd/>
        <w:snapToGrid/>
        <w:spacing w:line="520" w:lineRule="atLeast"/>
        <w:ind w:firstLine="643"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color w:val="auto"/>
          <w:sz w:val="32"/>
          <w:szCs w:val="32"/>
          <w:highlight w:val="none"/>
          <w:u w:val="none"/>
          <w:lang w:val="zh-CN" w:eastAsia="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color w:val="auto"/>
          <w:sz w:val="32"/>
          <w:szCs w:val="32"/>
          <w:highlight w:val="none"/>
          <w:u w:val="none"/>
          <w:lang w:val="zh-CN" w:eastAsia="zh-CN"/>
        </w:rPr>
        <w:t>绩效分析。</w:t>
      </w:r>
      <w:r>
        <w:rPr>
          <w:rFonts w:hint="default" w:ascii="Times New Roman" w:hAnsi="Times New Roman" w:eastAsia="仿宋_GB2312" w:cs="Times New Roman"/>
          <w:sz w:val="32"/>
          <w:szCs w:val="32"/>
          <w:lang w:val="zh-CN" w:eastAsia="zh-CN"/>
        </w:rPr>
        <w:t>根据</w:t>
      </w:r>
      <w:r>
        <w:rPr>
          <w:rFonts w:hint="default" w:ascii="Times New Roman" w:hAnsi="Times New Roman" w:eastAsia="仿宋_GB2312" w:cs="Times New Roman"/>
          <w:sz w:val="32"/>
          <w:szCs w:val="32"/>
          <w:lang w:val="en-US" w:eastAsia="zh-CN"/>
        </w:rPr>
        <w:t>专项预算项目资金支持对象选择所属指标进行绩效分析。支持对象</w:t>
      </w:r>
      <w:r>
        <w:rPr>
          <w:rFonts w:hint="default" w:ascii="Times New Roman" w:hAnsi="Times New Roman" w:eastAsia="仿宋_GB2312" w:cs="Times New Roman"/>
          <w:sz w:val="32"/>
          <w:szCs w:val="32"/>
          <w:lang w:val="zh-CN" w:eastAsia="zh-CN"/>
        </w:rPr>
        <w:t>包括产业发展、民生保障、基础设施、行政运转等方面。</w:t>
      </w:r>
    </w:p>
    <w:p w14:paraId="7A8DFF15">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楷体_GB2312" w:cs="Times New Roman"/>
          <w:color w:val="auto"/>
          <w:sz w:val="32"/>
          <w:szCs w:val="32"/>
          <w:lang w:val="en-US" w:eastAsia="zh-CN"/>
        </w:rPr>
        <w:t>产业发展。</w:t>
      </w:r>
      <w:r>
        <w:rPr>
          <w:rFonts w:hint="default" w:ascii="Times New Roman" w:hAnsi="Times New Roman" w:eastAsia="仿宋_GB2312" w:cs="Times New Roman"/>
          <w:sz w:val="32"/>
          <w:szCs w:val="32"/>
          <w:lang w:val="en-US" w:eastAsia="zh-CN"/>
        </w:rPr>
        <w:t>完成钛米科技73.96亩土地收储，为格里坪特色产业园区规划调整和招商引资落户企业用地需要提供生产要素保障，增加今后的财政收入。</w:t>
      </w:r>
    </w:p>
    <w:p w14:paraId="0CB1B9AE">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仿宋_GB2312" w:cs="Times New Roman"/>
          <w:sz w:val="32"/>
          <w:szCs w:val="32"/>
          <w:lang w:val="en-US" w:eastAsia="zh-CN"/>
        </w:rPr>
        <w:t>无。</w:t>
      </w:r>
    </w:p>
    <w:p w14:paraId="12B9B3BB">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楷体_GB2312" w:cs="Times New Roman"/>
          <w:color w:val="auto"/>
          <w:sz w:val="32"/>
          <w:szCs w:val="32"/>
          <w:lang w:val="en-US" w:eastAsia="zh-CN"/>
        </w:rPr>
        <w:t>基础设施</w:t>
      </w: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lang w:val="zh-CN" w:eastAsia="zh-CN"/>
        </w:rPr>
        <w:t>。</w:t>
      </w:r>
    </w:p>
    <w:p w14:paraId="289BCAAC">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default" w:ascii="Times New Roman" w:hAnsi="Times New Roman" w:eastAsia="仿宋_GB2312" w:cs="Times New Roman"/>
          <w:sz w:val="32"/>
          <w:szCs w:val="32"/>
          <w:lang w:val="en-US" w:eastAsia="zh-CN"/>
        </w:rPr>
        <w:t>满足招商引资项目用地需要</w:t>
      </w:r>
      <w:r>
        <w:rPr>
          <w:rFonts w:hint="default" w:ascii="Times New Roman" w:hAnsi="Times New Roman" w:eastAsia="仿宋_GB2312" w:cs="Times New Roman"/>
          <w:sz w:val="32"/>
          <w:szCs w:val="32"/>
          <w:lang w:val="zh-CN" w:eastAsia="zh-CN"/>
        </w:rPr>
        <w:t>。</w:t>
      </w:r>
    </w:p>
    <w:p w14:paraId="4CADAD43">
      <w:pPr>
        <w:keepNext w:val="0"/>
        <w:keepLines w:val="0"/>
        <w:pageBreakBefore w:val="0"/>
        <w:widowControl w:val="0"/>
        <w:kinsoku/>
        <w:wordWrap/>
        <w:overflowPunct/>
        <w:topLinePunct w:val="0"/>
        <w:autoSpaceDE/>
        <w:autoSpaceDN/>
        <w:bidi w:val="0"/>
        <w:adjustRightInd/>
        <w:snapToGrid/>
        <w:spacing w:line="520" w:lineRule="atLeas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color w:val="auto"/>
          <w:sz w:val="32"/>
          <w:szCs w:val="32"/>
          <w:highlight w:val="none"/>
          <w:u w:val="none"/>
          <w:lang w:val="zh-CN" w:eastAsia="zh-CN"/>
        </w:rPr>
        <w:t>绩效分析。</w:t>
      </w:r>
    </w:p>
    <w:p w14:paraId="7EFCEA6E">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完成钛米科技73.96亩土地收储的总体绩效目标为支付完成相关费用后清理、交付土地工作，加快推动“攀西工业强区”建设，优化土地资源利用，充分激发土地资源效益，满足招商引资项目用地需要。</w:t>
      </w:r>
    </w:p>
    <w:p w14:paraId="075609E7">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四、评价结论</w:t>
      </w:r>
    </w:p>
    <w:p w14:paraId="1A150FCE">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完成钛米科技73.96亩土地收储，为格里坪特色产业园区规划调整和招商引资落户企业提供生产要素保障，为政府供应土地提供必要保障，促进西区发展。预期产出和效果能满足需求、不需要核减预算安排并支持政策出台、持续、保留或项目新增的意见。综合评估得分与评估等级较高。</w:t>
      </w:r>
    </w:p>
    <w:p w14:paraId="50984808">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3835FAF8">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14326088">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2F5A1A8B">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7C951B45">
      <w:pPr>
        <w:rPr>
          <w:rFonts w:hint="default" w:ascii="Times New Roman" w:hAnsi="Times New Roman" w:cs="Times New Roman"/>
          <w:lang w:val="zh-CN"/>
        </w:rPr>
      </w:pPr>
    </w:p>
    <w:p w14:paraId="27E54FF8">
      <w:pPr>
        <w:pStyle w:val="22"/>
        <w:rPr>
          <w:rFonts w:hint="default" w:ascii="Times New Roman" w:hAnsi="Times New Roman" w:cs="Times New Roman"/>
          <w:lang w:val="zh-CN"/>
        </w:rPr>
      </w:pPr>
    </w:p>
    <w:p w14:paraId="32B58229">
      <w:pPr>
        <w:rPr>
          <w:rFonts w:hint="default" w:ascii="Times New Roman" w:hAnsi="Times New Roman" w:cs="Times New Roman"/>
          <w:lang w:val="zh-CN"/>
        </w:rPr>
      </w:pPr>
    </w:p>
    <w:p w14:paraId="76F67FB6">
      <w:pPr>
        <w:pStyle w:val="22"/>
        <w:rPr>
          <w:rFonts w:hint="default" w:ascii="Times New Roman" w:hAnsi="Times New Roman" w:cs="Times New Roman"/>
          <w:lang w:val="zh-CN"/>
        </w:rPr>
      </w:pPr>
    </w:p>
    <w:p w14:paraId="4B729C13">
      <w:pPr>
        <w:rPr>
          <w:rFonts w:hint="default" w:ascii="Times New Roman" w:hAnsi="Times New Roman" w:cs="Times New Roman"/>
          <w:lang w:val="zh-CN"/>
        </w:rPr>
      </w:pPr>
    </w:p>
    <w:p w14:paraId="4BC691B6">
      <w:pPr>
        <w:pStyle w:val="22"/>
        <w:rPr>
          <w:rFonts w:hint="default" w:ascii="Times New Roman" w:hAnsi="Times New Roman" w:cs="Times New Roman"/>
          <w:lang w:val="zh-CN"/>
        </w:rPr>
      </w:pPr>
    </w:p>
    <w:p w14:paraId="3FC3915E">
      <w:pPr>
        <w:rPr>
          <w:rFonts w:hint="default" w:ascii="Times New Roman" w:hAnsi="Times New Roman" w:cs="Times New Roman"/>
          <w:lang w:val="zh-CN"/>
        </w:rPr>
      </w:pPr>
    </w:p>
    <w:p w14:paraId="7F6C7BA8">
      <w:pPr>
        <w:pStyle w:val="22"/>
        <w:rPr>
          <w:rFonts w:hint="default" w:ascii="Times New Roman" w:hAnsi="Times New Roman" w:cs="Times New Roman"/>
          <w:lang w:val="zh-CN"/>
        </w:rPr>
      </w:pPr>
    </w:p>
    <w:p w14:paraId="33649598">
      <w:pPr>
        <w:rPr>
          <w:rFonts w:hint="default" w:ascii="Times New Roman" w:hAnsi="Times New Roman" w:cs="Times New Roman"/>
          <w:lang w:val="zh-CN"/>
        </w:rPr>
      </w:pPr>
    </w:p>
    <w:p w14:paraId="0A2460D3">
      <w:pPr>
        <w:pStyle w:val="22"/>
        <w:rPr>
          <w:rFonts w:hint="default" w:ascii="Times New Roman" w:hAnsi="Times New Roman" w:cs="Times New Roman"/>
          <w:lang w:val="zh-CN"/>
        </w:rPr>
      </w:pPr>
    </w:p>
    <w:p w14:paraId="7CF30333">
      <w:pPr>
        <w:rPr>
          <w:rFonts w:hint="default" w:ascii="Times New Roman" w:hAnsi="Times New Roman" w:cs="Times New Roman"/>
          <w:lang w:val="zh-CN"/>
        </w:rPr>
      </w:pPr>
    </w:p>
    <w:p w14:paraId="474333D1">
      <w:pPr>
        <w:pStyle w:val="22"/>
        <w:rPr>
          <w:rFonts w:hint="default" w:ascii="Times New Roman" w:hAnsi="Times New Roman" w:cs="Times New Roman"/>
          <w:lang w:val="zh-CN"/>
        </w:rPr>
      </w:pPr>
    </w:p>
    <w:p w14:paraId="60985286">
      <w:pPr>
        <w:rPr>
          <w:rFonts w:hint="default" w:ascii="Times New Roman" w:hAnsi="Times New Roman" w:cs="Times New Roman"/>
          <w:lang w:val="zh-CN"/>
        </w:rPr>
      </w:pPr>
    </w:p>
    <w:p w14:paraId="52C26F5B">
      <w:pPr>
        <w:pStyle w:val="22"/>
        <w:rPr>
          <w:rFonts w:hint="default" w:ascii="Times New Roman" w:hAnsi="Times New Roman" w:cs="Times New Roman"/>
          <w:lang w:val="zh-CN"/>
        </w:rPr>
      </w:pPr>
    </w:p>
    <w:p w14:paraId="1454CD7A">
      <w:pPr>
        <w:rPr>
          <w:rFonts w:hint="default" w:ascii="Times New Roman" w:hAnsi="Times New Roman" w:cs="Times New Roman"/>
          <w:lang w:val="zh-CN"/>
        </w:rPr>
      </w:pPr>
    </w:p>
    <w:p w14:paraId="7F73DDC4">
      <w:pPr>
        <w:pStyle w:val="22"/>
        <w:rPr>
          <w:rFonts w:hint="default" w:ascii="Times New Roman" w:hAnsi="Times New Roman" w:cs="Times New Roman"/>
          <w:lang w:val="zh-CN"/>
        </w:rPr>
      </w:pPr>
    </w:p>
    <w:p w14:paraId="72D0CB37">
      <w:pPr>
        <w:rPr>
          <w:rFonts w:hint="default" w:ascii="Times New Roman" w:hAnsi="Times New Roman" w:cs="Times New Roman"/>
          <w:lang w:val="zh-CN"/>
        </w:rPr>
      </w:pPr>
    </w:p>
    <w:p w14:paraId="7593D1B6">
      <w:pPr>
        <w:pStyle w:val="22"/>
        <w:rPr>
          <w:rFonts w:hint="default" w:ascii="Times New Roman" w:hAnsi="Times New Roman" w:cs="Times New Roman"/>
          <w:lang w:val="zh-CN"/>
        </w:rPr>
      </w:pPr>
    </w:p>
    <w:p w14:paraId="3E835553">
      <w:pPr>
        <w:rPr>
          <w:rFonts w:hint="default" w:ascii="Times New Roman" w:hAnsi="Times New Roman" w:cs="Times New Roman"/>
          <w:lang w:val="zh-CN"/>
        </w:rPr>
      </w:pPr>
    </w:p>
    <w:p w14:paraId="74E75FA3">
      <w:pPr>
        <w:pStyle w:val="22"/>
        <w:rPr>
          <w:rFonts w:hint="default" w:ascii="Times New Roman" w:hAnsi="Times New Roman" w:cs="Times New Roman"/>
          <w:lang w:val="zh-CN"/>
        </w:rPr>
      </w:pPr>
    </w:p>
    <w:p w14:paraId="000378CF">
      <w:pPr>
        <w:rPr>
          <w:rFonts w:hint="default" w:ascii="Times New Roman" w:hAnsi="Times New Roman" w:cs="Times New Roman"/>
          <w:lang w:val="zh-CN"/>
        </w:rPr>
      </w:pPr>
    </w:p>
    <w:p w14:paraId="6D5B8759">
      <w:pPr>
        <w:pStyle w:val="22"/>
        <w:rPr>
          <w:rFonts w:hint="default" w:ascii="Times New Roman" w:hAnsi="Times New Roman" w:cs="Times New Roman"/>
          <w:lang w:val="zh-CN"/>
        </w:rPr>
      </w:pPr>
    </w:p>
    <w:p w14:paraId="1ED730C1">
      <w:pPr>
        <w:rPr>
          <w:rFonts w:hint="default" w:ascii="Times New Roman" w:hAnsi="Times New Roman" w:cs="Times New Roman"/>
          <w:lang w:val="zh-CN"/>
        </w:rPr>
      </w:pPr>
    </w:p>
    <w:p w14:paraId="085ABCBE">
      <w:pPr>
        <w:pStyle w:val="22"/>
        <w:rPr>
          <w:rFonts w:hint="default" w:ascii="Times New Roman" w:hAnsi="Times New Roman" w:cs="Times New Roman"/>
          <w:lang w:val="zh-CN"/>
        </w:rPr>
      </w:pPr>
    </w:p>
    <w:p w14:paraId="57E66FAF">
      <w:pPr>
        <w:rPr>
          <w:rFonts w:hint="default" w:ascii="Times New Roman" w:hAnsi="Times New Roman" w:cs="Times New Roman"/>
          <w:lang w:val="zh-CN"/>
        </w:rPr>
      </w:pPr>
    </w:p>
    <w:p w14:paraId="2A5D5C6E">
      <w:pPr>
        <w:spacing w:line="600" w:lineRule="exact"/>
        <w:jc w:val="center"/>
        <w:outlineLvl w:val="0"/>
        <w:rPr>
          <w:rFonts w:hint="default" w:ascii="Times New Roman" w:hAnsi="Times New Roman" w:eastAsia="方正小标宋简体" w:cs="Times New Roman"/>
          <w:sz w:val="40"/>
          <w:szCs w:val="40"/>
          <w:lang w:val="zh-CN"/>
        </w:rPr>
      </w:pPr>
      <w:r>
        <w:rPr>
          <w:rFonts w:hint="default" w:ascii="Times New Roman" w:hAnsi="Times New Roman" w:eastAsia="方正小标宋简体" w:cs="Times New Roman"/>
          <w:sz w:val="40"/>
          <w:szCs w:val="40"/>
          <w:lang w:val="zh-CN"/>
        </w:rPr>
        <w:t>金帆工贸龙洞175.09亩土地补偿费</w:t>
      </w:r>
    </w:p>
    <w:p w14:paraId="2F8DB004">
      <w:pPr>
        <w:spacing w:line="600" w:lineRule="exact"/>
        <w:jc w:val="center"/>
        <w:outlineLvl w:val="0"/>
        <w:rPr>
          <w:rFonts w:hint="default" w:ascii="Times New Roman" w:hAnsi="Times New Roman" w:cs="Times New Roman"/>
          <w:sz w:val="32"/>
          <w:szCs w:val="32"/>
          <w:lang w:val="zh-CN"/>
        </w:rPr>
      </w:pPr>
      <w:r>
        <w:rPr>
          <w:rFonts w:hint="default" w:ascii="Times New Roman" w:hAnsi="Times New Roman" w:eastAsia="方正小标宋简体" w:cs="Times New Roman"/>
          <w:sz w:val="40"/>
          <w:szCs w:val="40"/>
          <w:lang w:val="zh-CN"/>
        </w:rPr>
        <w:t>专项预算项目支出绩效自评报告</w:t>
      </w:r>
    </w:p>
    <w:p w14:paraId="5239065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rPr>
      </w:pPr>
    </w:p>
    <w:p w14:paraId="14822AE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041ABC7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7733E5FC">
      <w:pPr>
        <w:pStyle w:val="16"/>
        <w:widowControl/>
        <w:spacing w:beforeAutospacing="0" w:afterAutospacing="0" w:line="353"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为优化土地资源利用，充分激发土地资源效益，满足西区工业园区发展和招商引资落户企业用地需要，区土地储备</w:t>
      </w:r>
      <w:r>
        <w:rPr>
          <w:rFonts w:ascii="Times New Roman" w:hAnsi="Times New Roman" w:eastAsia="仿宋_GB2312"/>
          <w:color w:val="000000"/>
          <w:sz w:val="32"/>
          <w:szCs w:val="32"/>
        </w:rPr>
        <w:t>中心收储了攀枝花市金帆工贸有限责任公司（以下简称金帆工贸）龙洞</w:t>
      </w:r>
      <w:r>
        <w:rPr>
          <w:rFonts w:ascii="Times New Roman" w:hAnsi="Times New Roman" w:eastAsia="仿宋_GB2312"/>
          <w:sz w:val="32"/>
          <w:szCs w:val="32"/>
        </w:rPr>
        <w:t>175.09亩宗地</w:t>
      </w:r>
      <w:r>
        <w:rPr>
          <w:rFonts w:ascii="Times New Roman" w:hAnsi="Times New Roman" w:eastAsia="仿宋_GB2312"/>
          <w:color w:val="000000"/>
          <w:sz w:val="32"/>
          <w:szCs w:val="32"/>
        </w:rPr>
        <w:t>。2022年9月15日，区土地储备中心与金帆工贸</w:t>
      </w:r>
      <w:r>
        <w:rPr>
          <w:rFonts w:ascii="Times New Roman" w:hAnsi="Times New Roman" w:eastAsia="仿宋_GB2312"/>
          <w:sz w:val="32"/>
          <w:szCs w:val="32"/>
        </w:rPr>
        <w:t>签订了</w:t>
      </w:r>
      <w:r>
        <w:rPr>
          <w:rFonts w:ascii="Times New Roman" w:hAnsi="Times New Roman" w:eastAsia="仿宋_GB2312"/>
          <w:color w:val="000000"/>
          <w:sz w:val="32"/>
          <w:szCs w:val="32"/>
        </w:rPr>
        <w:t>金帆工贸龙洞</w:t>
      </w:r>
      <w:r>
        <w:rPr>
          <w:rFonts w:ascii="Times New Roman" w:hAnsi="Times New Roman" w:eastAsia="仿宋_GB2312"/>
          <w:sz w:val="32"/>
          <w:szCs w:val="32"/>
        </w:rPr>
        <w:t>116728.89</w:t>
      </w:r>
      <w:r>
        <w:rPr>
          <w:rFonts w:ascii="Times New Roman" w:hAnsi="Times New Roman" w:eastAsia="Segoe UI Symbol"/>
          <w:sz w:val="32"/>
          <w:szCs w:val="32"/>
        </w:rPr>
        <w:t>㎡</w:t>
      </w:r>
      <w:r>
        <w:rPr>
          <w:rFonts w:ascii="Times New Roman" w:hAnsi="Times New Roman" w:eastAsia="仿宋_GB2312"/>
          <w:sz w:val="32"/>
          <w:szCs w:val="32"/>
        </w:rPr>
        <w:t>（约175.09亩）宗地的《土地收储补偿协议书》（以下简称《协议》），《协议》约定</w:t>
      </w:r>
      <w:r>
        <w:rPr>
          <w:rFonts w:ascii="Times New Roman" w:hAnsi="Times New Roman" w:eastAsia="仿宋_GB2312"/>
          <w:color w:val="000000"/>
          <w:sz w:val="32"/>
          <w:szCs w:val="32"/>
        </w:rPr>
        <w:t>区土地储备中心</w:t>
      </w:r>
      <w:r>
        <w:rPr>
          <w:rFonts w:ascii="Times New Roman" w:hAnsi="Times New Roman" w:eastAsia="仿宋_GB2312"/>
          <w:sz w:val="32"/>
          <w:szCs w:val="32"/>
        </w:rPr>
        <w:t>向</w:t>
      </w:r>
      <w:r>
        <w:rPr>
          <w:rFonts w:ascii="Times New Roman" w:hAnsi="Times New Roman" w:eastAsia="仿宋_GB2312"/>
          <w:color w:val="000000"/>
          <w:sz w:val="32"/>
          <w:szCs w:val="32"/>
        </w:rPr>
        <w:t>金帆工贸</w:t>
      </w:r>
      <w:r>
        <w:rPr>
          <w:rFonts w:ascii="Times New Roman" w:hAnsi="Times New Roman" w:eastAsia="仿宋_GB2312"/>
          <w:sz w:val="32"/>
          <w:szCs w:val="32"/>
        </w:rPr>
        <w:t>支付收储土地补偿款</w:t>
      </w:r>
      <w:r>
        <w:rPr>
          <w:rFonts w:hint="eastAsia" w:ascii="Times New Roman" w:hAnsi="Times New Roman" w:eastAsia="仿宋_GB2312"/>
          <w:sz w:val="32"/>
          <w:szCs w:val="32"/>
        </w:rPr>
        <w:t>2276.17</w:t>
      </w:r>
      <w:r>
        <w:rPr>
          <w:rFonts w:ascii="Times New Roman" w:hAnsi="Times New Roman" w:eastAsia="仿宋_GB2312"/>
          <w:sz w:val="32"/>
          <w:szCs w:val="32"/>
        </w:rPr>
        <w:t>万元。</w:t>
      </w:r>
    </w:p>
    <w:p w14:paraId="3EB65E9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00051F2A">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根据区土地储备中心职能职责，负责全区的土地收储工作，为政府供应土地提供必要保障。</w:t>
      </w:r>
    </w:p>
    <w:p w14:paraId="2E684FF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57551F23">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项目资金主要来源于区级自然资源海洋气象等支出资金。资金分配按照项目实施方案和预算计划进行，确保各项实施内容得到落实。</w:t>
      </w:r>
    </w:p>
    <w:p w14:paraId="5904FD69">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14:paraId="5D5506F2">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为加快推动“攀西工业强区”建设，优化土地资源利用，充分激发土地资源效益，满足招商引资项目（化成箔）用地需要。</w:t>
      </w:r>
    </w:p>
    <w:p w14:paraId="71E327B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6226E69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281E084E">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按计划储备土地，有效推进西区建设，促进西区高质量发展，在节约集约用地的同时，为经济发展提供用地保障，促进经济社会可持续发展。</w:t>
      </w:r>
    </w:p>
    <w:p w14:paraId="7B9363E0">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 w:val="0"/>
          <w:bCs w:val="0"/>
          <w:kern w:val="0"/>
          <w:position w:val="0"/>
          <w:sz w:val="32"/>
          <w:szCs w:val="32"/>
          <w:highlight w:val="none"/>
          <w:lang w:val="zh-CN" w:eastAsia="zh-CN" w:bidi="ar-SA"/>
        </w:rPr>
        <w:t>无。</w:t>
      </w:r>
    </w:p>
    <w:p w14:paraId="4F8CB16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kern w:val="0"/>
          <w:position w:val="0"/>
          <w:sz w:val="32"/>
          <w:szCs w:val="32"/>
          <w:highlight w:val="none"/>
          <w:lang w:val="zh-CN" w:eastAsia="zh-CN" w:bidi="ar-SA"/>
        </w:rPr>
        <w:t>对项目实施成果报告进行审查。</w:t>
      </w:r>
    </w:p>
    <w:p w14:paraId="2864E556">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 w:val="0"/>
          <w:bCs w:val="0"/>
          <w:kern w:val="0"/>
          <w:position w:val="0"/>
          <w:sz w:val="32"/>
          <w:szCs w:val="32"/>
          <w:highlight w:val="none"/>
          <w:lang w:val="zh-CN" w:eastAsia="zh-CN" w:bidi="ar-SA"/>
        </w:rPr>
        <w:t>单位自评法、实地勘察法、座谈调研法。</w:t>
      </w:r>
    </w:p>
    <w:p w14:paraId="30ECFF89">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Cs/>
          <w:lang w:eastAsia="zh-CN"/>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 w:val="0"/>
          <w:bCs w:val="0"/>
          <w:kern w:val="0"/>
          <w:position w:val="0"/>
          <w:sz w:val="32"/>
          <w:szCs w:val="32"/>
          <w:highlight w:val="none"/>
          <w:lang w:val="zh-CN" w:eastAsia="zh-CN" w:bidi="ar-SA"/>
        </w:rPr>
        <w:t>按照要求组成成果报告专家评审组对其进行审查。</w:t>
      </w:r>
    </w:p>
    <w:p w14:paraId="22127697">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66459D8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6F42937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812A935">
      <w:pPr>
        <w:spacing w:line="500" w:lineRule="exact"/>
        <w:ind w:firstLine="640" w:firstLineChars="200"/>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仿宋_GB2312" w:cs="Times New Roman"/>
          <w:b w:val="0"/>
          <w:bCs w:val="0"/>
          <w:color w:val="auto"/>
          <w:kern w:val="0"/>
          <w:position w:val="0"/>
          <w:sz w:val="32"/>
          <w:szCs w:val="32"/>
          <w:highlight w:val="none"/>
          <w:lang w:val="en-US" w:eastAsia="zh-CN" w:bidi="ar-SA"/>
        </w:rPr>
        <w:t>按计划储备土地，有效推进西区建设，促进西区高质量发展，在节约集约用地的同时，为经济发展提供用地保障，促进经济社会可持续发展</w:t>
      </w:r>
      <w:r>
        <w:rPr>
          <w:rFonts w:hint="default" w:ascii="Times New Roman" w:hAnsi="Times New Roman" w:eastAsia="仿宋_GB2312" w:cs="Times New Roman"/>
          <w:sz w:val="32"/>
          <w:szCs w:val="32"/>
        </w:rPr>
        <w:t>。</w:t>
      </w:r>
    </w:p>
    <w:p w14:paraId="21F68BE7">
      <w:pPr>
        <w:pStyle w:val="6"/>
        <w:spacing w:before="93"/>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default" w:ascii="Times New Roman" w:hAnsi="Times New Roman" w:eastAsia="仿宋_GB2312" w:cs="Times New Roman"/>
          <w:b w:val="0"/>
          <w:bCs w:val="0"/>
          <w:color w:val="auto"/>
          <w:kern w:val="0"/>
          <w:position w:val="0"/>
          <w:sz w:val="32"/>
          <w:szCs w:val="32"/>
          <w:highlight w:val="none"/>
          <w:lang w:val="zh-CN" w:eastAsia="zh-CN" w:bidi="ar-SA"/>
        </w:rPr>
        <w:t>定期与项目负责人沟通，了解项目进展情况，及时发现问题并解决。对项目的支出和预期效益进行评估分析，比较实际支出与预算的差异，找出节约成本的方法。通过对项目的各个环节进行分析，识别潜在的风险和问题，并制定相应的应对措施。</w:t>
      </w:r>
    </w:p>
    <w:p w14:paraId="394E2F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b w:val="0"/>
          <w:bCs w:val="0"/>
          <w:color w:val="auto"/>
          <w:kern w:val="0"/>
          <w:position w:val="0"/>
          <w:sz w:val="32"/>
          <w:szCs w:val="32"/>
          <w:highlight w:val="none"/>
          <w:lang w:val="zh-CN" w:eastAsia="zh-CN" w:bidi="ar-SA"/>
        </w:rPr>
        <w:t>项目实施过程中，严格按照预定计划进行，通过精细化的进度管理确保了项目按时完成且成本控制在预算范围内。</w:t>
      </w:r>
    </w:p>
    <w:p w14:paraId="3149A33C">
      <w:pPr>
        <w:spacing w:line="353" w:lineRule="auto"/>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default" w:ascii="Times New Roman" w:hAnsi="Times New Roman" w:eastAsia="仿宋_GB2312" w:cs="Times New Roman"/>
          <w:b w:val="0"/>
          <w:bCs w:val="0"/>
          <w:color w:val="auto"/>
          <w:kern w:val="0"/>
          <w:position w:val="0"/>
          <w:sz w:val="32"/>
          <w:szCs w:val="32"/>
          <w:highlight w:val="none"/>
          <w:lang w:val="en-US" w:eastAsia="zh-CN" w:bidi="ar-SA"/>
        </w:rPr>
        <w:t>为优化土地资源利用，充分激发土地资源效益，满足西区工业园区发展和招商引资落户企业用地需要，根据规划及区政府批复开展土地收储工作。</w:t>
      </w:r>
    </w:p>
    <w:p w14:paraId="690CB77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color w:val="auto"/>
          <w:kern w:val="0"/>
          <w:position w:val="0"/>
          <w:sz w:val="32"/>
          <w:szCs w:val="32"/>
          <w:highlight w:val="none"/>
          <w:lang w:val="zh-CN" w:eastAsia="zh-CN" w:bidi="ar-SA"/>
        </w:rPr>
        <w:t>根据</w:t>
      </w:r>
      <w:r>
        <w:rPr>
          <w:rFonts w:hint="default" w:ascii="Times New Roman" w:hAnsi="Times New Roman" w:eastAsia="仿宋_GB2312" w:cs="Times New Roman"/>
          <w:b w:val="0"/>
          <w:bCs w:val="0"/>
          <w:color w:val="auto"/>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color w:val="auto"/>
          <w:kern w:val="0"/>
          <w:position w:val="0"/>
          <w:sz w:val="32"/>
          <w:szCs w:val="32"/>
          <w:highlight w:val="none"/>
          <w:lang w:val="zh-CN" w:eastAsia="zh-CN" w:bidi="ar-SA"/>
        </w:rPr>
        <w:t>包括产业发展、民生保障、基础设施、行政运转等方面。</w:t>
      </w:r>
    </w:p>
    <w:p w14:paraId="393C3ED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1.产业发展。</w:t>
      </w:r>
      <w:r>
        <w:rPr>
          <w:rFonts w:hint="default" w:ascii="Times New Roman" w:hAnsi="Times New Roman" w:eastAsia="仿宋_GB2312" w:cs="Times New Roman"/>
          <w:b w:val="0"/>
          <w:bCs w:val="0"/>
          <w:color w:val="auto"/>
          <w:kern w:val="0"/>
          <w:position w:val="0"/>
          <w:sz w:val="32"/>
          <w:szCs w:val="32"/>
          <w:highlight w:val="none"/>
          <w:lang w:val="en-US" w:eastAsia="zh-CN" w:bidi="ar-SA"/>
        </w:rPr>
        <w:t>完成金帆工贸175.09亩土地收储，为引进40条化成箔生产线项目提供生产要素保障，增加今后的财政收入。</w:t>
      </w:r>
    </w:p>
    <w:p w14:paraId="6172E880">
      <w:pPr>
        <w:keepNext w:val="0"/>
        <w:keepLines w:val="0"/>
        <w:pageBreakBefore w:val="0"/>
        <w:kinsoku/>
        <w:wordWrap/>
        <w:overflowPunct/>
        <w:topLinePunct w:val="0"/>
        <w:autoSpaceDE/>
        <w:autoSpaceDN/>
        <w:bidi w:val="0"/>
        <w:adjustRightInd/>
        <w:snapToGrid/>
        <w:spacing w:beforeAutospacing="0" w:afterAutospacing="0" w:line="353" w:lineRule="auto"/>
        <w:ind w:firstLine="64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仿宋_GB2312" w:cs="Times New Roman"/>
          <w:sz w:val="32"/>
          <w:szCs w:val="32"/>
        </w:rPr>
        <w:t>保障项目建设，促进西区发展</w:t>
      </w:r>
      <w:r>
        <w:rPr>
          <w:rFonts w:hint="default" w:ascii="Times New Roman" w:hAnsi="Times New Roman" w:eastAsia="仿宋_GB2312" w:cs="Times New Roman"/>
          <w:sz w:val="32"/>
          <w:szCs w:val="32"/>
          <w:lang w:eastAsia="zh-CN"/>
        </w:rPr>
        <w:t>。</w:t>
      </w:r>
    </w:p>
    <w:p w14:paraId="05BC055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307294C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default" w:ascii="Times New Roman" w:hAnsi="Times New Roman" w:eastAsia="仿宋_GB2312" w:cs="Times New Roman"/>
          <w:sz w:val="32"/>
          <w:szCs w:val="32"/>
          <w:lang w:val="en-US" w:eastAsia="zh-CN"/>
        </w:rPr>
        <w:t>完成金帆工贸175.09亩土地收储工作</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602C4AB9">
      <w:pPr>
        <w:adjustRightInd w:val="0"/>
        <w:snapToGrid w:val="0"/>
        <w:spacing w:line="578" w:lineRule="exact"/>
        <w:ind w:firstLine="72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2F98C49">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金帆工贸175.09亩土地收储工作，根据中心职能职责，负责全区的土地收储工作，为政府供应土地提供必要保障。</w:t>
      </w:r>
    </w:p>
    <w:p w14:paraId="0292322F">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2E3289AF">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完成完成金帆工贸175.09亩土地收储，为引进40条化成箔生产线项目提供生产要素保障，为政府供应土地提供必要保障，促进西区发展。预期产出和效果能满足需求、不需要核减预算安排并支持政策出台、持续、保留或项目新增的意见。综合评估得分与评估等级较高。</w:t>
      </w:r>
    </w:p>
    <w:p w14:paraId="28010574">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69002841">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35E880A9">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1FEA3BCA">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71ABE3CB">
      <w:pPr>
        <w:pStyle w:val="22"/>
        <w:rPr>
          <w:rStyle w:val="31"/>
          <w:rFonts w:hint="default" w:ascii="Times New Roman" w:hAnsi="Times New Roman" w:eastAsia="黑体" w:cs="Times New Roman"/>
          <w:b w:val="0"/>
        </w:rPr>
      </w:pPr>
    </w:p>
    <w:p w14:paraId="5E0465BF">
      <w:pPr>
        <w:pStyle w:val="6"/>
        <w:rPr>
          <w:rFonts w:hint="default" w:ascii="Times New Roman" w:hAnsi="Times New Roman" w:eastAsia="仿宋_GB2312" w:cs="Times New Roman"/>
          <w:sz w:val="32"/>
          <w:szCs w:val="32"/>
        </w:rPr>
      </w:pPr>
    </w:p>
    <w:p w14:paraId="7F180A5A">
      <w:pPr>
        <w:spacing w:line="600" w:lineRule="exact"/>
        <w:outlineLvl w:val="0"/>
        <w:rPr>
          <w:rStyle w:val="31"/>
          <w:rFonts w:hint="default" w:ascii="Times New Roman" w:hAnsi="Times New Roman" w:eastAsia="黑体" w:cs="Times New Roman"/>
          <w:b w:val="0"/>
        </w:rPr>
      </w:pPr>
    </w:p>
    <w:p w14:paraId="5B0524C9">
      <w:pPr>
        <w:spacing w:line="600" w:lineRule="exact"/>
        <w:outlineLvl w:val="0"/>
        <w:rPr>
          <w:rStyle w:val="31"/>
          <w:rFonts w:hint="default" w:ascii="Times New Roman" w:hAnsi="Times New Roman" w:eastAsia="黑体" w:cs="Times New Roman"/>
          <w:b w:val="0"/>
        </w:rPr>
      </w:pPr>
    </w:p>
    <w:p w14:paraId="0B06EBDD">
      <w:pPr>
        <w:spacing w:line="600" w:lineRule="exact"/>
        <w:outlineLvl w:val="0"/>
        <w:rPr>
          <w:rStyle w:val="31"/>
          <w:rFonts w:hint="default" w:ascii="Times New Roman" w:hAnsi="Times New Roman" w:eastAsia="黑体" w:cs="Times New Roman"/>
          <w:b w:val="0"/>
        </w:rPr>
      </w:pPr>
    </w:p>
    <w:p w14:paraId="0BF7BBB5">
      <w:pPr>
        <w:spacing w:line="600" w:lineRule="exact"/>
        <w:outlineLvl w:val="0"/>
        <w:rPr>
          <w:rStyle w:val="31"/>
          <w:rFonts w:hint="default" w:ascii="Times New Roman" w:hAnsi="Times New Roman" w:eastAsia="黑体" w:cs="Times New Roman"/>
          <w:b w:val="0"/>
        </w:rPr>
      </w:pPr>
    </w:p>
    <w:p w14:paraId="4DAC938C">
      <w:pPr>
        <w:spacing w:line="600" w:lineRule="exact"/>
        <w:outlineLvl w:val="0"/>
        <w:rPr>
          <w:rStyle w:val="31"/>
          <w:rFonts w:hint="default" w:ascii="Times New Roman" w:hAnsi="Times New Roman" w:eastAsia="黑体" w:cs="Times New Roman"/>
          <w:b w:val="0"/>
        </w:rPr>
      </w:pPr>
    </w:p>
    <w:p w14:paraId="728CC894">
      <w:pPr>
        <w:spacing w:line="600" w:lineRule="exact"/>
        <w:outlineLvl w:val="0"/>
        <w:rPr>
          <w:rStyle w:val="31"/>
          <w:rFonts w:hint="default" w:ascii="Times New Roman" w:hAnsi="Times New Roman" w:eastAsia="黑体" w:cs="Times New Roman"/>
          <w:b w:val="0"/>
        </w:rPr>
      </w:pPr>
    </w:p>
    <w:p w14:paraId="0BAC7552">
      <w:pPr>
        <w:spacing w:line="600" w:lineRule="exact"/>
        <w:outlineLvl w:val="0"/>
        <w:rPr>
          <w:rStyle w:val="31"/>
          <w:rFonts w:hint="default" w:ascii="Times New Roman" w:hAnsi="Times New Roman" w:eastAsia="黑体" w:cs="Times New Roman"/>
          <w:b w:val="0"/>
        </w:rPr>
      </w:pPr>
    </w:p>
    <w:p w14:paraId="7D8AC51B">
      <w:pPr>
        <w:pStyle w:val="22"/>
        <w:rPr>
          <w:rStyle w:val="31"/>
          <w:rFonts w:hint="default" w:ascii="Times New Roman" w:hAnsi="Times New Roman" w:eastAsia="黑体" w:cs="Times New Roman"/>
          <w:b w:val="0"/>
        </w:rPr>
      </w:pPr>
    </w:p>
    <w:p w14:paraId="351C3721">
      <w:pPr>
        <w:rPr>
          <w:rStyle w:val="31"/>
          <w:rFonts w:hint="default" w:ascii="Times New Roman" w:hAnsi="Times New Roman" w:eastAsia="黑体" w:cs="Times New Roman"/>
          <w:b w:val="0"/>
        </w:rPr>
      </w:pPr>
    </w:p>
    <w:p w14:paraId="6F929497">
      <w:pPr>
        <w:pStyle w:val="22"/>
        <w:rPr>
          <w:rStyle w:val="31"/>
          <w:rFonts w:hint="default" w:ascii="Times New Roman" w:hAnsi="Times New Roman" w:eastAsia="黑体" w:cs="Times New Roman"/>
          <w:b w:val="0"/>
        </w:rPr>
      </w:pPr>
    </w:p>
    <w:p w14:paraId="64C09282">
      <w:pPr>
        <w:rPr>
          <w:rStyle w:val="31"/>
          <w:rFonts w:hint="default" w:ascii="Times New Roman" w:hAnsi="Times New Roman" w:eastAsia="黑体" w:cs="Times New Roman"/>
          <w:b w:val="0"/>
        </w:rPr>
      </w:pPr>
    </w:p>
    <w:p w14:paraId="35677580">
      <w:pPr>
        <w:pStyle w:val="22"/>
        <w:rPr>
          <w:rFonts w:hint="default"/>
        </w:rPr>
      </w:pPr>
    </w:p>
    <w:p w14:paraId="04D7279D">
      <w:pPr>
        <w:pStyle w:val="6"/>
        <w:rPr>
          <w:rStyle w:val="31"/>
          <w:rFonts w:hint="default" w:ascii="Times New Roman" w:hAnsi="Times New Roman" w:eastAsia="黑体" w:cs="Times New Roman"/>
          <w:b w:val="0"/>
        </w:rPr>
      </w:pPr>
    </w:p>
    <w:p w14:paraId="498B3042">
      <w:pPr>
        <w:spacing w:line="600" w:lineRule="exact"/>
        <w:jc w:val="center"/>
        <w:outlineLvl w:val="0"/>
        <w:rPr>
          <w:rFonts w:hint="default" w:ascii="Times New Roman" w:hAnsi="Times New Roman" w:eastAsia="方正小标宋简体" w:cs="Times New Roman"/>
          <w:sz w:val="40"/>
          <w:szCs w:val="40"/>
          <w:lang w:val="zh-CN"/>
        </w:rPr>
      </w:pPr>
      <w:r>
        <w:rPr>
          <w:rFonts w:hint="default" w:ascii="Times New Roman" w:hAnsi="Times New Roman" w:eastAsia="方正小标宋简体" w:cs="Times New Roman"/>
          <w:sz w:val="40"/>
          <w:szCs w:val="40"/>
          <w:lang w:val="zh-CN"/>
        </w:rPr>
        <w:t>西区循环经济园区物流大道工程</w:t>
      </w:r>
    </w:p>
    <w:p w14:paraId="62D5C0D1">
      <w:pPr>
        <w:spacing w:line="600" w:lineRule="exact"/>
        <w:jc w:val="center"/>
        <w:outlineLvl w:val="0"/>
        <w:rPr>
          <w:rFonts w:hint="default" w:ascii="Times New Roman" w:hAnsi="Times New Roman" w:cs="Times New Roman"/>
          <w:sz w:val="32"/>
          <w:szCs w:val="32"/>
          <w:lang w:val="zh-CN"/>
        </w:rPr>
      </w:pPr>
      <w:r>
        <w:rPr>
          <w:rFonts w:hint="default" w:ascii="Times New Roman" w:hAnsi="Times New Roman" w:eastAsia="方正小标宋简体" w:cs="Times New Roman"/>
          <w:sz w:val="40"/>
          <w:szCs w:val="40"/>
          <w:lang w:val="zh-CN"/>
        </w:rPr>
        <w:t>专项预算项目支出绩效自评报告</w:t>
      </w:r>
    </w:p>
    <w:p w14:paraId="46053A1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rPr>
      </w:pPr>
    </w:p>
    <w:p w14:paraId="660AF3B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1B369C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556A5F4D">
      <w:pPr>
        <w:snapToGrid w:val="0"/>
        <w:spacing w:line="600" w:lineRule="exact"/>
        <w:ind w:firstLine="640" w:firstLineChars="200"/>
        <w:rPr>
          <w:rFonts w:hint="eastAsia" w:ascii="Times New Roman" w:hAnsi="Times New Roman"/>
          <w:szCs w:val="32"/>
          <w:u w:val="none"/>
          <w:lang w:val="en-US" w:eastAsia="zh-CN"/>
        </w:rPr>
      </w:pPr>
      <w:r>
        <w:rPr>
          <w:rFonts w:hint="default" w:ascii="Times New Roman" w:hAnsi="Times New Roman" w:eastAsia="仿宋_GB2312" w:cs="Times New Roman"/>
          <w:sz w:val="32"/>
          <w:szCs w:val="32"/>
        </w:rPr>
        <w:t>西区循环经济园区物流大道工程项目（苦荞至金沙滩段美丽乡村路建设项目）新建道路</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rPr>
        <w:t>2.3公里，与金沙江漂流基地沿江快速通道和已建成的格里坪工业园区物流大道相连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总占地面积约95亩，其中，约79亩已于2017年开展了征收工作（部分补偿及安置已完成），约16亩为道路线型调整新增土地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自</w:t>
      </w:r>
      <w:r>
        <w:rPr>
          <w:rFonts w:hint="default" w:ascii="Times New Roman" w:hAnsi="Times New Roman" w:eastAsia="仿宋_GB2312" w:cs="Times New Roman"/>
          <w:sz w:val="32"/>
          <w:szCs w:val="32"/>
        </w:rPr>
        <w:t>2017年开展</w:t>
      </w:r>
      <w:r>
        <w:rPr>
          <w:rFonts w:hint="eastAsia" w:ascii="Times New Roman" w:hAnsi="Times New Roman" w:eastAsia="仿宋_GB2312" w:cs="Times New Roman"/>
          <w:sz w:val="32"/>
          <w:szCs w:val="32"/>
          <w:lang w:val="en-US" w:eastAsia="zh-CN"/>
        </w:rPr>
        <w:t>土地征收工作以来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仅支付</w:t>
      </w:r>
      <w:r>
        <w:rPr>
          <w:rFonts w:hint="default" w:ascii="Times New Roman" w:hAnsi="Times New Roman" w:eastAsia="仿宋_GB2312" w:cs="Times New Roman"/>
          <w:sz w:val="32"/>
          <w:szCs w:val="32"/>
        </w:rPr>
        <w:t>10万元</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w:t>
      </w:r>
      <w:r>
        <w:rPr>
          <w:rFonts w:hint="eastAsia" w:ascii="Times New Roman" w:hAnsi="Times New Roman" w:eastAsia="仿宋_GB2312" w:cs="Times New Roman"/>
          <w:sz w:val="32"/>
          <w:szCs w:val="32"/>
          <w:lang w:val="en-US" w:eastAsia="zh-CN"/>
        </w:rPr>
        <w:t>下</w:t>
      </w:r>
      <w:r>
        <w:rPr>
          <w:rFonts w:hint="default" w:ascii="Times New Roman" w:hAnsi="Times New Roman" w:eastAsia="仿宋_GB2312" w:cs="Times New Roman"/>
          <w:sz w:val="32"/>
          <w:szCs w:val="32"/>
        </w:rPr>
        <w:t>的房屋补偿</w:t>
      </w:r>
      <w:r>
        <w:rPr>
          <w:rFonts w:hint="eastAsia" w:ascii="Times New Roman" w:eastAsia="仿宋_GB2312" w:cs="Times New Roman"/>
          <w:sz w:val="32"/>
          <w:szCs w:val="32"/>
          <w:lang w:val="en-US" w:eastAsia="zh-CN"/>
        </w:rPr>
        <w:t>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还有部分余款未发放。</w:t>
      </w:r>
      <w:r>
        <w:rPr>
          <w:rFonts w:hint="eastAsia" w:ascii="Times New Roman" w:hAnsi="Times New Roman" w:eastAsia="仿宋_GB2312" w:cs="Times New Roman"/>
          <w:sz w:val="32"/>
          <w:szCs w:val="32"/>
          <w:lang w:val="en-US" w:eastAsia="zh-CN"/>
        </w:rPr>
        <w:t>根据2023年5月4日印发的</w:t>
      </w:r>
      <w:r>
        <w:rPr>
          <w:rFonts w:hint="eastAsia" w:ascii="Times New Roman" w:hAnsi="Times New Roman" w:eastAsia="仿宋_GB2312" w:cs="Times New Roman"/>
          <w:sz w:val="32"/>
          <w:szCs w:val="32"/>
          <w:lang w:eastAsia="zh-CN"/>
        </w:rPr>
        <w:t>《攀枝花市西区人民政府办公室关于印发＜格里坪工业园区物流大道、污水处理厂、干箐路项目农村集体土地征收及房屋拆迁补偿安置方案的补充方案＞的通知》（攀西府办函〔2023〕5号）</w:t>
      </w:r>
      <w:r>
        <w:rPr>
          <w:rFonts w:hint="eastAsia" w:ascii="Times New Roman" w:eastAsia="仿宋_GB2312" w:cs="Times New Roman"/>
          <w:sz w:val="32"/>
          <w:szCs w:val="32"/>
          <w:lang w:val="en-US" w:eastAsia="zh-CN"/>
        </w:rPr>
        <w:t>测算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完成项目用地范围内的农村集体土地征收补偿安置工作共需资金991万元</w:t>
      </w:r>
      <w:r>
        <w:rPr>
          <w:rFonts w:hint="eastAsia" w:ascii="Times New Roman" w:hAnsi="Times New Roman"/>
          <w:szCs w:val="32"/>
          <w:u w:val="none"/>
          <w:lang w:val="en-US" w:eastAsia="zh-CN"/>
        </w:rPr>
        <w:t>。</w:t>
      </w:r>
    </w:p>
    <w:p w14:paraId="75B9B88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04D667C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根据攀枝花市西区土地储备中心职能职责，负责全区农村集体土地的征收拆迁补偿安置、收购及储备等事务性工作。</w:t>
      </w:r>
    </w:p>
    <w:p w14:paraId="45D9167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320" w:firstLineChars="100"/>
        <w:contextualSpacing/>
        <w:jc w:val="left"/>
        <w:textAlignment w:val="auto"/>
        <w:rPr>
          <w:rFonts w:hint="default"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仿宋_GB2312"/>
          <w:sz w:val="32"/>
          <w:szCs w:val="32"/>
          <w:lang w:val="en-US" w:eastAsia="zh-CN"/>
        </w:rPr>
        <w:t xml:space="preserve">  </w:t>
      </w: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3B0DC3D0">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项目资金主要来源于区级自然资源海洋气象等支出资金。资金分配按照项目实施方案和预算计划进行，确保各项实施内容得到落实。</w:t>
      </w:r>
    </w:p>
    <w:p w14:paraId="2BB04C65">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14:paraId="7D0F4416">
      <w:pPr>
        <w:snapToGrid w:val="0"/>
        <w:spacing w:line="600" w:lineRule="exact"/>
        <w:ind w:firstLine="640" w:firstLineChars="200"/>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为营造良好投资环境，有效推进西区建设，根据规划及区政府工作安排开展</w:t>
      </w:r>
      <w:r>
        <w:rPr>
          <w:rFonts w:hint="default" w:ascii="Times New Roman" w:hAnsi="Times New Roman" w:eastAsia="仿宋_GB2312" w:cs="Times New Roman"/>
          <w:sz w:val="32"/>
          <w:szCs w:val="32"/>
        </w:rPr>
        <w:t>西区循环经济园区物流大道工程项目（苦荞至金沙滩段美丽乡村路建设项目）新建道路</w:t>
      </w:r>
      <w:r>
        <w:rPr>
          <w:rFonts w:hint="eastAsia" w:ascii="Times New Roman" w:hAnsi="Times New Roman" w:eastAsia="仿宋_GB2312" w:cs="Times New Roman"/>
          <w:sz w:val="32"/>
          <w:szCs w:val="32"/>
          <w:lang w:val="en-US" w:eastAsia="zh-CN"/>
        </w:rPr>
        <w:t>约</w:t>
      </w:r>
      <w:r>
        <w:rPr>
          <w:rFonts w:hint="default" w:ascii="Times New Roman" w:hAnsi="Times New Roman" w:eastAsia="仿宋_GB2312" w:cs="Times New Roman"/>
          <w:sz w:val="32"/>
          <w:szCs w:val="32"/>
        </w:rPr>
        <w:t>2.3公里，与金沙江漂流基地沿江快速通道和已建成的格里坪工业园区物流大道相连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总占地面积约95亩，其中，约79亩已于2017年开展了征收工作（部分补偿及安置已完成），约16亩为道路线型调整新增土地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自</w:t>
      </w:r>
      <w:r>
        <w:rPr>
          <w:rFonts w:hint="default" w:ascii="Times New Roman" w:hAnsi="Times New Roman" w:eastAsia="仿宋_GB2312" w:cs="Times New Roman"/>
          <w:sz w:val="32"/>
          <w:szCs w:val="32"/>
        </w:rPr>
        <w:t>2017年开展</w:t>
      </w:r>
      <w:r>
        <w:rPr>
          <w:rFonts w:hint="eastAsia" w:ascii="Times New Roman" w:hAnsi="Times New Roman" w:eastAsia="仿宋_GB2312" w:cs="Times New Roman"/>
          <w:sz w:val="32"/>
          <w:szCs w:val="32"/>
          <w:lang w:val="en-US" w:eastAsia="zh-CN"/>
        </w:rPr>
        <w:t>土地征收工作以来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仅支付</w:t>
      </w:r>
      <w:r>
        <w:rPr>
          <w:rFonts w:hint="default" w:ascii="Times New Roman" w:hAnsi="Times New Roman" w:eastAsia="仿宋_GB2312" w:cs="Times New Roman"/>
          <w:sz w:val="32"/>
          <w:szCs w:val="32"/>
        </w:rPr>
        <w:t>10万元</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以</w:t>
      </w:r>
      <w:r>
        <w:rPr>
          <w:rFonts w:hint="eastAsia" w:ascii="Times New Roman" w:hAnsi="Times New Roman" w:eastAsia="仿宋_GB2312" w:cs="Times New Roman"/>
          <w:sz w:val="32"/>
          <w:szCs w:val="32"/>
          <w:lang w:val="en-US" w:eastAsia="zh-CN"/>
        </w:rPr>
        <w:t>下</w:t>
      </w:r>
      <w:r>
        <w:rPr>
          <w:rFonts w:hint="default" w:ascii="Times New Roman" w:hAnsi="Times New Roman" w:eastAsia="仿宋_GB2312" w:cs="Times New Roman"/>
          <w:sz w:val="32"/>
          <w:szCs w:val="32"/>
        </w:rPr>
        <w:t>的房屋补偿</w:t>
      </w:r>
      <w:r>
        <w:rPr>
          <w:rFonts w:hint="eastAsia" w:ascii="Times New Roman" w:eastAsia="仿宋_GB2312" w:cs="Times New Roman"/>
          <w:sz w:val="32"/>
          <w:szCs w:val="32"/>
          <w:lang w:val="en-US" w:eastAsia="zh-CN"/>
        </w:rPr>
        <w:t>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还有部分余款未发放。</w:t>
      </w:r>
      <w:r>
        <w:rPr>
          <w:rFonts w:hint="eastAsia" w:ascii="Times New Roman" w:hAnsi="Times New Roman" w:eastAsia="仿宋_GB2312" w:cs="Times New Roman"/>
          <w:sz w:val="32"/>
          <w:szCs w:val="32"/>
          <w:lang w:val="en-US" w:eastAsia="zh-CN"/>
        </w:rPr>
        <w:t>根据2023年5月4日印发的</w:t>
      </w:r>
      <w:r>
        <w:rPr>
          <w:rFonts w:hint="eastAsia" w:ascii="Times New Roman" w:hAnsi="Times New Roman" w:eastAsia="仿宋_GB2312" w:cs="Times New Roman"/>
          <w:sz w:val="32"/>
          <w:szCs w:val="32"/>
          <w:lang w:eastAsia="zh-CN"/>
        </w:rPr>
        <w:t>《攀枝花市西区人民政府办公室关于印发＜格里坪工业园区物流大道、污水处理厂、干箐路项目农村集体土地征收及房屋拆迁补偿安置方案的补充方案＞的通知》（攀西府办函〔2023〕5号）</w:t>
      </w:r>
      <w:r>
        <w:rPr>
          <w:rFonts w:hint="eastAsia" w:ascii="Times New Roman" w:eastAsia="仿宋_GB2312" w:cs="Times New Roman"/>
          <w:sz w:val="32"/>
          <w:szCs w:val="32"/>
          <w:lang w:val="en-US" w:eastAsia="zh-CN"/>
        </w:rPr>
        <w:t>测算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完成项目用地范围内的农村集体土地征收补偿安置工作共需资金991万元</w:t>
      </w:r>
      <w:r>
        <w:rPr>
          <w:rFonts w:hint="eastAsia" w:ascii="Times New Roman" w:hAnsi="Times New Roman"/>
          <w:szCs w:val="32"/>
          <w:u w:val="none"/>
          <w:lang w:val="en-US" w:eastAsia="zh-CN"/>
        </w:rPr>
        <w:t>。</w:t>
      </w:r>
    </w:p>
    <w:p w14:paraId="64F9D6F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0CC6E57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124C11BA">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为改善人居生活环境，提高</w:t>
      </w:r>
      <w:r>
        <w:rPr>
          <w:rFonts w:hint="eastAsia" w:eastAsia="仿宋_GB2312" w:cs="Times New Roman"/>
          <w:b w:val="0"/>
          <w:bCs w:val="0"/>
          <w:color w:val="auto"/>
          <w:kern w:val="0"/>
          <w:position w:val="0"/>
          <w:sz w:val="32"/>
          <w:szCs w:val="32"/>
          <w:highlight w:val="none"/>
          <w:lang w:val="en-US" w:eastAsia="zh-CN" w:bidi="ar-SA"/>
        </w:rPr>
        <w:t>园区企业通行条件</w:t>
      </w:r>
      <w:r>
        <w:rPr>
          <w:rFonts w:hint="default" w:ascii="Times New Roman" w:hAnsi="Times New Roman" w:eastAsia="仿宋_GB2312" w:cs="Times New Roman"/>
          <w:b w:val="0"/>
          <w:bCs w:val="0"/>
          <w:color w:val="auto"/>
          <w:kern w:val="0"/>
          <w:position w:val="0"/>
          <w:sz w:val="32"/>
          <w:szCs w:val="32"/>
          <w:highlight w:val="none"/>
          <w:lang w:val="en-US" w:eastAsia="zh-CN" w:bidi="ar-SA"/>
        </w:rPr>
        <w:t>。对</w:t>
      </w:r>
      <w:r>
        <w:rPr>
          <w:rFonts w:hint="eastAsia" w:eastAsia="仿宋_GB2312" w:cs="Times New Roman"/>
          <w:b w:val="0"/>
          <w:bCs w:val="0"/>
          <w:color w:val="auto"/>
          <w:kern w:val="0"/>
          <w:position w:val="0"/>
          <w:sz w:val="32"/>
          <w:szCs w:val="32"/>
          <w:highlight w:val="none"/>
          <w:lang w:val="en-US" w:eastAsia="zh-CN" w:bidi="ar-SA"/>
        </w:rPr>
        <w:t>农村集体</w:t>
      </w:r>
      <w:r>
        <w:rPr>
          <w:rFonts w:hint="default" w:ascii="Times New Roman" w:hAnsi="Times New Roman" w:eastAsia="仿宋_GB2312" w:cs="Times New Roman"/>
          <w:b w:val="0"/>
          <w:bCs w:val="0"/>
          <w:color w:val="auto"/>
          <w:kern w:val="0"/>
          <w:position w:val="0"/>
          <w:sz w:val="32"/>
          <w:szCs w:val="32"/>
          <w:highlight w:val="none"/>
          <w:lang w:val="en-US" w:eastAsia="zh-CN" w:bidi="ar-SA"/>
        </w:rPr>
        <w:t>土地上房屋征收</w:t>
      </w:r>
      <w:r>
        <w:rPr>
          <w:rFonts w:hint="eastAsia" w:eastAsia="仿宋_GB2312" w:cs="Times New Roman"/>
          <w:b w:val="0"/>
          <w:bCs w:val="0"/>
          <w:color w:val="auto"/>
          <w:kern w:val="0"/>
          <w:position w:val="0"/>
          <w:sz w:val="32"/>
          <w:szCs w:val="32"/>
          <w:highlight w:val="none"/>
          <w:lang w:val="en-US" w:eastAsia="zh-CN" w:bidi="ar-SA"/>
        </w:rPr>
        <w:t>与</w:t>
      </w:r>
      <w:r>
        <w:rPr>
          <w:rFonts w:hint="default" w:ascii="Times New Roman" w:hAnsi="Times New Roman" w:eastAsia="仿宋_GB2312" w:cs="Times New Roman"/>
          <w:b w:val="0"/>
          <w:bCs w:val="0"/>
          <w:color w:val="auto"/>
          <w:kern w:val="0"/>
          <w:position w:val="0"/>
          <w:sz w:val="32"/>
          <w:szCs w:val="32"/>
          <w:highlight w:val="none"/>
          <w:lang w:val="en-US" w:eastAsia="zh-CN" w:bidi="ar-SA"/>
        </w:rPr>
        <w:t>补偿、人员安置等工作。</w:t>
      </w:r>
    </w:p>
    <w:p w14:paraId="5F8A6A6B">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 w:val="0"/>
          <w:bCs w:val="0"/>
          <w:kern w:val="0"/>
          <w:position w:val="0"/>
          <w:sz w:val="32"/>
          <w:szCs w:val="32"/>
          <w:highlight w:val="none"/>
          <w:lang w:val="zh-CN" w:eastAsia="zh-CN" w:bidi="ar-SA"/>
        </w:rPr>
        <w:t>无。</w:t>
      </w:r>
    </w:p>
    <w:p w14:paraId="7BCFD9F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kern w:val="0"/>
          <w:position w:val="0"/>
          <w:sz w:val="32"/>
          <w:szCs w:val="32"/>
          <w:highlight w:val="none"/>
          <w:lang w:val="zh-CN" w:eastAsia="zh-CN" w:bidi="ar-SA"/>
        </w:rPr>
        <w:t>对项目实施成果报告进行审查。</w:t>
      </w:r>
    </w:p>
    <w:p w14:paraId="66787FA1">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 w:val="0"/>
          <w:bCs w:val="0"/>
          <w:kern w:val="0"/>
          <w:position w:val="0"/>
          <w:sz w:val="32"/>
          <w:szCs w:val="32"/>
          <w:highlight w:val="none"/>
          <w:lang w:val="zh-CN" w:eastAsia="zh-CN" w:bidi="ar-SA"/>
        </w:rPr>
        <w:t>单位自评法、实地勘察法、座谈调研法。</w:t>
      </w:r>
    </w:p>
    <w:p w14:paraId="5FA4FCD5">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Cs/>
          <w:lang w:eastAsia="zh-CN"/>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 w:val="0"/>
          <w:bCs w:val="0"/>
          <w:kern w:val="0"/>
          <w:position w:val="0"/>
          <w:sz w:val="32"/>
          <w:szCs w:val="32"/>
          <w:highlight w:val="none"/>
          <w:lang w:val="zh-CN" w:eastAsia="zh-CN" w:bidi="ar-SA"/>
        </w:rPr>
        <w:t>按照要求组成成果报告专家评审组对其进行审查。</w:t>
      </w:r>
    </w:p>
    <w:p w14:paraId="7EAC6492">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729BA44F">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4C59B32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3434F65">
      <w:pPr>
        <w:spacing w:line="500" w:lineRule="exact"/>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仿宋_GB2312" w:cs="Times New Roman"/>
          <w:b w:val="0"/>
          <w:bCs w:val="0"/>
          <w:color w:val="auto"/>
          <w:kern w:val="0"/>
          <w:position w:val="0"/>
          <w:sz w:val="32"/>
          <w:szCs w:val="32"/>
          <w:highlight w:val="none"/>
          <w:lang w:val="en-US" w:eastAsia="zh-CN" w:bidi="ar-SA"/>
        </w:rPr>
        <w:t>根据区土地储备中心职能职责，负责全区</w:t>
      </w:r>
      <w:r>
        <w:rPr>
          <w:rFonts w:hint="eastAsia" w:eastAsia="仿宋_GB2312" w:cs="Times New Roman"/>
          <w:b w:val="0"/>
          <w:bCs w:val="0"/>
          <w:color w:val="auto"/>
          <w:kern w:val="0"/>
          <w:position w:val="0"/>
          <w:sz w:val="32"/>
          <w:szCs w:val="32"/>
          <w:highlight w:val="none"/>
          <w:lang w:val="en-US" w:eastAsia="zh-CN" w:bidi="ar-SA"/>
        </w:rPr>
        <w:t>国有土地上房屋</w:t>
      </w:r>
      <w:r>
        <w:rPr>
          <w:rFonts w:hint="default" w:ascii="Times New Roman" w:hAnsi="Times New Roman" w:eastAsia="仿宋_GB2312" w:cs="Times New Roman"/>
          <w:b w:val="0"/>
          <w:bCs w:val="0"/>
          <w:color w:val="auto"/>
          <w:kern w:val="0"/>
          <w:position w:val="0"/>
          <w:sz w:val="32"/>
          <w:szCs w:val="32"/>
          <w:highlight w:val="none"/>
          <w:lang w:val="en-US" w:eastAsia="zh-CN" w:bidi="ar-SA"/>
        </w:rPr>
        <w:t>征收</w:t>
      </w:r>
      <w:r>
        <w:rPr>
          <w:rFonts w:hint="eastAsia" w:eastAsia="仿宋_GB2312" w:cs="Times New Roman"/>
          <w:b w:val="0"/>
          <w:bCs w:val="0"/>
          <w:color w:val="auto"/>
          <w:kern w:val="0"/>
          <w:position w:val="0"/>
          <w:sz w:val="32"/>
          <w:szCs w:val="32"/>
          <w:highlight w:val="none"/>
          <w:lang w:val="en-US" w:eastAsia="zh-CN" w:bidi="ar-SA"/>
        </w:rPr>
        <w:t>与</w:t>
      </w:r>
      <w:r>
        <w:rPr>
          <w:rFonts w:hint="default" w:ascii="Times New Roman" w:hAnsi="Times New Roman" w:eastAsia="仿宋_GB2312" w:cs="Times New Roman"/>
          <w:b w:val="0"/>
          <w:bCs w:val="0"/>
          <w:color w:val="auto"/>
          <w:kern w:val="0"/>
          <w:position w:val="0"/>
          <w:sz w:val="32"/>
          <w:szCs w:val="32"/>
          <w:highlight w:val="none"/>
          <w:lang w:val="en-US" w:eastAsia="zh-CN" w:bidi="ar-SA"/>
        </w:rPr>
        <w:t>补偿、收购及储备等事务性工作。</w:t>
      </w:r>
    </w:p>
    <w:p w14:paraId="60EE08A7">
      <w:pPr>
        <w:pStyle w:val="6"/>
        <w:spacing w:before="93"/>
        <w:ind w:firstLine="640" w:firstLineChars="200"/>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default" w:ascii="Times New Roman" w:hAnsi="Times New Roman" w:eastAsia="仿宋_GB2312" w:cs="Times New Roman"/>
          <w:b w:val="0"/>
          <w:bCs w:val="0"/>
          <w:color w:val="auto"/>
          <w:kern w:val="0"/>
          <w:position w:val="0"/>
          <w:sz w:val="32"/>
          <w:szCs w:val="32"/>
          <w:highlight w:val="none"/>
          <w:lang w:val="zh-CN" w:eastAsia="zh-CN" w:bidi="ar-SA"/>
        </w:rPr>
        <w:t>定期与项目负责人沟通，了解项目进展情况，及时发现问题并解决。对项目的支出和预期效益进行评估分析，比较实际支出与预算的差异，找出节约成本的方法。通过对项目的各个环节进行分析，识别潜在的风险和问题，并制定相应的应对措施。</w:t>
      </w:r>
    </w:p>
    <w:p w14:paraId="03130F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b w:val="0"/>
          <w:bCs w:val="0"/>
          <w:color w:val="auto"/>
          <w:kern w:val="0"/>
          <w:position w:val="0"/>
          <w:sz w:val="32"/>
          <w:szCs w:val="32"/>
          <w:highlight w:val="none"/>
          <w:lang w:val="zh-CN" w:eastAsia="zh-CN" w:bidi="ar-SA"/>
        </w:rPr>
        <w:t>项目实施过程中，严格按照预定计划进行，通过精细化的进度管理确保了项目按时完成且成本控制在预算范围内。</w:t>
      </w:r>
    </w:p>
    <w:p w14:paraId="7A9C00B8">
      <w:pPr>
        <w:spacing w:line="353" w:lineRule="auto"/>
        <w:ind w:firstLine="640" w:firstLineChars="200"/>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default" w:ascii="Times New Roman" w:hAnsi="Times New Roman" w:eastAsia="仿宋_GB2312" w:cs="Times New Roman"/>
          <w:b w:val="0"/>
          <w:bCs w:val="0"/>
          <w:color w:val="auto"/>
          <w:kern w:val="0"/>
          <w:position w:val="0"/>
          <w:sz w:val="32"/>
          <w:szCs w:val="32"/>
          <w:highlight w:val="none"/>
          <w:lang w:val="en-US" w:eastAsia="zh-CN" w:bidi="ar-SA"/>
        </w:rPr>
        <w:t>为改善人居生活环境，提高西区城市品质，维护西区社会和谐稳定。</w:t>
      </w:r>
    </w:p>
    <w:p w14:paraId="1E04EC4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color w:val="auto"/>
          <w:kern w:val="0"/>
          <w:position w:val="0"/>
          <w:sz w:val="32"/>
          <w:szCs w:val="32"/>
          <w:highlight w:val="none"/>
          <w:lang w:val="zh-CN" w:eastAsia="zh-CN" w:bidi="ar-SA"/>
        </w:rPr>
        <w:t>根据</w:t>
      </w:r>
      <w:r>
        <w:rPr>
          <w:rFonts w:hint="default" w:ascii="Times New Roman" w:hAnsi="Times New Roman" w:eastAsia="仿宋_GB2312" w:cs="Times New Roman"/>
          <w:b w:val="0"/>
          <w:bCs w:val="0"/>
          <w:color w:val="auto"/>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color w:val="auto"/>
          <w:kern w:val="0"/>
          <w:position w:val="0"/>
          <w:sz w:val="32"/>
          <w:szCs w:val="32"/>
          <w:highlight w:val="none"/>
          <w:lang w:val="zh-CN" w:eastAsia="zh-CN" w:bidi="ar-SA"/>
        </w:rPr>
        <w:t>包括产业发展、民生保障、基础设施、行政运转等方面。</w:t>
      </w:r>
    </w:p>
    <w:p w14:paraId="108C302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1.产业发展。</w:t>
      </w:r>
      <w:r>
        <w:rPr>
          <w:rFonts w:hint="default" w:ascii="Times New Roman" w:hAnsi="Times New Roman" w:eastAsia="仿宋_GB2312" w:cs="Times New Roman"/>
          <w:sz w:val="32"/>
          <w:szCs w:val="32"/>
        </w:rPr>
        <w:t>做好</w:t>
      </w:r>
      <w:r>
        <w:rPr>
          <w:rFonts w:hint="eastAsia" w:eastAsia="仿宋_GB2312" w:cs="Times New Roman"/>
          <w:sz w:val="32"/>
          <w:szCs w:val="32"/>
          <w:lang w:val="en-US" w:eastAsia="zh-CN"/>
        </w:rPr>
        <w:t>农村集体</w:t>
      </w:r>
      <w:r>
        <w:rPr>
          <w:rFonts w:hint="default" w:ascii="Times New Roman" w:hAnsi="Times New Roman" w:eastAsia="仿宋_GB2312" w:cs="Times New Roman"/>
          <w:sz w:val="32"/>
          <w:szCs w:val="32"/>
          <w:lang w:val="en-US" w:eastAsia="zh-CN"/>
        </w:rPr>
        <w:t>土地上房屋征收</w:t>
      </w:r>
      <w:r>
        <w:rPr>
          <w:rFonts w:hint="eastAsia" w:eastAsia="仿宋_GB2312" w:cs="Times New Roman"/>
          <w:sz w:val="32"/>
          <w:szCs w:val="32"/>
          <w:lang w:val="en-US" w:eastAsia="zh-CN"/>
        </w:rPr>
        <w:t>与</w:t>
      </w:r>
      <w:r>
        <w:rPr>
          <w:rFonts w:hint="default" w:ascii="Times New Roman" w:hAnsi="Times New Roman" w:eastAsia="仿宋_GB2312" w:cs="Times New Roman"/>
          <w:sz w:val="32"/>
          <w:szCs w:val="32"/>
          <w:lang w:val="en-US" w:eastAsia="zh-CN"/>
        </w:rPr>
        <w:t>补偿、人员安置等</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val="en-US" w:eastAsia="zh-CN"/>
        </w:rPr>
        <w:t>是</w:t>
      </w:r>
      <w:r>
        <w:rPr>
          <w:rFonts w:hint="eastAsia" w:eastAsia="仿宋_GB2312" w:cs="Times New Roman"/>
          <w:sz w:val="32"/>
          <w:szCs w:val="32"/>
          <w:lang w:val="en-US" w:eastAsia="zh-CN"/>
        </w:rPr>
        <w:t>支付</w:t>
      </w:r>
      <w:r>
        <w:rPr>
          <w:rFonts w:hint="eastAsia" w:ascii="Times New Roman" w:hAnsi="Times New Roman" w:eastAsia="仿宋_GB2312" w:cs="Times New Roman"/>
          <w:sz w:val="32"/>
          <w:szCs w:val="32"/>
          <w:lang w:eastAsia="zh-CN"/>
        </w:rPr>
        <w:t>房屋拆迁补偿安置</w:t>
      </w:r>
      <w:r>
        <w:rPr>
          <w:rFonts w:hint="default" w:ascii="Times New Roman" w:hAnsi="Times New Roman" w:eastAsia="仿宋_GB2312" w:cs="Times New Roman"/>
          <w:sz w:val="32"/>
          <w:szCs w:val="32"/>
          <w:lang w:eastAsia="zh-CN"/>
        </w:rPr>
        <w:t>。</w:t>
      </w:r>
    </w:p>
    <w:p w14:paraId="4CB6A6C8">
      <w:pPr>
        <w:keepNext w:val="0"/>
        <w:keepLines w:val="0"/>
        <w:pageBreakBefore w:val="0"/>
        <w:kinsoku/>
        <w:wordWrap/>
        <w:overflowPunct/>
        <w:topLinePunct w:val="0"/>
        <w:autoSpaceDE/>
        <w:autoSpaceDN/>
        <w:bidi w:val="0"/>
        <w:adjustRightInd/>
        <w:snapToGrid/>
        <w:spacing w:beforeAutospacing="0" w:afterAutospacing="0" w:line="353" w:lineRule="auto"/>
        <w:ind w:firstLine="64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仿宋_GB2312" w:cs="Times New Roman"/>
          <w:sz w:val="32"/>
          <w:szCs w:val="32"/>
          <w:lang w:val="en-US" w:eastAsia="zh-CN"/>
        </w:rPr>
        <w:t>维护西区社会和谐稳定</w:t>
      </w:r>
      <w:r>
        <w:rPr>
          <w:rFonts w:hint="default" w:ascii="Times New Roman" w:hAnsi="Times New Roman" w:eastAsia="仿宋_GB2312" w:cs="Times New Roman"/>
          <w:sz w:val="32"/>
          <w:szCs w:val="32"/>
          <w:lang w:eastAsia="zh-CN"/>
        </w:rPr>
        <w:t>。</w:t>
      </w:r>
    </w:p>
    <w:p w14:paraId="7F32DC74">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7EC4C68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default" w:ascii="Times New Roman" w:hAnsi="Times New Roman" w:eastAsia="仿宋_GB2312" w:cs="Times New Roman"/>
          <w:snapToGrid/>
          <w:spacing w:val="0"/>
          <w:sz w:val="32"/>
          <w:szCs w:val="32"/>
          <w:lang w:eastAsia="zh-CN"/>
        </w:rPr>
        <w:t>完成</w:t>
      </w:r>
      <w:r>
        <w:rPr>
          <w:rFonts w:hint="eastAsia" w:eastAsia="仿宋_GB2312" w:cs="Times New Roman"/>
          <w:sz w:val="32"/>
          <w:szCs w:val="32"/>
          <w:lang w:val="en-US" w:eastAsia="zh-CN"/>
        </w:rPr>
        <w:t>农村集体</w:t>
      </w:r>
      <w:r>
        <w:rPr>
          <w:rFonts w:hint="default" w:ascii="Times New Roman" w:hAnsi="Times New Roman" w:eastAsia="仿宋_GB2312" w:cs="Times New Roman"/>
          <w:sz w:val="32"/>
          <w:szCs w:val="32"/>
          <w:lang w:eastAsia="zh-CN"/>
        </w:rPr>
        <w:t>土地上房屋</w:t>
      </w:r>
      <w:r>
        <w:rPr>
          <w:rFonts w:hint="eastAsia" w:eastAsia="仿宋_GB2312" w:cs="Times New Roman"/>
          <w:sz w:val="32"/>
          <w:szCs w:val="32"/>
          <w:lang w:val="en-US" w:eastAsia="zh-CN"/>
        </w:rPr>
        <w:t>拆迁补偿安置</w:t>
      </w:r>
      <w:r>
        <w:rPr>
          <w:rFonts w:hint="default" w:ascii="Times New Roman" w:hAnsi="Times New Roman" w:eastAsia="仿宋_GB2312" w:cs="Times New Roman"/>
          <w:sz w:val="32"/>
          <w:szCs w:val="32"/>
          <w:lang w:eastAsia="zh-CN"/>
        </w:rPr>
        <w:t>费发放</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19A43F67">
      <w:pPr>
        <w:adjustRightInd w:val="0"/>
        <w:snapToGrid w:val="0"/>
        <w:spacing w:line="578" w:lineRule="exact"/>
        <w:ind w:firstLine="72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B635361">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按计划征收土地，积极推动西区</w:t>
      </w:r>
      <w:r>
        <w:rPr>
          <w:rFonts w:hint="eastAsia" w:eastAsia="仿宋_GB2312" w:cs="Times New Roman"/>
          <w:b w:val="0"/>
          <w:bCs w:val="0"/>
          <w:color w:val="auto"/>
          <w:kern w:val="0"/>
          <w:position w:val="0"/>
          <w:sz w:val="32"/>
          <w:szCs w:val="32"/>
          <w:highlight w:val="none"/>
          <w:lang w:val="en-US" w:eastAsia="zh-CN" w:bidi="ar-SA"/>
        </w:rPr>
        <w:t>“</w:t>
      </w:r>
      <w:r>
        <w:rPr>
          <w:rFonts w:hint="default" w:ascii="Times New Roman" w:hAnsi="Times New Roman" w:eastAsia="仿宋_GB2312" w:cs="Times New Roman"/>
          <w:b w:val="0"/>
          <w:bCs w:val="0"/>
          <w:color w:val="auto"/>
          <w:kern w:val="0"/>
          <w:position w:val="0"/>
          <w:sz w:val="32"/>
          <w:szCs w:val="32"/>
          <w:highlight w:val="none"/>
          <w:lang w:val="en-US" w:eastAsia="zh-CN" w:bidi="ar-SA"/>
        </w:rPr>
        <w:t>山水灵秀新城</w:t>
      </w:r>
      <w:r>
        <w:rPr>
          <w:rFonts w:hint="eastAsia" w:eastAsia="仿宋_GB2312" w:cs="Times New Roman"/>
          <w:b w:val="0"/>
          <w:bCs w:val="0"/>
          <w:color w:val="auto"/>
          <w:kern w:val="0"/>
          <w:position w:val="0"/>
          <w:sz w:val="32"/>
          <w:szCs w:val="32"/>
          <w:highlight w:val="none"/>
          <w:lang w:val="en-US" w:eastAsia="zh-CN" w:bidi="ar-SA"/>
        </w:rPr>
        <w:t>”</w:t>
      </w:r>
      <w:r>
        <w:rPr>
          <w:rFonts w:hint="default" w:ascii="Times New Roman" w:hAnsi="Times New Roman" w:eastAsia="仿宋_GB2312" w:cs="Times New Roman"/>
          <w:b w:val="0"/>
          <w:bCs w:val="0"/>
          <w:color w:val="auto"/>
          <w:kern w:val="0"/>
          <w:position w:val="0"/>
          <w:sz w:val="32"/>
          <w:szCs w:val="32"/>
          <w:highlight w:val="none"/>
          <w:lang w:val="en-US" w:eastAsia="zh-CN" w:bidi="ar-SA"/>
        </w:rPr>
        <w:t>建设，促进西区高质量发展，在节约集约用地的同时，为经济发展提供用地保障，促进经济社会可持续发展。</w:t>
      </w:r>
    </w:p>
    <w:p w14:paraId="6F5C1F5C">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6F5A1644">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eastAsia" w:eastAsia="仿宋_GB2312" w:cs="Times New Roman"/>
          <w:sz w:val="32"/>
          <w:szCs w:val="32"/>
          <w:lang w:val="en-US" w:eastAsia="zh-CN"/>
        </w:rPr>
        <w:t>拆迁补偿安置费支付</w:t>
      </w:r>
      <w:r>
        <w:rPr>
          <w:rFonts w:hint="default" w:ascii="Times New Roman" w:hAnsi="Times New Roman" w:eastAsia="仿宋_GB2312" w:cs="Times New Roman"/>
          <w:b w:val="0"/>
          <w:bCs w:val="0"/>
          <w:color w:val="auto"/>
          <w:kern w:val="0"/>
          <w:position w:val="0"/>
          <w:sz w:val="32"/>
          <w:szCs w:val="32"/>
          <w:highlight w:val="none"/>
          <w:lang w:val="en-US" w:eastAsia="zh-CN" w:bidi="ar-SA"/>
        </w:rPr>
        <w:t>是履行协议的要求，能有效地维护西区社会稳定，确保西区社会经济发展，预期产出和效果能满足需求、不需要核减预算安排并支持政策出台、持续、保留或项目新增的意见。综合评估得分与评估等级较高。</w:t>
      </w:r>
    </w:p>
    <w:p w14:paraId="26390870">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62637564">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63BDE7A5">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3E609E32">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21F651F5">
      <w:pPr>
        <w:spacing w:line="600" w:lineRule="exact"/>
        <w:outlineLvl w:val="0"/>
        <w:rPr>
          <w:rStyle w:val="31"/>
          <w:rFonts w:hint="default" w:ascii="Times New Roman" w:hAnsi="Times New Roman" w:eastAsia="黑体" w:cs="Times New Roman"/>
          <w:b w:val="0"/>
        </w:rPr>
      </w:pPr>
    </w:p>
    <w:p w14:paraId="54B261A5">
      <w:pPr>
        <w:spacing w:line="600" w:lineRule="exact"/>
        <w:jc w:val="both"/>
        <w:outlineLvl w:val="0"/>
        <w:rPr>
          <w:rFonts w:hint="default" w:ascii="Times New Roman" w:hAnsi="Times New Roman" w:eastAsia="方正小标宋简体" w:cs="Times New Roman"/>
          <w:sz w:val="40"/>
          <w:szCs w:val="40"/>
          <w:lang w:val="en-US" w:eastAsia="zh-CN"/>
        </w:rPr>
      </w:pPr>
    </w:p>
    <w:p w14:paraId="4B21FF14">
      <w:pPr>
        <w:spacing w:line="600" w:lineRule="exact"/>
        <w:jc w:val="center"/>
        <w:outlineLvl w:val="0"/>
        <w:rPr>
          <w:rFonts w:hint="default" w:ascii="Times New Roman" w:hAnsi="Times New Roman" w:eastAsia="方正小标宋简体" w:cs="Times New Roman"/>
          <w:sz w:val="40"/>
          <w:szCs w:val="40"/>
          <w:lang w:val="zh-CN"/>
        </w:rPr>
      </w:pPr>
      <w:r>
        <w:rPr>
          <w:rFonts w:hint="default" w:ascii="Times New Roman" w:hAnsi="Times New Roman" w:eastAsia="方正小标宋简体" w:cs="Times New Roman"/>
          <w:sz w:val="40"/>
          <w:szCs w:val="40"/>
          <w:lang w:val="zh-CN"/>
        </w:rPr>
        <w:t>川（2022）攀枝花市不动产权第0016080号（原华益能源）土地收储协议补偿款</w:t>
      </w:r>
    </w:p>
    <w:p w14:paraId="3315E6EA">
      <w:pPr>
        <w:spacing w:line="600" w:lineRule="exact"/>
        <w:jc w:val="center"/>
        <w:outlineLvl w:val="0"/>
        <w:rPr>
          <w:rFonts w:hint="default" w:ascii="Times New Roman" w:hAnsi="Times New Roman" w:cs="Times New Roman"/>
          <w:sz w:val="32"/>
          <w:szCs w:val="32"/>
          <w:lang w:val="zh-CN"/>
        </w:rPr>
      </w:pPr>
      <w:r>
        <w:rPr>
          <w:rFonts w:hint="default" w:ascii="Times New Roman" w:hAnsi="Times New Roman" w:eastAsia="方正小标宋简体" w:cs="Times New Roman"/>
          <w:sz w:val="40"/>
          <w:szCs w:val="40"/>
          <w:lang w:val="zh-CN"/>
        </w:rPr>
        <w:t>专项预算项目支出绩效自评报告</w:t>
      </w:r>
    </w:p>
    <w:p w14:paraId="605219C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rPr>
      </w:pPr>
    </w:p>
    <w:p w14:paraId="2C6DE06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3948AC1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634221A7">
      <w:pPr>
        <w:spacing w:line="353" w:lineRule="auto"/>
        <w:ind w:firstLine="660" w:firstLineChars="200"/>
        <w:rPr>
          <w:rFonts w:ascii="Times New Roman" w:hAnsi="Times New Roman" w:eastAsia="仿宋_GB2312"/>
          <w:sz w:val="32"/>
          <w:szCs w:val="32"/>
        </w:rPr>
      </w:pPr>
      <w:r>
        <w:rPr>
          <w:rFonts w:ascii="Times New Roman" w:hAnsi="Times New Roman" w:eastAsia="方正仿宋_GBK"/>
          <w:sz w:val="33"/>
          <w:szCs w:val="33"/>
        </w:rPr>
        <w:t>为加快推动“攀西工业强区”建设，优化土地资源利用，充分激发土地资源效益，满足西区工业园区发展和招商引资落户企业用地需要</w:t>
      </w:r>
      <w:r>
        <w:rPr>
          <w:rFonts w:ascii="Times New Roman" w:hAnsi="Times New Roman" w:eastAsia="仿宋_GB2312"/>
          <w:sz w:val="32"/>
          <w:szCs w:val="32"/>
        </w:rPr>
        <w:t>，根据中心职能职责，负责</w:t>
      </w:r>
      <w:r>
        <w:rPr>
          <w:rFonts w:hint="eastAsia" w:ascii="Times New Roman" w:hAnsi="Times New Roman" w:eastAsia="仿宋_GB2312"/>
          <w:sz w:val="32"/>
          <w:szCs w:val="32"/>
        </w:rPr>
        <w:t>土地收储</w:t>
      </w:r>
      <w:r>
        <w:rPr>
          <w:rFonts w:ascii="Times New Roman" w:hAnsi="Times New Roman" w:eastAsia="仿宋_GB2312"/>
          <w:sz w:val="32"/>
          <w:szCs w:val="32"/>
        </w:rPr>
        <w:t>工作。</w:t>
      </w:r>
      <w:r>
        <w:rPr>
          <w:rFonts w:hint="eastAsia" w:ascii="Times New Roman" w:hAnsi="Times New Roman" w:eastAsia="仿宋_GB2312"/>
          <w:sz w:val="32"/>
          <w:szCs w:val="32"/>
        </w:rPr>
        <w:t>本项目</w:t>
      </w:r>
      <w:r>
        <w:rPr>
          <w:rFonts w:ascii="Times New Roman" w:hAnsi="Times New Roman" w:eastAsia="仿宋_GB2312"/>
          <w:sz w:val="32"/>
          <w:szCs w:val="32"/>
        </w:rPr>
        <w:t>包括</w:t>
      </w:r>
      <w:r>
        <w:rPr>
          <w:rFonts w:hint="eastAsia" w:ascii="Times New Roman" w:hAnsi="Times New Roman" w:eastAsia="仿宋_GB2312"/>
          <w:color w:val="000000"/>
          <w:sz w:val="32"/>
          <w:szCs w:val="32"/>
          <w:lang w:bidi="ar"/>
        </w:rPr>
        <w:t>支付</w:t>
      </w:r>
      <w:r>
        <w:rPr>
          <w:rFonts w:ascii="Times New Roman" w:hAnsi="Times New Roman" w:eastAsia="方正仿宋_GBK"/>
          <w:sz w:val="33"/>
          <w:szCs w:val="33"/>
        </w:rPr>
        <w:t>攀枝花市鼎信投资集团有限公司川（2022）攀枝花市不动产权第0016080号</w:t>
      </w:r>
      <w:r>
        <w:rPr>
          <w:rFonts w:hint="eastAsia" w:ascii="Times New Roman" w:hAnsi="Times New Roman" w:eastAsia="方正仿宋_GBK"/>
          <w:sz w:val="33"/>
          <w:szCs w:val="33"/>
        </w:rPr>
        <w:t>土地收储</w:t>
      </w:r>
      <w:r>
        <w:rPr>
          <w:rFonts w:hint="eastAsia" w:ascii="Times New Roman" w:hAnsi="Times New Roman" w:eastAsia="仿宋_GB2312"/>
          <w:color w:val="000000"/>
          <w:sz w:val="32"/>
          <w:szCs w:val="32"/>
          <w:lang w:bidi="ar"/>
        </w:rPr>
        <w:t>协议补偿款</w:t>
      </w:r>
      <w:r>
        <w:rPr>
          <w:rFonts w:ascii="Times New Roman" w:hAnsi="Times New Roman" w:eastAsia="仿宋_GB2312"/>
          <w:sz w:val="32"/>
          <w:szCs w:val="32"/>
        </w:rPr>
        <w:t>。</w:t>
      </w:r>
    </w:p>
    <w:p w14:paraId="0E3A189A">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77490F6D">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red"/>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根据区土地储备中心职能职责，负责全区的土地收储工作，为政府供应土地提供必要保障。</w:t>
      </w:r>
    </w:p>
    <w:p w14:paraId="204345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17229069">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项目资金主要来源于区级自然资源海洋气象等支出资金。资金分配按照项目实施方案和预算计划进行，确保各项实施内容得到落实。</w:t>
      </w:r>
    </w:p>
    <w:p w14:paraId="7D82EF16">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14:paraId="40FF9BA2">
      <w:pPr>
        <w:spacing w:line="353" w:lineRule="auto"/>
        <w:ind w:firstLine="660" w:firstLineChars="200"/>
        <w:rPr>
          <w:rFonts w:ascii="Times New Roman" w:hAnsi="Times New Roman" w:eastAsia="黑体"/>
          <w:sz w:val="32"/>
          <w:szCs w:val="32"/>
        </w:rPr>
      </w:pPr>
      <w:r>
        <w:rPr>
          <w:rFonts w:ascii="Times New Roman" w:hAnsi="Times New Roman" w:eastAsia="方正仿宋_GBK"/>
          <w:sz w:val="33"/>
          <w:szCs w:val="33"/>
        </w:rPr>
        <w:t>为加快推动“攀西工业强区”建设，优化土地资源利用，充分激发土地资源效益，满足西区工业园区发展和招商引资落户企业用地需要</w:t>
      </w:r>
      <w:r>
        <w:rPr>
          <w:rFonts w:ascii="Times New Roman" w:hAnsi="Times New Roman" w:eastAsia="仿宋_GB2312"/>
          <w:sz w:val="32"/>
          <w:szCs w:val="32"/>
        </w:rPr>
        <w:t>。</w:t>
      </w:r>
    </w:p>
    <w:p w14:paraId="46F9C34A">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7B28913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0314FE6C">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按计划储备土地，有效推进西区建设，促进西区高质量发展，在节约集约用地的同时，为经济发展提供用地保障，促进经济社会可持续发展。</w:t>
      </w:r>
    </w:p>
    <w:p w14:paraId="1BDF8F0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 w:val="0"/>
          <w:bCs w:val="0"/>
          <w:kern w:val="0"/>
          <w:position w:val="0"/>
          <w:sz w:val="32"/>
          <w:szCs w:val="32"/>
          <w:highlight w:val="none"/>
          <w:lang w:val="zh-CN" w:eastAsia="zh-CN" w:bidi="ar-SA"/>
        </w:rPr>
        <w:t>无。</w:t>
      </w:r>
    </w:p>
    <w:p w14:paraId="2C06258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kern w:val="0"/>
          <w:position w:val="0"/>
          <w:sz w:val="32"/>
          <w:szCs w:val="32"/>
          <w:highlight w:val="none"/>
          <w:lang w:val="zh-CN" w:eastAsia="zh-CN" w:bidi="ar-SA"/>
        </w:rPr>
        <w:t>对项目实施成果报告进行审查。</w:t>
      </w:r>
    </w:p>
    <w:p w14:paraId="27A4FC32">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 w:val="0"/>
          <w:bCs w:val="0"/>
          <w:kern w:val="0"/>
          <w:position w:val="0"/>
          <w:sz w:val="32"/>
          <w:szCs w:val="32"/>
          <w:highlight w:val="none"/>
          <w:lang w:val="zh-CN" w:eastAsia="zh-CN" w:bidi="ar-SA"/>
        </w:rPr>
        <w:t>单位自评法、实地勘察法、座谈调研法。</w:t>
      </w:r>
    </w:p>
    <w:p w14:paraId="5A6ABC67">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Cs/>
          <w:lang w:eastAsia="zh-CN"/>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 w:val="0"/>
          <w:bCs w:val="0"/>
          <w:kern w:val="0"/>
          <w:position w:val="0"/>
          <w:sz w:val="32"/>
          <w:szCs w:val="32"/>
          <w:highlight w:val="none"/>
          <w:lang w:val="zh-CN" w:eastAsia="zh-CN" w:bidi="ar-SA"/>
        </w:rPr>
        <w:t>按照要求组成成果报告专家评审组对其进行审查。</w:t>
      </w:r>
    </w:p>
    <w:p w14:paraId="117E5D86">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587EE8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4629523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9057C51">
      <w:pPr>
        <w:spacing w:line="500" w:lineRule="exact"/>
        <w:ind w:firstLine="640" w:firstLineChars="200"/>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仿宋_GB2312" w:cs="Times New Roman"/>
          <w:b w:val="0"/>
          <w:bCs w:val="0"/>
          <w:color w:val="auto"/>
          <w:kern w:val="0"/>
          <w:position w:val="0"/>
          <w:sz w:val="32"/>
          <w:szCs w:val="32"/>
          <w:highlight w:val="none"/>
          <w:lang w:val="en-US" w:eastAsia="zh-CN" w:bidi="ar-SA"/>
        </w:rPr>
        <w:t>按计划储备土地，有效推进西区建设，促进西区高质量发展，在节约集约用地的同时，为经济发展提供用地保障，促进经济社会可持续发展</w:t>
      </w:r>
      <w:r>
        <w:rPr>
          <w:rFonts w:hint="default" w:ascii="Times New Roman" w:hAnsi="Times New Roman" w:eastAsia="仿宋_GB2312" w:cs="Times New Roman"/>
          <w:sz w:val="32"/>
          <w:szCs w:val="32"/>
        </w:rPr>
        <w:t>。</w:t>
      </w:r>
    </w:p>
    <w:p w14:paraId="1F16E5BA">
      <w:pPr>
        <w:pStyle w:val="6"/>
        <w:spacing w:before="93"/>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default" w:ascii="Times New Roman" w:hAnsi="Times New Roman" w:eastAsia="仿宋_GB2312" w:cs="Times New Roman"/>
          <w:b w:val="0"/>
          <w:bCs w:val="0"/>
          <w:color w:val="auto"/>
          <w:kern w:val="0"/>
          <w:position w:val="0"/>
          <w:sz w:val="32"/>
          <w:szCs w:val="32"/>
          <w:highlight w:val="none"/>
          <w:lang w:val="zh-CN" w:eastAsia="zh-CN" w:bidi="ar-SA"/>
        </w:rPr>
        <w:t>定期与项目负责人沟通，了解项目进展情况，及时发现问题并解决。对项目的支出和预期效益进行评估分析，比较实际支出与预算的差异，找出节约成本的方法。通过对项目的各个环节进行分析，识别潜在的风险和问题，并制定相应的应对措施。</w:t>
      </w:r>
    </w:p>
    <w:p w14:paraId="6FCE5B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b w:val="0"/>
          <w:bCs w:val="0"/>
          <w:color w:val="auto"/>
          <w:kern w:val="0"/>
          <w:position w:val="0"/>
          <w:sz w:val="32"/>
          <w:szCs w:val="32"/>
          <w:highlight w:val="none"/>
          <w:lang w:val="zh-CN" w:eastAsia="zh-CN" w:bidi="ar-SA"/>
        </w:rPr>
        <w:t>项目实施过程中，严格按照预定计划进行，通过精细化的进度管理确保了项目按时完成且成本控制在预算范围内。</w:t>
      </w:r>
    </w:p>
    <w:p w14:paraId="6203CFA6">
      <w:pPr>
        <w:spacing w:line="353" w:lineRule="auto"/>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default" w:ascii="Times New Roman" w:hAnsi="Times New Roman" w:eastAsia="仿宋_GB2312" w:cs="Times New Roman"/>
          <w:b w:val="0"/>
          <w:bCs w:val="0"/>
          <w:color w:val="auto"/>
          <w:kern w:val="0"/>
          <w:position w:val="0"/>
          <w:sz w:val="32"/>
          <w:szCs w:val="32"/>
          <w:highlight w:val="none"/>
          <w:lang w:val="en-US" w:eastAsia="zh-CN" w:bidi="ar-SA"/>
        </w:rPr>
        <w:t>为优化土地资源利用，充分激发土地资源效益，满足西区工业园区发展和招商引资落户企业用地需要，根据规划及区政府批复开展土地收储工作。</w:t>
      </w:r>
    </w:p>
    <w:p w14:paraId="28DFB28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color w:val="auto"/>
          <w:kern w:val="0"/>
          <w:position w:val="0"/>
          <w:sz w:val="32"/>
          <w:szCs w:val="32"/>
          <w:highlight w:val="none"/>
          <w:lang w:val="zh-CN" w:eastAsia="zh-CN" w:bidi="ar-SA"/>
        </w:rPr>
        <w:t>根据</w:t>
      </w:r>
      <w:r>
        <w:rPr>
          <w:rFonts w:hint="default" w:ascii="Times New Roman" w:hAnsi="Times New Roman" w:eastAsia="仿宋_GB2312" w:cs="Times New Roman"/>
          <w:b w:val="0"/>
          <w:bCs w:val="0"/>
          <w:color w:val="auto"/>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color w:val="auto"/>
          <w:kern w:val="0"/>
          <w:position w:val="0"/>
          <w:sz w:val="32"/>
          <w:szCs w:val="32"/>
          <w:highlight w:val="none"/>
          <w:lang w:val="zh-CN" w:eastAsia="zh-CN" w:bidi="ar-SA"/>
        </w:rPr>
        <w:t>包括产业发展、民生保障、基础设施、行政运转等方面。</w:t>
      </w:r>
    </w:p>
    <w:p w14:paraId="0AAA075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1.产业发展。</w:t>
      </w:r>
      <w:r>
        <w:rPr>
          <w:rFonts w:ascii="Times New Roman" w:hAnsi="Times New Roman" w:eastAsia="仿宋_GB2312"/>
          <w:sz w:val="32"/>
          <w:szCs w:val="32"/>
        </w:rPr>
        <w:t>完成</w:t>
      </w:r>
      <w:r>
        <w:rPr>
          <w:rFonts w:ascii="Times New Roman" w:hAnsi="Times New Roman" w:eastAsia="方正仿宋_GBK"/>
          <w:sz w:val="33"/>
          <w:szCs w:val="33"/>
        </w:rPr>
        <w:t>川（2022）攀枝花市不动产权第0016080号</w:t>
      </w:r>
      <w:r>
        <w:rPr>
          <w:rFonts w:hint="eastAsia" w:ascii="Times New Roman" w:hAnsi="Times New Roman" w:eastAsia="方正仿宋_GBK"/>
          <w:sz w:val="33"/>
          <w:szCs w:val="33"/>
        </w:rPr>
        <w:t>土地收储</w:t>
      </w:r>
      <w:r>
        <w:rPr>
          <w:rFonts w:hint="eastAsia" w:ascii="Times New Roman" w:hAnsi="Times New Roman" w:eastAsia="仿宋_GB2312"/>
          <w:color w:val="000000"/>
          <w:sz w:val="32"/>
          <w:szCs w:val="32"/>
          <w:lang w:bidi="ar"/>
        </w:rPr>
        <w:t>协议补偿款</w:t>
      </w:r>
      <w:r>
        <w:rPr>
          <w:rFonts w:hint="eastAsia" w:ascii="Times New Roman" w:hAnsi="Times New Roman" w:eastAsia="仿宋_GB2312"/>
          <w:sz w:val="32"/>
          <w:szCs w:val="32"/>
        </w:rPr>
        <w:t>支付工作</w:t>
      </w:r>
      <w:r>
        <w:rPr>
          <w:rFonts w:ascii="Times New Roman" w:hAnsi="Times New Roman" w:eastAsia="仿宋_GB2312"/>
          <w:sz w:val="32"/>
          <w:szCs w:val="32"/>
        </w:rPr>
        <w:t>，</w:t>
      </w:r>
      <w:r>
        <w:rPr>
          <w:rFonts w:hint="eastAsia" w:ascii="Times New Roman" w:hAnsi="Times New Roman" w:eastAsia="仿宋_GB2312"/>
          <w:snapToGrid w:val="0"/>
          <w:sz w:val="32"/>
          <w:szCs w:val="32"/>
        </w:rPr>
        <w:t>提供土地要素保障</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2BC68A03">
      <w:pPr>
        <w:keepNext w:val="0"/>
        <w:keepLines w:val="0"/>
        <w:pageBreakBefore w:val="0"/>
        <w:kinsoku/>
        <w:wordWrap/>
        <w:overflowPunct/>
        <w:topLinePunct w:val="0"/>
        <w:autoSpaceDE/>
        <w:autoSpaceDN/>
        <w:bidi w:val="0"/>
        <w:adjustRightInd/>
        <w:snapToGrid/>
        <w:spacing w:beforeAutospacing="0" w:afterAutospacing="0" w:line="353" w:lineRule="auto"/>
        <w:ind w:firstLine="64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仿宋_GB2312" w:cs="Times New Roman"/>
          <w:sz w:val="32"/>
          <w:szCs w:val="32"/>
        </w:rPr>
        <w:t>保障项目建设，促进西区发展</w:t>
      </w:r>
      <w:r>
        <w:rPr>
          <w:rFonts w:hint="default" w:ascii="Times New Roman" w:hAnsi="Times New Roman" w:eastAsia="仿宋_GB2312" w:cs="Times New Roman"/>
          <w:sz w:val="32"/>
          <w:szCs w:val="32"/>
          <w:lang w:eastAsia="zh-CN"/>
        </w:rPr>
        <w:t>。</w:t>
      </w:r>
    </w:p>
    <w:p w14:paraId="7AB6269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21FB368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ascii="Times New Roman" w:hAnsi="Times New Roman" w:eastAsia="仿宋_GB2312"/>
          <w:sz w:val="32"/>
          <w:szCs w:val="32"/>
        </w:rPr>
        <w:t>完成</w:t>
      </w:r>
      <w:r>
        <w:rPr>
          <w:rFonts w:ascii="Times New Roman" w:hAnsi="Times New Roman" w:eastAsia="方正仿宋_GBK"/>
          <w:sz w:val="33"/>
          <w:szCs w:val="33"/>
        </w:rPr>
        <w:t>川（2022）攀枝花市不动产权第0016080号</w:t>
      </w:r>
      <w:r>
        <w:rPr>
          <w:rFonts w:hint="eastAsia" w:ascii="Times New Roman" w:hAnsi="Times New Roman" w:eastAsia="方正仿宋_GBK"/>
          <w:sz w:val="33"/>
          <w:szCs w:val="33"/>
        </w:rPr>
        <w:t>土地收储</w:t>
      </w:r>
      <w:r>
        <w:rPr>
          <w:rFonts w:hint="eastAsia" w:ascii="Times New Roman" w:hAnsi="Times New Roman" w:eastAsia="仿宋_GB2312"/>
          <w:color w:val="000000"/>
          <w:sz w:val="32"/>
          <w:szCs w:val="32"/>
          <w:lang w:bidi="ar"/>
        </w:rPr>
        <w:t>协议补偿款</w:t>
      </w:r>
      <w:r>
        <w:rPr>
          <w:rFonts w:hint="eastAsia" w:ascii="Times New Roman" w:hAnsi="Times New Roman" w:eastAsia="仿宋_GB2312"/>
          <w:sz w:val="32"/>
          <w:szCs w:val="32"/>
        </w:rPr>
        <w:t>支付工作</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07E6E494">
      <w:pPr>
        <w:adjustRightInd w:val="0"/>
        <w:snapToGrid w:val="0"/>
        <w:spacing w:line="578" w:lineRule="exact"/>
        <w:ind w:firstLine="72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D1767F6">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ascii="Times New Roman" w:hAnsi="Times New Roman" w:eastAsia="仿宋_GB2312"/>
          <w:sz w:val="32"/>
          <w:szCs w:val="32"/>
        </w:rPr>
        <w:t>完成</w:t>
      </w:r>
      <w:r>
        <w:rPr>
          <w:rFonts w:ascii="Times New Roman" w:hAnsi="Times New Roman" w:eastAsia="方正仿宋_GBK"/>
          <w:sz w:val="33"/>
          <w:szCs w:val="33"/>
        </w:rPr>
        <w:t>川（2022）攀枝花市不动产权第0016080号</w:t>
      </w:r>
      <w:r>
        <w:rPr>
          <w:rFonts w:hint="eastAsia" w:ascii="Times New Roman" w:hAnsi="Times New Roman" w:eastAsia="方正仿宋_GBK"/>
          <w:sz w:val="33"/>
          <w:szCs w:val="33"/>
        </w:rPr>
        <w:t>土地收储</w:t>
      </w:r>
      <w:r>
        <w:rPr>
          <w:rFonts w:hint="eastAsia" w:ascii="Times New Roman" w:hAnsi="Times New Roman" w:eastAsia="仿宋_GB2312"/>
          <w:color w:val="000000"/>
          <w:sz w:val="32"/>
          <w:szCs w:val="32"/>
          <w:lang w:bidi="ar"/>
        </w:rPr>
        <w:t>协议补偿款</w:t>
      </w:r>
      <w:r>
        <w:rPr>
          <w:rFonts w:hint="eastAsia" w:ascii="Times New Roman" w:hAnsi="Times New Roman" w:eastAsia="仿宋_GB2312"/>
          <w:sz w:val="32"/>
          <w:szCs w:val="32"/>
        </w:rPr>
        <w:t>支付</w:t>
      </w:r>
      <w:r>
        <w:rPr>
          <w:rFonts w:hint="default" w:ascii="Times New Roman" w:hAnsi="Times New Roman" w:eastAsia="仿宋_GB2312" w:cs="Times New Roman"/>
          <w:b w:val="0"/>
          <w:bCs w:val="0"/>
          <w:color w:val="auto"/>
          <w:kern w:val="0"/>
          <w:position w:val="0"/>
          <w:sz w:val="32"/>
          <w:szCs w:val="32"/>
          <w:highlight w:val="none"/>
          <w:lang w:val="en-US" w:eastAsia="zh-CN" w:bidi="ar-SA"/>
        </w:rPr>
        <w:t>工作，根据中心职能职责，负责全区的土地收储工作，为政府供应土地提供必要保障。</w:t>
      </w:r>
    </w:p>
    <w:p w14:paraId="0E20C5A1">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707767D1">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eastAsia" w:ascii="Times New Roman" w:hAnsi="Times New Roman" w:eastAsia="仿宋_GB2312"/>
          <w:sz w:val="32"/>
          <w:szCs w:val="32"/>
        </w:rPr>
        <w:t>完成</w:t>
      </w:r>
      <w:r>
        <w:rPr>
          <w:rFonts w:ascii="Times New Roman" w:hAnsi="Times New Roman" w:eastAsia="方正仿宋_GBK"/>
          <w:sz w:val="33"/>
          <w:szCs w:val="33"/>
        </w:rPr>
        <w:t>川（2022）攀枝花市不动产权第0016080号</w:t>
      </w:r>
      <w:r>
        <w:rPr>
          <w:rFonts w:hint="eastAsia" w:ascii="Times New Roman" w:hAnsi="Times New Roman" w:eastAsia="方正仿宋_GBK"/>
          <w:sz w:val="33"/>
          <w:szCs w:val="33"/>
        </w:rPr>
        <w:t>土地收储</w:t>
      </w:r>
      <w:r>
        <w:rPr>
          <w:rFonts w:hint="eastAsia" w:ascii="Times New Roman" w:hAnsi="Times New Roman" w:eastAsia="仿宋_GB2312"/>
          <w:color w:val="000000"/>
          <w:sz w:val="32"/>
          <w:szCs w:val="32"/>
          <w:lang w:bidi="ar"/>
        </w:rPr>
        <w:t>协议补偿款</w:t>
      </w:r>
      <w:r>
        <w:rPr>
          <w:rFonts w:hint="eastAsia" w:ascii="Times New Roman" w:hAnsi="Times New Roman" w:eastAsia="仿宋_GB2312"/>
          <w:sz w:val="32"/>
          <w:szCs w:val="32"/>
        </w:rPr>
        <w:t>支付</w:t>
      </w:r>
      <w:r>
        <w:rPr>
          <w:rFonts w:ascii="Times New Roman" w:hAnsi="Times New Roman" w:eastAsia="仿宋_GB2312"/>
          <w:sz w:val="32"/>
          <w:szCs w:val="32"/>
        </w:rPr>
        <w:t>工作，有效推进西区建设，促进西区高质量发展，在节约集约用地的同时，为经济发展提供用地保障</w:t>
      </w:r>
      <w:r>
        <w:rPr>
          <w:rFonts w:hint="default" w:ascii="Times New Roman" w:hAnsi="Times New Roman" w:eastAsia="仿宋_GB2312" w:cs="Times New Roman"/>
          <w:b w:val="0"/>
          <w:bCs w:val="0"/>
          <w:color w:val="auto"/>
          <w:kern w:val="0"/>
          <w:position w:val="0"/>
          <w:sz w:val="32"/>
          <w:szCs w:val="32"/>
          <w:highlight w:val="none"/>
          <w:lang w:val="en-US" w:eastAsia="zh-CN" w:bidi="ar-SA"/>
        </w:rPr>
        <w:t>。预期产出和效果能满足需求、不需要核减预算安排并支持政策出台、持续、保留或项目新增的意见。综合评估得分与评估等级较高。</w:t>
      </w:r>
    </w:p>
    <w:p w14:paraId="78F057B0">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5375347B">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754189AE">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21D6642D">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6E8DECDA">
      <w:pPr>
        <w:pStyle w:val="22"/>
        <w:rPr>
          <w:rStyle w:val="31"/>
          <w:rFonts w:hint="default" w:ascii="Times New Roman" w:hAnsi="Times New Roman" w:eastAsia="黑体" w:cs="Times New Roman"/>
          <w:b w:val="0"/>
        </w:rPr>
      </w:pPr>
    </w:p>
    <w:p w14:paraId="48510C28">
      <w:pPr>
        <w:rPr>
          <w:rStyle w:val="31"/>
          <w:rFonts w:hint="default" w:ascii="Times New Roman" w:hAnsi="Times New Roman" w:eastAsia="黑体" w:cs="Times New Roman"/>
          <w:b w:val="0"/>
        </w:rPr>
      </w:pPr>
    </w:p>
    <w:p w14:paraId="648A1ADE">
      <w:pPr>
        <w:pStyle w:val="22"/>
        <w:rPr>
          <w:rFonts w:hint="default" w:ascii="Times New Roman" w:hAnsi="Times New Roman" w:cs="Times New Roman"/>
        </w:rPr>
      </w:pPr>
    </w:p>
    <w:p w14:paraId="68A3827D">
      <w:pPr>
        <w:rPr>
          <w:rFonts w:hint="default" w:ascii="Times New Roman" w:hAnsi="Times New Roman" w:cs="Times New Roman"/>
        </w:rPr>
      </w:pPr>
    </w:p>
    <w:p w14:paraId="6BD3C370">
      <w:pPr>
        <w:pStyle w:val="22"/>
        <w:rPr>
          <w:rFonts w:hint="default" w:ascii="Times New Roman" w:hAnsi="Times New Roman" w:cs="Times New Roman"/>
        </w:rPr>
      </w:pPr>
    </w:p>
    <w:p w14:paraId="5234F2B8">
      <w:pPr>
        <w:rPr>
          <w:rFonts w:hint="default" w:ascii="Times New Roman" w:hAnsi="Times New Roman" w:cs="Times New Roman"/>
        </w:rPr>
      </w:pPr>
    </w:p>
    <w:p w14:paraId="47325699">
      <w:pPr>
        <w:pStyle w:val="22"/>
        <w:rPr>
          <w:rFonts w:hint="default" w:ascii="Times New Roman" w:hAnsi="Times New Roman" w:cs="Times New Roman"/>
        </w:rPr>
      </w:pPr>
    </w:p>
    <w:p w14:paraId="12A288F7">
      <w:pPr>
        <w:rPr>
          <w:rFonts w:hint="default" w:ascii="Times New Roman" w:hAnsi="Times New Roman" w:cs="Times New Roman"/>
        </w:rPr>
      </w:pPr>
    </w:p>
    <w:p w14:paraId="29FE6022">
      <w:pPr>
        <w:pStyle w:val="22"/>
        <w:rPr>
          <w:rFonts w:hint="default" w:ascii="Times New Roman" w:hAnsi="Times New Roman" w:cs="Times New Roman"/>
        </w:rPr>
      </w:pPr>
    </w:p>
    <w:p w14:paraId="2551782D">
      <w:pPr>
        <w:rPr>
          <w:rFonts w:hint="default" w:ascii="Times New Roman" w:hAnsi="Times New Roman" w:cs="Times New Roman"/>
        </w:rPr>
      </w:pPr>
    </w:p>
    <w:p w14:paraId="05F4FCC8">
      <w:pPr>
        <w:pStyle w:val="22"/>
        <w:rPr>
          <w:rFonts w:hint="default" w:ascii="Times New Roman" w:hAnsi="Times New Roman" w:cs="Times New Roman"/>
        </w:rPr>
      </w:pPr>
    </w:p>
    <w:p w14:paraId="56DC6661">
      <w:pPr>
        <w:rPr>
          <w:rFonts w:hint="default" w:ascii="Times New Roman" w:hAnsi="Times New Roman" w:cs="Times New Roman"/>
        </w:rPr>
      </w:pPr>
    </w:p>
    <w:p w14:paraId="46646DB5">
      <w:pPr>
        <w:pStyle w:val="22"/>
        <w:rPr>
          <w:rFonts w:hint="default" w:ascii="Times New Roman" w:hAnsi="Times New Roman" w:cs="Times New Roman"/>
        </w:rPr>
      </w:pPr>
    </w:p>
    <w:p w14:paraId="03B423DF">
      <w:pPr>
        <w:rPr>
          <w:rFonts w:hint="default" w:ascii="Times New Roman" w:hAnsi="Times New Roman" w:cs="Times New Roman"/>
        </w:rPr>
      </w:pPr>
    </w:p>
    <w:p w14:paraId="154CB077">
      <w:pPr>
        <w:pStyle w:val="22"/>
        <w:rPr>
          <w:rFonts w:hint="default" w:ascii="Times New Roman" w:hAnsi="Times New Roman" w:cs="Times New Roman"/>
        </w:rPr>
      </w:pPr>
    </w:p>
    <w:p w14:paraId="339A20B1">
      <w:pPr>
        <w:rPr>
          <w:rFonts w:hint="default" w:ascii="Times New Roman" w:hAnsi="Times New Roman" w:cs="Times New Roman"/>
        </w:rPr>
      </w:pPr>
    </w:p>
    <w:p w14:paraId="29741B0C">
      <w:pPr>
        <w:pStyle w:val="6"/>
        <w:rPr>
          <w:rFonts w:hint="default" w:ascii="Times New Roman" w:hAnsi="Times New Roman" w:cs="Times New Roman"/>
        </w:rPr>
      </w:pPr>
    </w:p>
    <w:p w14:paraId="0ACA4BD9">
      <w:pPr>
        <w:rPr>
          <w:rFonts w:hint="default" w:ascii="Times New Roman" w:hAnsi="Times New Roman" w:cs="Times New Roman"/>
        </w:rPr>
      </w:pPr>
    </w:p>
    <w:p w14:paraId="021248DF">
      <w:pPr>
        <w:pStyle w:val="22"/>
        <w:rPr>
          <w:rFonts w:hint="default" w:ascii="Times New Roman" w:hAnsi="Times New Roman" w:cs="Times New Roman"/>
        </w:rPr>
      </w:pPr>
    </w:p>
    <w:p w14:paraId="0464F3C2">
      <w:pPr>
        <w:rPr>
          <w:rFonts w:hint="default" w:ascii="Times New Roman" w:hAnsi="Times New Roman" w:cs="Times New Roman"/>
        </w:rPr>
      </w:pPr>
    </w:p>
    <w:p w14:paraId="41E05891">
      <w:pPr>
        <w:pStyle w:val="2"/>
        <w:rPr>
          <w:rFonts w:hint="default" w:ascii="Times New Roman" w:hAnsi="Times New Roman" w:cs="Times New Roman"/>
        </w:rPr>
      </w:pPr>
    </w:p>
    <w:p w14:paraId="4085CCA1">
      <w:pPr>
        <w:rPr>
          <w:rFonts w:hint="default"/>
        </w:rPr>
      </w:pPr>
    </w:p>
    <w:p w14:paraId="4EB8ACCD">
      <w:pPr>
        <w:pStyle w:val="22"/>
        <w:rPr>
          <w:rFonts w:hint="default" w:ascii="Times New Roman" w:hAnsi="Times New Roman" w:cs="Times New Roman"/>
        </w:rPr>
      </w:pPr>
    </w:p>
    <w:p w14:paraId="0A603FBD">
      <w:pPr>
        <w:rPr>
          <w:rFonts w:hint="default" w:ascii="Times New Roman" w:hAnsi="Times New Roman" w:cs="Times New Roman"/>
        </w:rPr>
      </w:pPr>
    </w:p>
    <w:p w14:paraId="139BA60B">
      <w:pPr>
        <w:spacing w:line="600" w:lineRule="exact"/>
        <w:jc w:val="center"/>
        <w:outlineLvl w:val="0"/>
        <w:rPr>
          <w:rFonts w:hint="default" w:ascii="Times New Roman" w:hAnsi="Times New Roman" w:eastAsia="方正小标宋简体" w:cs="Times New Roman"/>
          <w:sz w:val="40"/>
          <w:szCs w:val="40"/>
          <w:lang w:val="zh-CN"/>
        </w:rPr>
      </w:pPr>
      <w:r>
        <w:rPr>
          <w:rFonts w:hint="default" w:ascii="Times New Roman" w:hAnsi="Times New Roman" w:eastAsia="方正小标宋简体" w:cs="Times New Roman"/>
          <w:sz w:val="40"/>
          <w:szCs w:val="40"/>
          <w:lang w:val="zh-CN"/>
        </w:rPr>
        <w:t>格里坪特色产业园区内四川和临科技发展有限公司建（构）筑物搬迁补偿款</w:t>
      </w:r>
    </w:p>
    <w:p w14:paraId="712BFF45">
      <w:pPr>
        <w:spacing w:line="600" w:lineRule="exact"/>
        <w:jc w:val="center"/>
        <w:outlineLvl w:val="0"/>
        <w:rPr>
          <w:rFonts w:hint="default" w:ascii="Times New Roman" w:hAnsi="Times New Roman" w:cs="Times New Roman"/>
          <w:sz w:val="32"/>
          <w:szCs w:val="32"/>
          <w:lang w:val="zh-CN"/>
        </w:rPr>
      </w:pPr>
      <w:r>
        <w:rPr>
          <w:rFonts w:hint="default" w:ascii="Times New Roman" w:hAnsi="Times New Roman" w:eastAsia="方正小标宋简体" w:cs="Times New Roman"/>
          <w:sz w:val="40"/>
          <w:szCs w:val="40"/>
          <w:lang w:val="zh-CN"/>
        </w:rPr>
        <w:t>专项预算项目支出绩效自评报告</w:t>
      </w:r>
    </w:p>
    <w:p w14:paraId="426E68B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rPr>
      </w:pPr>
    </w:p>
    <w:p w14:paraId="42319F8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44A15E1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43BA6819">
      <w:pPr>
        <w:keepNext w:val="0"/>
        <w:keepLines w:val="0"/>
        <w:pageBreakBefore w:val="0"/>
        <w:kinsoku/>
        <w:wordWrap/>
        <w:overflowPunct/>
        <w:topLinePunct w:val="0"/>
        <w:autoSpaceDE/>
        <w:autoSpaceDN/>
        <w:bidi w:val="0"/>
        <w:adjustRightInd/>
        <w:snapToGrid/>
        <w:spacing w:beforeAutospacing="0" w:afterAutospacing="0" w:line="353" w:lineRule="auto"/>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sz w:val="32"/>
          <w:szCs w:val="32"/>
        </w:rPr>
        <w:t>为加快推动“攀西工业强区”建设，优化土地资源利用，充分激发土地资源效益，满足西区</w:t>
      </w:r>
      <w:r>
        <w:rPr>
          <w:rFonts w:hint="default" w:ascii="Times New Roman" w:hAnsi="Times New Roman" w:eastAsia="仿宋_GB2312" w:cs="Times New Roman"/>
          <w:sz w:val="32"/>
          <w:szCs w:val="32"/>
          <w:lang w:val="en-US" w:eastAsia="zh-CN"/>
        </w:rPr>
        <w:t>格里坪特色产</w:t>
      </w:r>
      <w:r>
        <w:rPr>
          <w:rFonts w:hint="default" w:ascii="Times New Roman" w:hAnsi="Times New Roman" w:eastAsia="仿宋_GB2312" w:cs="Times New Roman"/>
          <w:sz w:val="32"/>
          <w:szCs w:val="32"/>
        </w:rPr>
        <w:t>业园区发展和招商引资落户企业用地需要，</w:t>
      </w:r>
      <w:r>
        <w:rPr>
          <w:rFonts w:hint="default" w:ascii="Times New Roman" w:hAnsi="Times New Roman" w:eastAsia="仿宋_GB2312" w:cs="Times New Roman"/>
          <w:sz w:val="32"/>
          <w:szCs w:val="32"/>
          <w:lang w:eastAsia="zh-CN"/>
        </w:rPr>
        <w:t>区土地储备中心</w:t>
      </w:r>
      <w:r>
        <w:rPr>
          <w:rFonts w:hint="eastAsia" w:ascii="Times New Roman" w:hAnsi="Times New Roman" w:eastAsia="仿宋_GB2312" w:cs="Times New Roman"/>
          <w:sz w:val="32"/>
          <w:szCs w:val="32"/>
          <w:lang w:val="en-US" w:eastAsia="zh-CN"/>
        </w:rPr>
        <w:t>拟搬迁拆除修建在</w:t>
      </w:r>
      <w:r>
        <w:rPr>
          <w:rFonts w:hint="default" w:ascii="Times New Roman" w:hAnsi="Times New Roman" w:eastAsia="仿宋_GB2312" w:cs="Times New Roman"/>
          <w:spacing w:val="-4"/>
          <w:sz w:val="32"/>
          <w:szCs w:val="32"/>
          <w:lang w:val="en-US" w:eastAsia="zh-CN"/>
        </w:rPr>
        <w:t>四川钛米科技</w:t>
      </w:r>
      <w:r>
        <w:rPr>
          <w:rFonts w:hint="default" w:ascii="Times New Roman" w:hAnsi="Times New Roman" w:eastAsia="仿宋_GB2312" w:cs="Times New Roman"/>
          <w:spacing w:val="-4"/>
          <w:sz w:val="32"/>
          <w:szCs w:val="32"/>
        </w:rPr>
        <w:t>有限公司</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以下简称</w:t>
      </w:r>
      <w:r>
        <w:rPr>
          <w:rFonts w:hint="default" w:ascii="Times New Roman" w:hAnsi="Times New Roman" w:eastAsia="仿宋_GB2312" w:cs="Times New Roman"/>
          <w:spacing w:val="-4"/>
          <w:sz w:val="32"/>
          <w:szCs w:val="32"/>
          <w:lang w:val="en-US" w:eastAsia="zh-CN"/>
        </w:rPr>
        <w:t>钛米科技</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lang w:val="en-US" w:eastAsia="zh-CN"/>
        </w:rPr>
        <w:t>73.96亩土</w:t>
      </w:r>
      <w:r>
        <w:rPr>
          <w:rFonts w:hint="default" w:ascii="Times New Roman" w:hAnsi="Times New Roman" w:eastAsia="仿宋_GB2312" w:cs="Times New Roman"/>
          <w:spacing w:val="-4"/>
          <w:sz w:val="32"/>
          <w:szCs w:val="32"/>
        </w:rPr>
        <w:t>地</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该土地已于2023年10月13日被区土地储备中心收储</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上的</w:t>
      </w:r>
      <w:r>
        <w:rPr>
          <w:rFonts w:hint="default" w:ascii="Times New Roman" w:hAnsi="Times New Roman" w:eastAsia="仿宋_GB2312" w:cs="Times New Roman"/>
          <w:sz w:val="32"/>
          <w:szCs w:val="32"/>
          <w:lang w:eastAsia="zh-CN"/>
        </w:rPr>
        <w:t>四川和临科技发展有限公司（以下简称和临科技）建（构）筑物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需支付搬迁补偿款80万元。</w:t>
      </w:r>
    </w:p>
    <w:p w14:paraId="22A73774">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6092A076">
      <w:pPr>
        <w:keepNext w:val="0"/>
        <w:keepLines w:val="0"/>
        <w:widowControl/>
        <w:suppressLineNumbers w:val="0"/>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根据攀枝花市西区土地储备中心职能职责，负责全区</w:t>
      </w:r>
      <w:r>
        <w:rPr>
          <w:rFonts w:hint="eastAsia" w:ascii="Times New Roman" w:hAnsi="Times New Roman" w:eastAsia="仿宋_GB2312" w:cs="Times New Roman"/>
          <w:kern w:val="2"/>
          <w:sz w:val="32"/>
          <w:szCs w:val="32"/>
          <w:lang w:val="en-US" w:eastAsia="zh-CN" w:bidi="ar-SA"/>
        </w:rPr>
        <w:t>国有土地上房屋</w:t>
      </w:r>
      <w:r>
        <w:rPr>
          <w:rFonts w:hint="default" w:ascii="Times New Roman" w:hAnsi="Times New Roman" w:eastAsia="仿宋_GB2312" w:cs="Times New Roman"/>
          <w:kern w:val="2"/>
          <w:sz w:val="32"/>
          <w:szCs w:val="32"/>
          <w:lang w:val="en-US" w:eastAsia="zh-CN" w:bidi="ar-SA"/>
        </w:rPr>
        <w:t>征收</w:t>
      </w:r>
      <w:r>
        <w:rPr>
          <w:rFonts w:hint="eastAsia" w:ascii="Times New Roman" w:hAnsi="Times New Roman" w:eastAsia="仿宋_GB2312" w:cs="Times New Roman"/>
          <w:kern w:val="2"/>
          <w:sz w:val="32"/>
          <w:szCs w:val="32"/>
          <w:lang w:val="en-US" w:eastAsia="zh-CN" w:bidi="ar-SA"/>
        </w:rPr>
        <w:t>补偿，</w:t>
      </w:r>
      <w:r>
        <w:rPr>
          <w:rFonts w:hint="default" w:ascii="Times New Roman" w:hAnsi="Times New Roman" w:eastAsia="仿宋_GB2312" w:cs="Times New Roman"/>
          <w:kern w:val="2"/>
          <w:sz w:val="32"/>
          <w:szCs w:val="32"/>
          <w:lang w:val="en-US" w:eastAsia="zh-CN" w:bidi="ar-SA"/>
        </w:rPr>
        <w:t>收购</w:t>
      </w:r>
      <w:r>
        <w:rPr>
          <w:rFonts w:hint="eastAsia" w:ascii="Times New Roman" w:hAnsi="Times New Roman" w:eastAsia="仿宋_GB2312" w:cs="Times New Roman"/>
          <w:kern w:val="2"/>
          <w:sz w:val="32"/>
          <w:szCs w:val="32"/>
          <w:lang w:val="en-US" w:eastAsia="zh-CN" w:bidi="ar-SA"/>
        </w:rPr>
        <w:t>及储备等事务性工作</w:t>
      </w:r>
      <w:r>
        <w:rPr>
          <w:rFonts w:hint="default" w:ascii="Times New Roman" w:hAnsi="Times New Roman" w:eastAsia="仿宋_GB2312" w:cs="Times New Roman"/>
          <w:kern w:val="2"/>
          <w:sz w:val="32"/>
          <w:szCs w:val="32"/>
          <w:lang w:val="en-US" w:eastAsia="zh-CN" w:bidi="ar-SA"/>
        </w:rPr>
        <w:t>，为政府供应土地提供必要保障。</w:t>
      </w:r>
    </w:p>
    <w:p w14:paraId="171CDEA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706D99A9">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项目资金主要来源于区级</w:t>
      </w:r>
      <w:r>
        <w:rPr>
          <w:rFonts w:hint="eastAsia" w:ascii="Times New Roman" w:hAnsi="Times New Roman" w:eastAsia="仿宋_GB2312" w:cs="Times New Roman"/>
          <w:b w:val="0"/>
          <w:bCs w:val="0"/>
          <w:color w:val="auto"/>
          <w:kern w:val="0"/>
          <w:position w:val="0"/>
          <w:sz w:val="32"/>
          <w:szCs w:val="32"/>
          <w:highlight w:val="none"/>
          <w:lang w:val="en-US" w:eastAsia="zh-CN" w:bidi="ar-SA"/>
        </w:rPr>
        <w:t>城乡社区支出项国有土地使用权出让收入安排的土地开发支出</w:t>
      </w:r>
      <w:r>
        <w:rPr>
          <w:rFonts w:hint="default" w:ascii="Times New Roman" w:hAnsi="Times New Roman" w:eastAsia="仿宋_GB2312" w:cs="Times New Roman"/>
          <w:b w:val="0"/>
          <w:bCs w:val="0"/>
          <w:color w:val="auto"/>
          <w:kern w:val="0"/>
          <w:position w:val="0"/>
          <w:sz w:val="32"/>
          <w:szCs w:val="32"/>
          <w:highlight w:val="none"/>
          <w:lang w:val="zh-CN" w:eastAsia="zh-CN" w:bidi="ar-SA"/>
        </w:rPr>
        <w:t>等支出资金。资金分配按照项目实施方案和预算计划进行，确保各项实施内容得到落实。</w:t>
      </w:r>
    </w:p>
    <w:p w14:paraId="700E9B8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14:paraId="645A7AF2">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24"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spacing w:val="-4"/>
          <w:sz w:val="32"/>
          <w:szCs w:val="32"/>
          <w:lang w:val="en-US" w:eastAsia="zh-CN"/>
        </w:rPr>
        <w:t>四川钛米科技</w:t>
      </w:r>
      <w:r>
        <w:rPr>
          <w:rFonts w:hint="default" w:ascii="Times New Roman" w:hAnsi="Times New Roman" w:eastAsia="仿宋_GB2312" w:cs="Times New Roman"/>
          <w:spacing w:val="-4"/>
          <w:sz w:val="32"/>
          <w:szCs w:val="32"/>
        </w:rPr>
        <w:t>有限公司</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以下简称</w:t>
      </w:r>
      <w:r>
        <w:rPr>
          <w:rFonts w:hint="default" w:ascii="Times New Roman" w:hAnsi="Times New Roman" w:eastAsia="仿宋_GB2312" w:cs="Times New Roman"/>
          <w:spacing w:val="-4"/>
          <w:sz w:val="32"/>
          <w:szCs w:val="32"/>
          <w:lang w:val="en-US" w:eastAsia="zh-CN"/>
        </w:rPr>
        <w:t>钛米科技</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lang w:val="en-US" w:eastAsia="zh-CN"/>
        </w:rPr>
        <w:t>73.96亩土</w:t>
      </w:r>
      <w:r>
        <w:rPr>
          <w:rFonts w:hint="default" w:ascii="Times New Roman" w:hAnsi="Times New Roman" w:eastAsia="仿宋_GB2312" w:cs="Times New Roman"/>
          <w:spacing w:val="-4"/>
          <w:sz w:val="32"/>
          <w:szCs w:val="32"/>
        </w:rPr>
        <w:t>地</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该土地已于2023年10月13日被区土地储备中心收储</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上的</w:t>
      </w:r>
      <w:r>
        <w:rPr>
          <w:rFonts w:hint="default" w:ascii="Times New Roman" w:hAnsi="Times New Roman" w:eastAsia="仿宋_GB2312" w:cs="Times New Roman"/>
          <w:sz w:val="32"/>
          <w:szCs w:val="32"/>
          <w:lang w:eastAsia="zh-CN"/>
        </w:rPr>
        <w:t>四川和临科技发展有限公司（以下简称和临科技）建（构）筑物</w:t>
      </w:r>
      <w:r>
        <w:rPr>
          <w:rFonts w:hint="default" w:ascii="Times New Roman" w:hAnsi="Times New Roman" w:eastAsia="仿宋_GB2312" w:cs="Times New Roman"/>
          <w:b w:val="0"/>
          <w:bCs w:val="0"/>
          <w:color w:val="auto"/>
          <w:kern w:val="0"/>
          <w:position w:val="0"/>
          <w:sz w:val="32"/>
          <w:szCs w:val="32"/>
          <w:highlight w:val="none"/>
          <w:lang w:val="en-US" w:eastAsia="zh-CN" w:bidi="ar-SA"/>
        </w:rPr>
        <w:t>等进行征拆补偿安置工作</w:t>
      </w:r>
      <w:r>
        <w:rPr>
          <w:rFonts w:hint="eastAsia" w:eastAsia="仿宋_GB2312" w:cs="Times New Roman"/>
          <w:b w:val="0"/>
          <w:bCs w:val="0"/>
          <w:color w:val="auto"/>
          <w:kern w:val="0"/>
          <w:position w:val="0"/>
          <w:sz w:val="32"/>
          <w:szCs w:val="32"/>
          <w:highlight w:val="none"/>
          <w:lang w:val="en-US" w:eastAsia="zh-CN" w:bidi="ar-SA"/>
        </w:rPr>
        <w:t>，</w:t>
      </w:r>
      <w:r>
        <w:rPr>
          <w:rFonts w:hint="default" w:ascii="Times New Roman" w:hAnsi="Times New Roman" w:eastAsia="仿宋_GB2312" w:cs="Times New Roman"/>
          <w:b w:val="0"/>
          <w:bCs w:val="0"/>
          <w:color w:val="auto"/>
          <w:kern w:val="0"/>
          <w:position w:val="0"/>
          <w:sz w:val="32"/>
          <w:szCs w:val="32"/>
          <w:highlight w:val="none"/>
          <w:lang w:val="en-US" w:eastAsia="zh-CN" w:bidi="ar-SA"/>
        </w:rPr>
        <w:t>总体绩效目标为完成项目征收工作。</w:t>
      </w:r>
    </w:p>
    <w:p w14:paraId="704D437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1C86FAE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2D7596A6">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按计划储备土地，有效推进西区建设，促进西区高质量发展，在节约集约用地的同时，为经济发展提供用地保障，促进经济社会可持续发展。</w:t>
      </w:r>
    </w:p>
    <w:p w14:paraId="00E39FD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 w:val="0"/>
          <w:bCs w:val="0"/>
          <w:kern w:val="0"/>
          <w:position w:val="0"/>
          <w:sz w:val="32"/>
          <w:szCs w:val="32"/>
          <w:highlight w:val="none"/>
          <w:lang w:val="zh-CN" w:eastAsia="zh-CN" w:bidi="ar-SA"/>
        </w:rPr>
        <w:t>无。</w:t>
      </w:r>
    </w:p>
    <w:p w14:paraId="1E370EE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kern w:val="0"/>
          <w:position w:val="0"/>
          <w:sz w:val="32"/>
          <w:szCs w:val="32"/>
          <w:highlight w:val="none"/>
          <w:lang w:val="zh-CN" w:eastAsia="zh-CN" w:bidi="ar-SA"/>
        </w:rPr>
        <w:t>对项目实施成果报告进行审查。</w:t>
      </w:r>
    </w:p>
    <w:p w14:paraId="27DFA59C">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 w:val="0"/>
          <w:bCs w:val="0"/>
          <w:kern w:val="0"/>
          <w:position w:val="0"/>
          <w:sz w:val="32"/>
          <w:szCs w:val="32"/>
          <w:highlight w:val="none"/>
          <w:lang w:val="zh-CN" w:eastAsia="zh-CN" w:bidi="ar-SA"/>
        </w:rPr>
        <w:t>单位自评法、实地勘察法、座谈调研法。</w:t>
      </w:r>
    </w:p>
    <w:p w14:paraId="2542899A">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 w:val="0"/>
          <w:bCs w:val="0"/>
          <w:color w:val="auto"/>
          <w:kern w:val="0"/>
          <w:position w:val="0"/>
          <w:sz w:val="32"/>
          <w:szCs w:val="32"/>
          <w:highlight w:val="none"/>
          <w:lang w:val="zh-CN" w:eastAsia="zh-CN" w:bidi="ar-SA"/>
        </w:rPr>
        <w:t>按照要求组成成果报告专家评审组对其进行审查。</w:t>
      </w:r>
    </w:p>
    <w:p w14:paraId="6A633511">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6465861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kern w:val="0"/>
          <w:position w:val="0"/>
          <w:sz w:val="32"/>
          <w:szCs w:val="32"/>
          <w:highlight w:val="none"/>
          <w:lang w:val="en-US" w:eastAsia="zh-CN" w:bidi="ar-SA"/>
        </w:rPr>
        <w:t>。</w:t>
      </w:r>
    </w:p>
    <w:p w14:paraId="0613122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D4C9585">
      <w:pPr>
        <w:spacing w:line="500" w:lineRule="exact"/>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eastAsia" w:ascii="Times New Roman" w:hAnsi="Times New Roman" w:eastAsia="仿宋_GB2312" w:cs="Times New Roman"/>
          <w:sz w:val="32"/>
          <w:szCs w:val="32"/>
          <w:lang w:val="en-US" w:eastAsia="zh-CN"/>
        </w:rPr>
        <w:t>搬迁拆除修建在</w:t>
      </w:r>
      <w:r>
        <w:rPr>
          <w:rFonts w:hint="default" w:ascii="Times New Roman" w:hAnsi="Times New Roman" w:eastAsia="仿宋_GB2312" w:cs="Times New Roman"/>
          <w:spacing w:val="-4"/>
          <w:sz w:val="32"/>
          <w:szCs w:val="32"/>
          <w:lang w:val="en-US" w:eastAsia="zh-CN"/>
        </w:rPr>
        <w:t>四川钛米科技</w:t>
      </w:r>
      <w:r>
        <w:rPr>
          <w:rFonts w:hint="default" w:ascii="Times New Roman" w:hAnsi="Times New Roman" w:eastAsia="仿宋_GB2312" w:cs="Times New Roman"/>
          <w:spacing w:val="-4"/>
          <w:sz w:val="32"/>
          <w:szCs w:val="32"/>
        </w:rPr>
        <w:t>有限公司</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以下简称</w:t>
      </w:r>
      <w:r>
        <w:rPr>
          <w:rFonts w:hint="default" w:ascii="Times New Roman" w:hAnsi="Times New Roman" w:eastAsia="仿宋_GB2312" w:cs="Times New Roman"/>
          <w:spacing w:val="-4"/>
          <w:sz w:val="32"/>
          <w:szCs w:val="32"/>
          <w:lang w:val="en-US" w:eastAsia="zh-CN"/>
        </w:rPr>
        <w:t>钛米科技</w:t>
      </w:r>
      <w:r>
        <w:rPr>
          <w:rFonts w:hint="eastAsia"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lang w:val="en-US" w:eastAsia="zh-CN"/>
        </w:rPr>
        <w:t>73.96亩土</w:t>
      </w:r>
      <w:r>
        <w:rPr>
          <w:rFonts w:hint="default" w:ascii="Times New Roman" w:hAnsi="Times New Roman" w:eastAsia="仿宋_GB2312" w:cs="Times New Roman"/>
          <w:spacing w:val="-4"/>
          <w:sz w:val="32"/>
          <w:szCs w:val="32"/>
        </w:rPr>
        <w:t>地</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该土地已于2023年10月13日被区土地储备中心收储</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上的</w:t>
      </w:r>
      <w:r>
        <w:rPr>
          <w:rFonts w:hint="default" w:ascii="Times New Roman" w:hAnsi="Times New Roman" w:eastAsia="仿宋_GB2312" w:cs="Times New Roman"/>
          <w:sz w:val="32"/>
          <w:szCs w:val="32"/>
          <w:lang w:eastAsia="zh-CN"/>
        </w:rPr>
        <w:t>四川和临科技发展有限公司（以下简称和临科技）建（构）筑物</w:t>
      </w:r>
      <w:r>
        <w:rPr>
          <w:rFonts w:hint="default" w:ascii="Times New Roman" w:hAnsi="Times New Roman" w:eastAsia="仿宋_GB2312" w:cs="Times New Roman"/>
          <w:b w:val="0"/>
          <w:bCs w:val="0"/>
          <w:color w:val="auto"/>
          <w:kern w:val="0"/>
          <w:position w:val="0"/>
          <w:sz w:val="32"/>
          <w:szCs w:val="32"/>
          <w:highlight w:val="none"/>
          <w:lang w:val="en-US" w:eastAsia="zh-CN" w:bidi="ar-SA"/>
        </w:rPr>
        <w:t>费用经区政府研究，</w:t>
      </w:r>
      <w:r>
        <w:rPr>
          <w:rFonts w:hint="default" w:ascii="Times New Roman" w:hAnsi="Times New Roman" w:eastAsia="仿宋_GB2312" w:cs="Times New Roman"/>
          <w:sz w:val="32"/>
          <w:szCs w:val="32"/>
        </w:rPr>
        <w:t>为加快推动“攀西工业强区”建设</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r>
        <w:rPr>
          <w:rFonts w:hint="default" w:ascii="Times New Roman" w:hAnsi="Times New Roman" w:eastAsia="仿宋_GB2312" w:cs="Times New Roman"/>
          <w:sz w:val="32"/>
          <w:szCs w:val="32"/>
        </w:rPr>
        <w:t>优化土地资源利用，充分激发土地资源效益，满足西区</w:t>
      </w:r>
      <w:r>
        <w:rPr>
          <w:rFonts w:hint="default" w:ascii="Times New Roman" w:hAnsi="Times New Roman" w:eastAsia="仿宋_GB2312" w:cs="Times New Roman"/>
          <w:sz w:val="32"/>
          <w:szCs w:val="32"/>
          <w:lang w:val="en-US" w:eastAsia="zh-CN"/>
        </w:rPr>
        <w:t>格里坪特色产</w:t>
      </w:r>
      <w:r>
        <w:rPr>
          <w:rFonts w:hint="default" w:ascii="Times New Roman" w:hAnsi="Times New Roman" w:eastAsia="仿宋_GB2312" w:cs="Times New Roman"/>
          <w:sz w:val="32"/>
          <w:szCs w:val="32"/>
        </w:rPr>
        <w:t>业园区发展和招商引资落户企业用地需要</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46C66170">
      <w:pPr>
        <w:pStyle w:val="6"/>
        <w:spacing w:before="93"/>
        <w:ind w:firstLine="640" w:firstLineChars="200"/>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default" w:ascii="Times New Roman" w:hAnsi="Times New Roman" w:eastAsia="仿宋_GB2312" w:cs="Times New Roman"/>
          <w:b w:val="0"/>
          <w:bCs w:val="0"/>
          <w:color w:val="auto"/>
          <w:kern w:val="0"/>
          <w:position w:val="0"/>
          <w:sz w:val="32"/>
          <w:szCs w:val="32"/>
          <w:highlight w:val="none"/>
          <w:lang w:val="zh-CN" w:eastAsia="zh-CN" w:bidi="ar-SA"/>
        </w:rPr>
        <w:t>定期与项目负责人沟通，了解项目进展情况，及时发现问题并解决。对项目的支出和预期效益进行评估分析，比较实际支出与预算的差异，找出节约成本的方法。通过对项目的各个环节进行分析，识别潜在的风险和问题，并制定相应的应对措施。</w:t>
      </w:r>
    </w:p>
    <w:p w14:paraId="51D1B3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b w:val="0"/>
          <w:bCs w:val="0"/>
          <w:color w:val="auto"/>
          <w:kern w:val="0"/>
          <w:position w:val="0"/>
          <w:sz w:val="32"/>
          <w:szCs w:val="32"/>
          <w:highlight w:val="none"/>
          <w:lang w:val="zh-CN" w:eastAsia="zh-CN" w:bidi="ar-SA"/>
        </w:rPr>
        <w:t>项目实施过程中，严格按照预定计划进行，通过精细化的进度管理确保了项目按时完成且成本控制在预算范围内。</w:t>
      </w:r>
    </w:p>
    <w:p w14:paraId="5F3302D8">
      <w:pPr>
        <w:keepNext w:val="0"/>
        <w:keepLines w:val="0"/>
        <w:pageBreakBefore w:val="0"/>
        <w:kinsoku/>
        <w:wordWrap/>
        <w:overflowPunct/>
        <w:topLinePunct w:val="0"/>
        <w:autoSpaceDE/>
        <w:autoSpaceDN/>
        <w:bidi w:val="0"/>
        <w:adjustRightInd/>
        <w:snapToGrid/>
        <w:spacing w:beforeAutospacing="0" w:afterAutospacing="0" w:line="353" w:lineRule="auto"/>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default" w:ascii="Times New Roman" w:hAnsi="Times New Roman" w:eastAsia="仿宋_GB2312" w:cs="Times New Roman"/>
          <w:b w:val="0"/>
          <w:bCs w:val="0"/>
          <w:color w:val="auto"/>
          <w:kern w:val="0"/>
          <w:position w:val="0"/>
          <w:sz w:val="32"/>
          <w:szCs w:val="32"/>
          <w:highlight w:val="none"/>
          <w:lang w:val="en-US" w:eastAsia="zh-CN" w:bidi="ar-SA"/>
        </w:rPr>
        <w:t>为营造良好投资环境，</w:t>
      </w:r>
      <w:r>
        <w:rPr>
          <w:rFonts w:hint="default" w:ascii="Times New Roman" w:hAnsi="Times New Roman" w:eastAsia="仿宋_GB2312" w:cs="Times New Roman"/>
          <w:sz w:val="32"/>
          <w:szCs w:val="32"/>
        </w:rPr>
        <w:t>加快推动“攀西工业强区”建设</w:t>
      </w:r>
      <w:r>
        <w:rPr>
          <w:rFonts w:hint="default" w:ascii="Times New Roman" w:hAnsi="Times New Roman" w:eastAsia="仿宋_GB2312" w:cs="Times New Roman"/>
          <w:b w:val="0"/>
          <w:bCs w:val="0"/>
          <w:color w:val="auto"/>
          <w:kern w:val="0"/>
          <w:position w:val="0"/>
          <w:sz w:val="32"/>
          <w:szCs w:val="32"/>
          <w:highlight w:val="none"/>
          <w:lang w:val="en-US" w:eastAsia="zh-CN" w:bidi="ar-SA"/>
        </w:rPr>
        <w:t>，促进西区高质量发展，根据规划及区政府工作安排开展土地、房屋征收工作，完成四川和临科技发展有限公司建（构）筑物</w:t>
      </w:r>
      <w:r>
        <w:rPr>
          <w:rFonts w:hint="eastAsia" w:ascii="Times New Roman" w:hAnsi="Times New Roman" w:eastAsia="仿宋_GB2312" w:cs="Times New Roman"/>
          <w:b w:val="0"/>
          <w:bCs w:val="0"/>
          <w:color w:val="auto"/>
          <w:kern w:val="0"/>
          <w:position w:val="0"/>
          <w:sz w:val="32"/>
          <w:szCs w:val="32"/>
          <w:highlight w:val="none"/>
          <w:lang w:val="en-US" w:eastAsia="zh-CN" w:bidi="ar-SA"/>
        </w:rPr>
        <w:t>搬迁工作</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552962D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color w:val="auto"/>
          <w:kern w:val="0"/>
          <w:position w:val="0"/>
          <w:sz w:val="32"/>
          <w:szCs w:val="32"/>
          <w:highlight w:val="none"/>
          <w:lang w:val="zh-CN" w:eastAsia="zh-CN" w:bidi="ar-SA"/>
        </w:rPr>
        <w:t>根据</w:t>
      </w:r>
      <w:r>
        <w:rPr>
          <w:rFonts w:hint="default" w:ascii="Times New Roman" w:hAnsi="Times New Roman" w:eastAsia="仿宋_GB2312" w:cs="Times New Roman"/>
          <w:b w:val="0"/>
          <w:bCs w:val="0"/>
          <w:color w:val="auto"/>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color w:val="auto"/>
          <w:kern w:val="0"/>
          <w:position w:val="0"/>
          <w:sz w:val="32"/>
          <w:szCs w:val="32"/>
          <w:highlight w:val="none"/>
          <w:lang w:val="zh-CN" w:eastAsia="zh-CN" w:bidi="ar-SA"/>
        </w:rPr>
        <w:t>包括产业发展、民生保障、基础设施、行政运转等方面。</w:t>
      </w:r>
    </w:p>
    <w:p w14:paraId="7A7EDA0C">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1.产业发展。</w:t>
      </w:r>
      <w:r>
        <w:rPr>
          <w:rFonts w:hint="default" w:ascii="Times New Roman" w:hAnsi="Times New Roman" w:eastAsia="方正仿宋_GBK" w:cs="Times New Roman"/>
          <w:snapToGrid/>
          <w:spacing w:val="0"/>
          <w:sz w:val="33"/>
          <w:szCs w:val="33"/>
        </w:rPr>
        <w:t>加快推动“攀西工业强区”建设</w:t>
      </w:r>
      <w:r>
        <w:rPr>
          <w:rFonts w:hint="default" w:ascii="Times New Roman" w:hAnsi="Times New Roman" w:eastAsia="仿宋_GB2312" w:cs="Times New Roman"/>
          <w:b w:val="0"/>
          <w:bCs w:val="0"/>
          <w:color w:val="auto"/>
          <w:kern w:val="0"/>
          <w:position w:val="0"/>
          <w:sz w:val="32"/>
          <w:szCs w:val="32"/>
          <w:highlight w:val="none"/>
          <w:lang w:val="en-US" w:eastAsia="zh-CN" w:bidi="ar-SA"/>
        </w:rPr>
        <w:t>，四川和临科技发展有限公司建（构）筑物</w:t>
      </w:r>
      <w:r>
        <w:rPr>
          <w:rFonts w:hint="eastAsia" w:ascii="Times New Roman" w:hAnsi="Times New Roman" w:eastAsia="仿宋_GB2312" w:cs="Times New Roman"/>
          <w:b w:val="0"/>
          <w:bCs w:val="0"/>
          <w:color w:val="auto"/>
          <w:kern w:val="0"/>
          <w:position w:val="0"/>
          <w:sz w:val="32"/>
          <w:szCs w:val="32"/>
          <w:highlight w:val="none"/>
          <w:lang w:val="en-US" w:eastAsia="zh-CN" w:bidi="ar-SA"/>
        </w:rPr>
        <w:t>搬迁工作</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6DDFAE04">
      <w:pPr>
        <w:keepNext w:val="0"/>
        <w:keepLines w:val="0"/>
        <w:pageBreakBefore w:val="0"/>
        <w:kinsoku/>
        <w:wordWrap/>
        <w:overflowPunct/>
        <w:topLinePunct w:val="0"/>
        <w:autoSpaceDE/>
        <w:autoSpaceDN/>
        <w:bidi w:val="0"/>
        <w:adjustRightInd/>
        <w:snapToGrid/>
        <w:spacing w:beforeAutospacing="0" w:afterAutospacing="0" w:line="353" w:lineRule="auto"/>
        <w:ind w:firstLine="64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方正仿宋_GBK" w:cs="Times New Roman"/>
          <w:snapToGrid/>
          <w:spacing w:val="0"/>
          <w:sz w:val="33"/>
          <w:szCs w:val="33"/>
        </w:rPr>
        <w:t>优化土地资源利用，充分激发土地资源效益，满足西区工业园区发展和招商引资落户企业用地需要</w:t>
      </w:r>
      <w:r>
        <w:rPr>
          <w:rFonts w:hint="default" w:ascii="Times New Roman" w:hAnsi="Times New Roman" w:eastAsia="仿宋_GB2312" w:cs="Times New Roman"/>
          <w:sz w:val="32"/>
          <w:szCs w:val="32"/>
        </w:rPr>
        <w:t>，促进西区发展</w:t>
      </w:r>
      <w:r>
        <w:rPr>
          <w:rFonts w:hint="default" w:ascii="Times New Roman" w:hAnsi="Times New Roman" w:eastAsia="仿宋_GB2312" w:cs="Times New Roman"/>
          <w:sz w:val="32"/>
          <w:szCs w:val="32"/>
          <w:lang w:eastAsia="zh-CN"/>
        </w:rPr>
        <w:t>。</w:t>
      </w:r>
    </w:p>
    <w:p w14:paraId="49B240E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4FED20A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default" w:ascii="Times New Roman" w:hAnsi="Times New Roman" w:eastAsia="仿宋_GB2312" w:cs="Times New Roman"/>
          <w:b w:val="0"/>
          <w:bCs w:val="0"/>
          <w:color w:val="auto"/>
          <w:kern w:val="0"/>
          <w:position w:val="0"/>
          <w:sz w:val="32"/>
          <w:szCs w:val="32"/>
          <w:highlight w:val="none"/>
          <w:lang w:val="en-US" w:eastAsia="zh-CN" w:bidi="ar-SA"/>
        </w:rPr>
        <w:t>完成四川和临科技发展有限公司建（构）筑物</w:t>
      </w:r>
      <w:r>
        <w:rPr>
          <w:rFonts w:hint="eastAsia" w:ascii="Times New Roman" w:hAnsi="Times New Roman" w:eastAsia="仿宋_GB2312" w:cs="Times New Roman"/>
          <w:b w:val="0"/>
          <w:bCs w:val="0"/>
          <w:color w:val="auto"/>
          <w:kern w:val="0"/>
          <w:position w:val="0"/>
          <w:sz w:val="32"/>
          <w:szCs w:val="32"/>
          <w:highlight w:val="none"/>
          <w:lang w:val="en-US" w:eastAsia="zh-CN" w:bidi="ar-SA"/>
        </w:rPr>
        <w:t>搬迁工作</w:t>
      </w:r>
      <w:r>
        <w:rPr>
          <w:rFonts w:hint="default" w:ascii="Times New Roman" w:hAnsi="Times New Roman" w:eastAsia="仿宋_GB2312" w:cs="Times New Roman"/>
          <w:b w:val="0"/>
          <w:bCs w:val="0"/>
          <w:color w:val="auto"/>
          <w:kern w:val="0"/>
          <w:position w:val="0"/>
          <w:sz w:val="32"/>
          <w:szCs w:val="32"/>
          <w:highlight w:val="none"/>
          <w:lang w:val="zh-CN" w:eastAsia="zh-CN" w:bidi="ar-SA"/>
        </w:rPr>
        <w:t>。</w:t>
      </w:r>
    </w:p>
    <w:p w14:paraId="24B83091">
      <w:pPr>
        <w:adjustRightInd w:val="0"/>
        <w:snapToGrid w:val="0"/>
        <w:spacing w:line="578" w:lineRule="exact"/>
        <w:ind w:firstLine="72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173B7CB">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按计划储备土地，有效推进西区建设，促进西区高质量发展，在节约集约用地的同时，为经济发展提供用地保障，促进经济社会可持续发展。</w:t>
      </w:r>
    </w:p>
    <w:p w14:paraId="51F9BFF4">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792F30E6">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完成格里坪特色产业园区内</w:t>
      </w:r>
      <w:r>
        <w:rPr>
          <w:rFonts w:hint="default" w:ascii="Times New Roman" w:hAnsi="Times New Roman" w:eastAsia="仿宋_GB2312" w:cs="Times New Roman"/>
          <w:sz w:val="32"/>
          <w:szCs w:val="32"/>
          <w:lang w:eastAsia="zh-CN"/>
        </w:rPr>
        <w:t>四川和临科技发展有限公司建（构）筑物</w:t>
      </w:r>
      <w:r>
        <w:rPr>
          <w:rFonts w:hint="eastAsia" w:ascii="Times New Roman" w:hAnsi="Times New Roman" w:eastAsia="仿宋_GB2312" w:cs="Times New Roman"/>
          <w:sz w:val="32"/>
          <w:szCs w:val="32"/>
          <w:lang w:val="en-US" w:eastAsia="zh-CN"/>
        </w:rPr>
        <w:t>搬迁</w:t>
      </w:r>
      <w:r>
        <w:rPr>
          <w:rFonts w:hint="default" w:ascii="Times New Roman" w:hAnsi="Times New Roman" w:eastAsia="仿宋_GB2312" w:cs="Times New Roman"/>
          <w:sz w:val="32"/>
          <w:szCs w:val="32"/>
          <w:lang w:eastAsia="zh-CN"/>
        </w:rPr>
        <w:t>补偿</w:t>
      </w:r>
      <w:r>
        <w:rPr>
          <w:rFonts w:hint="eastAsia" w:ascii="Times New Roman" w:hAnsi="Times New Roman" w:eastAsia="仿宋_GB2312" w:cs="Times New Roman"/>
          <w:snapToGrid/>
          <w:color w:val="000000"/>
          <w:spacing w:val="0"/>
          <w:sz w:val="32"/>
          <w:szCs w:val="32"/>
          <w:lang w:val="en-US" w:eastAsia="zh-CN" w:bidi="ar"/>
        </w:rPr>
        <w:t>款</w:t>
      </w:r>
      <w:r>
        <w:rPr>
          <w:rFonts w:hint="eastAsia" w:ascii="Times New Roman" w:hAnsi="Times New Roman" w:eastAsia="仿宋_GB2312" w:cs="Times New Roman"/>
          <w:sz w:val="32"/>
          <w:szCs w:val="32"/>
          <w:lang w:val="en-US" w:eastAsia="zh-CN"/>
        </w:rPr>
        <w:t>支付</w:t>
      </w:r>
      <w:r>
        <w:rPr>
          <w:rFonts w:hint="default" w:ascii="Times New Roman" w:hAnsi="Times New Roman" w:eastAsia="仿宋_GB2312" w:cs="Times New Roman"/>
          <w:sz w:val="32"/>
          <w:szCs w:val="32"/>
        </w:rPr>
        <w:t>工作，有效推进西区建设，促进西区高质量发展，在节约集约用地的同时，为经济发展提供用地保障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预期产出和效果能满足需求、不需要核减预算安排并支持政策出台、持续、保留或项目新增的意见。综合评估得分与评估等级较高。</w:t>
      </w:r>
    </w:p>
    <w:p w14:paraId="30A2A9C5">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3E3E03D8">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6ABF1121">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5F90532C">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6D6E0ABC">
      <w:pPr>
        <w:pStyle w:val="22"/>
        <w:rPr>
          <w:rFonts w:hint="default" w:ascii="Times New Roman" w:hAnsi="Times New Roman" w:cs="Times New Roman"/>
        </w:rPr>
      </w:pPr>
    </w:p>
    <w:p w14:paraId="5266294B">
      <w:pPr>
        <w:spacing w:line="600" w:lineRule="exact"/>
        <w:outlineLvl w:val="0"/>
        <w:rPr>
          <w:rStyle w:val="31"/>
          <w:rFonts w:hint="default" w:ascii="Times New Roman" w:hAnsi="Times New Roman" w:eastAsia="黑体" w:cs="Times New Roman"/>
          <w:b w:val="0"/>
        </w:rPr>
      </w:pPr>
    </w:p>
    <w:p w14:paraId="019AFD12">
      <w:pPr>
        <w:pStyle w:val="22"/>
        <w:rPr>
          <w:rStyle w:val="31"/>
          <w:rFonts w:hint="default" w:ascii="Times New Roman" w:hAnsi="Times New Roman" w:eastAsia="黑体" w:cs="Times New Roman"/>
          <w:b w:val="0"/>
        </w:rPr>
      </w:pPr>
    </w:p>
    <w:p w14:paraId="6D46E8EF">
      <w:pPr>
        <w:rPr>
          <w:rFonts w:hint="default"/>
        </w:rPr>
      </w:pPr>
    </w:p>
    <w:p w14:paraId="4508BE46">
      <w:pPr>
        <w:rPr>
          <w:rFonts w:hint="default" w:ascii="Times New Roman" w:hAnsi="Times New Roman" w:cs="Times New Roman"/>
        </w:rPr>
      </w:pPr>
    </w:p>
    <w:p w14:paraId="519F9312">
      <w:pPr>
        <w:spacing w:line="600" w:lineRule="exact"/>
        <w:jc w:val="center"/>
        <w:outlineLvl w:val="0"/>
        <w:rPr>
          <w:rFonts w:hint="default" w:ascii="Times New Roman" w:hAnsi="Times New Roman" w:cs="Times New Roman"/>
          <w:sz w:val="32"/>
          <w:szCs w:val="32"/>
          <w:lang w:val="zh-CN"/>
        </w:rPr>
      </w:pPr>
      <w:r>
        <w:rPr>
          <w:rFonts w:hint="default" w:ascii="Times New Roman" w:hAnsi="Times New Roman" w:eastAsia="方正小标宋简体" w:cs="Times New Roman"/>
          <w:sz w:val="40"/>
          <w:szCs w:val="40"/>
          <w:lang w:val="zh-CN"/>
        </w:rPr>
        <w:t>汽车运输总公司散装水泥运输公司宗地范围居民房屋及其他地上式建（构）筑物拆迁补偿安置专项预算项目支出绩效自评报告</w:t>
      </w:r>
    </w:p>
    <w:p w14:paraId="34077A25">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09F5687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664DCB92">
      <w:pPr>
        <w:adjustRightInd w:val="0"/>
        <w:snapToGrid w:val="0"/>
        <w:spacing w:line="600" w:lineRule="exact"/>
        <w:ind w:firstLine="640" w:firstLineChars="200"/>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sz w:val="32"/>
          <w:szCs w:val="32"/>
        </w:rPr>
        <w:t>攀枝花市西区养老服务中心项目选址在</w:t>
      </w:r>
      <w:r>
        <w:rPr>
          <w:rFonts w:hint="eastAsia" w:ascii="仿宋_GB2312" w:hAnsi="宋体" w:eastAsia="仿宋_GB2312" w:cs="仿宋_GB2312"/>
          <w:color w:val="000000"/>
          <w:kern w:val="0"/>
          <w:sz w:val="32"/>
          <w:szCs w:val="32"/>
          <w:lang w:bidi="ar"/>
        </w:rPr>
        <w:t>散装水泥运输公司</w:t>
      </w:r>
      <w:r>
        <w:rPr>
          <w:rFonts w:hint="eastAsia" w:ascii="仿宋_GB2312" w:hAnsi="宋体" w:eastAsia="仿宋_GB2312" w:cs="仿宋_GB2312"/>
          <w:color w:val="000000"/>
          <w:kern w:val="0"/>
          <w:sz w:val="32"/>
          <w:szCs w:val="32"/>
          <w:lang w:val="en-US" w:eastAsia="zh-CN" w:bidi="ar"/>
        </w:rPr>
        <w:t>宗地</w:t>
      </w:r>
      <w:r>
        <w:rPr>
          <w:rFonts w:hint="default" w:ascii="Times New Roman" w:hAnsi="Times New Roman" w:eastAsia="仿宋_GB2312" w:cs="Times New Roman"/>
          <w:sz w:val="32"/>
          <w:szCs w:val="32"/>
        </w:rPr>
        <w:t>上，宗地号13-002-004-0085-002。2005年市属改制企业社会化管理职能移交时，</w:t>
      </w:r>
      <w:r>
        <w:rPr>
          <w:rFonts w:hint="eastAsia" w:ascii="仿宋_GB2312" w:hAnsi="宋体" w:eastAsia="仿宋_GB2312" w:cs="仿宋_GB2312"/>
          <w:color w:val="000000"/>
          <w:kern w:val="0"/>
          <w:sz w:val="32"/>
          <w:szCs w:val="32"/>
          <w:lang w:bidi="ar"/>
        </w:rPr>
        <w:t>散装水泥运输公司</w:t>
      </w:r>
      <w:r>
        <w:rPr>
          <w:rFonts w:hint="eastAsia" w:ascii="仿宋_GB2312" w:hAnsi="宋体" w:eastAsia="仿宋_GB2312" w:cs="仿宋_GB2312"/>
          <w:color w:val="000000"/>
          <w:kern w:val="0"/>
          <w:sz w:val="32"/>
          <w:szCs w:val="32"/>
          <w:lang w:val="en-US" w:eastAsia="zh-CN" w:bidi="ar"/>
        </w:rPr>
        <w:t>宗地</w:t>
      </w:r>
      <w:r>
        <w:rPr>
          <w:rFonts w:hint="default" w:ascii="Times New Roman" w:hAnsi="Times New Roman" w:eastAsia="仿宋_GB2312" w:cs="Times New Roman"/>
          <w:sz w:val="32"/>
          <w:szCs w:val="32"/>
        </w:rPr>
        <w:t>由攀枝花市汽车运输总公司移交西区政府共同管理，但未办理权证转移登记。为切实保障攀枝花市西区养老服务中心项目建设用地，需对</w:t>
      </w:r>
      <w:r>
        <w:rPr>
          <w:rFonts w:hint="eastAsia" w:ascii="仿宋_GB2312" w:hAnsi="宋体" w:eastAsia="仿宋_GB2312" w:cs="仿宋_GB2312"/>
          <w:color w:val="000000"/>
          <w:kern w:val="0"/>
          <w:sz w:val="32"/>
          <w:szCs w:val="32"/>
          <w:lang w:bidi="ar"/>
        </w:rPr>
        <w:t>散装水泥运输公司</w:t>
      </w:r>
      <w:r>
        <w:rPr>
          <w:rFonts w:hint="eastAsia" w:ascii="仿宋_GB2312" w:hAnsi="宋体" w:eastAsia="仿宋_GB2312" w:cs="仿宋_GB2312"/>
          <w:color w:val="000000"/>
          <w:kern w:val="0"/>
          <w:sz w:val="32"/>
          <w:szCs w:val="32"/>
          <w:lang w:val="en-US" w:eastAsia="zh-CN" w:bidi="ar"/>
        </w:rPr>
        <w:t>宗地</w:t>
      </w:r>
      <w:r>
        <w:rPr>
          <w:rFonts w:hint="default" w:ascii="Times New Roman" w:hAnsi="Times New Roman" w:eastAsia="仿宋_GB2312" w:cs="Times New Roman"/>
          <w:sz w:val="32"/>
          <w:szCs w:val="32"/>
        </w:rPr>
        <w:t>进行无偿收储，并对</w:t>
      </w:r>
      <w:r>
        <w:rPr>
          <w:rFonts w:hint="eastAsia" w:ascii="仿宋_GB2312" w:hAnsi="宋体" w:eastAsia="仿宋_GB2312" w:cs="仿宋_GB2312"/>
          <w:color w:val="000000"/>
          <w:kern w:val="0"/>
          <w:sz w:val="32"/>
          <w:szCs w:val="32"/>
          <w:lang w:bidi="ar"/>
        </w:rPr>
        <w:t>散装水泥运输公司</w:t>
      </w:r>
      <w:r>
        <w:rPr>
          <w:rFonts w:hint="eastAsia" w:ascii="仿宋_GB2312" w:hAnsi="宋体" w:eastAsia="仿宋_GB2312" w:cs="仿宋_GB2312"/>
          <w:color w:val="000000"/>
          <w:kern w:val="0"/>
          <w:sz w:val="32"/>
          <w:szCs w:val="32"/>
          <w:lang w:val="en-US" w:eastAsia="zh-CN" w:bidi="ar"/>
        </w:rPr>
        <w:t>宗地</w:t>
      </w:r>
      <w:r>
        <w:rPr>
          <w:rFonts w:hint="default" w:ascii="Times New Roman" w:hAnsi="Times New Roman" w:eastAsia="仿宋_GB2312" w:cs="Times New Roman"/>
          <w:sz w:val="32"/>
          <w:szCs w:val="32"/>
        </w:rPr>
        <w:t>范围居民房屋及其他地上建（构）筑物进行拆迁补偿安置。经调查，</w:t>
      </w:r>
      <w:r>
        <w:rPr>
          <w:rFonts w:hint="eastAsia" w:ascii="仿宋_GB2312" w:hAnsi="宋体" w:eastAsia="仿宋_GB2312" w:cs="仿宋_GB2312"/>
          <w:color w:val="000000"/>
          <w:kern w:val="0"/>
          <w:sz w:val="32"/>
          <w:szCs w:val="32"/>
          <w:lang w:bidi="ar"/>
        </w:rPr>
        <w:t>散装水泥运输公司</w:t>
      </w:r>
      <w:r>
        <w:rPr>
          <w:rFonts w:hint="eastAsia" w:ascii="仿宋_GB2312" w:hAnsi="宋体" w:eastAsia="仿宋_GB2312" w:cs="仿宋_GB2312"/>
          <w:color w:val="000000"/>
          <w:kern w:val="0"/>
          <w:sz w:val="32"/>
          <w:szCs w:val="32"/>
          <w:lang w:val="en-US" w:eastAsia="zh-CN" w:bidi="ar"/>
        </w:rPr>
        <w:t>宗地</w:t>
      </w:r>
      <w:r>
        <w:rPr>
          <w:rFonts w:hint="default" w:ascii="Times New Roman" w:hAnsi="Times New Roman" w:eastAsia="仿宋_GB2312" w:cs="Times New Roman"/>
          <w:sz w:val="32"/>
          <w:szCs w:val="32"/>
        </w:rPr>
        <w:t>范围有5户自建房居民、8户居住公房居民、3户棚户区改造（以下简称棚改）应搬未搬居民（已购西区“新都汇”房屋未竣工交付而未搬迁）需要搬迁；有社区1间活动室及2个水池需要拆除；有3处闲置电力设施需要拆除。</w:t>
      </w:r>
      <w:r>
        <w:rPr>
          <w:rFonts w:ascii="Times New Roman" w:eastAsia="仿宋_GB2312" w:cs="Times New Roman"/>
          <w:sz w:val="32"/>
          <w:szCs w:val="32"/>
        </w:rPr>
        <w:t>预计需补偿安置资金</w:t>
      </w:r>
      <w:r>
        <w:rPr>
          <w:rFonts w:hint="eastAsia" w:ascii="Times New Roman" w:eastAsia="仿宋_GB2312" w:cs="Times New Roman"/>
          <w:sz w:val="32"/>
          <w:szCs w:val="32"/>
          <w:lang w:val="en-US" w:eastAsia="zh-CN"/>
        </w:rPr>
        <w:t>87万</w:t>
      </w:r>
      <w:r>
        <w:rPr>
          <w:rFonts w:ascii="Times New Roman" w:eastAsia="仿宋_GB2312" w:cs="Times New Roman"/>
          <w:sz w:val="32"/>
          <w:szCs w:val="32"/>
        </w:rPr>
        <w:t>元</w:t>
      </w:r>
      <w:r>
        <w:rPr>
          <w:rFonts w:ascii="Times New Roman" w:eastAsia="仿宋_GB2312" w:cs="Times New Roman"/>
          <w:color w:val="000000"/>
          <w:sz w:val="32"/>
          <w:szCs w:val="32"/>
        </w:rPr>
        <w:t>。</w:t>
      </w:r>
    </w:p>
    <w:p w14:paraId="47D520B4">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16CA308A">
      <w:pPr>
        <w:keepNext w:val="0"/>
        <w:keepLines w:val="0"/>
        <w:widowControl/>
        <w:suppressLineNumbers w:val="0"/>
        <w:ind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根据攀枝花市西区土地储备中心职能职责，负责全区</w:t>
      </w:r>
      <w:r>
        <w:rPr>
          <w:rFonts w:hint="eastAsia" w:ascii="Times New Roman" w:hAnsi="Times New Roman" w:eastAsia="仿宋_GB2312" w:cs="Times New Roman"/>
          <w:kern w:val="2"/>
          <w:sz w:val="32"/>
          <w:szCs w:val="32"/>
          <w:lang w:val="en-US" w:eastAsia="zh-CN" w:bidi="ar-SA"/>
        </w:rPr>
        <w:t>国有土地上房屋</w:t>
      </w:r>
      <w:r>
        <w:rPr>
          <w:rFonts w:hint="default" w:ascii="Times New Roman" w:hAnsi="Times New Roman" w:eastAsia="仿宋_GB2312" w:cs="Times New Roman"/>
          <w:kern w:val="2"/>
          <w:sz w:val="32"/>
          <w:szCs w:val="32"/>
          <w:lang w:val="en-US" w:eastAsia="zh-CN" w:bidi="ar-SA"/>
        </w:rPr>
        <w:t>征收</w:t>
      </w:r>
      <w:r>
        <w:rPr>
          <w:rFonts w:hint="eastAsia" w:ascii="Times New Roman" w:hAnsi="Times New Roman" w:eastAsia="仿宋_GB2312" w:cs="Times New Roman"/>
          <w:kern w:val="2"/>
          <w:sz w:val="32"/>
          <w:szCs w:val="32"/>
          <w:lang w:val="en-US" w:eastAsia="zh-CN" w:bidi="ar-SA"/>
        </w:rPr>
        <w:t>补偿，</w:t>
      </w:r>
      <w:r>
        <w:rPr>
          <w:rFonts w:hint="default" w:ascii="Times New Roman" w:hAnsi="Times New Roman" w:eastAsia="仿宋_GB2312" w:cs="Times New Roman"/>
          <w:kern w:val="2"/>
          <w:sz w:val="32"/>
          <w:szCs w:val="32"/>
          <w:lang w:val="en-US" w:eastAsia="zh-CN" w:bidi="ar-SA"/>
        </w:rPr>
        <w:t>收购</w:t>
      </w:r>
      <w:r>
        <w:rPr>
          <w:rFonts w:hint="eastAsia" w:ascii="Times New Roman" w:hAnsi="Times New Roman" w:eastAsia="仿宋_GB2312" w:cs="Times New Roman"/>
          <w:kern w:val="2"/>
          <w:sz w:val="32"/>
          <w:szCs w:val="32"/>
          <w:lang w:val="en-US" w:eastAsia="zh-CN" w:bidi="ar-SA"/>
        </w:rPr>
        <w:t>及储备等事务性工作</w:t>
      </w:r>
      <w:r>
        <w:rPr>
          <w:rFonts w:hint="default" w:ascii="Times New Roman" w:hAnsi="Times New Roman" w:eastAsia="仿宋_GB2312" w:cs="Times New Roman"/>
          <w:kern w:val="2"/>
          <w:sz w:val="32"/>
          <w:szCs w:val="32"/>
          <w:lang w:val="en-US" w:eastAsia="zh-CN" w:bidi="ar-SA"/>
        </w:rPr>
        <w:t>，为政府供应土地提供必要保障。</w:t>
      </w:r>
    </w:p>
    <w:p w14:paraId="01EB00B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26ED7181">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项目资金主要来源于区级</w:t>
      </w:r>
      <w:r>
        <w:rPr>
          <w:rFonts w:hint="eastAsia" w:ascii="Times New Roman" w:hAnsi="Times New Roman" w:eastAsia="仿宋_GB2312" w:cs="Times New Roman"/>
          <w:b w:val="0"/>
          <w:bCs w:val="0"/>
          <w:color w:val="auto"/>
          <w:kern w:val="0"/>
          <w:position w:val="0"/>
          <w:sz w:val="32"/>
          <w:szCs w:val="32"/>
          <w:highlight w:val="none"/>
          <w:lang w:val="en-US" w:eastAsia="zh-CN" w:bidi="ar-SA"/>
        </w:rPr>
        <w:t>城乡社区支出项国有土地使用权出让收入安排的土地开发支出</w:t>
      </w:r>
      <w:r>
        <w:rPr>
          <w:rFonts w:hint="default" w:ascii="Times New Roman" w:hAnsi="Times New Roman" w:eastAsia="仿宋_GB2312" w:cs="Times New Roman"/>
          <w:b w:val="0"/>
          <w:bCs w:val="0"/>
          <w:color w:val="auto"/>
          <w:kern w:val="0"/>
          <w:position w:val="0"/>
          <w:sz w:val="32"/>
          <w:szCs w:val="32"/>
          <w:highlight w:val="none"/>
          <w:lang w:val="zh-CN" w:eastAsia="zh-CN" w:bidi="ar-SA"/>
        </w:rPr>
        <w:t>资金。资金分配按照项目实施方案和预算计划进行，确保各项实施内容得到落实。</w:t>
      </w:r>
    </w:p>
    <w:p w14:paraId="1A9C5740">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14:paraId="60ABA7D8">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为营造良好投资环境，有效推进西区建设，区土地储备中心根据区政府工作安排开展国有土地上房屋征收</w:t>
      </w:r>
      <w:r>
        <w:rPr>
          <w:rFonts w:hint="eastAsia" w:eastAsia="仿宋_GB2312" w:cs="Times New Roman"/>
          <w:b w:val="0"/>
          <w:bCs w:val="0"/>
          <w:color w:val="auto"/>
          <w:kern w:val="0"/>
          <w:position w:val="0"/>
          <w:sz w:val="32"/>
          <w:szCs w:val="32"/>
          <w:highlight w:val="none"/>
          <w:lang w:val="en-US" w:eastAsia="zh-CN" w:bidi="ar-SA"/>
        </w:rPr>
        <w:t>与补偿</w:t>
      </w:r>
      <w:r>
        <w:rPr>
          <w:rFonts w:hint="default" w:ascii="Times New Roman" w:hAnsi="Times New Roman" w:eastAsia="仿宋_GB2312" w:cs="Times New Roman"/>
          <w:b w:val="0"/>
          <w:bCs w:val="0"/>
          <w:color w:val="auto"/>
          <w:kern w:val="0"/>
          <w:position w:val="0"/>
          <w:sz w:val="32"/>
          <w:szCs w:val="32"/>
          <w:highlight w:val="none"/>
          <w:lang w:val="en-US" w:eastAsia="zh-CN" w:bidi="ar-SA"/>
        </w:rPr>
        <w:t>工作。根据攀枝花</w:t>
      </w:r>
      <w:r>
        <w:rPr>
          <w:rFonts w:hint="eastAsia" w:ascii="Times New Roman" w:hAnsi="Times New Roman" w:eastAsia="仿宋_GB2312" w:cs="Times New Roman"/>
          <w:b w:val="0"/>
          <w:bCs w:val="0"/>
          <w:color w:val="auto"/>
          <w:kern w:val="0"/>
          <w:position w:val="0"/>
          <w:sz w:val="32"/>
          <w:szCs w:val="32"/>
          <w:highlight w:val="none"/>
          <w:lang w:val="en-US" w:eastAsia="zh-CN" w:bidi="ar-SA"/>
        </w:rPr>
        <w:t>汽车运输总公司散装水泥运输公司宗地范围居民房屋及其他地上式建（构）筑物拆迁补偿</w:t>
      </w:r>
      <w:r>
        <w:rPr>
          <w:rFonts w:hint="default" w:ascii="Times New Roman" w:hAnsi="Times New Roman" w:eastAsia="仿宋_GB2312" w:cs="Times New Roman"/>
          <w:b w:val="0"/>
          <w:bCs w:val="0"/>
          <w:color w:val="auto"/>
          <w:kern w:val="0"/>
          <w:position w:val="0"/>
          <w:sz w:val="32"/>
          <w:szCs w:val="32"/>
          <w:highlight w:val="none"/>
          <w:lang w:val="en-US" w:eastAsia="zh-CN" w:bidi="ar-SA"/>
        </w:rPr>
        <w:t>协议，支付</w:t>
      </w:r>
      <w:r>
        <w:rPr>
          <w:rFonts w:hint="eastAsia" w:eastAsia="仿宋_GB2312" w:cs="Times New Roman"/>
          <w:b w:val="0"/>
          <w:bCs w:val="0"/>
          <w:color w:val="auto"/>
          <w:kern w:val="0"/>
          <w:position w:val="0"/>
          <w:sz w:val="32"/>
          <w:szCs w:val="32"/>
          <w:highlight w:val="none"/>
          <w:lang w:val="en-US" w:eastAsia="zh-CN" w:bidi="ar-SA"/>
        </w:rPr>
        <w:t>拆迁</w:t>
      </w:r>
      <w:r>
        <w:rPr>
          <w:rFonts w:hint="default" w:ascii="Times New Roman" w:hAnsi="Times New Roman" w:eastAsia="仿宋_GB2312" w:cs="Times New Roman"/>
          <w:b w:val="0"/>
          <w:bCs w:val="0"/>
          <w:color w:val="auto"/>
          <w:kern w:val="0"/>
          <w:position w:val="0"/>
          <w:sz w:val="32"/>
          <w:szCs w:val="32"/>
          <w:highlight w:val="none"/>
          <w:lang w:val="en-US" w:eastAsia="zh-CN" w:bidi="ar-SA"/>
        </w:rPr>
        <w:t>补偿费用。</w:t>
      </w:r>
    </w:p>
    <w:p w14:paraId="741C4A8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04AAAED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7A3C88EA">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为改善人居生活环境，提高西区城市品质。对国有土地上房屋征收</w:t>
      </w:r>
      <w:r>
        <w:rPr>
          <w:rFonts w:hint="eastAsia" w:eastAsia="仿宋_GB2312" w:cs="Times New Roman"/>
          <w:b w:val="0"/>
          <w:bCs w:val="0"/>
          <w:color w:val="auto"/>
          <w:kern w:val="0"/>
          <w:position w:val="0"/>
          <w:sz w:val="32"/>
          <w:szCs w:val="32"/>
          <w:highlight w:val="none"/>
          <w:lang w:val="en-US" w:eastAsia="zh-CN" w:bidi="ar-SA"/>
        </w:rPr>
        <w:t>与</w:t>
      </w:r>
      <w:r>
        <w:rPr>
          <w:rFonts w:hint="default" w:ascii="Times New Roman" w:hAnsi="Times New Roman" w:eastAsia="仿宋_GB2312" w:cs="Times New Roman"/>
          <w:b w:val="0"/>
          <w:bCs w:val="0"/>
          <w:color w:val="auto"/>
          <w:kern w:val="0"/>
          <w:position w:val="0"/>
          <w:sz w:val="32"/>
          <w:szCs w:val="32"/>
          <w:highlight w:val="none"/>
          <w:lang w:val="en-US" w:eastAsia="zh-CN" w:bidi="ar-SA"/>
        </w:rPr>
        <w:t>补偿、人员安置等工作。</w:t>
      </w:r>
    </w:p>
    <w:p w14:paraId="5750616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 w:val="0"/>
          <w:bCs w:val="0"/>
          <w:kern w:val="0"/>
          <w:position w:val="0"/>
          <w:sz w:val="32"/>
          <w:szCs w:val="32"/>
          <w:highlight w:val="none"/>
          <w:lang w:val="zh-CN" w:eastAsia="zh-CN" w:bidi="ar-SA"/>
        </w:rPr>
        <w:t>无。</w:t>
      </w:r>
    </w:p>
    <w:p w14:paraId="393BE5F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kern w:val="0"/>
          <w:position w:val="0"/>
          <w:sz w:val="32"/>
          <w:szCs w:val="32"/>
          <w:highlight w:val="none"/>
          <w:lang w:val="zh-CN" w:eastAsia="zh-CN" w:bidi="ar-SA"/>
        </w:rPr>
        <w:t>对项目实施成果报告进行审查。</w:t>
      </w:r>
    </w:p>
    <w:p w14:paraId="7CFB8A60">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 w:val="0"/>
          <w:bCs w:val="0"/>
          <w:color w:val="auto"/>
          <w:kern w:val="0"/>
          <w:position w:val="0"/>
          <w:sz w:val="32"/>
          <w:szCs w:val="32"/>
          <w:highlight w:val="none"/>
          <w:lang w:val="zh-CN" w:eastAsia="zh-CN" w:bidi="ar-SA"/>
        </w:rPr>
        <w:t>单位自评法、实地勘察法、座谈调研法。</w:t>
      </w:r>
    </w:p>
    <w:p w14:paraId="61D2A18A">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 w:val="0"/>
          <w:bCs w:val="0"/>
          <w:color w:val="auto"/>
          <w:kern w:val="0"/>
          <w:position w:val="0"/>
          <w:sz w:val="32"/>
          <w:szCs w:val="32"/>
          <w:highlight w:val="none"/>
          <w:lang w:val="zh-CN" w:eastAsia="zh-CN" w:bidi="ar-SA"/>
        </w:rPr>
        <w:t>按照要求组成成果报告专家评审组对其进行审查。</w:t>
      </w:r>
    </w:p>
    <w:p w14:paraId="3836846E">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429E9851">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7204AED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420B8E8">
      <w:pPr>
        <w:spacing w:line="500" w:lineRule="exact"/>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仿宋_GB2312" w:cs="Times New Roman"/>
          <w:b w:val="0"/>
          <w:bCs w:val="0"/>
          <w:color w:val="auto"/>
          <w:kern w:val="0"/>
          <w:position w:val="0"/>
          <w:sz w:val="32"/>
          <w:szCs w:val="32"/>
          <w:highlight w:val="none"/>
          <w:lang w:val="en-US" w:eastAsia="zh-CN" w:bidi="ar-SA"/>
        </w:rPr>
        <w:t>根据攀枝花市西区土地储备中心职能职责，负责全区</w:t>
      </w:r>
      <w:r>
        <w:rPr>
          <w:rFonts w:hint="eastAsia" w:eastAsia="仿宋_GB2312" w:cs="Times New Roman"/>
          <w:b w:val="0"/>
          <w:bCs w:val="0"/>
          <w:color w:val="auto"/>
          <w:kern w:val="0"/>
          <w:position w:val="0"/>
          <w:sz w:val="32"/>
          <w:szCs w:val="32"/>
          <w:highlight w:val="none"/>
          <w:lang w:val="en-US" w:eastAsia="zh-CN" w:bidi="ar-SA"/>
        </w:rPr>
        <w:t>国有土地上房屋征收与补偿</w:t>
      </w:r>
      <w:r>
        <w:rPr>
          <w:rFonts w:hint="default" w:ascii="Times New Roman" w:hAnsi="Times New Roman" w:eastAsia="仿宋_GB2312" w:cs="Times New Roman"/>
          <w:b w:val="0"/>
          <w:bCs w:val="0"/>
          <w:color w:val="auto"/>
          <w:kern w:val="0"/>
          <w:position w:val="0"/>
          <w:sz w:val="32"/>
          <w:szCs w:val="32"/>
          <w:highlight w:val="none"/>
          <w:lang w:val="en-US" w:eastAsia="zh-CN" w:bidi="ar-SA"/>
        </w:rPr>
        <w:t>、收购及储备等事务性工作。</w:t>
      </w:r>
    </w:p>
    <w:p w14:paraId="7685C2B1">
      <w:pPr>
        <w:pStyle w:val="6"/>
        <w:spacing w:before="93"/>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default" w:ascii="Times New Roman" w:hAnsi="Times New Roman" w:eastAsia="仿宋_GB2312" w:cs="Times New Roman"/>
          <w:b w:val="0"/>
          <w:bCs w:val="0"/>
          <w:color w:val="auto"/>
          <w:kern w:val="0"/>
          <w:position w:val="0"/>
          <w:sz w:val="32"/>
          <w:szCs w:val="32"/>
          <w:highlight w:val="none"/>
          <w:lang w:val="zh-CN" w:eastAsia="zh-CN" w:bidi="ar-SA"/>
        </w:rPr>
        <w:t>定期与项目负责人沟通，了解项目进展情况，及时发现问题并解决。对项目的支出和预期效益进行评估分析，比较实际支出与预算的差异，找出节约成本的方法。通过对项目的各个环节进行分析，识别潜在的风险和问题，并制定相应的应对措施。</w:t>
      </w:r>
    </w:p>
    <w:p w14:paraId="3BB49F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b w:val="0"/>
          <w:bCs w:val="0"/>
          <w:color w:val="auto"/>
          <w:kern w:val="0"/>
          <w:position w:val="0"/>
          <w:sz w:val="32"/>
          <w:szCs w:val="32"/>
          <w:highlight w:val="none"/>
          <w:lang w:val="zh-CN" w:eastAsia="zh-CN" w:bidi="ar-SA"/>
        </w:rPr>
        <w:t>项目实施过程中，严格按照预定计划进行，通过精细化的进度管理确保了项目按时完成且成本控制在预算范围内。</w:t>
      </w:r>
    </w:p>
    <w:p w14:paraId="23ABC13A">
      <w:pPr>
        <w:spacing w:line="353" w:lineRule="auto"/>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default" w:ascii="Times New Roman" w:hAnsi="Times New Roman" w:eastAsia="仿宋_GB2312" w:cs="Times New Roman"/>
          <w:b w:val="0"/>
          <w:bCs w:val="0"/>
          <w:color w:val="auto"/>
          <w:kern w:val="0"/>
          <w:position w:val="0"/>
          <w:sz w:val="32"/>
          <w:szCs w:val="32"/>
          <w:highlight w:val="none"/>
          <w:lang w:val="en-US" w:eastAsia="zh-CN" w:bidi="ar-SA"/>
        </w:rPr>
        <w:t>为改善人居生活环境，提高西区城市品质，维护西区社会和谐稳定。</w:t>
      </w:r>
    </w:p>
    <w:p w14:paraId="02B720A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color w:val="auto"/>
          <w:kern w:val="0"/>
          <w:position w:val="0"/>
          <w:sz w:val="32"/>
          <w:szCs w:val="32"/>
          <w:highlight w:val="none"/>
          <w:lang w:val="zh-CN" w:eastAsia="zh-CN" w:bidi="ar-SA"/>
        </w:rPr>
        <w:t>根据</w:t>
      </w:r>
      <w:r>
        <w:rPr>
          <w:rFonts w:hint="default" w:ascii="Times New Roman" w:hAnsi="Times New Roman" w:eastAsia="仿宋_GB2312" w:cs="Times New Roman"/>
          <w:b w:val="0"/>
          <w:bCs w:val="0"/>
          <w:color w:val="auto"/>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color w:val="auto"/>
          <w:kern w:val="0"/>
          <w:position w:val="0"/>
          <w:sz w:val="32"/>
          <w:szCs w:val="32"/>
          <w:highlight w:val="none"/>
          <w:lang w:val="zh-CN" w:eastAsia="zh-CN" w:bidi="ar-SA"/>
        </w:rPr>
        <w:t>包括产业发展、民生保障、基础设施、行政运转等方面。</w:t>
      </w:r>
    </w:p>
    <w:p w14:paraId="2C2BE2A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1.产业发展。</w:t>
      </w:r>
      <w:r>
        <w:rPr>
          <w:rFonts w:hint="default" w:ascii="Times New Roman" w:hAnsi="Times New Roman" w:eastAsia="仿宋_GB2312" w:cs="Times New Roman"/>
          <w:sz w:val="32"/>
          <w:szCs w:val="32"/>
        </w:rPr>
        <w:t>做好</w:t>
      </w:r>
      <w:r>
        <w:rPr>
          <w:rFonts w:hint="default" w:ascii="Times New Roman" w:hAnsi="Times New Roman" w:eastAsia="仿宋_GB2312" w:cs="Times New Roman"/>
          <w:sz w:val="32"/>
          <w:szCs w:val="32"/>
          <w:lang w:val="en-US" w:eastAsia="zh-CN"/>
        </w:rPr>
        <w:t>国有土地上房屋征收</w:t>
      </w:r>
      <w:r>
        <w:rPr>
          <w:rFonts w:hint="eastAsia" w:eastAsia="仿宋_GB2312" w:cs="Times New Roman"/>
          <w:sz w:val="32"/>
          <w:szCs w:val="32"/>
          <w:lang w:val="en-US" w:eastAsia="zh-CN"/>
        </w:rPr>
        <w:t>与</w:t>
      </w:r>
      <w:r>
        <w:rPr>
          <w:rFonts w:hint="default" w:ascii="Times New Roman" w:hAnsi="Times New Roman" w:eastAsia="仿宋_GB2312" w:cs="Times New Roman"/>
          <w:sz w:val="32"/>
          <w:szCs w:val="32"/>
          <w:lang w:val="en-US" w:eastAsia="zh-CN"/>
        </w:rPr>
        <w:t>补偿、人员安置等</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w:t>
      </w:r>
    </w:p>
    <w:p w14:paraId="798A3E3C">
      <w:pPr>
        <w:keepNext w:val="0"/>
        <w:keepLines w:val="0"/>
        <w:pageBreakBefore w:val="0"/>
        <w:kinsoku/>
        <w:wordWrap/>
        <w:overflowPunct/>
        <w:topLinePunct w:val="0"/>
        <w:autoSpaceDE/>
        <w:autoSpaceDN/>
        <w:bidi w:val="0"/>
        <w:adjustRightInd/>
        <w:snapToGrid/>
        <w:spacing w:beforeAutospacing="0" w:afterAutospacing="0" w:line="353" w:lineRule="auto"/>
        <w:ind w:firstLine="64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仿宋_GB2312" w:cs="Times New Roman"/>
          <w:sz w:val="32"/>
          <w:szCs w:val="32"/>
          <w:lang w:val="en-US" w:eastAsia="zh-CN"/>
        </w:rPr>
        <w:t>维护西区社会和谐稳定</w:t>
      </w:r>
      <w:r>
        <w:rPr>
          <w:rFonts w:hint="default" w:ascii="Times New Roman" w:hAnsi="Times New Roman" w:eastAsia="仿宋_GB2312" w:cs="Times New Roman"/>
          <w:sz w:val="32"/>
          <w:szCs w:val="32"/>
          <w:lang w:eastAsia="zh-CN"/>
        </w:rPr>
        <w:t>。</w:t>
      </w:r>
    </w:p>
    <w:p w14:paraId="16DEB46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6157CD4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default" w:ascii="Times New Roman" w:hAnsi="Times New Roman" w:eastAsia="仿宋_GB2312" w:cs="Times New Roman"/>
          <w:snapToGrid/>
          <w:spacing w:val="0"/>
          <w:sz w:val="32"/>
          <w:szCs w:val="32"/>
          <w:lang w:eastAsia="zh-CN"/>
        </w:rPr>
        <w:t>完成</w:t>
      </w:r>
      <w:r>
        <w:rPr>
          <w:rFonts w:hint="default" w:ascii="Times New Roman" w:hAnsi="Times New Roman" w:eastAsia="仿宋_GB2312" w:cs="Times New Roman"/>
          <w:sz w:val="32"/>
          <w:szCs w:val="32"/>
          <w:lang w:eastAsia="zh-CN"/>
        </w:rPr>
        <w:t>国有土地上房屋征收</w:t>
      </w:r>
      <w:r>
        <w:rPr>
          <w:rFonts w:hint="eastAsia" w:eastAsia="仿宋_GB2312" w:cs="Times New Roman"/>
          <w:sz w:val="32"/>
          <w:szCs w:val="32"/>
          <w:lang w:val="en-US" w:eastAsia="zh-CN"/>
        </w:rPr>
        <w:t>与</w:t>
      </w:r>
      <w:r>
        <w:rPr>
          <w:rFonts w:hint="default" w:ascii="Times New Roman" w:hAnsi="Times New Roman" w:eastAsia="仿宋_GB2312" w:cs="Times New Roman"/>
          <w:sz w:val="32"/>
          <w:szCs w:val="32"/>
          <w:lang w:eastAsia="zh-CN"/>
        </w:rPr>
        <w:t>补偿</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3815CC52">
      <w:pPr>
        <w:adjustRightInd w:val="0"/>
        <w:snapToGrid w:val="0"/>
        <w:spacing w:line="578" w:lineRule="exact"/>
        <w:ind w:firstLine="72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7AFB366">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按计划征收土地，</w:t>
      </w:r>
      <w:r>
        <w:rPr>
          <w:rFonts w:hint="default" w:ascii="Times New Roman" w:hAnsi="Times New Roman" w:eastAsia="方正仿宋_GBK" w:cs="Times New Roman"/>
          <w:snapToGrid/>
          <w:spacing w:val="0"/>
          <w:sz w:val="33"/>
          <w:szCs w:val="33"/>
        </w:rPr>
        <w:t>加快推动“攀西工业强区”建设</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r>
        <w:rPr>
          <w:rFonts w:hint="default" w:ascii="Times New Roman" w:hAnsi="Times New Roman" w:eastAsia="方正仿宋_GBK" w:cs="Times New Roman"/>
          <w:snapToGrid/>
          <w:spacing w:val="0"/>
          <w:sz w:val="33"/>
          <w:szCs w:val="33"/>
        </w:rPr>
        <w:t>优化土地资源利用，充分激发土地资源效益，满足西区工业园区发展和招商引资落户企业用地需要</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64215D1E">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395F12D5">
      <w:pPr>
        <w:keepNext w:val="0"/>
        <w:keepLines w:val="0"/>
        <w:pageBreakBefore w:val="0"/>
        <w:kinsoku/>
        <w:wordWrap/>
        <w:overflowPunct/>
        <w:topLinePunct w:val="0"/>
        <w:autoSpaceDE/>
        <w:autoSpaceDN/>
        <w:bidi w:val="0"/>
        <w:adjustRightInd/>
        <w:snapToGrid/>
        <w:spacing w:beforeAutospacing="0" w:afterAutospacing="0" w:line="353" w:lineRule="auto"/>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val="en-US" w:eastAsia="zh-CN"/>
        </w:rPr>
        <w:t>攀枝花市西区养老服务中心项目</w:t>
      </w:r>
      <w:r>
        <w:rPr>
          <w:rFonts w:hint="eastAsia" w:ascii="Times New Roman" w:hAnsi="Times New Roman" w:eastAsia="仿宋_GB2312" w:cs="Times New Roman"/>
          <w:sz w:val="32"/>
          <w:szCs w:val="32"/>
          <w:lang w:val="en-US" w:eastAsia="zh-CN"/>
        </w:rPr>
        <w:t>范围内</w:t>
      </w:r>
      <w:r>
        <w:rPr>
          <w:rFonts w:hint="default" w:ascii="Times New Roman" w:hAnsi="Times New Roman" w:eastAsia="仿宋_GB2312" w:cs="Times New Roman"/>
          <w:sz w:val="32"/>
          <w:szCs w:val="32"/>
          <w:lang w:val="en-US" w:eastAsia="zh-CN"/>
        </w:rPr>
        <w:t>居民房屋及其他地上建（构）筑物拆迁补偿安置</w:t>
      </w:r>
      <w:r>
        <w:rPr>
          <w:rFonts w:hint="eastAsia" w:ascii="Times New Roman" w:hAnsi="Times New Roman" w:eastAsia="仿宋_GB2312" w:cs="Times New Roman"/>
          <w:sz w:val="32"/>
          <w:szCs w:val="32"/>
          <w:lang w:val="en-US" w:eastAsia="zh-CN"/>
        </w:rPr>
        <w:t>资金支付</w:t>
      </w:r>
      <w:r>
        <w:rPr>
          <w:rFonts w:hint="default" w:ascii="Times New Roman" w:hAnsi="Times New Roman" w:eastAsia="仿宋_GB2312" w:cs="Times New Roman"/>
          <w:sz w:val="32"/>
          <w:szCs w:val="32"/>
        </w:rPr>
        <w:t>工作，有效推进西区建设，促进西区高质量发展，在节约集约用地的同时，为经济发展提供用地保障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预期产出和效果能满足需求、不需要核减预算安排并支持政策出台、持续、保留或项目新增的意见。综合评估得分与评估等级较高。</w:t>
      </w:r>
    </w:p>
    <w:p w14:paraId="616420DB">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6C504BD2">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3ED4D9DC">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671615D2">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2AD899E5">
      <w:pPr>
        <w:spacing w:line="600" w:lineRule="exact"/>
        <w:outlineLvl w:val="0"/>
        <w:rPr>
          <w:rStyle w:val="31"/>
          <w:rFonts w:hint="default" w:ascii="Times New Roman" w:hAnsi="Times New Roman" w:eastAsia="黑体" w:cs="Times New Roman"/>
          <w:b w:val="0"/>
        </w:rPr>
      </w:pPr>
    </w:p>
    <w:p w14:paraId="3DFE8FD2">
      <w:pPr>
        <w:spacing w:line="600" w:lineRule="exact"/>
        <w:outlineLvl w:val="0"/>
        <w:rPr>
          <w:rStyle w:val="31"/>
          <w:rFonts w:hint="default" w:ascii="Times New Roman" w:hAnsi="Times New Roman" w:eastAsia="黑体" w:cs="Times New Roman"/>
          <w:b w:val="0"/>
        </w:rPr>
      </w:pPr>
    </w:p>
    <w:p w14:paraId="033B776C">
      <w:pPr>
        <w:spacing w:line="600" w:lineRule="exact"/>
        <w:outlineLvl w:val="0"/>
        <w:rPr>
          <w:rStyle w:val="31"/>
          <w:rFonts w:hint="default" w:ascii="Times New Roman" w:hAnsi="Times New Roman" w:eastAsia="黑体" w:cs="Times New Roman"/>
          <w:b w:val="0"/>
        </w:rPr>
      </w:pPr>
    </w:p>
    <w:p w14:paraId="041EE8CC">
      <w:pPr>
        <w:spacing w:line="600" w:lineRule="exact"/>
        <w:outlineLvl w:val="0"/>
        <w:rPr>
          <w:rStyle w:val="31"/>
          <w:rFonts w:hint="default" w:ascii="Times New Roman" w:hAnsi="Times New Roman" w:eastAsia="黑体" w:cs="Times New Roman"/>
          <w:b w:val="0"/>
        </w:rPr>
      </w:pPr>
    </w:p>
    <w:p w14:paraId="1917E311">
      <w:pPr>
        <w:spacing w:line="600" w:lineRule="exact"/>
        <w:outlineLvl w:val="0"/>
        <w:rPr>
          <w:rStyle w:val="31"/>
          <w:rFonts w:hint="default" w:ascii="Times New Roman" w:hAnsi="Times New Roman" w:eastAsia="黑体" w:cs="Times New Roman"/>
          <w:b w:val="0"/>
        </w:rPr>
      </w:pPr>
    </w:p>
    <w:p w14:paraId="55F15656">
      <w:pPr>
        <w:spacing w:line="600" w:lineRule="exact"/>
        <w:outlineLvl w:val="0"/>
        <w:rPr>
          <w:rStyle w:val="31"/>
          <w:rFonts w:hint="default" w:ascii="Times New Roman" w:hAnsi="Times New Roman" w:eastAsia="黑体" w:cs="Times New Roman"/>
          <w:b w:val="0"/>
        </w:rPr>
      </w:pPr>
    </w:p>
    <w:p w14:paraId="449B88A8">
      <w:pPr>
        <w:spacing w:line="600" w:lineRule="exact"/>
        <w:outlineLvl w:val="0"/>
        <w:rPr>
          <w:rStyle w:val="31"/>
          <w:rFonts w:hint="default" w:ascii="Times New Roman" w:hAnsi="Times New Roman" w:eastAsia="黑体" w:cs="Times New Roman"/>
          <w:b w:val="0"/>
        </w:rPr>
      </w:pPr>
    </w:p>
    <w:p w14:paraId="6F3B88EF">
      <w:pPr>
        <w:spacing w:line="600" w:lineRule="exact"/>
        <w:outlineLvl w:val="0"/>
        <w:rPr>
          <w:rStyle w:val="31"/>
          <w:rFonts w:hint="default" w:ascii="Times New Roman" w:hAnsi="Times New Roman" w:eastAsia="黑体" w:cs="Times New Roman"/>
          <w:b w:val="0"/>
        </w:rPr>
      </w:pPr>
    </w:p>
    <w:p w14:paraId="641FCC92">
      <w:pPr>
        <w:spacing w:line="600" w:lineRule="exact"/>
        <w:jc w:val="center"/>
        <w:outlineLvl w:val="0"/>
        <w:rPr>
          <w:rFonts w:hint="default" w:ascii="Times New Roman" w:hAnsi="Times New Roman" w:eastAsia="方正小标宋简体" w:cs="Times New Roman"/>
          <w:sz w:val="40"/>
          <w:szCs w:val="40"/>
          <w:lang w:val="zh-CN"/>
        </w:rPr>
      </w:pPr>
      <w:r>
        <w:rPr>
          <w:rFonts w:hint="default" w:ascii="Times New Roman" w:hAnsi="Times New Roman" w:eastAsia="方正小标宋简体" w:cs="Times New Roman"/>
          <w:sz w:val="40"/>
          <w:szCs w:val="40"/>
          <w:lang w:val="zh-CN"/>
        </w:rPr>
        <w:t>望伦项目土地整理经费</w:t>
      </w:r>
    </w:p>
    <w:p w14:paraId="71973E8C">
      <w:pPr>
        <w:spacing w:line="600" w:lineRule="exact"/>
        <w:jc w:val="center"/>
        <w:outlineLvl w:val="0"/>
        <w:rPr>
          <w:rFonts w:hint="default" w:ascii="Times New Roman" w:hAnsi="Times New Roman" w:cs="Times New Roman"/>
          <w:sz w:val="32"/>
          <w:szCs w:val="32"/>
          <w:lang w:val="zh-CN"/>
        </w:rPr>
      </w:pPr>
      <w:r>
        <w:rPr>
          <w:rFonts w:hint="default" w:ascii="Times New Roman" w:hAnsi="Times New Roman" w:eastAsia="方正小标宋简体" w:cs="Times New Roman"/>
          <w:sz w:val="40"/>
          <w:szCs w:val="40"/>
          <w:lang w:val="zh-CN"/>
        </w:rPr>
        <w:t>专项预算项目支出绩效自评报告</w:t>
      </w:r>
    </w:p>
    <w:p w14:paraId="68B529D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sz w:val="32"/>
          <w:szCs w:val="32"/>
          <w:highlight w:val="none"/>
        </w:rPr>
      </w:pPr>
    </w:p>
    <w:p w14:paraId="6D90819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5A5CF3F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4ED54615">
      <w:pPr>
        <w:keepNext w:val="0"/>
        <w:keepLines w:val="0"/>
        <w:pageBreakBefore w:val="0"/>
        <w:widowControl w:val="0"/>
        <w:kinsoku/>
        <w:wordWrap/>
        <w:overflowPunct/>
        <w:topLinePunct w:val="0"/>
        <w:autoSpaceDE/>
        <w:autoSpaceDN/>
        <w:bidi w:val="0"/>
        <w:spacing w:line="353" w:lineRule="auto"/>
        <w:ind w:firstLine="640" w:firstLineChars="200"/>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为</w:t>
      </w:r>
      <w:r>
        <w:rPr>
          <w:rFonts w:hint="eastAsia" w:eastAsia="仿宋_GB2312" w:cs="Times New Roman"/>
          <w:b w:val="0"/>
          <w:bCs w:val="0"/>
          <w:color w:val="auto"/>
          <w:kern w:val="0"/>
          <w:position w:val="0"/>
          <w:sz w:val="32"/>
          <w:szCs w:val="32"/>
          <w:highlight w:val="none"/>
          <w:lang w:val="en-US" w:eastAsia="zh-CN" w:bidi="ar-SA"/>
        </w:rPr>
        <w:t>满足招商引资项目建设用地需要，推动“攀西工业强区”建设</w:t>
      </w:r>
      <w:r>
        <w:rPr>
          <w:rFonts w:hint="default" w:ascii="Times New Roman" w:hAnsi="Times New Roman" w:eastAsia="仿宋_GB2312" w:cs="Times New Roman"/>
          <w:b w:val="0"/>
          <w:bCs w:val="0"/>
          <w:color w:val="auto"/>
          <w:kern w:val="0"/>
          <w:position w:val="0"/>
          <w:sz w:val="32"/>
          <w:szCs w:val="32"/>
          <w:highlight w:val="none"/>
          <w:lang w:val="en-US" w:eastAsia="zh-CN" w:bidi="ar-SA"/>
        </w:rPr>
        <w:t>。完成</w:t>
      </w:r>
      <w:r>
        <w:rPr>
          <w:rFonts w:hint="eastAsia" w:ascii="Times New Roman" w:hAnsi="Times New Roman" w:eastAsia="仿宋_GB2312" w:cs="Times New Roman"/>
          <w:sz w:val="32"/>
          <w:szCs w:val="32"/>
          <w:lang w:val="en-US" w:eastAsia="zh-CN"/>
        </w:rPr>
        <w:t>格里坪镇金桥村504电厂西侧片区第一批次建设项目用地范围内涉及的农村集体土地、房屋及地上附着物等进行征拆补偿安置工作。根据区土地储备中心职能职责，负责统筹农村集体土</w:t>
      </w:r>
      <w:r>
        <w:rPr>
          <w:rFonts w:hint="eastAsia" w:ascii="Times New Roman" w:hAnsi="Times New Roman" w:eastAsia="仿宋_GB2312" w:cs="Times New Roman"/>
          <w:sz w:val="32"/>
          <w:szCs w:val="32"/>
        </w:rPr>
        <w:t>地的征收拆迁补偿安置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格里坪镇政府负责补偿安置具体事务性工作</w:t>
      </w:r>
      <w:r>
        <w:rPr>
          <w:rFonts w:hint="eastAsia" w:ascii="Times New Roman" w:hAnsi="Times New Roman" w:eastAsia="仿宋_GB2312" w:cs="Times New Roman"/>
          <w:sz w:val="32"/>
          <w:szCs w:val="32"/>
        </w:rPr>
        <w:t>。主要内容包括对征收的农村集体土地进行测量测绘，</w:t>
      </w:r>
      <w:r>
        <w:rPr>
          <w:rFonts w:ascii="仿宋_GB2312" w:hAnsi="Calibri" w:eastAsia="仿宋_GB2312" w:cs="Times New Roman"/>
          <w:bCs/>
          <w:spacing w:val="-4"/>
          <w:sz w:val="32"/>
          <w:szCs w:val="32"/>
        </w:rPr>
        <w:t>确定征收</w:t>
      </w:r>
      <w:r>
        <w:rPr>
          <w:rFonts w:hint="eastAsia" w:ascii="仿宋_GB2312" w:hAnsi="Calibri" w:eastAsia="仿宋_GB2312" w:cs="Times New Roman"/>
          <w:bCs/>
          <w:spacing w:val="-4"/>
          <w:sz w:val="32"/>
          <w:szCs w:val="32"/>
        </w:rPr>
        <w:t>土地</w:t>
      </w:r>
      <w:r>
        <w:rPr>
          <w:rFonts w:ascii="仿宋_GB2312" w:hAnsi="Calibri" w:eastAsia="仿宋_GB2312" w:cs="Times New Roman"/>
          <w:bCs/>
          <w:spacing w:val="-4"/>
          <w:sz w:val="32"/>
          <w:szCs w:val="32"/>
        </w:rPr>
        <w:t>红线</w:t>
      </w:r>
      <w:r>
        <w:rPr>
          <w:rFonts w:hint="eastAsia" w:ascii="仿宋_GB2312" w:hAnsi="Calibri" w:eastAsia="仿宋_GB2312" w:cs="Times New Roman"/>
          <w:bCs/>
          <w:spacing w:val="-4"/>
          <w:sz w:val="32"/>
          <w:szCs w:val="32"/>
        </w:rPr>
        <w:t>范围</w:t>
      </w:r>
      <w:r>
        <w:rPr>
          <w:rFonts w:hint="eastAsia" w:ascii="仿宋_GB2312" w:eastAsia="仿宋_GB2312"/>
          <w:bCs/>
          <w:spacing w:val="-4"/>
          <w:sz w:val="32"/>
          <w:szCs w:val="32"/>
        </w:rPr>
        <w:t>，对被</w:t>
      </w:r>
      <w:r>
        <w:rPr>
          <w:rFonts w:hint="eastAsia" w:ascii="Times New Roman" w:hAnsi="Times New Roman" w:eastAsia="仿宋_GB2312" w:cs="Times New Roman"/>
          <w:sz w:val="32"/>
          <w:szCs w:val="32"/>
        </w:rPr>
        <w:t>征收的农村集体土地上附着物、建构筑物等开展调查、补偿、拆迁工作，</w:t>
      </w:r>
      <w:r>
        <w:rPr>
          <w:rFonts w:hint="eastAsia" w:ascii="仿宋_GB2312" w:eastAsia="仿宋_GB2312"/>
          <w:bCs/>
          <w:spacing w:val="-4"/>
          <w:sz w:val="32"/>
          <w:szCs w:val="32"/>
        </w:rPr>
        <w:t>以及对拆迁范围人口开展安置工作</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3E7BBDA0">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104C6EE7">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根据攀枝花市西区土地储备中心职能职责，负责</w:t>
      </w:r>
      <w:r>
        <w:rPr>
          <w:rFonts w:hint="default" w:ascii="Times New Roman" w:hAnsi="Times New Roman" w:eastAsia="仿宋_GB2312" w:cs="Times New Roman"/>
          <w:b w:val="0"/>
          <w:bCs w:val="0"/>
          <w:color w:val="auto"/>
          <w:kern w:val="0"/>
          <w:position w:val="0"/>
          <w:sz w:val="32"/>
          <w:szCs w:val="32"/>
          <w:highlight w:val="none"/>
          <w:lang w:val="en-US" w:eastAsia="zh-CN" w:bidi="ar-SA"/>
        </w:rPr>
        <w:t>统筹</w:t>
      </w:r>
      <w:r>
        <w:rPr>
          <w:rFonts w:hint="default" w:ascii="Times New Roman" w:hAnsi="Times New Roman" w:eastAsia="仿宋_GB2312" w:cs="Times New Roman"/>
          <w:b w:val="0"/>
          <w:bCs w:val="0"/>
          <w:color w:val="auto"/>
          <w:kern w:val="0"/>
          <w:position w:val="0"/>
          <w:sz w:val="32"/>
          <w:szCs w:val="32"/>
          <w:highlight w:val="none"/>
          <w:lang w:val="zh-CN" w:eastAsia="zh-CN" w:bidi="ar-SA"/>
        </w:rPr>
        <w:t>全区</w:t>
      </w:r>
      <w:r>
        <w:rPr>
          <w:rFonts w:hint="default" w:ascii="Times New Roman" w:hAnsi="Times New Roman" w:eastAsia="仿宋_GB2312" w:cs="Times New Roman"/>
          <w:b w:val="0"/>
          <w:bCs w:val="0"/>
          <w:color w:val="auto"/>
          <w:kern w:val="0"/>
          <w:position w:val="0"/>
          <w:sz w:val="32"/>
          <w:szCs w:val="32"/>
          <w:highlight w:val="none"/>
          <w:lang w:val="en-US" w:eastAsia="zh-CN" w:bidi="ar-SA"/>
        </w:rPr>
        <w:t>农村集体</w:t>
      </w:r>
      <w:r>
        <w:rPr>
          <w:rFonts w:hint="default" w:ascii="Times New Roman" w:hAnsi="Times New Roman" w:eastAsia="仿宋_GB2312" w:cs="Times New Roman"/>
          <w:b w:val="0"/>
          <w:bCs w:val="0"/>
          <w:color w:val="auto"/>
          <w:kern w:val="0"/>
          <w:position w:val="0"/>
          <w:sz w:val="32"/>
          <w:szCs w:val="32"/>
          <w:highlight w:val="none"/>
          <w:lang w:val="zh-CN" w:eastAsia="zh-CN" w:bidi="ar-SA"/>
        </w:rPr>
        <w:t>土地</w:t>
      </w:r>
      <w:r>
        <w:rPr>
          <w:rFonts w:hint="default" w:ascii="Times New Roman" w:hAnsi="Times New Roman" w:eastAsia="仿宋_GB2312" w:cs="Times New Roman"/>
          <w:b w:val="0"/>
          <w:bCs w:val="0"/>
          <w:color w:val="auto"/>
          <w:kern w:val="0"/>
          <w:position w:val="0"/>
          <w:sz w:val="32"/>
          <w:szCs w:val="32"/>
          <w:highlight w:val="none"/>
          <w:lang w:val="en-US" w:eastAsia="zh-CN" w:bidi="ar-SA"/>
        </w:rPr>
        <w:t>青苗、房屋及地上附着物的等</w:t>
      </w:r>
      <w:r>
        <w:rPr>
          <w:rFonts w:hint="default" w:ascii="Times New Roman" w:hAnsi="Times New Roman" w:eastAsia="仿宋_GB2312" w:cs="Times New Roman"/>
          <w:b w:val="0"/>
          <w:bCs w:val="0"/>
          <w:color w:val="auto"/>
          <w:kern w:val="0"/>
          <w:position w:val="0"/>
          <w:sz w:val="32"/>
          <w:szCs w:val="32"/>
          <w:highlight w:val="none"/>
          <w:lang w:val="zh-CN" w:eastAsia="zh-CN" w:bidi="ar-SA"/>
        </w:rPr>
        <w:t>的征收补偿</w:t>
      </w:r>
      <w:r>
        <w:rPr>
          <w:rFonts w:hint="default" w:ascii="Times New Roman" w:hAnsi="Times New Roman" w:eastAsia="仿宋_GB2312" w:cs="Times New Roman"/>
          <w:b w:val="0"/>
          <w:bCs w:val="0"/>
          <w:color w:val="auto"/>
          <w:kern w:val="0"/>
          <w:position w:val="0"/>
          <w:sz w:val="32"/>
          <w:szCs w:val="32"/>
          <w:highlight w:val="none"/>
          <w:lang w:val="en-US" w:eastAsia="zh-CN" w:bidi="ar-SA"/>
        </w:rPr>
        <w:t>工作，并统筹人员</w:t>
      </w:r>
      <w:r>
        <w:rPr>
          <w:rFonts w:hint="default" w:ascii="Times New Roman" w:hAnsi="Times New Roman" w:eastAsia="仿宋_GB2312" w:cs="Times New Roman"/>
          <w:b w:val="0"/>
          <w:bCs w:val="0"/>
          <w:color w:val="auto"/>
          <w:kern w:val="0"/>
          <w:position w:val="0"/>
          <w:sz w:val="32"/>
          <w:szCs w:val="32"/>
          <w:highlight w:val="none"/>
          <w:lang w:val="zh-CN" w:eastAsia="zh-CN" w:bidi="ar-SA"/>
        </w:rPr>
        <w:t>安置等事务性工作。因中心无收入来源，需财政给予资金投入。</w:t>
      </w:r>
    </w:p>
    <w:p w14:paraId="6B8CD7C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1.</w:t>
      </w:r>
      <w:r>
        <w:rPr>
          <w:rFonts w:hint="default" w:ascii="Times New Roman" w:hAnsi="Times New Roman" w:eastAsia="仿宋_GB2312" w:cs="Times New Roman"/>
          <w:b w:val="0"/>
          <w:bCs w:val="0"/>
          <w:color w:val="auto"/>
          <w:kern w:val="0"/>
          <w:position w:val="0"/>
          <w:sz w:val="32"/>
          <w:szCs w:val="32"/>
          <w:highlight w:val="none"/>
          <w:lang w:val="zh-CN" w:eastAsia="zh-CN" w:bidi="ar-SA"/>
        </w:rPr>
        <w:t>对</w:t>
      </w:r>
      <w:r>
        <w:rPr>
          <w:rFonts w:hint="default" w:ascii="Times New Roman" w:hAnsi="Times New Roman" w:eastAsia="仿宋_GB2312" w:cs="Times New Roman"/>
          <w:b w:val="0"/>
          <w:bCs w:val="0"/>
          <w:color w:val="auto"/>
          <w:kern w:val="0"/>
          <w:position w:val="0"/>
          <w:sz w:val="32"/>
          <w:szCs w:val="32"/>
          <w:highlight w:val="none"/>
          <w:lang w:val="en-US" w:eastAsia="zh-CN" w:bidi="ar-SA"/>
        </w:rPr>
        <w:t>拟</w:t>
      </w:r>
      <w:r>
        <w:rPr>
          <w:rFonts w:hint="default" w:ascii="Times New Roman" w:hAnsi="Times New Roman" w:eastAsia="仿宋_GB2312" w:cs="Times New Roman"/>
          <w:b w:val="0"/>
          <w:bCs w:val="0"/>
          <w:color w:val="auto"/>
          <w:kern w:val="0"/>
          <w:position w:val="0"/>
          <w:sz w:val="32"/>
          <w:szCs w:val="32"/>
          <w:highlight w:val="none"/>
          <w:lang w:val="zh-CN" w:eastAsia="zh-CN" w:bidi="ar-SA"/>
        </w:rPr>
        <w:t>征收的</w:t>
      </w:r>
      <w:r>
        <w:rPr>
          <w:rFonts w:hint="default" w:ascii="Times New Roman" w:hAnsi="Times New Roman" w:eastAsia="仿宋_GB2312" w:cs="Times New Roman"/>
          <w:b w:val="0"/>
          <w:bCs w:val="0"/>
          <w:color w:val="auto"/>
          <w:kern w:val="0"/>
          <w:position w:val="0"/>
          <w:sz w:val="32"/>
          <w:szCs w:val="32"/>
          <w:highlight w:val="none"/>
          <w:lang w:val="en-US" w:eastAsia="zh-CN" w:bidi="ar-SA"/>
        </w:rPr>
        <w:t>青苗、土地及附属实施等开展土地现状调查，委托第三方测绘公司</w:t>
      </w:r>
      <w:r>
        <w:rPr>
          <w:rFonts w:hint="default" w:ascii="Times New Roman" w:hAnsi="Times New Roman" w:eastAsia="仿宋_GB2312" w:cs="Times New Roman"/>
          <w:b w:val="0"/>
          <w:bCs w:val="0"/>
          <w:color w:val="auto"/>
          <w:kern w:val="0"/>
          <w:position w:val="0"/>
          <w:sz w:val="32"/>
          <w:szCs w:val="32"/>
          <w:highlight w:val="none"/>
          <w:lang w:val="zh-CN" w:eastAsia="zh-CN" w:bidi="ar-SA"/>
        </w:rPr>
        <w:t>测量测绘；</w:t>
      </w:r>
    </w:p>
    <w:p w14:paraId="0BB5AAD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2.</w:t>
      </w:r>
      <w:r>
        <w:rPr>
          <w:rFonts w:hint="default" w:ascii="Times New Roman" w:hAnsi="Times New Roman" w:eastAsia="仿宋_GB2312" w:cs="Times New Roman"/>
          <w:b w:val="0"/>
          <w:bCs w:val="0"/>
          <w:color w:val="auto"/>
          <w:kern w:val="0"/>
          <w:position w:val="0"/>
          <w:sz w:val="32"/>
          <w:szCs w:val="32"/>
          <w:highlight w:val="none"/>
          <w:lang w:val="en-US" w:eastAsia="zh-CN" w:bidi="ar-SA"/>
        </w:rPr>
        <w:t>根据</w:t>
      </w:r>
      <w:r>
        <w:rPr>
          <w:rFonts w:hint="default" w:ascii="Times New Roman" w:hAnsi="Times New Roman" w:eastAsia="仿宋_GB2312" w:cs="Times New Roman"/>
          <w:b w:val="0"/>
          <w:bCs w:val="0"/>
          <w:color w:val="auto"/>
          <w:kern w:val="0"/>
          <w:position w:val="0"/>
          <w:sz w:val="32"/>
          <w:szCs w:val="32"/>
          <w:highlight w:val="none"/>
          <w:lang w:val="zh-CN" w:eastAsia="zh-CN" w:bidi="ar-SA"/>
        </w:rPr>
        <w:t>确定征收</w:t>
      </w:r>
      <w:r>
        <w:rPr>
          <w:rFonts w:hint="default" w:ascii="Times New Roman" w:hAnsi="Times New Roman" w:eastAsia="仿宋_GB2312" w:cs="Times New Roman"/>
          <w:b w:val="0"/>
          <w:bCs w:val="0"/>
          <w:color w:val="auto"/>
          <w:kern w:val="0"/>
          <w:position w:val="0"/>
          <w:sz w:val="32"/>
          <w:szCs w:val="32"/>
          <w:highlight w:val="none"/>
          <w:lang w:val="en-US" w:eastAsia="zh-CN" w:bidi="ar-SA"/>
        </w:rPr>
        <w:t>房屋、</w:t>
      </w:r>
      <w:r>
        <w:rPr>
          <w:rFonts w:hint="default" w:ascii="Times New Roman" w:hAnsi="Times New Roman" w:eastAsia="仿宋_GB2312" w:cs="Times New Roman"/>
          <w:b w:val="0"/>
          <w:bCs w:val="0"/>
          <w:color w:val="auto"/>
          <w:kern w:val="0"/>
          <w:position w:val="0"/>
          <w:sz w:val="32"/>
          <w:szCs w:val="32"/>
          <w:highlight w:val="none"/>
          <w:lang w:val="zh-CN" w:eastAsia="zh-CN" w:bidi="ar-SA"/>
        </w:rPr>
        <w:t>土地红线范围，</w:t>
      </w:r>
      <w:r>
        <w:rPr>
          <w:rFonts w:hint="default" w:ascii="Times New Roman" w:hAnsi="Times New Roman" w:eastAsia="仿宋_GB2312" w:cs="Times New Roman"/>
          <w:b w:val="0"/>
          <w:bCs w:val="0"/>
          <w:color w:val="auto"/>
          <w:kern w:val="0"/>
          <w:position w:val="0"/>
          <w:sz w:val="32"/>
          <w:szCs w:val="32"/>
          <w:highlight w:val="none"/>
          <w:lang w:val="en-US" w:eastAsia="zh-CN" w:bidi="ar-SA"/>
        </w:rPr>
        <w:t>进行土地征收成本测算，并起草征收补偿安置方案</w:t>
      </w:r>
      <w:r>
        <w:rPr>
          <w:rFonts w:hint="default" w:ascii="Times New Roman" w:hAnsi="Times New Roman" w:eastAsia="仿宋_GB2312" w:cs="Times New Roman"/>
          <w:b w:val="0"/>
          <w:bCs w:val="0"/>
          <w:color w:val="auto"/>
          <w:kern w:val="0"/>
          <w:position w:val="0"/>
          <w:sz w:val="32"/>
          <w:szCs w:val="32"/>
          <w:highlight w:val="none"/>
          <w:lang w:val="zh-CN" w:eastAsia="zh-CN" w:bidi="ar-SA"/>
        </w:rPr>
        <w:t>；</w:t>
      </w:r>
    </w:p>
    <w:p w14:paraId="7E96D49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3.</w:t>
      </w:r>
      <w:r>
        <w:rPr>
          <w:rFonts w:hint="default" w:ascii="Times New Roman" w:hAnsi="Times New Roman" w:eastAsia="仿宋_GB2312" w:cs="Times New Roman"/>
          <w:b w:val="0"/>
          <w:bCs w:val="0"/>
          <w:color w:val="auto"/>
          <w:kern w:val="0"/>
          <w:position w:val="0"/>
          <w:sz w:val="32"/>
          <w:szCs w:val="32"/>
          <w:highlight w:val="none"/>
          <w:lang w:val="en-US" w:eastAsia="zh-CN" w:bidi="ar-SA"/>
        </w:rPr>
        <w:t>统筹开展全区农村集体土地征收协议签订等事务性</w:t>
      </w:r>
      <w:r>
        <w:rPr>
          <w:rFonts w:hint="default" w:ascii="Times New Roman" w:hAnsi="Times New Roman" w:eastAsia="仿宋_GB2312" w:cs="Times New Roman"/>
          <w:b w:val="0"/>
          <w:bCs w:val="0"/>
          <w:color w:val="auto"/>
          <w:kern w:val="0"/>
          <w:position w:val="0"/>
          <w:sz w:val="32"/>
          <w:szCs w:val="32"/>
          <w:highlight w:val="none"/>
          <w:lang w:val="zh-CN" w:eastAsia="zh-CN" w:bidi="ar-SA"/>
        </w:rPr>
        <w:t>工作；</w:t>
      </w:r>
    </w:p>
    <w:p w14:paraId="0D86411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4.</w:t>
      </w:r>
      <w:r>
        <w:rPr>
          <w:rFonts w:hint="default" w:ascii="Times New Roman" w:hAnsi="Times New Roman" w:eastAsia="仿宋_GB2312" w:cs="Times New Roman"/>
          <w:b w:val="0"/>
          <w:bCs w:val="0"/>
          <w:color w:val="auto"/>
          <w:kern w:val="0"/>
          <w:position w:val="0"/>
          <w:sz w:val="32"/>
          <w:szCs w:val="32"/>
          <w:highlight w:val="none"/>
          <w:lang w:val="en-US" w:eastAsia="zh-CN" w:bidi="ar-SA"/>
        </w:rPr>
        <w:t>统筹开展</w:t>
      </w:r>
      <w:r>
        <w:rPr>
          <w:rFonts w:hint="default" w:ascii="Times New Roman" w:hAnsi="Times New Roman" w:eastAsia="仿宋_GB2312" w:cs="Times New Roman"/>
          <w:b w:val="0"/>
          <w:bCs w:val="0"/>
          <w:color w:val="auto"/>
          <w:kern w:val="0"/>
          <w:position w:val="0"/>
          <w:sz w:val="32"/>
          <w:szCs w:val="32"/>
          <w:highlight w:val="none"/>
          <w:lang w:val="zh-CN" w:eastAsia="zh-CN" w:bidi="ar-SA"/>
        </w:rPr>
        <w:t>对拆迁范围人口开展</w:t>
      </w:r>
      <w:r>
        <w:rPr>
          <w:rFonts w:hint="default" w:ascii="Times New Roman" w:hAnsi="Times New Roman" w:eastAsia="仿宋_GB2312" w:cs="Times New Roman"/>
          <w:b w:val="0"/>
          <w:bCs w:val="0"/>
          <w:color w:val="auto"/>
          <w:kern w:val="0"/>
          <w:position w:val="0"/>
          <w:sz w:val="32"/>
          <w:szCs w:val="32"/>
          <w:highlight w:val="none"/>
          <w:lang w:val="en-US" w:eastAsia="zh-CN" w:bidi="ar-SA"/>
        </w:rPr>
        <w:t>补偿、</w:t>
      </w:r>
      <w:r>
        <w:rPr>
          <w:rFonts w:hint="default" w:ascii="Times New Roman" w:hAnsi="Times New Roman" w:eastAsia="仿宋_GB2312" w:cs="Times New Roman"/>
          <w:b w:val="0"/>
          <w:bCs w:val="0"/>
          <w:color w:val="auto"/>
          <w:kern w:val="0"/>
          <w:position w:val="0"/>
          <w:sz w:val="32"/>
          <w:szCs w:val="32"/>
          <w:highlight w:val="none"/>
          <w:lang w:val="zh-CN" w:eastAsia="zh-CN" w:bidi="ar-SA"/>
        </w:rPr>
        <w:t>安置工作。</w:t>
      </w:r>
    </w:p>
    <w:p w14:paraId="3EEC162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2C5840DE">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项目资金主要来源于区级自然资源海洋气象等支出资金。资金分配按照项目实施方案和预算计划进行，确保各项实施内容得到落实。</w:t>
      </w:r>
    </w:p>
    <w:p w14:paraId="1D88A284">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14:paraId="3E2CDF12">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为</w:t>
      </w:r>
      <w:r>
        <w:rPr>
          <w:rFonts w:hint="eastAsia" w:eastAsia="仿宋_GB2312" w:cs="Times New Roman"/>
          <w:b w:val="0"/>
          <w:bCs w:val="0"/>
          <w:color w:val="auto"/>
          <w:kern w:val="0"/>
          <w:position w:val="0"/>
          <w:sz w:val="32"/>
          <w:szCs w:val="32"/>
          <w:highlight w:val="none"/>
          <w:lang w:val="en-US" w:eastAsia="zh-CN" w:bidi="ar-SA"/>
        </w:rPr>
        <w:t>满足招商引资项目建设用地需要，推动“攀西工业强区”建设</w:t>
      </w:r>
      <w:r>
        <w:rPr>
          <w:rFonts w:hint="default" w:ascii="Times New Roman" w:hAnsi="Times New Roman" w:eastAsia="仿宋_GB2312" w:cs="Times New Roman"/>
          <w:b w:val="0"/>
          <w:bCs w:val="0"/>
          <w:color w:val="auto"/>
          <w:kern w:val="0"/>
          <w:position w:val="0"/>
          <w:sz w:val="32"/>
          <w:szCs w:val="32"/>
          <w:highlight w:val="none"/>
          <w:lang w:val="zh-CN" w:eastAsia="zh-CN" w:bidi="ar-SA"/>
        </w:rPr>
        <w:t>，根据规划及征收批文开展征地拆迁工作。土地调查及测量测绘、</w:t>
      </w:r>
      <w:r>
        <w:rPr>
          <w:rFonts w:hint="default" w:ascii="Times New Roman" w:hAnsi="Times New Roman" w:eastAsia="仿宋_GB2312" w:cs="Times New Roman"/>
          <w:b w:val="0"/>
          <w:bCs w:val="0"/>
          <w:color w:val="auto"/>
          <w:kern w:val="0"/>
          <w:position w:val="0"/>
          <w:sz w:val="32"/>
          <w:szCs w:val="32"/>
          <w:highlight w:val="none"/>
          <w:lang w:val="en-US" w:eastAsia="zh-CN" w:bidi="ar-SA"/>
        </w:rPr>
        <w:t>征收补偿安置方案起草是土地征收</w:t>
      </w:r>
      <w:r>
        <w:rPr>
          <w:rFonts w:hint="default" w:ascii="Times New Roman" w:hAnsi="Times New Roman" w:eastAsia="仿宋_GB2312" w:cs="Times New Roman"/>
          <w:b w:val="0"/>
          <w:bCs w:val="0"/>
          <w:color w:val="auto"/>
          <w:kern w:val="0"/>
          <w:position w:val="0"/>
          <w:sz w:val="32"/>
          <w:szCs w:val="32"/>
          <w:highlight w:val="none"/>
          <w:lang w:val="zh-CN" w:eastAsia="zh-CN" w:bidi="ar-SA"/>
        </w:rPr>
        <w:t>必要前置工作。</w:t>
      </w:r>
    </w:p>
    <w:p w14:paraId="3A0CF5C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7871CDC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116F6780">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为</w:t>
      </w:r>
      <w:r>
        <w:rPr>
          <w:rFonts w:hint="eastAsia" w:eastAsia="仿宋_GB2312" w:cs="Times New Roman"/>
          <w:b w:val="0"/>
          <w:bCs w:val="0"/>
          <w:color w:val="auto"/>
          <w:kern w:val="0"/>
          <w:position w:val="0"/>
          <w:sz w:val="32"/>
          <w:szCs w:val="32"/>
          <w:highlight w:val="none"/>
          <w:lang w:val="en-US" w:eastAsia="zh-CN" w:bidi="ar-SA"/>
        </w:rPr>
        <w:t>满足招商引资项目建设用地需要，推动“攀西工业强区”建设</w:t>
      </w:r>
      <w:r>
        <w:rPr>
          <w:rFonts w:hint="default" w:ascii="Times New Roman" w:hAnsi="Times New Roman" w:eastAsia="仿宋_GB2312" w:cs="Times New Roman"/>
          <w:b w:val="0"/>
          <w:bCs w:val="0"/>
          <w:color w:val="auto"/>
          <w:kern w:val="0"/>
          <w:position w:val="0"/>
          <w:sz w:val="32"/>
          <w:szCs w:val="32"/>
          <w:highlight w:val="none"/>
          <w:lang w:val="en-US" w:eastAsia="zh-CN" w:bidi="ar-SA"/>
        </w:rPr>
        <w:t>。对农村集体土地上房屋征收补偿、人员安置等工作是发放过渡费、兑现住房（货币）安置。</w:t>
      </w:r>
    </w:p>
    <w:p w14:paraId="009ED73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 w:val="0"/>
          <w:bCs w:val="0"/>
          <w:kern w:val="0"/>
          <w:position w:val="0"/>
          <w:sz w:val="32"/>
          <w:szCs w:val="32"/>
          <w:highlight w:val="none"/>
          <w:lang w:val="zh-CN" w:eastAsia="zh-CN" w:bidi="ar-SA"/>
        </w:rPr>
        <w:t>无。</w:t>
      </w:r>
    </w:p>
    <w:p w14:paraId="604A4DE3">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color w:val="auto"/>
          <w:kern w:val="0"/>
          <w:position w:val="0"/>
          <w:sz w:val="32"/>
          <w:szCs w:val="32"/>
          <w:highlight w:val="none"/>
          <w:lang w:val="zh-CN" w:eastAsia="zh-CN" w:bidi="ar-SA"/>
        </w:rPr>
        <w:t>对项目实施成果报告进行审查</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3DB7A548">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 w:val="0"/>
          <w:bCs w:val="0"/>
          <w:color w:val="auto"/>
          <w:kern w:val="0"/>
          <w:position w:val="0"/>
          <w:sz w:val="32"/>
          <w:szCs w:val="32"/>
          <w:highlight w:val="none"/>
          <w:lang w:val="zh-CN" w:eastAsia="zh-CN" w:bidi="ar-SA"/>
        </w:rPr>
        <w:t>单位自评法、实地勘察法、座谈调研法。</w:t>
      </w:r>
    </w:p>
    <w:p w14:paraId="733FBB3F">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 w:val="0"/>
          <w:bCs w:val="0"/>
          <w:color w:val="auto"/>
          <w:kern w:val="0"/>
          <w:position w:val="0"/>
          <w:sz w:val="32"/>
          <w:szCs w:val="32"/>
          <w:highlight w:val="none"/>
          <w:lang w:val="zh-CN" w:eastAsia="zh-CN" w:bidi="ar-SA"/>
        </w:rPr>
        <w:t>按照要求组成成果报告专家评审组对其进行审查。</w:t>
      </w:r>
    </w:p>
    <w:p w14:paraId="35A96457">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4E17B92F">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6CB658C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D13DA90">
      <w:pPr>
        <w:spacing w:line="500" w:lineRule="exact"/>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仿宋_GB2312" w:cs="Times New Roman"/>
          <w:b w:val="0"/>
          <w:bCs w:val="0"/>
          <w:color w:val="auto"/>
          <w:kern w:val="0"/>
          <w:position w:val="0"/>
          <w:sz w:val="32"/>
          <w:szCs w:val="32"/>
          <w:highlight w:val="none"/>
          <w:lang w:val="en-US" w:eastAsia="zh-CN" w:bidi="ar-SA"/>
        </w:rPr>
        <w:t>根据区土地储备中心职能职责，负责全区</w:t>
      </w:r>
      <w:r>
        <w:rPr>
          <w:rFonts w:hint="eastAsia" w:eastAsia="仿宋_GB2312" w:cs="Times New Roman"/>
          <w:b w:val="0"/>
          <w:bCs w:val="0"/>
          <w:color w:val="auto"/>
          <w:kern w:val="0"/>
          <w:position w:val="0"/>
          <w:sz w:val="32"/>
          <w:szCs w:val="32"/>
          <w:highlight w:val="none"/>
          <w:lang w:val="en-US" w:eastAsia="zh-CN" w:bidi="ar-SA"/>
        </w:rPr>
        <w:t>农村集体</w:t>
      </w:r>
      <w:r>
        <w:rPr>
          <w:rFonts w:hint="default" w:ascii="Times New Roman" w:hAnsi="Times New Roman" w:eastAsia="仿宋_GB2312" w:cs="Times New Roman"/>
          <w:b w:val="0"/>
          <w:bCs w:val="0"/>
          <w:color w:val="auto"/>
          <w:kern w:val="0"/>
          <w:position w:val="0"/>
          <w:sz w:val="32"/>
          <w:szCs w:val="32"/>
          <w:highlight w:val="none"/>
          <w:lang w:val="en-US" w:eastAsia="zh-CN" w:bidi="ar-SA"/>
        </w:rPr>
        <w:t>土地的征收拆迁补偿安置、收购及储备等事务性工作。</w:t>
      </w:r>
    </w:p>
    <w:p w14:paraId="1EEB8677">
      <w:pPr>
        <w:pStyle w:val="6"/>
        <w:spacing w:before="93"/>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default" w:ascii="Times New Roman" w:hAnsi="Times New Roman" w:eastAsia="仿宋_GB2312" w:cs="Times New Roman"/>
          <w:b w:val="0"/>
          <w:bCs w:val="0"/>
          <w:color w:val="auto"/>
          <w:kern w:val="0"/>
          <w:position w:val="0"/>
          <w:sz w:val="32"/>
          <w:szCs w:val="32"/>
          <w:highlight w:val="none"/>
          <w:lang w:val="zh-CN" w:eastAsia="zh-CN" w:bidi="ar-SA"/>
        </w:rPr>
        <w:t>定期与项目负责人沟通，了解项目进展情况，及时发现问题并解决。对项目的支出和预期效益进行评估分析，比较实际支出与预算的差异，找出节约成本的方法。通过对项目的各个环节进行分析，识别潜在的风险和问题，并制定相应的应对措施。</w:t>
      </w:r>
    </w:p>
    <w:p w14:paraId="6B29D6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b w:val="0"/>
          <w:bCs w:val="0"/>
          <w:color w:val="auto"/>
          <w:kern w:val="0"/>
          <w:position w:val="0"/>
          <w:sz w:val="32"/>
          <w:szCs w:val="32"/>
          <w:highlight w:val="none"/>
          <w:lang w:val="zh-CN" w:eastAsia="zh-CN" w:bidi="ar-SA"/>
        </w:rPr>
        <w:t>项目实施过程中，严格按照预定计划进行，通过精细化的进度管理确保了项目按时完成且成本控制在预算范围内。</w:t>
      </w:r>
    </w:p>
    <w:p w14:paraId="491A94F6">
      <w:pPr>
        <w:spacing w:line="353" w:lineRule="auto"/>
        <w:ind w:firstLine="640" w:firstLineChars="200"/>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default" w:ascii="Times New Roman" w:hAnsi="Times New Roman" w:eastAsia="仿宋_GB2312" w:cs="Times New Roman"/>
          <w:b w:val="0"/>
          <w:bCs w:val="0"/>
          <w:color w:val="auto"/>
          <w:kern w:val="0"/>
          <w:position w:val="0"/>
          <w:sz w:val="32"/>
          <w:szCs w:val="32"/>
          <w:highlight w:val="none"/>
          <w:lang w:val="en-US" w:eastAsia="zh-CN" w:bidi="ar-SA"/>
        </w:rPr>
        <w:t>为改善人居生活环境，提高西区城市品质，维护西区社会和谐稳定。</w:t>
      </w:r>
    </w:p>
    <w:p w14:paraId="0DFA8B3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color w:val="auto"/>
          <w:kern w:val="0"/>
          <w:position w:val="0"/>
          <w:sz w:val="32"/>
          <w:szCs w:val="32"/>
          <w:highlight w:val="none"/>
          <w:lang w:val="zh-CN" w:eastAsia="zh-CN" w:bidi="ar-SA"/>
        </w:rPr>
        <w:t>根据</w:t>
      </w:r>
      <w:r>
        <w:rPr>
          <w:rFonts w:hint="default" w:ascii="Times New Roman" w:hAnsi="Times New Roman" w:eastAsia="仿宋_GB2312" w:cs="Times New Roman"/>
          <w:b w:val="0"/>
          <w:bCs w:val="0"/>
          <w:color w:val="auto"/>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color w:val="auto"/>
          <w:kern w:val="0"/>
          <w:position w:val="0"/>
          <w:sz w:val="32"/>
          <w:szCs w:val="32"/>
          <w:highlight w:val="none"/>
          <w:lang w:val="zh-CN" w:eastAsia="zh-CN" w:bidi="ar-SA"/>
        </w:rPr>
        <w:t>包括产业发展、民生保障、基础设施、行政运转等方面。</w:t>
      </w:r>
    </w:p>
    <w:p w14:paraId="2AB65D6A">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1.产业发展。</w:t>
      </w:r>
      <w:r>
        <w:rPr>
          <w:rFonts w:hint="default" w:ascii="Times New Roman" w:hAnsi="Times New Roman" w:eastAsia="仿宋_GB2312" w:cs="Times New Roman"/>
          <w:b w:val="0"/>
          <w:bCs w:val="0"/>
          <w:color w:val="auto"/>
          <w:kern w:val="0"/>
          <w:position w:val="0"/>
          <w:sz w:val="32"/>
          <w:szCs w:val="32"/>
          <w:highlight w:val="none"/>
          <w:lang w:val="en-US" w:eastAsia="zh-CN" w:bidi="ar-SA"/>
        </w:rPr>
        <w:t>做好农村集体土地上房屋征收补偿、人员安置等工作是发放过渡费、兑现住房（货币）安置。</w:t>
      </w:r>
    </w:p>
    <w:p w14:paraId="248AC737">
      <w:pPr>
        <w:keepNext w:val="0"/>
        <w:keepLines w:val="0"/>
        <w:pageBreakBefore w:val="0"/>
        <w:kinsoku/>
        <w:wordWrap/>
        <w:overflowPunct/>
        <w:topLinePunct w:val="0"/>
        <w:autoSpaceDE/>
        <w:autoSpaceDN/>
        <w:bidi w:val="0"/>
        <w:adjustRightInd/>
        <w:snapToGrid/>
        <w:spacing w:beforeAutospacing="0" w:afterAutospacing="0" w:line="353" w:lineRule="auto"/>
        <w:ind w:firstLine="64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仿宋_GB2312" w:cs="Times New Roman"/>
          <w:sz w:val="32"/>
          <w:szCs w:val="32"/>
          <w:lang w:val="en-US" w:eastAsia="zh-CN"/>
        </w:rPr>
        <w:t>维护西区社会和谐稳定</w:t>
      </w:r>
      <w:r>
        <w:rPr>
          <w:rFonts w:hint="default" w:ascii="Times New Roman" w:hAnsi="Times New Roman" w:eastAsia="仿宋_GB2312" w:cs="Times New Roman"/>
          <w:sz w:val="32"/>
          <w:szCs w:val="32"/>
          <w:lang w:eastAsia="zh-CN"/>
        </w:rPr>
        <w:t>。</w:t>
      </w:r>
    </w:p>
    <w:p w14:paraId="665519D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1809450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default" w:ascii="Times New Roman" w:hAnsi="Times New Roman" w:eastAsia="仿宋_GB2312" w:cs="Times New Roman"/>
          <w:b w:val="0"/>
          <w:bCs w:val="0"/>
          <w:color w:val="auto"/>
          <w:kern w:val="0"/>
          <w:position w:val="0"/>
          <w:sz w:val="32"/>
          <w:szCs w:val="32"/>
          <w:highlight w:val="none"/>
          <w:lang w:val="en-US" w:eastAsia="zh-CN" w:bidi="ar-SA"/>
        </w:rPr>
        <w:t>完成农村集体土地上房屋征收过度费发放工作</w:t>
      </w:r>
      <w:r>
        <w:rPr>
          <w:rFonts w:hint="default" w:ascii="Times New Roman" w:hAnsi="Times New Roman" w:eastAsia="仿宋_GB2312" w:cs="Times New Roman"/>
          <w:b w:val="0"/>
          <w:bCs w:val="0"/>
          <w:color w:val="auto"/>
          <w:kern w:val="0"/>
          <w:position w:val="0"/>
          <w:sz w:val="32"/>
          <w:szCs w:val="32"/>
          <w:highlight w:val="none"/>
          <w:lang w:val="zh-CN" w:eastAsia="zh-CN" w:bidi="ar-SA"/>
        </w:rPr>
        <w:t>。</w:t>
      </w:r>
    </w:p>
    <w:p w14:paraId="063A2CD2">
      <w:pPr>
        <w:adjustRightInd w:val="0"/>
        <w:snapToGrid w:val="0"/>
        <w:spacing w:line="578" w:lineRule="exact"/>
        <w:ind w:firstLine="72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9790365">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按计划征收土地，</w:t>
      </w:r>
      <w:r>
        <w:rPr>
          <w:rFonts w:hint="eastAsia" w:eastAsia="仿宋_GB2312" w:cs="Times New Roman"/>
          <w:b w:val="0"/>
          <w:bCs w:val="0"/>
          <w:color w:val="auto"/>
          <w:kern w:val="0"/>
          <w:position w:val="0"/>
          <w:sz w:val="32"/>
          <w:szCs w:val="32"/>
          <w:highlight w:val="none"/>
          <w:lang w:val="en-US" w:eastAsia="zh-CN" w:bidi="ar-SA"/>
        </w:rPr>
        <w:t>满足招商引资项目建设用地需要，推动“攀西工业强区”建设</w:t>
      </w:r>
      <w:r>
        <w:rPr>
          <w:rFonts w:hint="default" w:ascii="Times New Roman" w:hAnsi="Times New Roman" w:eastAsia="仿宋_GB2312" w:cs="Times New Roman"/>
          <w:b w:val="0"/>
          <w:bCs w:val="0"/>
          <w:color w:val="auto"/>
          <w:kern w:val="0"/>
          <w:position w:val="0"/>
          <w:sz w:val="32"/>
          <w:szCs w:val="32"/>
          <w:highlight w:val="none"/>
          <w:lang w:val="en-US" w:eastAsia="zh-CN" w:bidi="ar-SA"/>
        </w:rPr>
        <w:t>，在节约集约用地的同时，为经济发展提供用地保障，促进经济社会可持续发展。</w:t>
      </w:r>
    </w:p>
    <w:p w14:paraId="3E43D4DB">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2B04134B">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对农村集体土地上房屋的征收、补偿及人员安置，可营造良好投资环境，有效推进西区建设，促进西区高质量发展，预期产出和效果能满足需求、不需要核减预算安排并支持政策出台、持续、保留或项目新增的意见。综合评估得分与评估等级较高。</w:t>
      </w:r>
    </w:p>
    <w:p w14:paraId="4CE0E5D9">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26B482A2">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1E3B9538">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1DA0FC2B">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0ECC62C5">
      <w:pPr>
        <w:spacing w:line="600" w:lineRule="exact"/>
        <w:outlineLvl w:val="0"/>
        <w:rPr>
          <w:rStyle w:val="31"/>
          <w:rFonts w:hint="default" w:ascii="Times New Roman" w:hAnsi="Times New Roman" w:eastAsia="黑体" w:cs="Times New Roman"/>
          <w:b w:val="0"/>
        </w:rPr>
      </w:pPr>
    </w:p>
    <w:p w14:paraId="35624802">
      <w:pPr>
        <w:spacing w:line="600" w:lineRule="exact"/>
        <w:outlineLvl w:val="0"/>
        <w:rPr>
          <w:rStyle w:val="31"/>
          <w:rFonts w:hint="default" w:ascii="Times New Roman" w:hAnsi="Times New Roman" w:eastAsia="黑体" w:cs="Times New Roman"/>
          <w:b w:val="0"/>
        </w:rPr>
      </w:pPr>
    </w:p>
    <w:p w14:paraId="5767B4D8">
      <w:pPr>
        <w:spacing w:line="600" w:lineRule="exact"/>
        <w:outlineLvl w:val="0"/>
        <w:rPr>
          <w:rStyle w:val="31"/>
          <w:rFonts w:hint="default" w:ascii="Times New Roman" w:hAnsi="Times New Roman" w:eastAsia="黑体" w:cs="Times New Roman"/>
          <w:b w:val="0"/>
        </w:rPr>
      </w:pPr>
    </w:p>
    <w:p w14:paraId="67CC3B3C">
      <w:pPr>
        <w:spacing w:line="600" w:lineRule="exact"/>
        <w:outlineLvl w:val="0"/>
        <w:rPr>
          <w:rStyle w:val="31"/>
          <w:rFonts w:hint="default" w:ascii="Times New Roman" w:hAnsi="Times New Roman" w:eastAsia="黑体" w:cs="Times New Roman"/>
          <w:b w:val="0"/>
        </w:rPr>
      </w:pPr>
    </w:p>
    <w:p w14:paraId="559E0B36">
      <w:pPr>
        <w:spacing w:line="600" w:lineRule="exact"/>
        <w:outlineLvl w:val="0"/>
        <w:rPr>
          <w:rStyle w:val="31"/>
          <w:rFonts w:hint="default" w:ascii="Times New Roman" w:hAnsi="Times New Roman" w:eastAsia="黑体" w:cs="Times New Roman"/>
          <w:b w:val="0"/>
        </w:rPr>
      </w:pPr>
    </w:p>
    <w:p w14:paraId="5BC8823A">
      <w:pPr>
        <w:spacing w:line="600" w:lineRule="exact"/>
        <w:jc w:val="center"/>
        <w:outlineLvl w:val="0"/>
        <w:rPr>
          <w:rFonts w:hint="eastAsia" w:ascii="Times New Roman" w:hAnsi="Times New Roman" w:eastAsia="方正小标宋简体" w:cs="Times New Roman"/>
          <w:sz w:val="40"/>
          <w:szCs w:val="40"/>
          <w:lang w:val="en-US" w:eastAsia="zh-CN"/>
        </w:rPr>
      </w:pPr>
      <w:r>
        <w:rPr>
          <w:rFonts w:hint="eastAsia" w:ascii="Times New Roman" w:hAnsi="Times New Roman" w:eastAsia="方正小标宋简体" w:cs="Times New Roman"/>
          <w:sz w:val="40"/>
          <w:szCs w:val="40"/>
          <w:lang w:val="en-US" w:eastAsia="zh-CN"/>
        </w:rPr>
        <w:t>攀枝花煤业（集团）有限责任公司土地补偿款（第一期）</w:t>
      </w:r>
    </w:p>
    <w:p w14:paraId="4F74A32B">
      <w:pPr>
        <w:spacing w:line="600" w:lineRule="exact"/>
        <w:jc w:val="center"/>
        <w:outlineLvl w:val="0"/>
        <w:rPr>
          <w:rFonts w:hint="default" w:ascii="Times New Roman" w:hAnsi="Times New Roman" w:cs="Times New Roman"/>
          <w:sz w:val="32"/>
          <w:szCs w:val="32"/>
          <w:lang w:val="zh-CN"/>
        </w:rPr>
      </w:pPr>
      <w:r>
        <w:rPr>
          <w:rFonts w:hint="default" w:ascii="Times New Roman" w:hAnsi="Times New Roman" w:eastAsia="方正小标宋简体" w:cs="Times New Roman"/>
          <w:sz w:val="40"/>
          <w:szCs w:val="40"/>
          <w:lang w:val="zh-CN"/>
        </w:rPr>
        <w:t>专项预算项目支出绩效自评报告</w:t>
      </w:r>
    </w:p>
    <w:p w14:paraId="3AB8713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114EFEF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588CFD64">
      <w:pPr>
        <w:keepNext w:val="0"/>
        <w:keepLines w:val="0"/>
        <w:pageBreakBefore w:val="0"/>
        <w:widowControl w:val="0"/>
        <w:kinsoku/>
        <w:wordWrap/>
        <w:overflowPunct/>
        <w:topLinePunct w:val="0"/>
        <w:autoSpaceDE/>
        <w:autoSpaceDN/>
        <w:bidi w:val="0"/>
        <w:spacing w:line="353"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为了满足招商引资项目选址用地需要，西区政府拟收储攀煤公司龙洞焦化厂Ⅱ宗地部分土地，该土地位于攀煤联合焦化公司东北面，面积约264.68亩(最终以测绘成果为准)，</w:t>
      </w:r>
      <w:r>
        <w:rPr>
          <w:rFonts w:hint="default" w:ascii="Times New Roman" w:hAnsi="Times New Roman" w:eastAsia="仿宋_GB2312" w:cs="Times New Roman"/>
          <w:color w:val="auto"/>
          <w:kern w:val="2"/>
          <w:sz w:val="32"/>
          <w:szCs w:val="32"/>
        </w:rPr>
        <w:t>按评估价补偿收储土地169.79亩</w:t>
      </w:r>
      <w:r>
        <w:rPr>
          <w:rFonts w:hint="eastAsia" w:ascii="Times New Roman" w:hAnsi="Times New Roman" w:eastAsia="仿宋_GB2312" w:cs="Times New Roman"/>
          <w:sz w:val="32"/>
          <w:szCs w:val="32"/>
          <w:lang w:val="en-US" w:eastAsia="zh-CN"/>
        </w:rPr>
        <w:t>，属于国有土地使用证书号[川国用(95)字第0002号]证载面积约907亩中的一部分，土地使用权人为攀枝花矿务局(龙洞焦化厂Ⅱ)，使用权类型为作价出资。</w:t>
      </w:r>
    </w:p>
    <w:p w14:paraId="5022C1B4">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72FC0FE5">
      <w:pPr>
        <w:keepNext w:val="0"/>
        <w:keepLines w:val="0"/>
        <w:pageBreakBefore w:val="0"/>
        <w:widowControl w:val="0"/>
        <w:kinsoku/>
        <w:wordWrap/>
        <w:overflowPunct/>
        <w:topLinePunct w:val="0"/>
        <w:autoSpaceDE/>
        <w:autoSpaceDN/>
        <w:bidi w:val="0"/>
        <w:adjustRightInd w:val="0"/>
        <w:snapToGrid w:val="0"/>
        <w:spacing w:line="353" w:lineRule="auto"/>
        <w:ind w:firstLine="640" w:firstLineChars="200"/>
        <w:textAlignment w:val="auto"/>
        <w:rPr>
          <w:rFonts w:hint="eastAsia" w:ascii="Times New Roman" w:hAnsi="Times New Roman" w:eastAsia="仿宋_GB2312" w:cs="Times New Roman"/>
          <w:spacing w:val="-4"/>
          <w:kern w:val="0"/>
          <w:sz w:val="32"/>
          <w:szCs w:val="32"/>
          <w:lang w:val="en-US" w:eastAsia="zh-CN"/>
        </w:rPr>
      </w:pPr>
      <w:r>
        <w:rPr>
          <w:rFonts w:hint="eastAsia" w:ascii="Times New Roman" w:hAnsi="Times New Roman" w:eastAsia="仿宋_GB2312" w:cs="Times New Roman"/>
          <w:sz w:val="32"/>
          <w:szCs w:val="32"/>
        </w:rPr>
        <w:t>根据职能职责，</w:t>
      </w:r>
      <w:r>
        <w:rPr>
          <w:rFonts w:hint="eastAsia" w:ascii="Times New Roman" w:hAnsi="Times New Roman" w:eastAsia="仿宋_GB2312" w:cs="Times New Roman"/>
          <w:sz w:val="32"/>
          <w:szCs w:val="32"/>
          <w:lang w:val="en-US" w:eastAsia="zh-CN"/>
        </w:rPr>
        <w:t>区土地储备中心负责统筹</w:t>
      </w:r>
      <w:r>
        <w:rPr>
          <w:rFonts w:hint="eastAsia" w:ascii="Times New Roman" w:hAnsi="Times New Roman" w:eastAsia="仿宋_GB2312" w:cs="Times New Roman"/>
          <w:sz w:val="32"/>
          <w:szCs w:val="32"/>
        </w:rPr>
        <w:t>全区</w:t>
      </w:r>
      <w:r>
        <w:rPr>
          <w:rFonts w:hint="eastAsia" w:eastAsia="仿宋_GB2312" w:cs="Times New Roman"/>
          <w:sz w:val="32"/>
          <w:szCs w:val="32"/>
          <w:lang w:val="en-US" w:eastAsia="zh-CN"/>
        </w:rPr>
        <w:t>国有</w:t>
      </w:r>
      <w:r>
        <w:rPr>
          <w:rFonts w:hint="eastAsia" w:ascii="Times New Roman" w:hAnsi="Times New Roman" w:eastAsia="仿宋_GB2312" w:cs="Times New Roman"/>
          <w:sz w:val="32"/>
          <w:szCs w:val="32"/>
        </w:rPr>
        <w:t>土地的征收拆迁补偿安置工作。</w:t>
      </w:r>
      <w:r>
        <w:rPr>
          <w:rFonts w:hint="eastAsia" w:ascii="Times New Roman" w:hAnsi="Times New Roman" w:eastAsia="仿宋_GB2312" w:cs="Times New Roman"/>
          <w:sz w:val="32"/>
          <w:szCs w:val="32"/>
          <w:lang w:val="en-US" w:eastAsia="zh-CN"/>
        </w:rPr>
        <w:t>现已将</w:t>
      </w:r>
      <w:r>
        <w:rPr>
          <w:rFonts w:hint="default" w:ascii="Times New Roman" w:hAnsi="Times New Roman" w:eastAsia="仿宋_GB2312" w:cs="Times New Roman"/>
          <w:sz w:val="32"/>
          <w:szCs w:val="32"/>
        </w:rPr>
        <w:t>关于《攀枝花市西区人民政府</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攀枝花市西区土地储备中心（实施单位）</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攀枝花煤业（集团）有限责任公司土地收储补偿协议（送审稿）》</w:t>
      </w:r>
      <w:r>
        <w:rPr>
          <w:rFonts w:hint="eastAsia" w:ascii="Times New Roman" w:hAnsi="Times New Roman" w:eastAsia="仿宋_GB2312" w:cs="Times New Roman"/>
          <w:sz w:val="32"/>
          <w:szCs w:val="32"/>
          <w:lang w:val="en-US" w:eastAsia="zh-CN"/>
        </w:rPr>
        <w:t>通过区政府常务会议，区委常委会议</w:t>
      </w:r>
      <w:r>
        <w:rPr>
          <w:rFonts w:hint="eastAsia" w:ascii="Times New Roman" w:hAnsi="Times New Roman" w:eastAsia="仿宋_GB2312" w:cs="Times New Roman"/>
          <w:sz w:val="32"/>
          <w:szCs w:val="32"/>
        </w:rPr>
        <w:t>，需财政</w:t>
      </w:r>
      <w:r>
        <w:rPr>
          <w:rFonts w:hint="eastAsia" w:ascii="Times New Roman" w:hAnsi="Times New Roman" w:eastAsia="仿宋_GB2312" w:cs="Times New Roman"/>
          <w:sz w:val="32"/>
          <w:szCs w:val="32"/>
          <w:lang w:val="en-US" w:eastAsia="zh-CN"/>
        </w:rPr>
        <w:t>安排资金，</w:t>
      </w:r>
      <w:r>
        <w:rPr>
          <w:rFonts w:hint="eastAsia" w:ascii="Times New Roman" w:hAnsi="Times New Roman" w:eastAsia="仿宋_GB2312" w:cs="Times New Roman"/>
          <w:sz w:val="32"/>
          <w:szCs w:val="32"/>
        </w:rPr>
        <w:t>给予资金投入</w:t>
      </w:r>
      <w:r>
        <w:rPr>
          <w:rFonts w:hint="eastAsia" w:ascii="Times New Roman" w:hAnsi="Times New Roman" w:eastAsia="仿宋_GB2312" w:cs="Times New Roman"/>
          <w:kern w:val="2"/>
          <w:sz w:val="32"/>
          <w:szCs w:val="32"/>
          <w:lang w:eastAsia="zh-CN"/>
        </w:rPr>
        <w:t>。</w:t>
      </w:r>
    </w:p>
    <w:p w14:paraId="29078BB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6C36A272">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项目资金主要来源于区级自然资源海洋气象等支出资金。资金分配按照项目实施方案和预算计划进行，确保各项实施内容得到落实。</w:t>
      </w:r>
    </w:p>
    <w:p w14:paraId="74490CC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14:paraId="2D44A282">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sz w:val="32"/>
          <w:szCs w:val="32"/>
        </w:rPr>
        <w:t>攀枝花煤业（集团）有限责任公司</w:t>
      </w:r>
      <w:r>
        <w:rPr>
          <w:rFonts w:hint="eastAsia" w:ascii="Times New Roman" w:hAnsi="Times New Roman" w:eastAsia="仿宋_GB2312" w:cs="Times New Roman"/>
          <w:sz w:val="32"/>
          <w:szCs w:val="32"/>
          <w:lang w:eastAsia="zh-CN"/>
        </w:rPr>
        <w:t>龙</w:t>
      </w:r>
      <w:r>
        <w:rPr>
          <w:rFonts w:hint="default" w:ascii="Times New Roman" w:hAnsi="Times New Roman" w:eastAsia="仿宋_GB2312" w:cs="Times New Roman"/>
          <w:sz w:val="32"/>
          <w:szCs w:val="32"/>
        </w:rPr>
        <w:t>洞</w:t>
      </w:r>
      <w:r>
        <w:rPr>
          <w:rFonts w:hint="eastAsia" w:ascii="Times New Roman" w:hAnsi="Times New Roman" w:eastAsia="仿宋_GB2312" w:cs="Times New Roman"/>
          <w:sz w:val="32"/>
          <w:szCs w:val="32"/>
          <w:lang w:val="en-US" w:eastAsia="zh-CN"/>
        </w:rPr>
        <w:t>地块</w:t>
      </w:r>
      <w:r>
        <w:rPr>
          <w:rFonts w:hint="default" w:ascii="Times New Roman" w:hAnsi="Times New Roman" w:eastAsia="仿宋_GB2312" w:cs="Times New Roman"/>
          <w:color w:val="000000"/>
          <w:sz w:val="32"/>
          <w:szCs w:val="32"/>
        </w:rPr>
        <w:t>收储</w:t>
      </w:r>
      <w:r>
        <w:rPr>
          <w:rFonts w:ascii="Times New Roman" w:hAnsi="Times New Roman" w:eastAsia="仿宋_GB2312" w:cs="Times New Roman"/>
          <w:spacing w:val="-4"/>
          <w:kern w:val="0"/>
          <w:sz w:val="32"/>
          <w:szCs w:val="32"/>
        </w:rPr>
        <w:t>范围内</w:t>
      </w:r>
      <w:r>
        <w:rPr>
          <w:rFonts w:hint="eastAsia" w:ascii="Times New Roman" w:eastAsia="仿宋_GB2312" w:cs="Times New Roman"/>
          <w:spacing w:val="-4"/>
          <w:kern w:val="0"/>
          <w:sz w:val="32"/>
          <w:szCs w:val="32"/>
          <w:lang w:eastAsia="zh-CN"/>
        </w:rPr>
        <w:t>涉及</w:t>
      </w:r>
      <w:r>
        <w:rPr>
          <w:rFonts w:hint="eastAsia" w:ascii="Times New Roman" w:eastAsia="仿宋_GB2312" w:cs="Times New Roman"/>
          <w:spacing w:val="-4"/>
          <w:kern w:val="0"/>
          <w:sz w:val="32"/>
          <w:szCs w:val="32"/>
          <w:lang w:val="en-US" w:eastAsia="zh-CN"/>
        </w:rPr>
        <w:t>的</w:t>
      </w:r>
      <w:r>
        <w:rPr>
          <w:rFonts w:hint="default" w:ascii="Times New Roman" w:hAnsi="Times New Roman" w:eastAsia="仿宋_GB2312" w:cs="Times New Roman"/>
          <w:color w:val="auto"/>
          <w:sz w:val="32"/>
          <w:szCs w:val="32"/>
        </w:rPr>
        <w:t>土地使用权及其地上建（构）筑物和其他附着物、设施设备</w:t>
      </w:r>
      <w:r>
        <w:rPr>
          <w:rFonts w:hint="eastAsia" w:ascii="Times New Roman" w:hAnsi="Times New Roman" w:eastAsia="仿宋_GB2312" w:cs="Times New Roman"/>
          <w:color w:val="auto"/>
          <w:sz w:val="32"/>
          <w:szCs w:val="32"/>
          <w:lang w:eastAsia="zh-CN"/>
        </w:rPr>
        <w:t>补偿</w:t>
      </w:r>
      <w:r>
        <w:rPr>
          <w:rFonts w:hint="eastAsia" w:ascii="Times New Roman" w:eastAsia="仿宋_GB2312" w:cs="Times New Roman"/>
          <w:spacing w:val="-4"/>
          <w:kern w:val="0"/>
          <w:sz w:val="32"/>
          <w:szCs w:val="32"/>
          <w:lang w:val="en-US" w:eastAsia="zh-CN"/>
        </w:rPr>
        <w:t>等进行征拆补偿安置工作</w:t>
      </w:r>
      <w:r>
        <w:rPr>
          <w:rFonts w:ascii="Times New Roman" w:hAnsi="Times New Roman" w:eastAsia="仿宋_GB2312" w:cs="Times New Roman"/>
          <w:sz w:val="32"/>
          <w:szCs w:val="32"/>
        </w:rPr>
        <w:t>总体绩效目标</w:t>
      </w:r>
      <w:r>
        <w:rPr>
          <w:rFonts w:hint="eastAsia" w:ascii="Times New Roman" w:hAnsi="Times New Roman" w:eastAsia="仿宋_GB2312" w:cs="Times New Roman"/>
          <w:sz w:val="32"/>
          <w:szCs w:val="32"/>
        </w:rPr>
        <w:t>为完成项目</w:t>
      </w:r>
      <w:r>
        <w:rPr>
          <w:rFonts w:hint="eastAsia" w:ascii="Times New Roman" w:hAnsi="Times New Roman" w:eastAsia="仿宋_GB2312" w:cs="Times New Roman"/>
          <w:sz w:val="32"/>
          <w:szCs w:val="32"/>
          <w:lang w:val="en-US" w:eastAsia="zh-CN"/>
        </w:rPr>
        <w:t>征收工作</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5F403C6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6CA9535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7F0D9484">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en-US" w:eastAsia="zh-CN" w:bidi="ar-SA"/>
        </w:rPr>
        <w:t>为营造良好投资环境，积极推动“攀西工业强区”建设，促进西区高质量发展，根据规划及区政府工作安排</w:t>
      </w:r>
      <w:r>
        <w:rPr>
          <w:rFonts w:hint="eastAsia" w:eastAsia="仿宋_GB2312" w:cs="Times New Roman"/>
          <w:b w:val="0"/>
          <w:bCs w:val="0"/>
          <w:color w:val="auto"/>
          <w:kern w:val="0"/>
          <w:position w:val="0"/>
          <w:sz w:val="32"/>
          <w:szCs w:val="32"/>
          <w:highlight w:val="none"/>
          <w:lang w:val="en-US" w:eastAsia="zh-CN" w:bidi="ar-SA"/>
        </w:rPr>
        <w:t>对</w:t>
      </w:r>
      <w:r>
        <w:rPr>
          <w:rFonts w:hint="default" w:ascii="Times New Roman" w:hAnsi="Times New Roman" w:eastAsia="仿宋_GB2312" w:cs="Times New Roman"/>
          <w:sz w:val="32"/>
          <w:szCs w:val="32"/>
        </w:rPr>
        <w:t>攀枝花煤业（集团）有限责任公司</w:t>
      </w:r>
      <w:r>
        <w:rPr>
          <w:rFonts w:hint="eastAsia" w:ascii="Times New Roman" w:hAnsi="Times New Roman" w:eastAsia="仿宋_GB2312" w:cs="Times New Roman"/>
          <w:sz w:val="32"/>
          <w:szCs w:val="32"/>
          <w:lang w:eastAsia="zh-CN"/>
        </w:rPr>
        <w:t>龙</w:t>
      </w:r>
      <w:r>
        <w:rPr>
          <w:rFonts w:hint="default" w:ascii="Times New Roman" w:hAnsi="Times New Roman" w:eastAsia="仿宋_GB2312" w:cs="Times New Roman"/>
          <w:sz w:val="32"/>
          <w:szCs w:val="32"/>
        </w:rPr>
        <w:t>洞</w:t>
      </w:r>
      <w:r>
        <w:rPr>
          <w:rFonts w:hint="eastAsia" w:ascii="Times New Roman" w:hAnsi="Times New Roman" w:eastAsia="仿宋_GB2312" w:cs="Times New Roman"/>
          <w:sz w:val="32"/>
          <w:szCs w:val="32"/>
          <w:lang w:val="en-US" w:eastAsia="zh-CN"/>
        </w:rPr>
        <w:t>地块</w:t>
      </w:r>
      <w:r>
        <w:rPr>
          <w:rFonts w:hint="default" w:ascii="Times New Roman" w:hAnsi="Times New Roman" w:eastAsia="仿宋_GB2312" w:cs="Times New Roman"/>
          <w:color w:val="000000"/>
          <w:sz w:val="32"/>
          <w:szCs w:val="32"/>
        </w:rPr>
        <w:t>收储</w:t>
      </w:r>
      <w:r>
        <w:rPr>
          <w:rFonts w:ascii="Times New Roman" w:hAnsi="Times New Roman" w:eastAsia="仿宋_GB2312" w:cs="Times New Roman"/>
          <w:spacing w:val="-4"/>
          <w:kern w:val="0"/>
          <w:sz w:val="32"/>
          <w:szCs w:val="32"/>
        </w:rPr>
        <w:t>范围内</w:t>
      </w:r>
      <w:r>
        <w:rPr>
          <w:rFonts w:hint="eastAsia" w:ascii="Times New Roman" w:eastAsia="仿宋_GB2312" w:cs="Times New Roman"/>
          <w:spacing w:val="-4"/>
          <w:kern w:val="0"/>
          <w:sz w:val="32"/>
          <w:szCs w:val="32"/>
          <w:lang w:eastAsia="zh-CN"/>
        </w:rPr>
        <w:t>涉及</w:t>
      </w:r>
      <w:r>
        <w:rPr>
          <w:rFonts w:hint="eastAsia" w:ascii="Times New Roman" w:eastAsia="仿宋_GB2312" w:cs="Times New Roman"/>
          <w:spacing w:val="-4"/>
          <w:kern w:val="0"/>
          <w:sz w:val="32"/>
          <w:szCs w:val="32"/>
          <w:lang w:val="en-US" w:eastAsia="zh-CN"/>
        </w:rPr>
        <w:t>的</w:t>
      </w:r>
      <w:r>
        <w:rPr>
          <w:rFonts w:hint="default" w:ascii="Times New Roman" w:hAnsi="Times New Roman" w:eastAsia="仿宋_GB2312" w:cs="Times New Roman"/>
          <w:color w:val="auto"/>
          <w:sz w:val="32"/>
          <w:szCs w:val="32"/>
        </w:rPr>
        <w:t>土地使用权及其地上建（构）筑物和其他附着物、设施设备</w:t>
      </w:r>
      <w:r>
        <w:rPr>
          <w:rFonts w:hint="eastAsia" w:ascii="Times New Roman" w:hAnsi="Times New Roman" w:eastAsia="仿宋_GB2312" w:cs="Times New Roman"/>
          <w:color w:val="auto"/>
          <w:sz w:val="32"/>
          <w:szCs w:val="32"/>
          <w:lang w:eastAsia="zh-CN"/>
        </w:rPr>
        <w:t>补偿</w:t>
      </w:r>
      <w:r>
        <w:rPr>
          <w:rFonts w:hint="eastAsia" w:ascii="Times New Roman" w:eastAsia="仿宋_GB2312" w:cs="Times New Roman"/>
          <w:spacing w:val="-4"/>
          <w:kern w:val="0"/>
          <w:sz w:val="32"/>
          <w:szCs w:val="32"/>
          <w:lang w:val="en-US" w:eastAsia="zh-CN"/>
        </w:rPr>
        <w:t>等进行征拆补偿安置工作</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0ADF0CF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 w:val="0"/>
          <w:bCs w:val="0"/>
          <w:kern w:val="0"/>
          <w:position w:val="0"/>
          <w:sz w:val="32"/>
          <w:szCs w:val="32"/>
          <w:highlight w:val="none"/>
          <w:lang w:val="zh-CN" w:eastAsia="zh-CN" w:bidi="ar-SA"/>
        </w:rPr>
        <w:t>无。</w:t>
      </w:r>
    </w:p>
    <w:p w14:paraId="679BCEF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kern w:val="0"/>
          <w:position w:val="0"/>
          <w:sz w:val="32"/>
          <w:szCs w:val="32"/>
          <w:highlight w:val="none"/>
          <w:lang w:val="zh-CN" w:eastAsia="zh-CN" w:bidi="ar-SA"/>
        </w:rPr>
        <w:t>对项目实施成果报告进行审查。</w:t>
      </w:r>
    </w:p>
    <w:p w14:paraId="71A0A89D">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 w:val="0"/>
          <w:bCs w:val="0"/>
          <w:kern w:val="0"/>
          <w:position w:val="0"/>
          <w:sz w:val="32"/>
          <w:szCs w:val="32"/>
          <w:highlight w:val="none"/>
          <w:lang w:val="zh-CN" w:eastAsia="zh-CN" w:bidi="ar-SA"/>
        </w:rPr>
        <w:t>单位自评法、实地勘察法、座谈调研法。</w:t>
      </w:r>
    </w:p>
    <w:p w14:paraId="0CCC2C19">
      <w:pPr>
        <w:keepNext w:val="0"/>
        <w:keepLines w:val="0"/>
        <w:pageBreakBefore w:val="0"/>
        <w:widowControl w:val="0"/>
        <w:kinsoku/>
        <w:wordWrap/>
        <w:overflowPunct/>
        <w:topLinePunct w:val="0"/>
        <w:autoSpaceDE/>
        <w:autoSpaceDN/>
        <w:bidi w:val="0"/>
        <w:spacing w:line="600" w:lineRule="exact"/>
        <w:ind w:firstLine="640"/>
        <w:textAlignment w:val="auto"/>
        <w:outlineLvl w:val="9"/>
        <w:rPr>
          <w:rFonts w:hint="default" w:ascii="Times New Roman" w:hAnsi="Times New Roman" w:eastAsia="仿宋_GB2312" w:cs="Times New Roman"/>
          <w:bCs/>
          <w:lang w:eastAsia="zh-CN"/>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 w:val="0"/>
          <w:bCs w:val="0"/>
          <w:kern w:val="0"/>
          <w:position w:val="0"/>
          <w:sz w:val="32"/>
          <w:szCs w:val="32"/>
          <w:highlight w:val="none"/>
          <w:lang w:val="zh-CN" w:eastAsia="zh-CN" w:bidi="ar-SA"/>
        </w:rPr>
        <w:t>按照要求</w:t>
      </w:r>
      <w:r>
        <w:rPr>
          <w:rFonts w:hint="default" w:ascii="Times New Roman" w:hAnsi="Times New Roman" w:eastAsia="仿宋_GB2312" w:cs="Times New Roman"/>
          <w:sz w:val="32"/>
          <w:szCs w:val="32"/>
          <w:lang w:val="en-US" w:eastAsia="zh-CN"/>
        </w:rPr>
        <w:t>及时</w:t>
      </w:r>
      <w:r>
        <w:rPr>
          <w:rFonts w:hint="eastAsia" w:eastAsia="仿宋_GB2312" w:cs="Times New Roman"/>
          <w:sz w:val="32"/>
          <w:szCs w:val="32"/>
          <w:lang w:val="en-US" w:eastAsia="zh-CN"/>
        </w:rPr>
        <w:t>支付征迁安置补偿费用</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0A2E83A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50D8EC2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color w:val="auto"/>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color w:val="auto"/>
          <w:kern w:val="0"/>
          <w:position w:val="0"/>
          <w:sz w:val="32"/>
          <w:szCs w:val="32"/>
          <w:highlight w:val="none"/>
          <w:lang w:val="en-US" w:eastAsia="zh-CN" w:bidi="ar-SA"/>
        </w:rPr>
        <w:t>。</w:t>
      </w:r>
    </w:p>
    <w:p w14:paraId="15646CD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9C3E95D">
      <w:pPr>
        <w:spacing w:line="500" w:lineRule="exact"/>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仿宋_GB2312" w:cs="Times New Roman"/>
          <w:b w:val="0"/>
          <w:bCs w:val="0"/>
          <w:color w:val="auto"/>
          <w:kern w:val="0"/>
          <w:position w:val="0"/>
          <w:sz w:val="32"/>
          <w:szCs w:val="32"/>
          <w:highlight w:val="none"/>
          <w:lang w:val="zh-CN" w:eastAsia="zh-CN" w:bidi="ar-SA"/>
        </w:rPr>
        <w:t>根据职能职责，</w:t>
      </w:r>
      <w:r>
        <w:rPr>
          <w:rFonts w:hint="eastAsia" w:ascii="Times New Roman" w:hAnsi="Times New Roman" w:eastAsia="仿宋_GB2312" w:cs="Times New Roman"/>
          <w:sz w:val="32"/>
          <w:szCs w:val="32"/>
          <w:lang w:val="en-US" w:eastAsia="zh-CN"/>
        </w:rPr>
        <w:t>区土地储备中心负责统筹</w:t>
      </w:r>
      <w:r>
        <w:rPr>
          <w:rFonts w:hint="eastAsia" w:ascii="Times New Roman" w:hAnsi="Times New Roman" w:eastAsia="仿宋_GB2312" w:cs="Times New Roman"/>
          <w:sz w:val="32"/>
          <w:szCs w:val="32"/>
        </w:rPr>
        <w:t>全区农村集体土地的征收拆迁补偿安置工作</w:t>
      </w:r>
      <w:r>
        <w:rPr>
          <w:rFonts w:hint="default" w:ascii="Times New Roman" w:hAnsi="Times New Roman" w:eastAsia="仿宋_GB2312" w:cs="Times New Roman"/>
          <w:b w:val="0"/>
          <w:bCs w:val="0"/>
          <w:color w:val="auto"/>
          <w:kern w:val="0"/>
          <w:position w:val="0"/>
          <w:sz w:val="32"/>
          <w:szCs w:val="32"/>
          <w:highlight w:val="none"/>
          <w:lang w:val="zh-CN" w:eastAsia="zh-CN" w:bidi="ar-SA"/>
        </w:rPr>
        <w:t>。</w:t>
      </w:r>
    </w:p>
    <w:p w14:paraId="35E66A44">
      <w:pPr>
        <w:pStyle w:val="6"/>
        <w:spacing w:before="93"/>
        <w:ind w:firstLine="640" w:firstLineChars="200"/>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default" w:ascii="Times New Roman" w:hAnsi="Times New Roman" w:eastAsia="仿宋_GB2312" w:cs="Times New Roman"/>
          <w:b w:val="0"/>
          <w:bCs w:val="0"/>
          <w:color w:val="auto"/>
          <w:kern w:val="0"/>
          <w:position w:val="0"/>
          <w:sz w:val="32"/>
          <w:szCs w:val="32"/>
          <w:highlight w:val="none"/>
          <w:lang w:val="zh-CN" w:eastAsia="zh-CN" w:bidi="ar-SA"/>
        </w:rPr>
        <w:t>定期与项目负责人沟通，了解项目进展情况，及时发现问题并解决。对项目的支出和预期效益进行评估分析，比较实际支出与预算的差异，找出节约成本的方法。通过对项目的各个环节进行分析，识别潜在的风险和问题，并制定相应的应对措施。</w:t>
      </w:r>
    </w:p>
    <w:p w14:paraId="2B6CBD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b w:val="0"/>
          <w:bCs w:val="0"/>
          <w:color w:val="auto"/>
          <w:kern w:val="0"/>
          <w:position w:val="0"/>
          <w:sz w:val="32"/>
          <w:szCs w:val="32"/>
          <w:highlight w:val="none"/>
          <w:lang w:val="zh-CN" w:eastAsia="zh-CN" w:bidi="ar-SA"/>
        </w:rPr>
        <w:t>项目实施过程中，严格按照预定计划进行，通过精细化的进度管理确保了项目按时完成且成本控制在预算范围内。</w:t>
      </w:r>
    </w:p>
    <w:p w14:paraId="17363227">
      <w:pPr>
        <w:spacing w:line="353" w:lineRule="auto"/>
        <w:ind w:firstLine="640" w:firstLineChars="200"/>
        <w:rPr>
          <w:rFonts w:hint="default" w:ascii="Times New Roman" w:hAnsi="Times New Roman" w:eastAsia="仿宋_GB2312" w:cs="Times New Roman"/>
          <w:b w:val="0"/>
          <w:bCs w:val="0"/>
          <w:color w:val="auto"/>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eastAsia" w:ascii="Times New Roman" w:hAnsi="Times New Roman" w:eastAsia="仿宋_GB2312" w:cs="Times New Roman"/>
          <w:sz w:val="32"/>
          <w:szCs w:val="32"/>
          <w:lang w:val="en-US" w:eastAsia="zh-CN"/>
        </w:rPr>
        <w:t>区土地储备中心负责统筹</w:t>
      </w:r>
      <w:r>
        <w:rPr>
          <w:rFonts w:hint="eastAsia" w:ascii="Times New Roman" w:hAnsi="Times New Roman" w:eastAsia="仿宋_GB2312" w:cs="Times New Roman"/>
          <w:sz w:val="32"/>
          <w:szCs w:val="32"/>
        </w:rPr>
        <w:t>全区农村集体土地的征收拆迁补偿安置工作</w:t>
      </w:r>
      <w:r>
        <w:rPr>
          <w:rFonts w:hint="default" w:ascii="Times New Roman" w:hAnsi="Times New Roman" w:eastAsia="仿宋_GB2312" w:cs="Times New Roman"/>
          <w:b w:val="0"/>
          <w:bCs w:val="0"/>
          <w:color w:val="auto"/>
          <w:kern w:val="0"/>
          <w:position w:val="0"/>
          <w:sz w:val="32"/>
          <w:szCs w:val="32"/>
          <w:highlight w:val="none"/>
          <w:lang w:val="en-US" w:eastAsia="zh-CN" w:bidi="ar-SA"/>
        </w:rPr>
        <w:t>，有利于积极推动“攀西工业强区”建设，促进西区高质量发展，在节约集约用地的同时，为经济发展提供用地保障，促进经济社会可持续发展。</w:t>
      </w:r>
    </w:p>
    <w:p w14:paraId="0528ADA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color w:val="auto"/>
          <w:kern w:val="0"/>
          <w:position w:val="0"/>
          <w:sz w:val="32"/>
          <w:szCs w:val="32"/>
          <w:highlight w:val="none"/>
          <w:lang w:val="zh-CN" w:eastAsia="zh-CN" w:bidi="ar-SA"/>
        </w:rPr>
        <w:t>根据</w:t>
      </w:r>
      <w:r>
        <w:rPr>
          <w:rFonts w:hint="default" w:ascii="Times New Roman" w:hAnsi="Times New Roman" w:eastAsia="仿宋_GB2312" w:cs="Times New Roman"/>
          <w:b w:val="0"/>
          <w:bCs w:val="0"/>
          <w:color w:val="auto"/>
          <w:kern w:val="0"/>
          <w:position w:val="0"/>
          <w:sz w:val="32"/>
          <w:szCs w:val="32"/>
          <w:highlight w:val="none"/>
          <w:lang w:val="en-US" w:eastAsia="zh-CN" w:bidi="ar-SA"/>
        </w:rPr>
        <w:t>专项预算项目资金支持对象选择所属指标进行绩效分析。支持对象</w:t>
      </w:r>
      <w:r>
        <w:rPr>
          <w:rFonts w:hint="default" w:ascii="Times New Roman" w:hAnsi="Times New Roman" w:eastAsia="仿宋_GB2312" w:cs="Times New Roman"/>
          <w:b w:val="0"/>
          <w:bCs w:val="0"/>
          <w:color w:val="auto"/>
          <w:kern w:val="0"/>
          <w:position w:val="0"/>
          <w:sz w:val="32"/>
          <w:szCs w:val="32"/>
          <w:highlight w:val="none"/>
          <w:lang w:val="zh-CN" w:eastAsia="zh-CN" w:bidi="ar-SA"/>
        </w:rPr>
        <w:t>包括产业发展、民生保障、基础设施、行政运转等方面。</w:t>
      </w:r>
    </w:p>
    <w:p w14:paraId="3B16657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1.产业发展。</w:t>
      </w: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攀枝花煤业（集团）有限责任公司</w:t>
      </w:r>
      <w:r>
        <w:rPr>
          <w:rFonts w:hint="eastAsia" w:ascii="Times New Roman" w:hAnsi="Times New Roman" w:eastAsia="仿宋_GB2312" w:cs="Times New Roman"/>
          <w:sz w:val="32"/>
          <w:szCs w:val="32"/>
          <w:lang w:eastAsia="zh-CN"/>
        </w:rPr>
        <w:t>龙</w:t>
      </w:r>
      <w:r>
        <w:rPr>
          <w:rFonts w:hint="default" w:ascii="Times New Roman" w:hAnsi="Times New Roman" w:eastAsia="仿宋_GB2312" w:cs="Times New Roman"/>
          <w:sz w:val="32"/>
          <w:szCs w:val="32"/>
        </w:rPr>
        <w:t>洞</w:t>
      </w:r>
      <w:r>
        <w:rPr>
          <w:rFonts w:hint="eastAsia" w:ascii="Times New Roman" w:hAnsi="Times New Roman" w:eastAsia="仿宋_GB2312" w:cs="Times New Roman"/>
          <w:sz w:val="32"/>
          <w:szCs w:val="32"/>
          <w:lang w:val="en-US" w:eastAsia="zh-CN"/>
        </w:rPr>
        <w:t>地块</w:t>
      </w:r>
      <w:r>
        <w:rPr>
          <w:rFonts w:ascii="Times New Roman" w:hAnsi="Times New Roman" w:eastAsia="仿宋_GB2312" w:cs="Times New Roman"/>
          <w:spacing w:val="-4"/>
          <w:kern w:val="0"/>
          <w:sz w:val="32"/>
          <w:szCs w:val="32"/>
        </w:rPr>
        <w:t>范围</w:t>
      </w:r>
      <w:r>
        <w:rPr>
          <w:rFonts w:hint="default" w:ascii="Times New Roman" w:hAnsi="Times New Roman" w:eastAsia="仿宋_GB2312" w:cs="Times New Roman"/>
          <w:color w:val="auto"/>
          <w:sz w:val="32"/>
          <w:szCs w:val="32"/>
        </w:rPr>
        <w:t>土地使用权及其地上建（构）筑物和其他附着物、设施设备等</w:t>
      </w:r>
      <w:r>
        <w:rPr>
          <w:rFonts w:hint="eastAsia" w:ascii="Times New Roman" w:hAnsi="Times New Roman" w:eastAsia="仿宋_GB2312" w:cs="Times New Roman"/>
          <w:color w:val="auto"/>
          <w:sz w:val="32"/>
          <w:szCs w:val="32"/>
          <w:lang w:eastAsia="zh-CN"/>
        </w:rPr>
        <w:t>补偿</w:t>
      </w:r>
      <w:r>
        <w:rPr>
          <w:rFonts w:hint="eastAsia" w:eastAsia="仿宋_GB2312" w:cs="Times New Roman"/>
          <w:color w:val="auto"/>
          <w:sz w:val="32"/>
          <w:szCs w:val="32"/>
          <w:lang w:eastAsia="zh-CN"/>
        </w:rPr>
        <w:t>。</w:t>
      </w:r>
    </w:p>
    <w:p w14:paraId="5AC13A02">
      <w:pPr>
        <w:keepNext w:val="0"/>
        <w:keepLines w:val="0"/>
        <w:pageBreakBefore w:val="0"/>
        <w:kinsoku/>
        <w:wordWrap/>
        <w:overflowPunct/>
        <w:topLinePunct w:val="0"/>
        <w:autoSpaceDE/>
        <w:autoSpaceDN/>
        <w:bidi w:val="0"/>
        <w:adjustRightInd/>
        <w:snapToGrid/>
        <w:spacing w:beforeAutospacing="0" w:afterAutospacing="0" w:line="353" w:lineRule="auto"/>
        <w:ind w:firstLine="64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eastAsia="zh-CN"/>
        </w:rPr>
        <w:t>。</w:t>
      </w:r>
    </w:p>
    <w:p w14:paraId="28DA19B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65CA4016">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攀枝花煤业（集团）有限责任公司</w:t>
      </w:r>
      <w:r>
        <w:rPr>
          <w:rFonts w:hint="eastAsia" w:ascii="Times New Roman" w:hAnsi="Times New Roman" w:eastAsia="仿宋_GB2312" w:cs="Times New Roman"/>
          <w:sz w:val="32"/>
          <w:szCs w:val="32"/>
          <w:lang w:eastAsia="zh-CN"/>
        </w:rPr>
        <w:t>龙</w:t>
      </w:r>
      <w:r>
        <w:rPr>
          <w:rFonts w:hint="default" w:ascii="Times New Roman" w:hAnsi="Times New Roman" w:eastAsia="仿宋_GB2312" w:cs="Times New Roman"/>
          <w:sz w:val="32"/>
          <w:szCs w:val="32"/>
        </w:rPr>
        <w:t>洞</w:t>
      </w:r>
      <w:r>
        <w:rPr>
          <w:rFonts w:hint="eastAsia" w:ascii="Times New Roman" w:hAnsi="Times New Roman" w:eastAsia="仿宋_GB2312" w:cs="Times New Roman"/>
          <w:sz w:val="32"/>
          <w:szCs w:val="32"/>
          <w:lang w:val="en-US" w:eastAsia="zh-CN"/>
        </w:rPr>
        <w:t>地块</w:t>
      </w:r>
      <w:r>
        <w:rPr>
          <w:rFonts w:ascii="Times New Roman" w:hAnsi="Times New Roman" w:eastAsia="仿宋_GB2312" w:cs="Times New Roman"/>
          <w:spacing w:val="-4"/>
          <w:kern w:val="0"/>
          <w:sz w:val="32"/>
          <w:szCs w:val="32"/>
        </w:rPr>
        <w:t>范围</w:t>
      </w:r>
      <w:r>
        <w:rPr>
          <w:rFonts w:hint="default" w:ascii="Times New Roman" w:hAnsi="Times New Roman" w:eastAsia="仿宋_GB2312" w:cs="Times New Roman"/>
          <w:color w:val="auto"/>
          <w:sz w:val="32"/>
          <w:szCs w:val="32"/>
        </w:rPr>
        <w:t>土地使用权及其地上建（构）筑物和其他附着物、设施设备等</w:t>
      </w:r>
      <w:r>
        <w:rPr>
          <w:rFonts w:hint="eastAsia" w:ascii="Times New Roman" w:hAnsi="Times New Roman" w:eastAsia="仿宋_GB2312" w:cs="Times New Roman"/>
          <w:color w:val="auto"/>
          <w:sz w:val="32"/>
          <w:szCs w:val="32"/>
          <w:lang w:eastAsia="zh-CN"/>
        </w:rPr>
        <w:t>补偿</w:t>
      </w:r>
      <w:r>
        <w:rPr>
          <w:rFonts w:hint="default" w:ascii="Times New Roman" w:hAnsi="Times New Roman" w:eastAsia="仿宋_GB2312" w:cs="Times New Roman"/>
          <w:b w:val="0"/>
          <w:bCs w:val="0"/>
          <w:color w:val="auto"/>
          <w:kern w:val="0"/>
          <w:position w:val="0"/>
          <w:sz w:val="32"/>
          <w:szCs w:val="32"/>
          <w:highlight w:val="none"/>
          <w:lang w:val="zh-CN" w:eastAsia="zh-CN" w:bidi="ar-SA"/>
        </w:rPr>
        <w:t>。</w:t>
      </w:r>
    </w:p>
    <w:p w14:paraId="023C743B">
      <w:pPr>
        <w:adjustRightInd w:val="0"/>
        <w:snapToGrid w:val="0"/>
        <w:spacing w:line="578" w:lineRule="exact"/>
        <w:ind w:firstLine="72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6ADF5C4">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color w:val="auto"/>
          <w:kern w:val="0"/>
          <w:position w:val="0"/>
          <w:sz w:val="32"/>
          <w:szCs w:val="32"/>
          <w:highlight w:val="none"/>
          <w:lang w:val="en-US" w:eastAsia="zh-CN" w:bidi="ar-SA"/>
        </w:rPr>
      </w:pPr>
      <w:r>
        <w:rPr>
          <w:rFonts w:hint="default" w:ascii="Times New Roman" w:hAnsi="Times New Roman" w:eastAsia="仿宋_GB2312" w:cs="Times New Roman"/>
          <w:sz w:val="32"/>
          <w:szCs w:val="32"/>
        </w:rPr>
        <w:t>攀枝花煤业（集团）有限责任公司</w:t>
      </w:r>
      <w:r>
        <w:rPr>
          <w:rFonts w:hint="eastAsia" w:ascii="Times New Roman" w:hAnsi="Times New Roman" w:eastAsia="仿宋_GB2312" w:cs="Times New Roman"/>
          <w:sz w:val="32"/>
          <w:szCs w:val="32"/>
          <w:lang w:eastAsia="zh-CN"/>
        </w:rPr>
        <w:t>龙</w:t>
      </w:r>
      <w:r>
        <w:rPr>
          <w:rFonts w:hint="default" w:ascii="Times New Roman" w:hAnsi="Times New Roman" w:eastAsia="仿宋_GB2312" w:cs="Times New Roman"/>
          <w:sz w:val="32"/>
          <w:szCs w:val="32"/>
        </w:rPr>
        <w:t>洞</w:t>
      </w:r>
      <w:r>
        <w:rPr>
          <w:rFonts w:hint="eastAsia" w:ascii="Times New Roman" w:hAnsi="Times New Roman" w:eastAsia="仿宋_GB2312" w:cs="Times New Roman"/>
          <w:sz w:val="32"/>
          <w:szCs w:val="32"/>
          <w:lang w:val="en-US" w:eastAsia="zh-CN"/>
        </w:rPr>
        <w:t>地块</w:t>
      </w:r>
      <w:r>
        <w:rPr>
          <w:rFonts w:hint="default" w:ascii="Times New Roman" w:hAnsi="Times New Roman" w:eastAsia="仿宋_GB2312" w:cs="Times New Roman"/>
          <w:color w:val="000000"/>
          <w:sz w:val="32"/>
          <w:szCs w:val="32"/>
        </w:rPr>
        <w:t>收储</w:t>
      </w:r>
      <w:r>
        <w:rPr>
          <w:rFonts w:ascii="Times New Roman" w:hAnsi="Times New Roman" w:eastAsia="仿宋_GB2312" w:cs="Times New Roman"/>
          <w:spacing w:val="-4"/>
          <w:kern w:val="0"/>
          <w:sz w:val="32"/>
          <w:szCs w:val="32"/>
        </w:rPr>
        <w:t>范围内</w:t>
      </w:r>
      <w:r>
        <w:rPr>
          <w:rFonts w:hint="eastAsia" w:ascii="Times New Roman" w:eastAsia="仿宋_GB2312" w:cs="Times New Roman"/>
          <w:spacing w:val="-4"/>
          <w:kern w:val="0"/>
          <w:sz w:val="32"/>
          <w:szCs w:val="32"/>
          <w:lang w:eastAsia="zh-CN"/>
        </w:rPr>
        <w:t>涉及</w:t>
      </w:r>
      <w:r>
        <w:rPr>
          <w:rFonts w:hint="eastAsia" w:ascii="Times New Roman" w:eastAsia="仿宋_GB2312" w:cs="Times New Roman"/>
          <w:spacing w:val="-4"/>
          <w:kern w:val="0"/>
          <w:sz w:val="32"/>
          <w:szCs w:val="32"/>
          <w:lang w:val="en-US" w:eastAsia="zh-CN"/>
        </w:rPr>
        <w:t>的</w:t>
      </w:r>
      <w:r>
        <w:rPr>
          <w:rFonts w:hint="default" w:ascii="Times New Roman" w:hAnsi="Times New Roman" w:eastAsia="仿宋_GB2312" w:cs="Times New Roman"/>
          <w:color w:val="auto"/>
          <w:sz w:val="32"/>
          <w:szCs w:val="32"/>
        </w:rPr>
        <w:t>土地使用权及其地上建（构）筑物和其他附着物、设施设备</w:t>
      </w:r>
      <w:r>
        <w:rPr>
          <w:rFonts w:hint="eastAsia" w:ascii="Times New Roman" w:hAnsi="Times New Roman" w:eastAsia="仿宋_GB2312" w:cs="Times New Roman"/>
          <w:color w:val="auto"/>
          <w:sz w:val="32"/>
          <w:szCs w:val="32"/>
          <w:lang w:eastAsia="zh-CN"/>
        </w:rPr>
        <w:t>补偿</w:t>
      </w:r>
      <w:r>
        <w:rPr>
          <w:rFonts w:hint="eastAsia" w:ascii="Times New Roman" w:eastAsia="仿宋_GB2312" w:cs="Times New Roman"/>
          <w:spacing w:val="-4"/>
          <w:kern w:val="0"/>
          <w:sz w:val="32"/>
          <w:szCs w:val="32"/>
          <w:lang w:val="en-US" w:eastAsia="zh-CN"/>
        </w:rPr>
        <w:t>等进行征拆补偿安置工作</w:t>
      </w:r>
      <w:r>
        <w:rPr>
          <w:rFonts w:ascii="Times New Roman" w:hAnsi="Times New Roman" w:eastAsia="仿宋_GB2312" w:cs="Times New Roman"/>
          <w:sz w:val="32"/>
          <w:szCs w:val="32"/>
        </w:rPr>
        <w:t>总体绩效目标</w:t>
      </w:r>
      <w:r>
        <w:rPr>
          <w:rFonts w:hint="eastAsia" w:ascii="Times New Roman" w:hAnsi="Times New Roman" w:eastAsia="仿宋_GB2312" w:cs="Times New Roman"/>
          <w:sz w:val="32"/>
          <w:szCs w:val="32"/>
        </w:rPr>
        <w:t>为完成项目</w:t>
      </w:r>
      <w:r>
        <w:rPr>
          <w:rFonts w:hint="eastAsia" w:ascii="Times New Roman" w:hAnsi="Times New Roman" w:eastAsia="仿宋_GB2312" w:cs="Times New Roman"/>
          <w:sz w:val="32"/>
          <w:szCs w:val="32"/>
          <w:lang w:val="en-US" w:eastAsia="zh-CN"/>
        </w:rPr>
        <w:t>征收工作</w:t>
      </w:r>
      <w:r>
        <w:rPr>
          <w:rFonts w:hint="default" w:ascii="Times New Roman" w:hAnsi="Times New Roman" w:eastAsia="仿宋_GB2312" w:cs="Times New Roman"/>
          <w:b w:val="0"/>
          <w:bCs w:val="0"/>
          <w:color w:val="auto"/>
          <w:kern w:val="0"/>
          <w:position w:val="0"/>
          <w:sz w:val="32"/>
          <w:szCs w:val="32"/>
          <w:highlight w:val="none"/>
          <w:lang w:val="en-US" w:eastAsia="zh-CN" w:bidi="ar-SA"/>
        </w:rPr>
        <w:t>，有利于积极推动“攀西工业强区”建设，促进西区高质量发展，在节约集约用地的同时，为经济发展提供用地保障，促进经济社会可持续发展。</w:t>
      </w:r>
    </w:p>
    <w:p w14:paraId="5EAE7025">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49F2B37D">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攀枝花煤业（集团）有限责任公司</w:t>
      </w:r>
      <w:r>
        <w:rPr>
          <w:rFonts w:hint="eastAsia" w:ascii="Times New Roman" w:hAnsi="Times New Roman" w:eastAsia="仿宋_GB2312" w:cs="Times New Roman"/>
          <w:sz w:val="32"/>
          <w:szCs w:val="32"/>
          <w:lang w:eastAsia="zh-CN"/>
        </w:rPr>
        <w:t>龙</w:t>
      </w:r>
      <w:r>
        <w:rPr>
          <w:rFonts w:hint="default" w:ascii="Times New Roman" w:hAnsi="Times New Roman" w:eastAsia="仿宋_GB2312" w:cs="Times New Roman"/>
          <w:sz w:val="32"/>
          <w:szCs w:val="32"/>
        </w:rPr>
        <w:t>洞</w:t>
      </w:r>
      <w:r>
        <w:rPr>
          <w:rFonts w:hint="eastAsia" w:ascii="Times New Roman" w:hAnsi="Times New Roman" w:eastAsia="仿宋_GB2312" w:cs="Times New Roman"/>
          <w:sz w:val="32"/>
          <w:szCs w:val="32"/>
          <w:lang w:val="en-US" w:eastAsia="zh-CN"/>
        </w:rPr>
        <w:t>地块土地征收，为项目落地提供土地要素，项目建设后能</w:t>
      </w:r>
      <w:r>
        <w:rPr>
          <w:rFonts w:hint="eastAsia" w:ascii="Times New Roman" w:hAnsi="Times New Roman" w:eastAsia="仿宋_GB2312" w:cs="Times New Roman"/>
          <w:sz w:val="32"/>
          <w:szCs w:val="32"/>
        </w:rPr>
        <w:t>有效推进西区建设，促进西区高质量发展，预期产出和效果能满足需求、不需要核减预算安排并支持政策出台、持续、保留或项目新增的意见。综合评估得分与评估等级较高</w:t>
      </w:r>
    </w:p>
    <w:p w14:paraId="44BCD53D">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2C8A71D1">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1D8F1E8A">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797A19DB">
      <w:pPr>
        <w:pStyle w:val="6"/>
        <w:keepNext w:val="0"/>
        <w:keepLines w:val="0"/>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4F8C001B">
      <w:pPr>
        <w:spacing w:line="600" w:lineRule="exact"/>
        <w:outlineLvl w:val="0"/>
        <w:rPr>
          <w:rStyle w:val="31"/>
          <w:rFonts w:hint="default" w:ascii="Times New Roman" w:hAnsi="Times New Roman" w:eastAsia="黑体" w:cs="Times New Roman"/>
          <w:b w:val="0"/>
        </w:rPr>
      </w:pPr>
    </w:p>
    <w:p w14:paraId="1B1F7EDC">
      <w:pPr>
        <w:spacing w:line="600" w:lineRule="exact"/>
        <w:outlineLvl w:val="0"/>
        <w:rPr>
          <w:rStyle w:val="31"/>
          <w:rFonts w:hint="default" w:ascii="Times New Roman" w:hAnsi="Times New Roman" w:eastAsia="黑体" w:cs="Times New Roman"/>
          <w:b w:val="0"/>
        </w:rPr>
      </w:pPr>
    </w:p>
    <w:p w14:paraId="6FD38F1F">
      <w:pPr>
        <w:spacing w:line="600" w:lineRule="exact"/>
        <w:outlineLvl w:val="0"/>
        <w:rPr>
          <w:rStyle w:val="31"/>
          <w:rFonts w:hint="default" w:ascii="Times New Roman" w:hAnsi="Times New Roman" w:eastAsia="黑体" w:cs="Times New Roman"/>
          <w:b w:val="0"/>
        </w:rPr>
      </w:pPr>
    </w:p>
    <w:p w14:paraId="671A2FF2">
      <w:pPr>
        <w:spacing w:line="600" w:lineRule="exact"/>
        <w:outlineLvl w:val="0"/>
        <w:rPr>
          <w:rStyle w:val="31"/>
          <w:rFonts w:hint="default" w:ascii="Times New Roman" w:hAnsi="Times New Roman" w:eastAsia="黑体" w:cs="Times New Roman"/>
          <w:b w:val="0"/>
        </w:rPr>
      </w:pPr>
    </w:p>
    <w:p w14:paraId="418704DA">
      <w:pPr>
        <w:spacing w:line="600" w:lineRule="exact"/>
        <w:outlineLvl w:val="0"/>
        <w:rPr>
          <w:rStyle w:val="31"/>
          <w:rFonts w:hint="default" w:ascii="Times New Roman" w:hAnsi="Times New Roman" w:eastAsia="黑体" w:cs="Times New Roman"/>
          <w:b w:val="0"/>
        </w:rPr>
      </w:pPr>
    </w:p>
    <w:p w14:paraId="5D61902D">
      <w:pPr>
        <w:spacing w:line="600" w:lineRule="exact"/>
        <w:outlineLvl w:val="0"/>
        <w:rPr>
          <w:rStyle w:val="31"/>
          <w:rFonts w:hint="default" w:ascii="Times New Roman" w:hAnsi="Times New Roman" w:eastAsia="黑体" w:cs="Times New Roman"/>
          <w:b w:val="0"/>
        </w:rPr>
      </w:pPr>
    </w:p>
    <w:p w14:paraId="6027B1FC">
      <w:pPr>
        <w:rPr>
          <w:rFonts w:hint="default"/>
        </w:rPr>
      </w:pPr>
      <w:bookmarkStart w:id="51" w:name="_Toc15396618"/>
    </w:p>
    <w:p w14:paraId="5ADA55A9">
      <w:pPr>
        <w:pStyle w:val="14"/>
        <w:rPr>
          <w:rFonts w:hint="default"/>
        </w:rPr>
      </w:pPr>
    </w:p>
    <w:p w14:paraId="77B16940">
      <w:pPr>
        <w:pStyle w:val="8"/>
        <w:rPr>
          <w:rFonts w:hint="default"/>
        </w:rPr>
      </w:pPr>
    </w:p>
    <w:p w14:paraId="1D413AF1">
      <w:pPr>
        <w:spacing w:line="600" w:lineRule="exact"/>
        <w:jc w:val="center"/>
        <w:outlineLvl w:val="0"/>
        <w:rPr>
          <w:rFonts w:hint="default" w:ascii="Times New Roman" w:hAnsi="Times New Roman" w:eastAsia="仿宋" w:cs="Times New Roman"/>
          <w:b/>
          <w:color w:val="000000"/>
          <w:sz w:val="44"/>
          <w:szCs w:val="44"/>
        </w:rPr>
      </w:pPr>
      <w:r>
        <w:rPr>
          <w:rFonts w:hint="default" w:ascii="Times New Roman" w:hAnsi="Times New Roman" w:eastAsia="黑体" w:cs="Times New Roman"/>
          <w:color w:val="000000"/>
          <w:sz w:val="44"/>
          <w:szCs w:val="44"/>
        </w:rPr>
        <w:t>第</w:t>
      </w:r>
      <w:r>
        <w:rPr>
          <w:rStyle w:val="31"/>
          <w:rFonts w:hint="default" w:ascii="Times New Roman" w:hAnsi="Times New Roman" w:eastAsia="黑体" w:cs="Times New Roman"/>
          <w:b w:val="0"/>
        </w:rPr>
        <w:t>五部分 附表</w:t>
      </w:r>
      <w:bookmarkEnd w:id="47"/>
      <w:bookmarkEnd w:id="51"/>
    </w:p>
    <w:p w14:paraId="44E6CBB4">
      <w:pPr>
        <w:pStyle w:val="4"/>
        <w:rPr>
          <w:rFonts w:hint="default" w:ascii="Times New Roman" w:hAnsi="Times New Roman" w:eastAsia="仿宋" w:cs="Times New Roman"/>
          <w:color w:val="000000"/>
        </w:rPr>
      </w:pPr>
      <w:bookmarkStart w:id="52" w:name="_Toc15396619"/>
      <w:r>
        <w:rPr>
          <w:rFonts w:hint="default" w:ascii="Times New Roman" w:hAnsi="Times New Roman" w:eastAsia="仿宋" w:cs="Times New Roman"/>
          <w:b w:val="0"/>
          <w:color w:val="000000"/>
        </w:rPr>
        <w:t>一、收</w:t>
      </w:r>
      <w:r>
        <w:rPr>
          <w:rStyle w:val="32"/>
          <w:rFonts w:hint="default" w:ascii="Times New Roman" w:hAnsi="Times New Roman" w:eastAsia="仿宋" w:cs="Times New Roman"/>
          <w:b w:val="0"/>
          <w:bCs w:val="0"/>
        </w:rPr>
        <w:t>入支出决算总表</w:t>
      </w:r>
      <w:bookmarkEnd w:id="52"/>
    </w:p>
    <w:p w14:paraId="1BE3E3A5">
      <w:pPr>
        <w:pStyle w:val="4"/>
        <w:rPr>
          <w:rFonts w:hint="default" w:ascii="Times New Roman" w:hAnsi="Times New Roman" w:eastAsia="仿宋" w:cs="Times New Roman"/>
          <w:color w:val="000000"/>
        </w:rPr>
      </w:pPr>
      <w:bookmarkStart w:id="53" w:name="_Toc15396620"/>
      <w:r>
        <w:rPr>
          <w:rFonts w:hint="default" w:ascii="Times New Roman" w:hAnsi="Times New Roman" w:eastAsia="仿宋" w:cs="Times New Roman"/>
          <w:b w:val="0"/>
          <w:color w:val="000000"/>
        </w:rPr>
        <w:t>二、收</w:t>
      </w:r>
      <w:r>
        <w:rPr>
          <w:rStyle w:val="32"/>
          <w:rFonts w:hint="default" w:ascii="Times New Roman" w:hAnsi="Times New Roman" w:eastAsia="仿宋" w:cs="Times New Roman"/>
          <w:b w:val="0"/>
          <w:bCs w:val="0"/>
        </w:rPr>
        <w:t>入决算表</w:t>
      </w:r>
      <w:bookmarkEnd w:id="53"/>
    </w:p>
    <w:p w14:paraId="7821A061">
      <w:pPr>
        <w:pStyle w:val="4"/>
        <w:rPr>
          <w:rFonts w:hint="default" w:ascii="Times New Roman" w:hAnsi="Times New Roman" w:eastAsia="仿宋" w:cs="Times New Roman"/>
          <w:color w:val="000000"/>
        </w:rPr>
      </w:pPr>
      <w:bookmarkStart w:id="54" w:name="_Toc15396621"/>
      <w:r>
        <w:rPr>
          <w:rStyle w:val="32"/>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32"/>
          <w:rFonts w:hint="default" w:ascii="Times New Roman" w:hAnsi="Times New Roman" w:eastAsia="仿宋" w:cs="Times New Roman"/>
          <w:b w:val="0"/>
          <w:bCs w:val="0"/>
        </w:rPr>
        <w:t>出决算表</w:t>
      </w:r>
      <w:bookmarkEnd w:id="54"/>
    </w:p>
    <w:p w14:paraId="47BC3B50">
      <w:pPr>
        <w:pStyle w:val="4"/>
        <w:rPr>
          <w:rFonts w:hint="default" w:ascii="Times New Roman" w:hAnsi="Times New Roman" w:eastAsia="仿宋" w:cs="Times New Roman"/>
          <w:b w:val="0"/>
          <w:color w:val="000000"/>
        </w:rPr>
      </w:pPr>
      <w:bookmarkStart w:id="55" w:name="_Toc15396622"/>
      <w:r>
        <w:rPr>
          <w:rStyle w:val="32"/>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32"/>
          <w:rFonts w:hint="default" w:ascii="Times New Roman" w:hAnsi="Times New Roman" w:eastAsia="仿宋" w:cs="Times New Roman"/>
          <w:b w:val="0"/>
          <w:bCs w:val="0"/>
        </w:rPr>
        <w:t>政拨款收入支出决算总表</w:t>
      </w:r>
      <w:bookmarkEnd w:id="55"/>
    </w:p>
    <w:p w14:paraId="2DD0DB5F">
      <w:pPr>
        <w:pStyle w:val="4"/>
        <w:rPr>
          <w:rStyle w:val="32"/>
          <w:rFonts w:hint="default" w:ascii="Times New Roman" w:hAnsi="Times New Roman" w:eastAsia="仿宋" w:cs="Times New Roman"/>
          <w:b w:val="0"/>
          <w:bCs w:val="0"/>
        </w:rPr>
      </w:pPr>
      <w:bookmarkStart w:id="56" w:name="_Toc15396623"/>
      <w:r>
        <w:rPr>
          <w:rStyle w:val="32"/>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32"/>
          <w:rFonts w:hint="default" w:ascii="Times New Roman" w:hAnsi="Times New Roman" w:eastAsia="仿宋" w:cs="Times New Roman"/>
          <w:b w:val="0"/>
          <w:bCs w:val="0"/>
        </w:rPr>
        <w:t>政拨款支出决算明细表</w:t>
      </w:r>
      <w:bookmarkEnd w:id="56"/>
      <w:bookmarkStart w:id="57" w:name="_Toc15396624"/>
    </w:p>
    <w:p w14:paraId="778AC818">
      <w:pPr>
        <w:pStyle w:val="4"/>
        <w:rPr>
          <w:rFonts w:hint="default" w:ascii="Times New Roman" w:hAnsi="Times New Roman" w:eastAsia="仿宋" w:cs="Times New Roman"/>
          <w:color w:val="000000"/>
        </w:rPr>
      </w:pPr>
      <w:r>
        <w:rPr>
          <w:rStyle w:val="32"/>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般公共预算财政拨款支出决算表</w:t>
      </w:r>
      <w:bookmarkEnd w:id="57"/>
    </w:p>
    <w:p w14:paraId="32070B3F">
      <w:pPr>
        <w:pStyle w:val="4"/>
        <w:rPr>
          <w:rFonts w:hint="default" w:ascii="Times New Roman" w:hAnsi="Times New Roman" w:eastAsia="仿宋" w:cs="Times New Roman"/>
          <w:color w:val="000000"/>
        </w:rPr>
      </w:pPr>
      <w:bookmarkStart w:id="58" w:name="_Toc15396625"/>
      <w:r>
        <w:rPr>
          <w:rStyle w:val="32"/>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般公共预算财政拨款支出决算明细表</w:t>
      </w:r>
      <w:bookmarkEnd w:id="58"/>
    </w:p>
    <w:p w14:paraId="266EA740">
      <w:pPr>
        <w:pStyle w:val="4"/>
        <w:rPr>
          <w:rFonts w:hint="default" w:ascii="Times New Roman" w:hAnsi="Times New Roman" w:eastAsia="仿宋" w:cs="Times New Roman"/>
          <w:color w:val="000000"/>
        </w:rPr>
      </w:pPr>
      <w:bookmarkStart w:id="59" w:name="_Toc15396626"/>
      <w:r>
        <w:rPr>
          <w:rStyle w:val="32"/>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般公共预算财政拨款基本支出决算表</w:t>
      </w:r>
      <w:bookmarkEnd w:id="59"/>
    </w:p>
    <w:p w14:paraId="69CF2180">
      <w:pPr>
        <w:pStyle w:val="4"/>
        <w:rPr>
          <w:rFonts w:hint="default" w:ascii="Times New Roman" w:hAnsi="Times New Roman" w:eastAsia="仿宋" w:cs="Times New Roman"/>
          <w:color w:val="000000"/>
        </w:rPr>
      </w:pPr>
      <w:bookmarkStart w:id="60" w:name="_Toc15396627"/>
      <w:r>
        <w:rPr>
          <w:rStyle w:val="32"/>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般公共预算财政拨款项目支出决算表</w:t>
      </w:r>
      <w:bookmarkEnd w:id="60"/>
    </w:p>
    <w:p w14:paraId="5F9CA4BB">
      <w:pPr>
        <w:pStyle w:val="4"/>
        <w:rPr>
          <w:rFonts w:hint="default" w:ascii="Times New Roman" w:hAnsi="Times New Roman" w:eastAsia="仿宋" w:cs="Times New Roman"/>
          <w:color w:val="000000"/>
        </w:rPr>
      </w:pPr>
      <w:bookmarkStart w:id="61" w:name="_Toc15396628"/>
      <w:r>
        <w:rPr>
          <w:rStyle w:val="32"/>
          <w:rFonts w:hint="default" w:ascii="Times New Roman" w:hAnsi="Times New Roman" w:eastAsia="仿宋" w:cs="Times New Roman"/>
          <w:b w:val="0"/>
          <w:bCs w:val="0"/>
        </w:rPr>
        <w:t>十、</w:t>
      </w:r>
      <w:r>
        <w:rPr>
          <w:rFonts w:hint="default" w:ascii="Times New Roman" w:hAnsi="Times New Roman" w:eastAsia="仿宋" w:cs="Times New Roman"/>
          <w:b w:val="0"/>
          <w:color w:val="000000"/>
        </w:rPr>
        <w:t>一</w:t>
      </w:r>
      <w:r>
        <w:rPr>
          <w:rStyle w:val="32"/>
          <w:rFonts w:hint="default" w:ascii="Times New Roman" w:hAnsi="Times New Roman" w:eastAsia="仿宋" w:cs="Times New Roman"/>
          <w:b w:val="0"/>
          <w:bCs w:val="0"/>
        </w:rPr>
        <w:t>般公共预算财政拨款“三公”经费支出决算表</w:t>
      </w:r>
      <w:bookmarkEnd w:id="61"/>
    </w:p>
    <w:p w14:paraId="60017981">
      <w:pPr>
        <w:pStyle w:val="4"/>
        <w:rPr>
          <w:rFonts w:hint="default" w:ascii="Times New Roman" w:hAnsi="Times New Roman" w:eastAsia="仿宋" w:cs="Times New Roman"/>
          <w:color w:val="000000"/>
        </w:rPr>
      </w:pPr>
      <w:bookmarkStart w:id="62" w:name="_Toc15396629"/>
      <w:r>
        <w:rPr>
          <w:rStyle w:val="32"/>
          <w:rFonts w:hint="default" w:ascii="Times New Roman" w:hAnsi="Times New Roman" w:eastAsia="仿宋" w:cs="Times New Roman"/>
          <w:b w:val="0"/>
          <w:bCs w:val="0"/>
        </w:rPr>
        <w:t>十一、</w:t>
      </w:r>
      <w:r>
        <w:rPr>
          <w:rFonts w:hint="default" w:ascii="Times New Roman" w:hAnsi="Times New Roman" w:eastAsia="仿宋" w:cs="Times New Roman"/>
          <w:b w:val="0"/>
          <w:color w:val="000000"/>
        </w:rPr>
        <w:t>政</w:t>
      </w:r>
      <w:r>
        <w:rPr>
          <w:rStyle w:val="32"/>
          <w:rFonts w:hint="default" w:ascii="Times New Roman" w:hAnsi="Times New Roman" w:eastAsia="仿宋" w:cs="Times New Roman"/>
          <w:b w:val="0"/>
          <w:bCs w:val="0"/>
        </w:rPr>
        <w:t>府性基金预算财政拨款收入支出决算表</w:t>
      </w:r>
      <w:bookmarkEnd w:id="62"/>
    </w:p>
    <w:p w14:paraId="48A5A9F1">
      <w:pPr>
        <w:pStyle w:val="4"/>
        <w:rPr>
          <w:rFonts w:hint="default" w:ascii="Times New Roman" w:hAnsi="Times New Roman" w:eastAsia="仿宋" w:cs="Times New Roman"/>
          <w:color w:val="000000"/>
        </w:rPr>
      </w:pPr>
      <w:bookmarkStart w:id="63" w:name="_Toc15396630"/>
      <w:r>
        <w:rPr>
          <w:rStyle w:val="32"/>
          <w:rFonts w:hint="default" w:ascii="Times New Roman" w:hAnsi="Times New Roman" w:eastAsia="仿宋" w:cs="Times New Roman"/>
          <w:b w:val="0"/>
          <w:bCs w:val="0"/>
        </w:rPr>
        <w:t>十二、</w:t>
      </w:r>
      <w:r>
        <w:rPr>
          <w:rFonts w:hint="default" w:ascii="Times New Roman" w:hAnsi="Times New Roman" w:eastAsia="仿宋" w:cs="Times New Roman"/>
          <w:b w:val="0"/>
          <w:color w:val="000000"/>
        </w:rPr>
        <w:t>政</w:t>
      </w:r>
      <w:r>
        <w:rPr>
          <w:rStyle w:val="32"/>
          <w:rFonts w:hint="default" w:ascii="Times New Roman" w:hAnsi="Times New Roman" w:eastAsia="仿宋" w:cs="Times New Roman"/>
          <w:b w:val="0"/>
          <w:bCs w:val="0"/>
        </w:rPr>
        <w:t>府性基金预算财政拨款“三公”经费支出决算表</w:t>
      </w:r>
      <w:bookmarkEnd w:id="63"/>
    </w:p>
    <w:p w14:paraId="2829A659">
      <w:pPr>
        <w:pStyle w:val="4"/>
        <w:rPr>
          <w:rFonts w:hint="default" w:ascii="Times New Roman" w:hAnsi="Times New Roman" w:eastAsia="仿宋" w:cs="Times New Roman"/>
          <w:color w:val="000000" w:themeColor="text1"/>
          <w14:textFill>
            <w14:solidFill>
              <w14:schemeClr w14:val="tx1"/>
            </w14:solidFill>
          </w14:textFill>
        </w:rPr>
      </w:pPr>
      <w:bookmarkStart w:id="64" w:name="_Toc15396631"/>
      <w:r>
        <w:rPr>
          <w:rStyle w:val="32"/>
          <w:rFonts w:hint="default" w:ascii="Times New Roman" w:hAnsi="Times New Roman" w:eastAsia="仿宋" w:cs="Times New Roman"/>
          <w:b w:val="0"/>
          <w:bCs w:val="0"/>
        </w:rPr>
        <w:t>十三、</w:t>
      </w:r>
      <w:r>
        <w:rPr>
          <w:rFonts w:hint="default" w:ascii="Times New Roman" w:hAnsi="Times New Roman" w:eastAsia="仿宋" w:cs="Times New Roman"/>
          <w:b w:val="0"/>
          <w:color w:val="000000"/>
        </w:rPr>
        <w:t>国</w:t>
      </w:r>
      <w:r>
        <w:rPr>
          <w:rStyle w:val="32"/>
          <w:rFonts w:hint="default" w:ascii="Times New Roman" w:hAnsi="Times New Roman" w:eastAsia="仿宋" w:cs="Times New Roman"/>
          <w:b w:val="0"/>
          <w:bCs w:val="0"/>
        </w:rPr>
        <w:t>有资本经营预算支出决算表</w:t>
      </w:r>
      <w:bookmarkEnd w:id="64"/>
    </w:p>
    <w:sectPr>
      <w:footerReference r:id="rId8" w:type="first"/>
      <w:headerReference r:id="rId6" w:type="default"/>
      <w:footerReference r:id="rId7"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B1D8C">
    <w:pPr>
      <w:pStyle w:val="11"/>
      <w:jc w:val="center"/>
    </w:pPr>
    <w:r>
      <w:fldChar w:fldCharType="begin"/>
    </w:r>
    <w:r>
      <w:instrText xml:space="preserve">PAGE   \* MERGEFORMAT</w:instrText>
    </w:r>
    <w:r>
      <w:fldChar w:fldCharType="separate"/>
    </w:r>
    <w:r>
      <w:rPr>
        <w:lang w:val="zh-CN"/>
      </w:rPr>
      <w:t>29</w:t>
    </w:r>
    <w:r>
      <w:rPr>
        <w:lang w:val="zh-CN"/>
      </w:rPr>
      <w:fldChar w:fldCharType="end"/>
    </w:r>
  </w:p>
  <w:p w14:paraId="2BA7FCB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7059A">
    <w:pPr>
      <w:pStyle w:val="11"/>
      <w:jc w:val="center"/>
    </w:pPr>
    <w:r>
      <w:fldChar w:fldCharType="begin"/>
    </w:r>
    <w:r>
      <w:instrText xml:space="preserve"> PAGE   \* MERGEFORMAT </w:instrText>
    </w:r>
    <w:r>
      <w:fldChar w:fldCharType="separate"/>
    </w:r>
    <w:r>
      <w:rPr>
        <w:lang w:val="zh-CN"/>
      </w:rPr>
      <w:t>24</w:t>
    </w:r>
    <w:r>
      <w:rPr>
        <w:lang w:val="zh-CN"/>
      </w:rPr>
      <w:fldChar w:fldCharType="end"/>
    </w:r>
  </w:p>
  <w:p w14:paraId="03C49D2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6723EAC">
        <w:pPr>
          <w:pStyle w:val="11"/>
          <w:jc w:val="center"/>
        </w:pPr>
        <w:r>
          <w:fldChar w:fldCharType="begin"/>
        </w:r>
        <w:r>
          <w:instrText xml:space="preserve">PAGE   \* MERGEFORMAT</w:instrText>
        </w:r>
        <w:r>
          <w:fldChar w:fldCharType="separate"/>
        </w:r>
        <w:r>
          <w:rPr>
            <w:lang w:val="zh-CN"/>
          </w:rPr>
          <w:t>29</w:t>
        </w:r>
        <w:r>
          <w:rPr>
            <w:lang w:val="zh-CN"/>
          </w:rPr>
          <w:fldChar w:fldCharType="end"/>
        </w:r>
      </w:p>
    </w:sdtContent>
  </w:sdt>
  <w:p w14:paraId="05CB465E">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41283"/>
    </w:sdtPr>
    <w:sdtContent>
      <w:p w14:paraId="37BF79BA">
        <w:pPr>
          <w:pStyle w:val="11"/>
          <w:jc w:val="center"/>
        </w:pPr>
        <w:r>
          <w:fldChar w:fldCharType="begin"/>
        </w:r>
        <w:r>
          <w:instrText xml:space="preserve"> PAGE   \* MERGEFORMAT </w:instrText>
        </w:r>
        <w:r>
          <w:fldChar w:fldCharType="separate"/>
        </w:r>
        <w:r>
          <w:rPr>
            <w:lang w:val="zh-CN"/>
          </w:rPr>
          <w:t>24</w:t>
        </w:r>
        <w:r>
          <w:rPr>
            <w:lang w:val="zh-CN"/>
          </w:rPr>
          <w:fldChar w:fldCharType="end"/>
        </w:r>
      </w:p>
    </w:sdtContent>
  </w:sdt>
  <w:p w14:paraId="771C059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2645E">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CCE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74BC"/>
    <w:multiLevelType w:val="singleLevel"/>
    <w:tmpl w:val="FFF674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ZmU0Y2NlNDM0MGQ4YzQ5YTMzNjQ4M2U5Y2NjZmYifQ=="/>
  </w:docVars>
  <w:rsids>
    <w:rsidRoot w:val="00F1361C"/>
    <w:rsid w:val="000222C6"/>
    <w:rsid w:val="0002549F"/>
    <w:rsid w:val="000306F7"/>
    <w:rsid w:val="000345E1"/>
    <w:rsid w:val="000468DB"/>
    <w:rsid w:val="00054DE4"/>
    <w:rsid w:val="00063593"/>
    <w:rsid w:val="0006487A"/>
    <w:rsid w:val="00065F8F"/>
    <w:rsid w:val="000700B5"/>
    <w:rsid w:val="00070A43"/>
    <w:rsid w:val="000768F2"/>
    <w:rsid w:val="00080114"/>
    <w:rsid w:val="00081A32"/>
    <w:rsid w:val="00084E2E"/>
    <w:rsid w:val="0009184B"/>
    <w:rsid w:val="00094236"/>
    <w:rsid w:val="0009593C"/>
    <w:rsid w:val="00097322"/>
    <w:rsid w:val="000A6A92"/>
    <w:rsid w:val="000B047F"/>
    <w:rsid w:val="000B16B4"/>
    <w:rsid w:val="000B5923"/>
    <w:rsid w:val="000B5A48"/>
    <w:rsid w:val="000B6FF3"/>
    <w:rsid w:val="000C3467"/>
    <w:rsid w:val="000C3C36"/>
    <w:rsid w:val="000C3CA6"/>
    <w:rsid w:val="000C55E0"/>
    <w:rsid w:val="000D1267"/>
    <w:rsid w:val="000D1D50"/>
    <w:rsid w:val="000D5782"/>
    <w:rsid w:val="000E2C6D"/>
    <w:rsid w:val="000E6613"/>
    <w:rsid w:val="000E7119"/>
    <w:rsid w:val="00114E9B"/>
    <w:rsid w:val="00134E13"/>
    <w:rsid w:val="00142216"/>
    <w:rsid w:val="00144D6A"/>
    <w:rsid w:val="0014729F"/>
    <w:rsid w:val="00157BAB"/>
    <w:rsid w:val="00164619"/>
    <w:rsid w:val="001654D1"/>
    <w:rsid w:val="00170A34"/>
    <w:rsid w:val="00174518"/>
    <w:rsid w:val="0018106D"/>
    <w:rsid w:val="00183696"/>
    <w:rsid w:val="001877A7"/>
    <w:rsid w:val="00191536"/>
    <w:rsid w:val="00196687"/>
    <w:rsid w:val="001A6A86"/>
    <w:rsid w:val="001B3F92"/>
    <w:rsid w:val="001C0962"/>
    <w:rsid w:val="001C0E15"/>
    <w:rsid w:val="001D7531"/>
    <w:rsid w:val="001E737D"/>
    <w:rsid w:val="001F0592"/>
    <w:rsid w:val="001F41A7"/>
    <w:rsid w:val="001F7506"/>
    <w:rsid w:val="002006CD"/>
    <w:rsid w:val="00202B36"/>
    <w:rsid w:val="00204B7A"/>
    <w:rsid w:val="00204CDE"/>
    <w:rsid w:val="0021101A"/>
    <w:rsid w:val="00220536"/>
    <w:rsid w:val="002337C6"/>
    <w:rsid w:val="00234CAA"/>
    <w:rsid w:val="00235629"/>
    <w:rsid w:val="00244EBD"/>
    <w:rsid w:val="00252B19"/>
    <w:rsid w:val="0025316D"/>
    <w:rsid w:val="00260C38"/>
    <w:rsid w:val="002616C0"/>
    <w:rsid w:val="00265372"/>
    <w:rsid w:val="002662AA"/>
    <w:rsid w:val="00270E0C"/>
    <w:rsid w:val="00280496"/>
    <w:rsid w:val="00294DC9"/>
    <w:rsid w:val="00295495"/>
    <w:rsid w:val="002A095E"/>
    <w:rsid w:val="002A31DE"/>
    <w:rsid w:val="002B2613"/>
    <w:rsid w:val="002C2CD9"/>
    <w:rsid w:val="002D0C79"/>
    <w:rsid w:val="002D19B0"/>
    <w:rsid w:val="002D6D05"/>
    <w:rsid w:val="002F1818"/>
    <w:rsid w:val="002F567B"/>
    <w:rsid w:val="002F67B3"/>
    <w:rsid w:val="00310E79"/>
    <w:rsid w:val="00313C6F"/>
    <w:rsid w:val="003216A9"/>
    <w:rsid w:val="00330757"/>
    <w:rsid w:val="00335A74"/>
    <w:rsid w:val="00341721"/>
    <w:rsid w:val="0036561B"/>
    <w:rsid w:val="0036630B"/>
    <w:rsid w:val="0037013F"/>
    <w:rsid w:val="00370F3F"/>
    <w:rsid w:val="00371614"/>
    <w:rsid w:val="00380C92"/>
    <w:rsid w:val="003855CF"/>
    <w:rsid w:val="003A02FC"/>
    <w:rsid w:val="003A484F"/>
    <w:rsid w:val="003A4883"/>
    <w:rsid w:val="003A702F"/>
    <w:rsid w:val="003B0BE0"/>
    <w:rsid w:val="003B0C1B"/>
    <w:rsid w:val="003B688C"/>
    <w:rsid w:val="003C0291"/>
    <w:rsid w:val="003C39AE"/>
    <w:rsid w:val="003C7B60"/>
    <w:rsid w:val="003D0C0F"/>
    <w:rsid w:val="003D1FB2"/>
    <w:rsid w:val="003D66DA"/>
    <w:rsid w:val="003E1310"/>
    <w:rsid w:val="003E6F55"/>
    <w:rsid w:val="00406254"/>
    <w:rsid w:val="00412116"/>
    <w:rsid w:val="00416CD4"/>
    <w:rsid w:val="004223DE"/>
    <w:rsid w:val="00434489"/>
    <w:rsid w:val="00437085"/>
    <w:rsid w:val="00443880"/>
    <w:rsid w:val="004464F4"/>
    <w:rsid w:val="00452E4F"/>
    <w:rsid w:val="00471401"/>
    <w:rsid w:val="00473F31"/>
    <w:rsid w:val="0048263A"/>
    <w:rsid w:val="00487E5D"/>
    <w:rsid w:val="00493322"/>
    <w:rsid w:val="004A711F"/>
    <w:rsid w:val="004B0DC7"/>
    <w:rsid w:val="004B199D"/>
    <w:rsid w:val="004B2BFB"/>
    <w:rsid w:val="004B4690"/>
    <w:rsid w:val="004C24CD"/>
    <w:rsid w:val="004C3D4B"/>
    <w:rsid w:val="004D078A"/>
    <w:rsid w:val="004D432E"/>
    <w:rsid w:val="004E0A2D"/>
    <w:rsid w:val="004E1940"/>
    <w:rsid w:val="004E1E80"/>
    <w:rsid w:val="004E206B"/>
    <w:rsid w:val="004E6DF7"/>
    <w:rsid w:val="004F0FBD"/>
    <w:rsid w:val="004F403E"/>
    <w:rsid w:val="004F4BA6"/>
    <w:rsid w:val="00501106"/>
    <w:rsid w:val="00505A47"/>
    <w:rsid w:val="00512FDA"/>
    <w:rsid w:val="00520DA0"/>
    <w:rsid w:val="00533B60"/>
    <w:rsid w:val="00536812"/>
    <w:rsid w:val="00536A68"/>
    <w:rsid w:val="005664BB"/>
    <w:rsid w:val="00566FFA"/>
    <w:rsid w:val="0057481D"/>
    <w:rsid w:val="00575F0B"/>
    <w:rsid w:val="0057775A"/>
    <w:rsid w:val="005815A4"/>
    <w:rsid w:val="0058486E"/>
    <w:rsid w:val="00585B33"/>
    <w:rsid w:val="0059014D"/>
    <w:rsid w:val="005B5C64"/>
    <w:rsid w:val="005C6BD0"/>
    <w:rsid w:val="005C6C4C"/>
    <w:rsid w:val="005D1C8B"/>
    <w:rsid w:val="005D468D"/>
    <w:rsid w:val="005D5CED"/>
    <w:rsid w:val="005E66E9"/>
    <w:rsid w:val="005F1A4C"/>
    <w:rsid w:val="005F5267"/>
    <w:rsid w:val="00605688"/>
    <w:rsid w:val="006070AF"/>
    <w:rsid w:val="00607E6C"/>
    <w:rsid w:val="006101B1"/>
    <w:rsid w:val="00614E44"/>
    <w:rsid w:val="0062270A"/>
    <w:rsid w:val="00622830"/>
    <w:rsid w:val="00623DA0"/>
    <w:rsid w:val="00630AEF"/>
    <w:rsid w:val="006325F8"/>
    <w:rsid w:val="00633463"/>
    <w:rsid w:val="00634C9A"/>
    <w:rsid w:val="006440E4"/>
    <w:rsid w:val="00653E1D"/>
    <w:rsid w:val="00662E5D"/>
    <w:rsid w:val="0066343B"/>
    <w:rsid w:val="006640B5"/>
    <w:rsid w:val="00664777"/>
    <w:rsid w:val="006748A4"/>
    <w:rsid w:val="00681A31"/>
    <w:rsid w:val="00683E73"/>
    <w:rsid w:val="006A3141"/>
    <w:rsid w:val="006A5E34"/>
    <w:rsid w:val="006B2422"/>
    <w:rsid w:val="006B2B9A"/>
    <w:rsid w:val="006B54A4"/>
    <w:rsid w:val="006B612A"/>
    <w:rsid w:val="006C1937"/>
    <w:rsid w:val="006E22FF"/>
    <w:rsid w:val="006F020C"/>
    <w:rsid w:val="006F1A95"/>
    <w:rsid w:val="007127B7"/>
    <w:rsid w:val="00717103"/>
    <w:rsid w:val="0071798E"/>
    <w:rsid w:val="00725F39"/>
    <w:rsid w:val="00727533"/>
    <w:rsid w:val="007416B6"/>
    <w:rsid w:val="00746F48"/>
    <w:rsid w:val="0075404D"/>
    <w:rsid w:val="00754109"/>
    <w:rsid w:val="0076182A"/>
    <w:rsid w:val="00767B7E"/>
    <w:rsid w:val="007718CE"/>
    <w:rsid w:val="007723BD"/>
    <w:rsid w:val="007770C3"/>
    <w:rsid w:val="00782F54"/>
    <w:rsid w:val="00784D24"/>
    <w:rsid w:val="00785FBA"/>
    <w:rsid w:val="00786E4A"/>
    <w:rsid w:val="007875EB"/>
    <w:rsid w:val="0079426B"/>
    <w:rsid w:val="007A1613"/>
    <w:rsid w:val="007A7A25"/>
    <w:rsid w:val="007B722D"/>
    <w:rsid w:val="007D1682"/>
    <w:rsid w:val="007D312A"/>
    <w:rsid w:val="007D3F19"/>
    <w:rsid w:val="007D5A86"/>
    <w:rsid w:val="007E23B0"/>
    <w:rsid w:val="007F1991"/>
    <w:rsid w:val="007F2756"/>
    <w:rsid w:val="007F2C2F"/>
    <w:rsid w:val="007F50BE"/>
    <w:rsid w:val="007F55FC"/>
    <w:rsid w:val="007F5665"/>
    <w:rsid w:val="007F7747"/>
    <w:rsid w:val="00800112"/>
    <w:rsid w:val="0080583C"/>
    <w:rsid w:val="00813348"/>
    <w:rsid w:val="008220EE"/>
    <w:rsid w:val="00822C4F"/>
    <w:rsid w:val="008253BB"/>
    <w:rsid w:val="00833962"/>
    <w:rsid w:val="0083706E"/>
    <w:rsid w:val="008408F6"/>
    <w:rsid w:val="008423A5"/>
    <w:rsid w:val="00842596"/>
    <w:rsid w:val="00850625"/>
    <w:rsid w:val="00853718"/>
    <w:rsid w:val="00854C4D"/>
    <w:rsid w:val="00855152"/>
    <w:rsid w:val="00855221"/>
    <w:rsid w:val="00860645"/>
    <w:rsid w:val="0087170E"/>
    <w:rsid w:val="00871F71"/>
    <w:rsid w:val="00872A8B"/>
    <w:rsid w:val="00872FD8"/>
    <w:rsid w:val="00883A60"/>
    <w:rsid w:val="00885AF4"/>
    <w:rsid w:val="00886D3E"/>
    <w:rsid w:val="008939CD"/>
    <w:rsid w:val="008941F1"/>
    <w:rsid w:val="008B505D"/>
    <w:rsid w:val="008B768C"/>
    <w:rsid w:val="008C4C60"/>
    <w:rsid w:val="008C4DB1"/>
    <w:rsid w:val="008C4EAF"/>
    <w:rsid w:val="008C5176"/>
    <w:rsid w:val="008C7003"/>
    <w:rsid w:val="008C7FD0"/>
    <w:rsid w:val="008D6C33"/>
    <w:rsid w:val="008E1DE7"/>
    <w:rsid w:val="008E3C81"/>
    <w:rsid w:val="008E707C"/>
    <w:rsid w:val="008F6409"/>
    <w:rsid w:val="008F7768"/>
    <w:rsid w:val="00900B08"/>
    <w:rsid w:val="00902155"/>
    <w:rsid w:val="00902FA3"/>
    <w:rsid w:val="00914651"/>
    <w:rsid w:val="00916C11"/>
    <w:rsid w:val="00923564"/>
    <w:rsid w:val="0092392E"/>
    <w:rsid w:val="009315F9"/>
    <w:rsid w:val="00933499"/>
    <w:rsid w:val="00935C98"/>
    <w:rsid w:val="009409B1"/>
    <w:rsid w:val="00946945"/>
    <w:rsid w:val="0094740D"/>
    <w:rsid w:val="009474C2"/>
    <w:rsid w:val="00951248"/>
    <w:rsid w:val="0095152F"/>
    <w:rsid w:val="00954C49"/>
    <w:rsid w:val="00955E37"/>
    <w:rsid w:val="0097099F"/>
    <w:rsid w:val="00971997"/>
    <w:rsid w:val="00971FFC"/>
    <w:rsid w:val="00983ECA"/>
    <w:rsid w:val="0098660A"/>
    <w:rsid w:val="009931C3"/>
    <w:rsid w:val="009A5CC9"/>
    <w:rsid w:val="009A6406"/>
    <w:rsid w:val="009B2C43"/>
    <w:rsid w:val="009B4EAE"/>
    <w:rsid w:val="009B7573"/>
    <w:rsid w:val="009C22F4"/>
    <w:rsid w:val="009C2E98"/>
    <w:rsid w:val="009C37FB"/>
    <w:rsid w:val="009C667E"/>
    <w:rsid w:val="009D3447"/>
    <w:rsid w:val="009D4711"/>
    <w:rsid w:val="009D6B4F"/>
    <w:rsid w:val="009D7674"/>
    <w:rsid w:val="009F1185"/>
    <w:rsid w:val="009F18CD"/>
    <w:rsid w:val="009F2A13"/>
    <w:rsid w:val="009F631B"/>
    <w:rsid w:val="009F7527"/>
    <w:rsid w:val="00A039ED"/>
    <w:rsid w:val="00A04EB0"/>
    <w:rsid w:val="00A13CC1"/>
    <w:rsid w:val="00A16847"/>
    <w:rsid w:val="00A237D8"/>
    <w:rsid w:val="00A23EC3"/>
    <w:rsid w:val="00A268C4"/>
    <w:rsid w:val="00A307CD"/>
    <w:rsid w:val="00A331C8"/>
    <w:rsid w:val="00A34B08"/>
    <w:rsid w:val="00A35117"/>
    <w:rsid w:val="00A40A00"/>
    <w:rsid w:val="00A4142F"/>
    <w:rsid w:val="00A422EB"/>
    <w:rsid w:val="00A45BB7"/>
    <w:rsid w:val="00A56DF2"/>
    <w:rsid w:val="00A56E6E"/>
    <w:rsid w:val="00A67AB5"/>
    <w:rsid w:val="00A733B2"/>
    <w:rsid w:val="00A741C2"/>
    <w:rsid w:val="00A91760"/>
    <w:rsid w:val="00A93B00"/>
    <w:rsid w:val="00A93C21"/>
    <w:rsid w:val="00AA18E8"/>
    <w:rsid w:val="00AA5512"/>
    <w:rsid w:val="00AA5851"/>
    <w:rsid w:val="00AB64C9"/>
    <w:rsid w:val="00AC3C6A"/>
    <w:rsid w:val="00AC77DD"/>
    <w:rsid w:val="00AD0F83"/>
    <w:rsid w:val="00AD1668"/>
    <w:rsid w:val="00AD4A8B"/>
    <w:rsid w:val="00AD5620"/>
    <w:rsid w:val="00AD656B"/>
    <w:rsid w:val="00AD7C1B"/>
    <w:rsid w:val="00AE16BA"/>
    <w:rsid w:val="00AE176A"/>
    <w:rsid w:val="00AE1EBE"/>
    <w:rsid w:val="00B03C9D"/>
    <w:rsid w:val="00B060AE"/>
    <w:rsid w:val="00B10517"/>
    <w:rsid w:val="00B129B6"/>
    <w:rsid w:val="00B14E76"/>
    <w:rsid w:val="00B161B8"/>
    <w:rsid w:val="00B2048C"/>
    <w:rsid w:val="00B2153A"/>
    <w:rsid w:val="00B310B9"/>
    <w:rsid w:val="00B352A9"/>
    <w:rsid w:val="00B35F3F"/>
    <w:rsid w:val="00B36CBB"/>
    <w:rsid w:val="00B425E0"/>
    <w:rsid w:val="00B440AA"/>
    <w:rsid w:val="00B44B70"/>
    <w:rsid w:val="00B51096"/>
    <w:rsid w:val="00B53C56"/>
    <w:rsid w:val="00B57DAF"/>
    <w:rsid w:val="00B77EA6"/>
    <w:rsid w:val="00B81598"/>
    <w:rsid w:val="00B841F1"/>
    <w:rsid w:val="00B85E50"/>
    <w:rsid w:val="00B92783"/>
    <w:rsid w:val="00B944D6"/>
    <w:rsid w:val="00BB4DF0"/>
    <w:rsid w:val="00BB62A7"/>
    <w:rsid w:val="00BC1184"/>
    <w:rsid w:val="00BC289F"/>
    <w:rsid w:val="00BC2D50"/>
    <w:rsid w:val="00BC5361"/>
    <w:rsid w:val="00BC5460"/>
    <w:rsid w:val="00BC6122"/>
    <w:rsid w:val="00BC6B50"/>
    <w:rsid w:val="00BD0E25"/>
    <w:rsid w:val="00BE62B3"/>
    <w:rsid w:val="00BF5BD6"/>
    <w:rsid w:val="00C03E31"/>
    <w:rsid w:val="00C05ACB"/>
    <w:rsid w:val="00C30E69"/>
    <w:rsid w:val="00C33E72"/>
    <w:rsid w:val="00C354B2"/>
    <w:rsid w:val="00C35554"/>
    <w:rsid w:val="00C42709"/>
    <w:rsid w:val="00C533CC"/>
    <w:rsid w:val="00C5751C"/>
    <w:rsid w:val="00C61BFC"/>
    <w:rsid w:val="00C62B85"/>
    <w:rsid w:val="00C64CDF"/>
    <w:rsid w:val="00C65438"/>
    <w:rsid w:val="00C91CBB"/>
    <w:rsid w:val="00C965AD"/>
    <w:rsid w:val="00CB4E70"/>
    <w:rsid w:val="00CC09B6"/>
    <w:rsid w:val="00CC2BD5"/>
    <w:rsid w:val="00CC666F"/>
    <w:rsid w:val="00CD1E3F"/>
    <w:rsid w:val="00CE44F6"/>
    <w:rsid w:val="00CE49DA"/>
    <w:rsid w:val="00CE5744"/>
    <w:rsid w:val="00CE7B61"/>
    <w:rsid w:val="00CF1F9A"/>
    <w:rsid w:val="00CF3DA3"/>
    <w:rsid w:val="00CF5658"/>
    <w:rsid w:val="00D00095"/>
    <w:rsid w:val="00D114F0"/>
    <w:rsid w:val="00D15661"/>
    <w:rsid w:val="00D20620"/>
    <w:rsid w:val="00D254F7"/>
    <w:rsid w:val="00D26091"/>
    <w:rsid w:val="00D2685C"/>
    <w:rsid w:val="00D337F6"/>
    <w:rsid w:val="00D34E7C"/>
    <w:rsid w:val="00D35489"/>
    <w:rsid w:val="00D36AFE"/>
    <w:rsid w:val="00D51276"/>
    <w:rsid w:val="00D66B86"/>
    <w:rsid w:val="00D7035F"/>
    <w:rsid w:val="00D92E8F"/>
    <w:rsid w:val="00D94C4F"/>
    <w:rsid w:val="00DA068C"/>
    <w:rsid w:val="00DA634F"/>
    <w:rsid w:val="00DA65AC"/>
    <w:rsid w:val="00DB1913"/>
    <w:rsid w:val="00DC410D"/>
    <w:rsid w:val="00DC5A81"/>
    <w:rsid w:val="00DC67D5"/>
    <w:rsid w:val="00DC68CA"/>
    <w:rsid w:val="00DC7CBA"/>
    <w:rsid w:val="00DD73B7"/>
    <w:rsid w:val="00DF28BC"/>
    <w:rsid w:val="00DF34B9"/>
    <w:rsid w:val="00E01053"/>
    <w:rsid w:val="00E07ACF"/>
    <w:rsid w:val="00E331A1"/>
    <w:rsid w:val="00E33202"/>
    <w:rsid w:val="00E336A9"/>
    <w:rsid w:val="00E472B1"/>
    <w:rsid w:val="00E50624"/>
    <w:rsid w:val="00E5640F"/>
    <w:rsid w:val="00E568DF"/>
    <w:rsid w:val="00E608AD"/>
    <w:rsid w:val="00E64269"/>
    <w:rsid w:val="00E645C8"/>
    <w:rsid w:val="00E66797"/>
    <w:rsid w:val="00E739CF"/>
    <w:rsid w:val="00E82267"/>
    <w:rsid w:val="00E853CE"/>
    <w:rsid w:val="00E867B6"/>
    <w:rsid w:val="00E87F08"/>
    <w:rsid w:val="00E94D54"/>
    <w:rsid w:val="00EA010F"/>
    <w:rsid w:val="00EA7032"/>
    <w:rsid w:val="00EB5F2D"/>
    <w:rsid w:val="00ED1B63"/>
    <w:rsid w:val="00ED1F57"/>
    <w:rsid w:val="00ED33D2"/>
    <w:rsid w:val="00ED3C1F"/>
    <w:rsid w:val="00ED4085"/>
    <w:rsid w:val="00ED420E"/>
    <w:rsid w:val="00ED6FBE"/>
    <w:rsid w:val="00EE2F57"/>
    <w:rsid w:val="00EF4C34"/>
    <w:rsid w:val="00EF77C6"/>
    <w:rsid w:val="00F05438"/>
    <w:rsid w:val="00F1361C"/>
    <w:rsid w:val="00F156F0"/>
    <w:rsid w:val="00F160C7"/>
    <w:rsid w:val="00F16C1F"/>
    <w:rsid w:val="00F2408F"/>
    <w:rsid w:val="00F240E9"/>
    <w:rsid w:val="00F36D8F"/>
    <w:rsid w:val="00F40667"/>
    <w:rsid w:val="00F40EE3"/>
    <w:rsid w:val="00F417B1"/>
    <w:rsid w:val="00F45853"/>
    <w:rsid w:val="00F53CF0"/>
    <w:rsid w:val="00F602DF"/>
    <w:rsid w:val="00F60608"/>
    <w:rsid w:val="00F72436"/>
    <w:rsid w:val="00F73DFB"/>
    <w:rsid w:val="00F754A1"/>
    <w:rsid w:val="00F81FD9"/>
    <w:rsid w:val="00F841AA"/>
    <w:rsid w:val="00F84A94"/>
    <w:rsid w:val="00F87E96"/>
    <w:rsid w:val="00F94F79"/>
    <w:rsid w:val="00FA23E8"/>
    <w:rsid w:val="00FD3CC1"/>
    <w:rsid w:val="00FD585F"/>
    <w:rsid w:val="00FD7AA4"/>
    <w:rsid w:val="00FF1E02"/>
    <w:rsid w:val="00FF30B4"/>
    <w:rsid w:val="02EF3F5D"/>
    <w:rsid w:val="04212BB4"/>
    <w:rsid w:val="049321CE"/>
    <w:rsid w:val="04E360BB"/>
    <w:rsid w:val="052027CE"/>
    <w:rsid w:val="05754429"/>
    <w:rsid w:val="05802AFA"/>
    <w:rsid w:val="065272D0"/>
    <w:rsid w:val="06DF1C54"/>
    <w:rsid w:val="07902E55"/>
    <w:rsid w:val="08243F98"/>
    <w:rsid w:val="097D7010"/>
    <w:rsid w:val="0A0660FD"/>
    <w:rsid w:val="0AA362C3"/>
    <w:rsid w:val="0D1E3F8B"/>
    <w:rsid w:val="0FE32BDA"/>
    <w:rsid w:val="0FFF1ADF"/>
    <w:rsid w:val="10C055FF"/>
    <w:rsid w:val="12127FE0"/>
    <w:rsid w:val="12ED4031"/>
    <w:rsid w:val="16323308"/>
    <w:rsid w:val="16BB723D"/>
    <w:rsid w:val="177A4E6D"/>
    <w:rsid w:val="17B46299"/>
    <w:rsid w:val="194578B4"/>
    <w:rsid w:val="1CF33F27"/>
    <w:rsid w:val="1D957A67"/>
    <w:rsid w:val="1D9C5AAE"/>
    <w:rsid w:val="1E033FA3"/>
    <w:rsid w:val="1F2D7D27"/>
    <w:rsid w:val="20CC6826"/>
    <w:rsid w:val="21416779"/>
    <w:rsid w:val="215F5141"/>
    <w:rsid w:val="216A0EFC"/>
    <w:rsid w:val="217C2535"/>
    <w:rsid w:val="21FB2E67"/>
    <w:rsid w:val="2305495A"/>
    <w:rsid w:val="240371BF"/>
    <w:rsid w:val="24763128"/>
    <w:rsid w:val="25290C0F"/>
    <w:rsid w:val="299C66B5"/>
    <w:rsid w:val="29FD04D3"/>
    <w:rsid w:val="2A032EE3"/>
    <w:rsid w:val="2D7E3C87"/>
    <w:rsid w:val="2DE74BA5"/>
    <w:rsid w:val="2F9B0B35"/>
    <w:rsid w:val="2FAB146B"/>
    <w:rsid w:val="30E83747"/>
    <w:rsid w:val="319F7F4E"/>
    <w:rsid w:val="31BE64FF"/>
    <w:rsid w:val="330E6D0C"/>
    <w:rsid w:val="33571D82"/>
    <w:rsid w:val="33706030"/>
    <w:rsid w:val="34AE7401"/>
    <w:rsid w:val="3513327F"/>
    <w:rsid w:val="354621A6"/>
    <w:rsid w:val="35C375B2"/>
    <w:rsid w:val="35C4356D"/>
    <w:rsid w:val="364D2E44"/>
    <w:rsid w:val="372679C7"/>
    <w:rsid w:val="376C48AA"/>
    <w:rsid w:val="385B2419"/>
    <w:rsid w:val="38603A2E"/>
    <w:rsid w:val="390474AE"/>
    <w:rsid w:val="39240A54"/>
    <w:rsid w:val="3B7B77BB"/>
    <w:rsid w:val="3BEA3A5D"/>
    <w:rsid w:val="3C2A1FC0"/>
    <w:rsid w:val="3C9F22EC"/>
    <w:rsid w:val="3E12118B"/>
    <w:rsid w:val="3E601CBE"/>
    <w:rsid w:val="3E7B610B"/>
    <w:rsid w:val="3F093F4D"/>
    <w:rsid w:val="3F9568D6"/>
    <w:rsid w:val="3FDA39F6"/>
    <w:rsid w:val="410A16F2"/>
    <w:rsid w:val="41434CA1"/>
    <w:rsid w:val="41C47A93"/>
    <w:rsid w:val="429C51E2"/>
    <w:rsid w:val="42DD1C84"/>
    <w:rsid w:val="43DF40E6"/>
    <w:rsid w:val="444673E5"/>
    <w:rsid w:val="45AF1178"/>
    <w:rsid w:val="45DC5EF3"/>
    <w:rsid w:val="476C678C"/>
    <w:rsid w:val="47ED1C64"/>
    <w:rsid w:val="481E0DE2"/>
    <w:rsid w:val="497F525C"/>
    <w:rsid w:val="49CC7EC8"/>
    <w:rsid w:val="4A04486E"/>
    <w:rsid w:val="4A0B0285"/>
    <w:rsid w:val="4A7C6F3A"/>
    <w:rsid w:val="4AB96933"/>
    <w:rsid w:val="4B6F6BD4"/>
    <w:rsid w:val="4B723B26"/>
    <w:rsid w:val="4C757B11"/>
    <w:rsid w:val="4ECE2238"/>
    <w:rsid w:val="52B5632A"/>
    <w:rsid w:val="53911988"/>
    <w:rsid w:val="54D265D2"/>
    <w:rsid w:val="55E14736"/>
    <w:rsid w:val="560678D6"/>
    <w:rsid w:val="56EA1CC0"/>
    <w:rsid w:val="5CB07BA8"/>
    <w:rsid w:val="5D8F2777"/>
    <w:rsid w:val="615F73B0"/>
    <w:rsid w:val="61921A6C"/>
    <w:rsid w:val="62121B84"/>
    <w:rsid w:val="657776DB"/>
    <w:rsid w:val="6777783E"/>
    <w:rsid w:val="68140F8B"/>
    <w:rsid w:val="6CC96C67"/>
    <w:rsid w:val="6E0617CB"/>
    <w:rsid w:val="70A226B1"/>
    <w:rsid w:val="70F066FB"/>
    <w:rsid w:val="7142074B"/>
    <w:rsid w:val="72734D90"/>
    <w:rsid w:val="72A669EB"/>
    <w:rsid w:val="733A0C3D"/>
    <w:rsid w:val="74045906"/>
    <w:rsid w:val="75366D33"/>
    <w:rsid w:val="75AF57DE"/>
    <w:rsid w:val="75D95322"/>
    <w:rsid w:val="7613307D"/>
    <w:rsid w:val="771E0AD6"/>
    <w:rsid w:val="77692515"/>
    <w:rsid w:val="78B95961"/>
    <w:rsid w:val="7AA52FA2"/>
    <w:rsid w:val="7AD465AB"/>
    <w:rsid w:val="7B7C321D"/>
    <w:rsid w:val="7C83749B"/>
    <w:rsid w:val="7FBD0B48"/>
    <w:rsid w:val="7FEF7A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widowControl w:val="0"/>
      <w:ind w:left="420" w:hanging="420"/>
    </w:pPr>
    <w:rPr>
      <w:rFonts w:ascii="Calibri" w:hAnsi="Calibri" w:eastAsia="宋体" w:cs="Calibri"/>
      <w:b/>
      <w:bCs/>
      <w:kern w:val="2"/>
      <w:lang w:val="en-US" w:eastAsia="zh-CN" w:bidi="ar-SA"/>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默认"/>
    <w:next w:val="1"/>
    <w:qFormat/>
    <w:uiPriority w:val="0"/>
    <w:pPr>
      <w:widowControl/>
      <w:jc w:val="both"/>
    </w:pPr>
    <w:rPr>
      <w:rFonts w:ascii="Helvetica Neue" w:hAnsi="Helvetica Neue" w:eastAsia="宋体" w:cs="Arial Unicode MS"/>
      <w:color w:val="000000"/>
      <w:kern w:val="2"/>
      <w:sz w:val="22"/>
      <w:szCs w:val="24"/>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8"/>
    <w:link w:val="3"/>
    <w:qFormat/>
    <w:uiPriority w:val="9"/>
    <w:rPr>
      <w:rFonts w:ascii="Times New Roman" w:hAnsi="Times New Roman"/>
      <w:b/>
      <w:bCs/>
      <w:kern w:val="44"/>
      <w:sz w:val="44"/>
      <w:szCs w:val="44"/>
    </w:rPr>
  </w:style>
  <w:style w:type="character" w:customStyle="1" w:styleId="32">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0"/>
    <w:semiHidden/>
    <w:qFormat/>
    <w:uiPriority w:val="99"/>
    <w:rPr>
      <w:rFonts w:ascii="Times New Roman" w:hAnsi="Times New Roman"/>
      <w:kern w:val="2"/>
      <w:sz w:val="18"/>
      <w:szCs w:val="18"/>
    </w:rPr>
  </w:style>
  <w:style w:type="character" w:customStyle="1" w:styleId="35">
    <w:name w:val="标题 3 Char"/>
    <w:basedOn w:val="18"/>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16"/>
    <w:basedOn w:val="18"/>
    <w:qFormat/>
    <w:uiPriority w:val="0"/>
    <w:rPr>
      <w:rFonts w:hint="default" w:ascii="Times New Roman" w:hAnsi="Times New Roman" w:eastAsia="楷体_GB2312" w:cs="楷体_GB2312"/>
      <w:sz w:val="28"/>
      <w:szCs w:val="28"/>
    </w:rPr>
  </w:style>
  <w:style w:type="character" w:customStyle="1" w:styleId="38">
    <w:name w:val="fontstyle01"/>
    <w:basedOn w:val="18"/>
    <w:qFormat/>
    <w:uiPriority w:val="0"/>
    <w:rPr>
      <w:rFonts w:hint="eastAsia" w:ascii="仿宋_GB2312" w:eastAsia="仿宋_GB2312"/>
      <w:color w:val="000000"/>
      <w:sz w:val="32"/>
      <w:szCs w:val="32"/>
    </w:rPr>
  </w:style>
  <w:style w:type="character" w:customStyle="1" w:styleId="39">
    <w:name w:val="标题 1 字符"/>
    <w:basedOn w:val="18"/>
    <w:link w:val="3"/>
    <w:qFormat/>
    <w:uiPriority w:val="9"/>
    <w:rPr>
      <w:rFonts w:ascii="Times New Roman" w:hAnsi="Times New Roman"/>
      <w:b/>
      <w:bCs/>
      <w:kern w:val="44"/>
      <w:sz w:val="44"/>
      <w:szCs w:val="44"/>
    </w:rPr>
  </w:style>
  <w:style w:type="character" w:customStyle="1" w:styleId="40">
    <w:name w:val="UserStyle_0"/>
    <w:link w:val="1"/>
    <w:semiHidden/>
    <w:qFormat/>
    <w:uiPriority w:val="0"/>
    <w:rPr>
      <w:rFonts w:ascii="Times New Roman" w:hAnsi="Times New Roman" w:eastAsia="宋体" w:cs="Times New Roman"/>
      <w:kern w:val="2"/>
      <w:sz w:val="21"/>
      <w:szCs w:val="24"/>
      <w:lang w:val="en-US" w:eastAsia="zh-CN" w:bidi="ar-SA"/>
    </w:rPr>
  </w:style>
  <w:style w:type="character" w:customStyle="1" w:styleId="41">
    <w:name w:val="NormalCharacter"/>
    <w:link w:val="1"/>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33044917394969"/>
          <c:y val="0.0967911877394637"/>
          <c:w val="0.626535626535628"/>
          <c:h val="0.724137931034484"/>
        </c:manualLayout>
      </c:layout>
      <c:barChart>
        <c:barDir val="col"/>
        <c:grouping val="clustered"/>
        <c:varyColors val="0"/>
        <c:ser>
          <c:idx val="0"/>
          <c:order val="0"/>
          <c:tx>
            <c:strRef>
              <c:f>Sheet1!$A$2</c:f>
              <c:strCache>
                <c:ptCount val="1"/>
                <c:pt idx="0">
                  <c:v>2023年</c:v>
                </c:pt>
              </c:strCache>
            </c:strRef>
          </c:tx>
          <c:spPr>
            <a:solidFill>
              <a:srgbClr val="9999FF"/>
            </a:solidFill>
            <a:ln w="12730">
              <a:solidFill>
                <a:srgbClr val="000000"/>
              </a:solidFill>
              <a:prstDash val="solid"/>
            </a:ln>
          </c:spPr>
          <c:invertIfNegative val="0"/>
          <c:dLbls>
            <c:delete val="1"/>
          </c:dLbls>
          <c:cat>
            <c:strRef>
              <c:f>Sheet1!$B$1:$C$1</c:f>
              <c:strCache>
                <c:ptCount val="2"/>
                <c:pt idx="0">
                  <c:v>收入</c:v>
                </c:pt>
                <c:pt idx="1">
                  <c:v>支出</c:v>
                </c:pt>
              </c:strCache>
            </c:strRef>
          </c:cat>
          <c:val>
            <c:numRef>
              <c:f>Sheet1!$B$2:$C$2</c:f>
              <c:numCache>
                <c:formatCode>General</c:formatCode>
                <c:ptCount val="2"/>
                <c:pt idx="0">
                  <c:v>4969.09</c:v>
                </c:pt>
                <c:pt idx="1">
                  <c:v>4969.09</c:v>
                </c:pt>
              </c:numCache>
            </c:numRef>
          </c:val>
        </c:ser>
        <c:ser>
          <c:idx val="1"/>
          <c:order val="1"/>
          <c:tx>
            <c:strRef>
              <c:f>Sheet1!$A$3</c:f>
              <c:strCache>
                <c:ptCount val="1"/>
                <c:pt idx="0">
                  <c:v>2024年</c:v>
                </c:pt>
              </c:strCache>
            </c:strRef>
          </c:tx>
          <c:spPr>
            <a:solidFill>
              <a:srgbClr val="993366"/>
            </a:solidFill>
            <a:ln w="12730">
              <a:solidFill>
                <a:srgbClr val="000000"/>
              </a:solidFill>
              <a:prstDash val="solid"/>
            </a:ln>
          </c:spPr>
          <c:invertIfNegative val="0"/>
          <c:dLbls>
            <c:delete val="1"/>
          </c:dLbls>
          <c:cat>
            <c:strRef>
              <c:f>Sheet1!$B$1:$C$1</c:f>
              <c:strCache>
                <c:ptCount val="2"/>
                <c:pt idx="0">
                  <c:v>收入</c:v>
                </c:pt>
                <c:pt idx="1">
                  <c:v>支出</c:v>
                </c:pt>
              </c:strCache>
            </c:strRef>
          </c:cat>
          <c:val>
            <c:numRef>
              <c:f>Sheet1!$B$3:$C$3</c:f>
              <c:numCache>
                <c:formatCode>General</c:formatCode>
                <c:ptCount val="2"/>
                <c:pt idx="0">
                  <c:v>5791.13</c:v>
                </c:pt>
                <c:pt idx="1">
                  <c:v>5791.13</c:v>
                </c:pt>
              </c:numCache>
            </c:numRef>
          </c:val>
        </c:ser>
        <c:dLbls>
          <c:showLegendKey val="0"/>
          <c:showVal val="0"/>
          <c:showCatName val="0"/>
          <c:showSerName val="0"/>
          <c:showPercent val="0"/>
          <c:showBubbleSize val="0"/>
        </c:dLbls>
        <c:gapWidth val="150"/>
        <c:axId val="111215744"/>
        <c:axId val="111222144"/>
      </c:barChart>
      <c:catAx>
        <c:axId val="111215744"/>
        <c:scaling>
          <c:orientation val="minMax"/>
        </c:scaling>
        <c:delete val="0"/>
        <c:axPos val="b"/>
        <c:numFmt formatCode="General" sourceLinked="1"/>
        <c:majorTickMark val="in"/>
        <c:minorTickMark val="none"/>
        <c:tickLblPos val="low"/>
        <c:spPr>
          <a:ln w="3183" cap="flat" cmpd="sng" algn="ctr">
            <a:solidFill>
              <a:srgbClr val="000000"/>
            </a:solidFill>
            <a:prstDash val="solid"/>
            <a:roun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11222144"/>
        <c:crosses val="autoZero"/>
        <c:auto val="1"/>
        <c:lblAlgn val="ctr"/>
        <c:lblOffset val="100"/>
        <c:tickLblSkip val="1"/>
        <c:noMultiLvlLbl val="0"/>
      </c:catAx>
      <c:valAx>
        <c:axId val="111222144"/>
        <c:scaling>
          <c:orientation val="minMax"/>
        </c:scaling>
        <c:delete val="0"/>
        <c:axPos val="l"/>
        <c:majorGridlines>
          <c:spPr>
            <a:ln w="3183" cap="flat" cmpd="sng" algn="ctr">
              <a:solidFill>
                <a:srgbClr val="000000"/>
              </a:solidFill>
              <a:prstDash val="solid"/>
              <a:round/>
            </a:ln>
          </c:spPr>
        </c:majorGridlines>
        <c:numFmt formatCode="General" sourceLinked="1"/>
        <c:majorTickMark val="in"/>
        <c:minorTickMark val="none"/>
        <c:tickLblPos val="nextTo"/>
        <c:spPr>
          <a:ln w="3183" cap="flat" cmpd="sng" algn="ctr">
            <a:solidFill>
              <a:srgbClr val="000000"/>
            </a:solidFill>
            <a:prstDash val="solid"/>
            <a:roun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11215744"/>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859950859950861"/>
          <c:y val="0.386206896551724"/>
          <c:w val="0.13022113022113"/>
          <c:h val="0.227586206896552"/>
        </c:manualLayout>
      </c:layout>
      <c:overlay val="0"/>
      <c:spPr>
        <a:noFill/>
        <a:ln w="3183">
          <a:solidFill>
            <a:srgbClr val="000000"/>
          </a:solidFill>
          <a:prstDash val="solid"/>
        </a:ln>
      </c:spPr>
      <c:txPr>
        <a:bodyPr rot="0" spcFirstLastPara="0" vertOverflow="ellipsis" vert="horz" wrap="square" anchor="ctr" anchorCtr="1"/>
        <a:lstStyle/>
        <a:p>
          <a:pPr>
            <a:defRPr lang="zh-CN" sz="73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dde095d7-8a9b-4ecd-bec3-6f7b9c1630de}"/>
      </c:ext>
    </c:extLst>
  </c:chart>
  <c:spPr>
    <a:noFill/>
    <a:ln w="9525" cap="flat" cmpd="sng" algn="ctr">
      <a:no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0"/>
    </c:view3D>
    <c:floor>
      <c:thickness val="0"/>
    </c:floor>
    <c:sideWall>
      <c:thickness val="0"/>
    </c:sideWall>
    <c:backWall>
      <c:thickness val="0"/>
    </c:backWall>
    <c:plotArea>
      <c:layout>
        <c:manualLayout>
          <c:layoutTarget val="inner"/>
          <c:xMode val="edge"/>
          <c:yMode val="edge"/>
          <c:x val="0.054976933987381"/>
          <c:y val="0.158088742844153"/>
          <c:w val="0.468003433872644"/>
          <c:h val="0.83189865046397"/>
        </c:manualLayout>
      </c:layout>
      <c:pie3DChart>
        <c:varyColors val="1"/>
        <c:ser>
          <c:idx val="0"/>
          <c:order val="0"/>
          <c:tx>
            <c:strRef>
              <c:f>Sheet1!$A$2</c:f>
              <c:strCache>
                <c:ptCount val="1"/>
                <c:pt idx="0">
                  <c:v>收入</c:v>
                </c:pt>
              </c:strCache>
            </c:strRef>
          </c:tx>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9999FF"/>
              </a:solidFill>
              <a:ln w="12700">
                <a:solidFill>
                  <a:srgbClr val="000000"/>
                </a:solidFill>
                <a:prstDash val="solid"/>
              </a:ln>
            </c:spPr>
          </c:dPt>
          <c:dLbls>
            <c:delete val="1"/>
          </c:dLbls>
          <c:cat>
            <c:strRef>
              <c:f>Sheet1!$B$1:$D$1</c:f>
              <c:strCache>
                <c:ptCount val="3"/>
                <c:pt idx="0">
                  <c:v>一般公共预算财政拨款</c:v>
                </c:pt>
                <c:pt idx="1">
                  <c:v>政府性基金预算财政拨款</c:v>
                </c:pt>
              </c:strCache>
            </c:strRef>
          </c:cat>
          <c:val>
            <c:numRef>
              <c:f>Sheet1!$B$2:$D$2</c:f>
              <c:numCache>
                <c:formatCode>General</c:formatCode>
                <c:ptCount val="3"/>
                <c:pt idx="0">
                  <c:v>4914.16</c:v>
                </c:pt>
                <c:pt idx="1">
                  <c:v>206.99</c:v>
                </c:pt>
              </c:numCache>
            </c:numRef>
          </c:val>
        </c:ser>
        <c:dLbls>
          <c:showLegendKey val="0"/>
          <c:showVal val="0"/>
          <c:showCatName val="0"/>
          <c:showSerName val="0"/>
          <c:showPercent val="0"/>
          <c:showBubbleSize val="0"/>
        </c:dLbls>
      </c:pie3DChart>
      <c:spPr>
        <a:solidFill>
          <a:srgbClr val="C0C0C0"/>
        </a:solidFill>
        <a:ln w="12700">
          <a:solidFill>
            <a:srgbClr val="808080"/>
          </a:solidFill>
          <a:prstDash val="solid"/>
        </a:ln>
      </c:spPr>
    </c:plotArea>
    <c:legend>
      <c:legendPos val="r"/>
      <c:layout>
        <c:manualLayout>
          <c:xMode val="edge"/>
          <c:yMode val="edge"/>
          <c:x val="0.644016454855173"/>
          <c:y val="0.34996672660012"/>
          <c:w val="0.266490181270412"/>
          <c:h val="0.490172980345962"/>
        </c:manualLayout>
      </c:layout>
      <c:overlay val="0"/>
      <c:spPr>
        <a:noFill/>
        <a:ln w="3175">
          <a:solidFill>
            <a:srgbClr val="000000"/>
          </a:solidFill>
          <a:prstDash val="soli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731c2ff0-2473-4f49-a134-8c9adea7ac37}"/>
      </c:ext>
    </c:extLst>
  </c:chart>
  <c:spPr>
    <a:noFill/>
    <a:ln w="9525" cap="flat" cmpd="sng" algn="ctr">
      <a:noFill/>
      <a:prstDash val="solid"/>
      <a:round/>
    </a:ln>
  </c:spPr>
  <c:txPr>
    <a:bodyPr/>
    <a:lstStyle/>
    <a:p>
      <a:pPr>
        <a:defRPr lang="zh-CN" sz="4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0"/>
    </c:view3D>
    <c:floor>
      <c:thickness val="0"/>
    </c:floor>
    <c:sideWall>
      <c:thickness val="0"/>
    </c:sideWall>
    <c:backWall>
      <c:thickness val="0"/>
    </c:backWall>
    <c:plotArea>
      <c:layout>
        <c:manualLayout>
          <c:layoutTarget val="inner"/>
          <c:xMode val="edge"/>
          <c:yMode val="edge"/>
          <c:x val="0.0236831750828644"/>
          <c:y val="0.124860892388451"/>
          <c:w val="0.525485931391443"/>
          <c:h val="0.859754492226934"/>
        </c:manualLayout>
      </c:layout>
      <c:pie3DChart>
        <c:varyColors val="1"/>
        <c:ser>
          <c:idx val="0"/>
          <c:order val="0"/>
          <c:tx>
            <c:strRef>
              <c:f>Sheet1!$A$2</c:f>
              <c:strCache>
                <c:ptCount val="1"/>
                <c:pt idx="0">
                  <c:v>支出</c:v>
                </c:pt>
              </c:strCache>
            </c:strRef>
          </c:tx>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elete val="1"/>
          </c:dLbls>
          <c:cat>
            <c:strRef>
              <c:f>Sheet1!$B$1:$C$1</c:f>
              <c:strCache>
                <c:ptCount val="2"/>
                <c:pt idx="0">
                  <c:v>基本支出</c:v>
                </c:pt>
                <c:pt idx="1">
                  <c:v>项目支出</c:v>
                </c:pt>
              </c:strCache>
            </c:strRef>
          </c:cat>
          <c:val>
            <c:numRef>
              <c:f>Sheet1!$B$2:$C$2</c:f>
              <c:numCache>
                <c:formatCode>General</c:formatCode>
                <c:ptCount val="2"/>
                <c:pt idx="0">
                  <c:v>209.8</c:v>
                </c:pt>
                <c:pt idx="1">
                  <c:v>5581.33</c:v>
                </c:pt>
              </c:numCache>
            </c:numRef>
          </c:val>
        </c:ser>
        <c:dLbls>
          <c:showLegendKey val="0"/>
          <c:showVal val="0"/>
          <c:showCatName val="0"/>
          <c:showSerName val="0"/>
          <c:showPercent val="0"/>
          <c:showBubbleSize val="0"/>
        </c:dLbls>
      </c:pie3DChart>
      <c:spPr>
        <a:solidFill>
          <a:srgbClr val="C0C0C0"/>
        </a:solidFill>
        <a:ln w="12700">
          <a:solidFill>
            <a:srgbClr val="808080"/>
          </a:solidFill>
          <a:prstDash val="solid"/>
        </a:ln>
      </c:spPr>
    </c:plotArea>
    <c:legend>
      <c:legendPos val="r"/>
      <c:layout>
        <c:manualLayout>
          <c:xMode val="edge"/>
          <c:yMode val="edge"/>
          <c:x val="0.665606561820977"/>
          <c:y val="0.225975368463557"/>
          <c:w val="0.304984264675362"/>
          <c:h val="0.435841712093681"/>
        </c:manualLayout>
      </c:layout>
      <c:overlay val="0"/>
      <c:spPr>
        <a:noFill/>
        <a:ln w="3175">
          <a:solidFill>
            <a:srgbClr val="000000"/>
          </a:solidFill>
          <a:prstDash val="soli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fabb4c52-49c7-4018-9f41-6d56abcf3bc5}"/>
      </c:ext>
    </c:extLst>
  </c:chart>
  <c:spPr>
    <a:noFill/>
    <a:ln w="9525" cap="flat" cmpd="sng" algn="ctr">
      <a:noFill/>
      <a:prstDash val="solid"/>
      <a:round/>
    </a:ln>
  </c:spPr>
  <c:txPr>
    <a:bodyPr/>
    <a:lstStyle/>
    <a:p>
      <a:pPr>
        <a:defRPr lang="zh-CN" sz="4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86597451628126"/>
          <c:y val="0.27628053955942"/>
          <c:w val="0.670133733283341"/>
          <c:h val="0.601265065747379"/>
        </c:manualLayout>
      </c:layout>
      <c:barChart>
        <c:barDir val="col"/>
        <c:grouping val="clustered"/>
        <c:varyColors val="0"/>
        <c:ser>
          <c:idx val="0"/>
          <c:order val="0"/>
          <c:tx>
            <c:strRef>
              <c:f>Sheet1!$A$2</c:f>
              <c:strCache>
                <c:ptCount val="1"/>
                <c:pt idx="0">
                  <c:v>收入</c:v>
                </c:pt>
              </c:strCache>
            </c:strRef>
          </c:tx>
          <c:spPr>
            <a:solidFill>
              <a:srgbClr val="9999FF"/>
            </a:solidFill>
            <a:ln w="12699">
              <a:solidFill>
                <a:srgbClr val="000000"/>
              </a:solidFill>
              <a:prstDash val="solid"/>
            </a:ln>
          </c:spPr>
          <c:invertIfNegative val="0"/>
          <c:dLbls>
            <c:delete val="1"/>
          </c:dLbls>
          <c:cat>
            <c:strRef>
              <c:f>Sheet1!$B$1:$C$1</c:f>
              <c:strCache>
                <c:ptCount val="2"/>
                <c:pt idx="0">
                  <c:v>2023年</c:v>
                </c:pt>
                <c:pt idx="1">
                  <c:v>2024年</c:v>
                </c:pt>
              </c:strCache>
            </c:strRef>
          </c:cat>
          <c:val>
            <c:numRef>
              <c:f>Sheet1!$B$2:$C$2</c:f>
              <c:numCache>
                <c:formatCode>General</c:formatCode>
                <c:ptCount val="2"/>
                <c:pt idx="0">
                  <c:v>4969.09</c:v>
                </c:pt>
                <c:pt idx="1">
                  <c:v>5791.13</c:v>
                </c:pt>
              </c:numCache>
            </c:numRef>
          </c:val>
        </c:ser>
        <c:ser>
          <c:idx val="1"/>
          <c:order val="1"/>
          <c:tx>
            <c:strRef>
              <c:f>Sheet1!$A$3</c:f>
              <c:strCache>
                <c:ptCount val="1"/>
                <c:pt idx="0">
                  <c:v>支出</c:v>
                </c:pt>
              </c:strCache>
            </c:strRef>
          </c:tx>
          <c:spPr>
            <a:solidFill>
              <a:srgbClr val="993366"/>
            </a:solidFill>
            <a:ln w="12699">
              <a:solidFill>
                <a:srgbClr val="000000"/>
              </a:solidFill>
              <a:prstDash val="solid"/>
            </a:ln>
          </c:spPr>
          <c:invertIfNegative val="0"/>
          <c:dLbls>
            <c:delete val="1"/>
          </c:dLbls>
          <c:cat>
            <c:strRef>
              <c:f>Sheet1!$B$1:$C$1</c:f>
              <c:strCache>
                <c:ptCount val="2"/>
                <c:pt idx="0">
                  <c:v>2023年</c:v>
                </c:pt>
                <c:pt idx="1">
                  <c:v>2024年</c:v>
                </c:pt>
              </c:strCache>
            </c:strRef>
          </c:cat>
          <c:val>
            <c:numRef>
              <c:f>Sheet1!$B$3:$C$3</c:f>
              <c:numCache>
                <c:formatCode>General</c:formatCode>
                <c:ptCount val="2"/>
                <c:pt idx="0">
                  <c:v>4969.09</c:v>
                </c:pt>
                <c:pt idx="1">
                  <c:v>5791.13</c:v>
                </c:pt>
              </c:numCache>
            </c:numRef>
          </c:val>
        </c:ser>
        <c:dLbls>
          <c:showLegendKey val="0"/>
          <c:showVal val="0"/>
          <c:showCatName val="0"/>
          <c:showSerName val="0"/>
          <c:showPercent val="0"/>
          <c:showBubbleSize val="0"/>
        </c:dLbls>
        <c:gapWidth val="150"/>
        <c:axId val="151276928"/>
        <c:axId val="117036160"/>
      </c:barChart>
      <c:catAx>
        <c:axId val="151276928"/>
        <c:scaling>
          <c:orientation val="minMax"/>
        </c:scaling>
        <c:delete val="0"/>
        <c:axPos val="b"/>
        <c:numFmt formatCode="General" sourceLinked="1"/>
        <c:majorTickMark val="in"/>
        <c:minorTickMark val="none"/>
        <c:tickLblPos val="low"/>
        <c:spPr>
          <a:ln w="3175" cap="flat" cmpd="sng" algn="ctr">
            <a:solidFill>
              <a:srgbClr val="000000"/>
            </a:solidFill>
            <a:prstDash val="solid"/>
            <a:roun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17036160"/>
        <c:crosses val="autoZero"/>
        <c:auto val="1"/>
        <c:lblAlgn val="ctr"/>
        <c:lblOffset val="100"/>
        <c:tickLblSkip val="1"/>
        <c:noMultiLvlLbl val="0"/>
      </c:catAx>
      <c:valAx>
        <c:axId val="11703616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51276928"/>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91018265573946"/>
          <c:y val="0.38353690863269"/>
          <c:w val="0.103063009980895"/>
          <c:h val="0.370326321150156"/>
        </c:manualLayout>
      </c:layout>
      <c:overlay val="0"/>
      <c:spPr>
        <a:noFill/>
        <a:ln w="3175">
          <a:solidFill>
            <a:srgbClr val="000000"/>
          </a:solidFill>
          <a:prstDash val="soli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58f9aff2-fe26-4242-84d1-e95a994e50c7}"/>
      </c:ext>
    </c:extLst>
  </c:chart>
  <c:spPr>
    <a:noFill/>
    <a:ln w="9525" cap="flat" cmpd="sng" algn="ctr">
      <a:noFill/>
      <a:prstDash val="solid"/>
      <a:round/>
    </a:ln>
  </c:spPr>
  <c:txPr>
    <a:bodyPr/>
    <a:lstStyle/>
    <a:p>
      <a:pPr>
        <a:defRPr lang="zh-CN" sz="4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5812277196695"/>
          <c:y val="0.106560134726126"/>
          <c:w val="0.70679241587339"/>
          <c:h val="0.711074823370792"/>
        </c:manualLayout>
      </c:layout>
      <c:barChart>
        <c:barDir val="col"/>
        <c:grouping val="clustered"/>
        <c:varyColors val="0"/>
        <c:ser>
          <c:idx val="0"/>
          <c:order val="0"/>
          <c:tx>
            <c:strRef>
              <c:f>Sheet1!$A$2</c:f>
              <c:strCache>
                <c:ptCount val="1"/>
                <c:pt idx="0">
                  <c:v>支出</c:v>
                </c:pt>
              </c:strCache>
            </c:strRef>
          </c:tx>
          <c:spPr>
            <a:solidFill>
              <a:srgbClr val="9999FF"/>
            </a:solidFill>
            <a:ln w="12700">
              <a:solidFill>
                <a:srgbClr val="000000"/>
              </a:solidFill>
              <a:prstDash val="solid"/>
            </a:ln>
          </c:spPr>
          <c:invertIfNegative val="0"/>
          <c:dLbls>
            <c:delete val="1"/>
          </c:dLbls>
          <c:cat>
            <c:strRef>
              <c:f>Sheet1!$B$1:$C$1</c:f>
              <c:strCache>
                <c:ptCount val="2"/>
                <c:pt idx="0">
                  <c:v>2023年</c:v>
                </c:pt>
                <c:pt idx="1">
                  <c:v>2024年</c:v>
                </c:pt>
              </c:strCache>
            </c:strRef>
          </c:cat>
          <c:val>
            <c:numRef>
              <c:f>Sheet1!$B$2:$C$2</c:f>
              <c:numCache>
                <c:formatCode>General</c:formatCode>
                <c:ptCount val="2"/>
                <c:pt idx="0">
                  <c:v>2203.27</c:v>
                </c:pt>
                <c:pt idx="1">
                  <c:v>4914.17</c:v>
                </c:pt>
              </c:numCache>
            </c:numRef>
          </c:val>
        </c:ser>
        <c:dLbls>
          <c:showLegendKey val="0"/>
          <c:showVal val="0"/>
          <c:showCatName val="0"/>
          <c:showSerName val="0"/>
          <c:showPercent val="0"/>
          <c:showBubbleSize val="0"/>
        </c:dLbls>
        <c:gapWidth val="150"/>
        <c:axId val="60727680"/>
        <c:axId val="60729216"/>
      </c:barChart>
      <c:catAx>
        <c:axId val="60727680"/>
        <c:scaling>
          <c:orientation val="minMax"/>
        </c:scaling>
        <c:delete val="0"/>
        <c:axPos val="b"/>
        <c:numFmt formatCode="General" sourceLinked="1"/>
        <c:majorTickMark val="in"/>
        <c:minorTickMark val="none"/>
        <c:tickLblPos val="low"/>
        <c:spPr>
          <a:ln w="3175" cap="flat" cmpd="sng" algn="ctr">
            <a:solidFill>
              <a:srgbClr val="000000"/>
            </a:solidFill>
            <a:prstDash val="solid"/>
            <a:roun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0729216"/>
        <c:crosses val="autoZero"/>
        <c:auto val="1"/>
        <c:lblAlgn val="ctr"/>
        <c:lblOffset val="100"/>
        <c:tickLblSkip val="1"/>
        <c:noMultiLvlLbl val="0"/>
      </c:catAx>
      <c:valAx>
        <c:axId val="60729216"/>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0727680"/>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844679946723081"/>
          <c:y val="0.266129887610203"/>
          <c:w val="0.100100090100678"/>
          <c:h val="0.328940574735852"/>
        </c:manualLayout>
      </c:layout>
      <c:overlay val="0"/>
      <c:spPr>
        <a:noFill/>
        <a:ln w="3175">
          <a:solidFill>
            <a:srgbClr val="000000"/>
          </a:solidFill>
          <a:prstDash val="soli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6b48d8f-ba99-4164-a958-f2e976be9035}"/>
      </c:ext>
    </c:extLst>
  </c:chart>
  <c:spPr>
    <a:noFill/>
    <a:ln w="9525" cap="flat" cmpd="sng" algn="ctr">
      <a:noFill/>
      <a:prstDash val="solid"/>
      <a:round/>
    </a:ln>
  </c:spPr>
  <c:txPr>
    <a:bodyPr/>
    <a:lstStyle/>
    <a:p>
      <a:pPr>
        <a:defRPr lang="zh-CN" sz="4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0"/>
    </c:view3D>
    <c:floor>
      <c:thickness val="0"/>
    </c:floor>
    <c:sideWall>
      <c:thickness val="0"/>
    </c:sideWall>
    <c:backWall>
      <c:thickness val="0"/>
    </c:backWall>
    <c:plotArea>
      <c:layout>
        <c:manualLayout>
          <c:layoutTarget val="inner"/>
          <c:xMode val="edge"/>
          <c:yMode val="edge"/>
          <c:x val="0.134216798026662"/>
          <c:y val="0.124087591240876"/>
          <c:w val="0.517957230424454"/>
          <c:h val="0.832632890585647"/>
        </c:manualLayout>
      </c:layout>
      <c:pie3DChart>
        <c:varyColors val="1"/>
        <c:ser>
          <c:idx val="0"/>
          <c:order val="0"/>
          <c:tx>
            <c:strRef>
              <c:f>Sheet1!$A$2</c:f>
              <c:strCache>
                <c:ptCount val="1"/>
                <c:pt idx="0">
                  <c:v>支出</c:v>
                </c:pt>
              </c:strCache>
            </c:strRef>
          </c:tx>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elete val="1"/>
          </c:dLbls>
          <c:cat>
            <c:strRef>
              <c:f>Sheet1!$B$1:$E$1</c:f>
              <c:strCache>
                <c:ptCount val="4"/>
                <c:pt idx="0">
                  <c:v>社会保障和就业支出</c:v>
                </c:pt>
                <c:pt idx="1">
                  <c:v>卫生健康支出</c:v>
                </c:pt>
                <c:pt idx="2">
                  <c:v>自然资源海洋气象等支出</c:v>
                </c:pt>
                <c:pt idx="3">
                  <c:v>住房保障支出</c:v>
                </c:pt>
              </c:strCache>
            </c:strRef>
          </c:cat>
          <c:val>
            <c:numRef>
              <c:f>Sheet1!$B$2:$E$2</c:f>
              <c:numCache>
                <c:formatCode>General</c:formatCode>
                <c:ptCount val="4"/>
                <c:pt idx="0">
                  <c:v>20.88</c:v>
                </c:pt>
                <c:pt idx="1">
                  <c:v>16.1</c:v>
                </c:pt>
                <c:pt idx="2">
                  <c:v>4861.45</c:v>
                </c:pt>
                <c:pt idx="3">
                  <c:v>15.74</c:v>
                </c:pt>
              </c:numCache>
            </c:numRef>
          </c:val>
        </c:ser>
        <c:ser>
          <c:idx val="1"/>
          <c:order val="1"/>
          <c:tx>
            <c:strRef>
              <c:f>Sheet1!$A$3</c:f>
              <c:strCache>
                <c:ptCount val="1"/>
                <c:pt idx="0">
                  <c:v/>
                </c:pt>
              </c:strCache>
            </c:strRef>
          </c:tx>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elete val="1"/>
          </c:dLbls>
          <c:cat>
            <c:strRef>
              <c:f>Sheet1!$B$1:$E$1</c:f>
              <c:strCache>
                <c:ptCount val="4"/>
                <c:pt idx="0">
                  <c:v>社会保障和就业支出</c:v>
                </c:pt>
                <c:pt idx="1">
                  <c:v>卫生健康支出</c:v>
                </c:pt>
                <c:pt idx="2">
                  <c:v>自然资源海洋气象等支出</c:v>
                </c:pt>
                <c:pt idx="3">
                  <c:v>住房保障支出</c:v>
                </c:pt>
              </c:strCache>
            </c:strRef>
          </c:cat>
          <c:val>
            <c:numRef>
              <c:f>Sheet1!$B$3:$E$3</c:f>
              <c:numCache>
                <c:formatCode>General</c:formatCode>
                <c:ptCount val="4"/>
              </c:numCache>
            </c:numRef>
          </c:val>
        </c:ser>
        <c:ser>
          <c:idx val="2"/>
          <c:order val="2"/>
          <c:tx>
            <c:strRef>
              <c:f>Sheet1!$A$4</c:f>
              <c:strCache>
                <c:ptCount val="1"/>
                <c:pt idx="0">
                  <c:v/>
                </c:pt>
              </c:strCache>
            </c:strRef>
          </c:tx>
          <c:spPr>
            <a:solidFill>
              <a:srgbClr val="FFFFCC"/>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elete val="1"/>
          </c:dLbls>
          <c:cat>
            <c:strRef>
              <c:f>Sheet1!$B$1:$E$1</c:f>
              <c:strCache>
                <c:ptCount val="4"/>
                <c:pt idx="0">
                  <c:v>社会保障和就业支出</c:v>
                </c:pt>
                <c:pt idx="1">
                  <c:v>卫生健康支出</c:v>
                </c:pt>
                <c:pt idx="2">
                  <c:v>自然资源海洋气象等支出</c:v>
                </c:pt>
                <c:pt idx="3">
                  <c:v>住房保障支出</c:v>
                </c:pt>
              </c:strCache>
            </c:strRef>
          </c:cat>
          <c:val>
            <c:numRef>
              <c:f>Sheet1!$B$4:$E$4</c:f>
              <c:numCache>
                <c:formatCode>General</c:formatCode>
                <c:ptCount val="4"/>
              </c:numCache>
            </c:numRef>
          </c:val>
        </c:ser>
        <c:dLbls>
          <c:showLegendKey val="0"/>
          <c:showVal val="0"/>
          <c:showCatName val="0"/>
          <c:showSerName val="0"/>
          <c:showPercent val="0"/>
          <c:showBubbleSize val="0"/>
        </c:dLbls>
      </c:pie3DChart>
      <c:spPr>
        <a:solidFill>
          <a:srgbClr val="C0C0C0"/>
        </a:solidFill>
        <a:ln w="12700">
          <a:solidFill>
            <a:srgbClr val="808080"/>
          </a:solidFill>
          <a:prstDash val="solid"/>
        </a:ln>
      </c:spPr>
    </c:plotArea>
    <c:legend>
      <c:legendPos val="r"/>
      <c:layout>
        <c:manualLayout>
          <c:xMode val="edge"/>
          <c:yMode val="edge"/>
          <c:x val="0.775566472202051"/>
          <c:y val="0.224581775762878"/>
          <c:w val="0.152173913043478"/>
          <c:h val="0.591240875912409"/>
        </c:manualLayout>
      </c:layout>
      <c:overlay val="0"/>
      <c:spPr>
        <a:noFill/>
        <a:ln w="3175">
          <a:solidFill>
            <a:srgbClr val="000000"/>
          </a:solidFill>
          <a:prstDash val="soli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789992b-672c-4bed-80f4-ab63cc0f77a0}"/>
      </c:ext>
    </c:extLst>
  </c:chart>
  <c:spPr>
    <a:noFill/>
    <a:ln w="9525" cap="flat" cmpd="sng" algn="ctr">
      <a:no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29D9B-BF92-43DD-8B67-E3BE169829B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57</Pages>
  <Words>16089</Words>
  <Characters>16996</Characters>
  <Lines>89</Lines>
  <Paragraphs>25</Paragraphs>
  <TotalTime>11</TotalTime>
  <ScaleCrop>false</ScaleCrop>
  <LinksUpToDate>false</LinksUpToDate>
  <CharactersWithSpaces>17078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2020-11-07T10:44:00Z</dcterms:created>
  <dc:creator>曹颖</dc:creator>
  <cp:lastModifiedBy>李烨</cp:lastModifiedBy>
  <cp:lastPrinted>2025-10-31T03:16:11Z</cp:lastPrinted>
  <dcterms:modified xsi:type="dcterms:W3CDTF">2025-10-31T03:16:55Z</dcterms:modified>
  <dc:title>四川省***</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BFED5A3746AC4CA4A512C15D7D7AEFFA_13</vt:lpwstr>
  </property>
  <property fmtid="{D5CDD505-2E9C-101B-9397-08002B2CF9AE}" pid="4" name="KSOTemplateDocerSaveRecord">
    <vt:lpwstr>eyJoZGlkIjoiMDE1ZmU0Y2NlNDM0MGQ4YzQ5YTMzNjQ4M2U5Y2NjZmYiLCJ1c2VySWQiOiIxNjc4Mjg2NjM3In0=</vt:lpwstr>
  </property>
</Properties>
</file>