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rPr>
          <w:rFonts w:hint="eastAsia" w:ascii="Times New Roman" w:hAnsi="Times New Roman" w:eastAsia="方正小标宋简体" w:cs="Times New Roman"/>
          <w:color w:val="auto"/>
          <w:kern w:val="2"/>
          <w:sz w:val="72"/>
          <w:szCs w:val="72"/>
          <w:highlight w:val="none"/>
          <w:lang w:val="en-US" w:eastAsia="zh-CN" w:bidi="ar-SA"/>
        </w:rPr>
      </w:pPr>
      <w:bookmarkStart w:id="0" w:name="_Toc15378441"/>
      <w:bookmarkStart w:id="1" w:name="_Toc15377425"/>
      <w:bookmarkStart w:id="2" w:name="_Toc15396475"/>
      <w:bookmarkStart w:id="3" w:name="_Toc15306267"/>
      <w:bookmarkStart w:id="4" w:name="_Toc15396597"/>
      <w:bookmarkStart w:id="5" w:name="_Toc15377193"/>
    </w:p>
    <w:p>
      <w:pPr>
        <w:pStyle w:val="6"/>
        <w:rPr>
          <w:rFonts w:hint="eastAsia" w:ascii="Times New Roman" w:hAnsi="Times New Roman" w:eastAsia="方正小标宋简体" w:cs="Times New Roman"/>
          <w:color w:val="auto"/>
          <w:kern w:val="2"/>
          <w:sz w:val="72"/>
          <w:szCs w:val="72"/>
          <w:highlight w:val="none"/>
          <w:lang w:val="en-US" w:eastAsia="zh-CN" w:bidi="ar-SA"/>
        </w:rPr>
      </w:pPr>
    </w:p>
    <w:p>
      <w:pPr>
        <w:pStyle w:val="6"/>
        <w:rPr>
          <w:rFonts w:hint="eastAsia" w:ascii="Times New Roman" w:hAnsi="Times New Roman" w:eastAsia="方正小标宋简体" w:cs="Times New Roman"/>
          <w:color w:val="auto"/>
          <w:kern w:val="2"/>
          <w:sz w:val="72"/>
          <w:szCs w:val="72"/>
          <w:highlight w:val="none"/>
          <w:lang w:val="en-US" w:eastAsia="zh-CN" w:bidi="ar-SA"/>
        </w:rPr>
      </w:pPr>
    </w:p>
    <w:p>
      <w:pPr>
        <w:pStyle w:val="6"/>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bidi="ar-SA"/>
        </w:rPr>
      </w:pPr>
      <w:r>
        <w:rPr>
          <w:rFonts w:hint="eastAsia" w:ascii="方正小标宋简体" w:hAnsi="方正小标宋简体" w:eastAsia="方正小标宋简体" w:cs="方正小标宋简体"/>
          <w:color w:val="auto"/>
          <w:kern w:val="2"/>
          <w:sz w:val="44"/>
          <w:szCs w:val="44"/>
          <w:highlight w:val="none"/>
          <w:lang w:val="en-US" w:eastAsia="zh-CN" w:bidi="ar-SA"/>
        </w:rPr>
        <w:t>2024年度四川省</w:t>
      </w:r>
    </w:p>
    <w:p>
      <w:pPr>
        <w:keepNext w:val="0"/>
        <w:keepLines w:val="0"/>
        <w:pageBreakBefore w:val="0"/>
        <w:widowControl w:val="0"/>
        <w:tabs>
          <w:tab w:val="center" w:pos="4153"/>
          <w:tab w:val="right" w:pos="8306"/>
        </w:tabs>
        <w:kinsoku/>
        <w:wordWrap/>
        <w:overflowPunct/>
        <w:topLinePunct w:val="0"/>
        <w:autoSpaceDE/>
        <w:autoSpaceDN/>
        <w:bidi w:val="0"/>
        <w:adjustRightInd/>
        <w:snapToGrid/>
        <w:spacing w:line="0" w:lineRule="atLeast"/>
        <w:jc w:val="left"/>
        <w:textAlignment w:val="auto"/>
        <w:outlineLvl w:val="0"/>
        <w:rPr>
          <w:rFonts w:hint="eastAsia" w:ascii="方正小标宋简体" w:hAnsi="方正小标宋简体" w:eastAsia="方正小标宋简体" w:cs="方正小标宋简体"/>
          <w:color w:val="auto"/>
          <w:kern w:val="2"/>
          <w:sz w:val="44"/>
          <w:szCs w:val="44"/>
          <w:highlight w:val="none"/>
          <w:lang w:val="en-US" w:eastAsia="zh-CN" w:bidi="ar-SA"/>
        </w:rPr>
      </w:pPr>
      <w:r>
        <w:rPr>
          <w:rFonts w:hint="eastAsia" w:ascii="方正小标宋简体" w:hAnsi="方正小标宋简体" w:eastAsia="方正小标宋简体" w:cs="方正小标宋简体"/>
          <w:color w:val="auto"/>
          <w:kern w:val="2"/>
          <w:sz w:val="44"/>
          <w:szCs w:val="44"/>
          <w:highlight w:val="none"/>
          <w:lang w:val="en-US" w:eastAsia="zh-CN" w:bidi="ar-SA"/>
        </w:rPr>
        <w:tab/>
      </w:r>
      <w:r>
        <w:rPr>
          <w:rFonts w:hint="eastAsia" w:ascii="方正小标宋简体" w:hAnsi="方正小标宋简体" w:eastAsia="方正小标宋简体" w:cs="方正小标宋简体"/>
          <w:color w:val="auto"/>
          <w:kern w:val="2"/>
          <w:sz w:val="44"/>
          <w:szCs w:val="44"/>
          <w:highlight w:val="none"/>
          <w:lang w:val="en-US" w:eastAsia="zh-CN" w:bidi="ar-SA"/>
        </w:rPr>
        <w:t>攀枝花市西区司法局部门决算</w:t>
      </w:r>
    </w:p>
    <w:p>
      <w:pPr>
        <w:bidi w:val="0"/>
        <w:rPr>
          <w:rFonts w:ascii="Times New Roman" w:hAnsi="Times New Roman" w:eastAsia="宋体" w:cs="Times New Roman"/>
          <w:kern w:val="2"/>
          <w:sz w:val="21"/>
          <w:szCs w:val="24"/>
          <w:lang w:val="en-US" w:eastAsia="zh-CN" w:bidi="ar-SA"/>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tabs>
          <w:tab w:val="left" w:pos="5659"/>
        </w:tabs>
        <w:bidi w:val="0"/>
        <w:jc w:val="left"/>
        <w:rPr>
          <w:rFonts w:hint="eastAsia"/>
          <w:lang w:val="en-US" w:eastAsia="zh-CN"/>
        </w:rPr>
      </w:pPr>
    </w:p>
    <w:p>
      <w:pPr>
        <w:pStyle w:val="8"/>
        <w:ind w:left="0" w:leftChars="0" w:firstLine="0" w:firstLineChars="0"/>
        <w:rPr>
          <w:rFonts w:hint="eastAsia"/>
          <w:lang w:val="en-US" w:eastAsia="zh-CN"/>
        </w:rPr>
      </w:pPr>
    </w:p>
    <w:p>
      <w:pPr>
        <w:pStyle w:val="8"/>
        <w:ind w:left="0" w:leftChars="0" w:firstLine="0" w:firstLineChars="0"/>
        <w:rPr>
          <w:rFonts w:hint="eastAsia"/>
          <w:lang w:val="en-US" w:eastAsia="zh-CN"/>
        </w:rPr>
      </w:pPr>
    </w:p>
    <w:p>
      <w:pPr>
        <w:pStyle w:val="8"/>
        <w:ind w:left="0" w:leftChars="0" w:firstLine="0" w:firstLineChars="0"/>
        <w:rPr>
          <w:rFonts w:hint="eastAsia"/>
          <w:lang w:val="en-US" w:eastAsia="zh-CN"/>
        </w:rPr>
      </w:pPr>
    </w:p>
    <w:p>
      <w:pPr>
        <w:pStyle w:val="8"/>
        <w:ind w:left="0" w:leftChars="0" w:firstLine="0" w:firstLineChars="0"/>
        <w:rPr>
          <w:rFonts w:hint="eastAsia"/>
          <w:lang w:val="en-US" w:eastAsia="zh-CN"/>
        </w:rPr>
      </w:pPr>
    </w:p>
    <w:p>
      <w:pPr>
        <w:pStyle w:val="8"/>
        <w:ind w:left="0" w:leftChars="0" w:firstLine="0" w:firstLineChars="0"/>
        <w:rPr>
          <w:rFonts w:hint="eastAsia"/>
          <w:lang w:val="en-US" w:eastAsia="zh-CN"/>
        </w:rPr>
      </w:pPr>
    </w:p>
    <w:p>
      <w:pPr>
        <w:pStyle w:val="8"/>
        <w:ind w:left="0" w:leftChars="0" w:firstLine="0" w:firstLineChars="0"/>
        <w:rPr>
          <w:rFonts w:hint="eastAsia"/>
          <w:lang w:val="en-US" w:eastAsia="zh-CN"/>
        </w:rPr>
      </w:pPr>
    </w:p>
    <w:p>
      <w:pPr>
        <w:pStyle w:val="8"/>
        <w:ind w:left="0" w:leftChars="0" w:firstLine="0" w:firstLineChars="0"/>
        <w:rPr>
          <w:rFonts w:hint="eastAsia"/>
          <w:lang w:val="en-US" w:eastAsia="zh-CN"/>
        </w:rPr>
      </w:pPr>
    </w:p>
    <w:p>
      <w:pPr>
        <w:pStyle w:val="8"/>
        <w:ind w:left="0" w:leftChars="0" w:firstLine="0" w:firstLineChars="0"/>
        <w:rPr>
          <w:rFonts w:hint="eastAsia"/>
          <w:lang w:val="en-US" w:eastAsia="zh-CN"/>
        </w:rPr>
      </w:pPr>
    </w:p>
    <w:p>
      <w:pPr>
        <w:pStyle w:val="8"/>
        <w:ind w:left="0" w:leftChars="0" w:firstLine="0" w:firstLineChars="0"/>
        <w:rPr>
          <w:rFonts w:hint="eastAsia"/>
          <w:lang w:val="en-US" w:eastAsia="zh-CN"/>
        </w:rPr>
      </w:pPr>
    </w:p>
    <w:p>
      <w:pPr>
        <w:pStyle w:val="8"/>
        <w:ind w:left="0" w:leftChars="0" w:firstLine="0" w:firstLineChars="0"/>
        <w:rPr>
          <w:rFonts w:hint="eastAsia"/>
          <w:lang w:val="en-US" w:eastAsia="zh-CN"/>
        </w:rPr>
      </w:pPr>
    </w:p>
    <w:p>
      <w:pPr>
        <w:pStyle w:val="8"/>
        <w:ind w:left="0" w:leftChars="0" w:firstLine="0" w:firstLineChars="0"/>
        <w:rPr>
          <w:rFonts w:hint="eastAsia"/>
          <w:lang w:val="en-US" w:eastAsia="zh-CN"/>
        </w:rPr>
      </w:pPr>
    </w:p>
    <w:p>
      <w:pPr>
        <w:pStyle w:val="8"/>
        <w:ind w:left="0" w:leftChars="0" w:firstLine="0" w:firstLineChars="0"/>
        <w:rPr>
          <w:rFonts w:hint="eastAsia"/>
          <w:lang w:val="en-US" w:eastAsia="zh-CN"/>
        </w:rPr>
      </w:pPr>
    </w:p>
    <w:p>
      <w:pPr>
        <w:pStyle w:val="8"/>
        <w:ind w:left="0" w:leftChars="0" w:firstLine="0" w:firstLineChars="0"/>
        <w:rPr>
          <w:rFonts w:hint="eastAsia"/>
          <w:lang w:val="en-US" w:eastAsia="zh-CN"/>
        </w:rPr>
        <w:sectPr>
          <w:headerReference r:id="rId3" w:type="default"/>
          <w:footerReference r:id="rId4" w:type="default"/>
          <w:pgSz w:w="11906" w:h="16838"/>
          <w:pgMar w:top="1440" w:right="1800" w:bottom="1440" w:left="1800" w:header="851" w:footer="992" w:gutter="0"/>
          <w:pgNumType w:fmt="decimal" w:start="1"/>
          <w:cols w:space="425" w:num="1"/>
          <w:titlePg/>
          <w:docGrid w:type="lines" w:linePitch="312" w:charSpace="0"/>
        </w:sectPr>
      </w:pPr>
    </w:p>
    <w:bookmarkEnd w:id="0"/>
    <w:bookmarkEnd w:id="1"/>
    <w:bookmarkEnd w:id="2"/>
    <w:bookmarkEnd w:id="3"/>
    <w:bookmarkEnd w:id="4"/>
    <w:bookmarkEnd w:id="5"/>
    <w:p>
      <w:pPr>
        <w:bidi w:val="0"/>
        <w:jc w:val="center"/>
        <w:rPr>
          <w:rFonts w:hint="eastAsia" w:ascii="Times New Roman" w:hAnsi="Times New Roman" w:eastAsia="黑体"/>
          <w:color w:val="auto"/>
          <w:sz w:val="48"/>
          <w:szCs w:val="48"/>
          <w:highlight w:val="none"/>
        </w:rPr>
      </w:pPr>
    </w:p>
    <w:p>
      <w:pPr>
        <w:bidi w:val="0"/>
        <w:jc w:val="center"/>
        <w:rPr>
          <w:rFonts w:ascii="Times New Roman" w:hAnsi="Times New Roman" w:eastAsia="黑体"/>
          <w:color w:val="auto"/>
          <w:sz w:val="48"/>
          <w:szCs w:val="48"/>
          <w:highlight w:val="none"/>
        </w:rPr>
      </w:pPr>
      <w:r>
        <w:rPr>
          <w:rFonts w:hint="eastAsia" w:ascii="Times New Roman" w:hAnsi="Times New Roman" w:eastAsia="黑体"/>
          <w:color w:val="auto"/>
          <w:sz w:val="48"/>
          <w:szCs w:val="48"/>
          <w:highlight w:val="none"/>
        </w:rPr>
        <w:t>目录</w:t>
      </w:r>
    </w:p>
    <w:p>
      <w:pPr>
        <w:widowControl/>
        <w:jc w:val="center"/>
        <w:rPr>
          <w:rFonts w:ascii="Times New Roman" w:hAnsi="Times New Roman" w:eastAsia="黑体" w:cstheme="minorBidi"/>
          <w:color w:val="auto"/>
          <w:sz w:val="28"/>
          <w:szCs w:val="28"/>
          <w:highlight w:val="none"/>
        </w:rPr>
      </w:pPr>
    </w:p>
    <w:p>
      <w:pPr>
        <w:pStyle w:val="13"/>
        <w:jc w:val="center"/>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25</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10</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31</w:t>
      </w:r>
      <w:r>
        <w:rPr>
          <w:rFonts w:hint="eastAsia" w:ascii="Times New Roman" w:hAnsi="Times New Roman" w:eastAsia="仿宋_GB2312" w:cs="仿宋_GB2312"/>
          <w:color w:val="auto"/>
          <w:sz w:val="32"/>
          <w:szCs w:val="32"/>
          <w:highlight w:val="none"/>
        </w:rPr>
        <w:t>日</w:t>
      </w:r>
    </w:p>
    <w:p>
      <w:pPr>
        <w:rPr>
          <w:rFonts w:ascii="Times New Roman" w:hAnsi="Times New Roman"/>
          <w:color w:val="auto"/>
          <w:highlight w:val="none"/>
        </w:rPr>
      </w:pPr>
      <w:bookmarkStart w:id="63" w:name="_GoBack"/>
      <w:bookmarkEnd w:id="63"/>
    </w:p>
    <w:p>
      <w:pPr>
        <w:pStyle w:val="13"/>
        <w:adjustRightInd w:val="0"/>
        <w:snapToGrid w:val="0"/>
        <w:spacing w:before="0" w:line="440" w:lineRule="exact"/>
        <w:jc w:val="left"/>
        <w:rPr>
          <w:rFonts w:cs="Times New Roman"/>
          <w:color w:val="auto"/>
          <w:sz w:val="24"/>
          <w:szCs w:val="24"/>
          <w:highlight w:val="none"/>
        </w:rPr>
      </w:pPr>
      <w:r>
        <w:rPr>
          <w:rFonts w:hint="eastAsia"/>
          <w:color w:val="auto"/>
          <w:sz w:val="24"/>
          <w:highlight w:val="none"/>
        </w:rPr>
        <w:t>第一部分</w:t>
      </w:r>
      <w:r>
        <w:rPr>
          <w:color w:val="auto"/>
          <w:sz w:val="24"/>
          <w:highlight w:val="none"/>
        </w:rPr>
        <w:t xml:space="preserve"> </w:t>
      </w:r>
      <w:r>
        <w:rPr>
          <w:rFonts w:hint="eastAsia"/>
          <w:color w:val="auto"/>
          <w:sz w:val="24"/>
          <w:highlight w:val="none"/>
        </w:rPr>
        <w:t>部门概况</w:t>
      </w:r>
    </w:p>
    <w:p>
      <w:pPr>
        <w:pStyle w:val="15"/>
        <w:adjustRightInd w:val="0"/>
        <w:snapToGrid w:val="0"/>
        <w:spacing w:line="440" w:lineRule="exact"/>
        <w:jc w:val="left"/>
        <w:rPr>
          <w:rFonts w:hint="default" w:ascii="仿宋" w:hAnsi="仿宋" w:eastAsia="仿宋"/>
          <w:color w:val="auto"/>
          <w:sz w:val="24"/>
          <w:highlight w:val="none"/>
          <w:lang w:val="en-US"/>
        </w:rPr>
      </w:pPr>
      <w:r>
        <w:rPr>
          <w:rFonts w:hint="eastAsia"/>
          <w:color w:val="auto"/>
          <w:sz w:val="24"/>
          <w:highlight w:val="none"/>
        </w:rPr>
        <w:t>一、</w:t>
      </w:r>
      <w:r>
        <w:rPr>
          <w:rFonts w:hint="eastAsia"/>
          <w:color w:val="auto"/>
          <w:sz w:val="24"/>
          <w:highlight w:val="none"/>
          <w:lang w:eastAsia="zh-CN"/>
        </w:rPr>
        <w:t>部门职责</w:t>
      </w:r>
      <w:r>
        <w:rPr>
          <w:rFonts w:hint="eastAsia"/>
          <w:color w:val="auto"/>
          <w:sz w:val="24"/>
          <w:highlight w:val="none"/>
          <w:lang w:val="en-US" w:eastAsia="zh-CN"/>
        </w:rPr>
        <w:t>................................................................................................3</w:t>
      </w:r>
    </w:p>
    <w:p>
      <w:pPr>
        <w:pStyle w:val="15"/>
        <w:adjustRightInd w:val="0"/>
        <w:snapToGrid w:val="0"/>
        <w:spacing w:line="440" w:lineRule="exact"/>
        <w:jc w:val="left"/>
        <w:rPr>
          <w:rFonts w:hint="default" w:ascii="仿宋" w:hAnsi="仿宋" w:eastAsia="宋体" w:cs="Times New Roman"/>
          <w:color w:val="auto"/>
          <w:sz w:val="24"/>
          <w:highlight w:val="none"/>
          <w:lang w:val="en-US" w:eastAsia="zh-CN"/>
        </w:rPr>
      </w:pPr>
      <w:r>
        <w:rPr>
          <w:rFonts w:hint="eastAsia"/>
          <w:color w:val="auto"/>
          <w:sz w:val="24"/>
          <w:highlight w:val="none"/>
        </w:rPr>
        <w:t>二、机构设置</w:t>
      </w:r>
      <w:r>
        <w:rPr>
          <w:rFonts w:hint="eastAsia"/>
          <w:color w:val="auto"/>
          <w:sz w:val="24"/>
          <w:highlight w:val="none"/>
          <w:lang w:val="en-US" w:eastAsia="zh-CN"/>
        </w:rPr>
        <w:t>................................................................................................4</w:t>
      </w:r>
    </w:p>
    <w:p>
      <w:pPr>
        <w:pStyle w:val="13"/>
        <w:adjustRightInd w:val="0"/>
        <w:snapToGrid w:val="0"/>
        <w:spacing w:before="0" w:line="440" w:lineRule="exact"/>
        <w:jc w:val="left"/>
        <w:rPr>
          <w:color w:val="auto"/>
          <w:sz w:val="24"/>
          <w:szCs w:val="24"/>
          <w:highlight w:val="none"/>
        </w:rPr>
      </w:pPr>
      <w:r>
        <w:rPr>
          <w:rFonts w:hint="eastAsia"/>
          <w:color w:val="auto"/>
          <w:sz w:val="24"/>
          <w:highlight w:val="none"/>
        </w:rPr>
        <w:t>第二部分</w:t>
      </w:r>
      <w:r>
        <w:rPr>
          <w:rFonts w:hint="eastAsia"/>
          <w:color w:val="auto"/>
          <w:sz w:val="24"/>
          <w:highlight w:val="none"/>
          <w:lang w:val="en-US" w:eastAsia="zh-CN"/>
        </w:rPr>
        <w:t xml:space="preserve"> 2024年度</w:t>
      </w:r>
      <w:r>
        <w:rPr>
          <w:rFonts w:hint="eastAsia"/>
          <w:color w:val="auto"/>
          <w:sz w:val="24"/>
          <w:highlight w:val="none"/>
        </w:rPr>
        <w:t>部门决算情况说明</w:t>
      </w:r>
    </w:p>
    <w:p>
      <w:pPr>
        <w:pStyle w:val="15"/>
        <w:adjustRightInd w:val="0"/>
        <w:snapToGrid w:val="0"/>
        <w:spacing w:line="440" w:lineRule="exact"/>
        <w:jc w:val="left"/>
        <w:rPr>
          <w:rFonts w:hint="default" w:ascii="仿宋" w:hAnsi="仿宋" w:eastAsia="宋体" w:cs="Times New Roman"/>
          <w:color w:val="auto"/>
          <w:sz w:val="24"/>
          <w:highlight w:val="none"/>
          <w:lang w:val="en-US" w:eastAsia="zh-CN"/>
        </w:rPr>
      </w:pPr>
      <w:r>
        <w:rPr>
          <w:rFonts w:hint="eastAsia"/>
          <w:color w:val="auto"/>
          <w:sz w:val="24"/>
          <w:highlight w:val="none"/>
        </w:rPr>
        <w:t>一、收入支出决算总体情况说明</w:t>
      </w:r>
      <w:r>
        <w:rPr>
          <w:rFonts w:hint="eastAsia"/>
          <w:color w:val="auto"/>
          <w:sz w:val="24"/>
          <w:highlight w:val="none"/>
          <w:lang w:val="en-US" w:eastAsia="zh-CN"/>
        </w:rPr>
        <w:t>.................................................................6</w:t>
      </w:r>
    </w:p>
    <w:p>
      <w:pPr>
        <w:pStyle w:val="15"/>
        <w:adjustRightInd w:val="0"/>
        <w:snapToGrid w:val="0"/>
        <w:spacing w:line="440" w:lineRule="exact"/>
        <w:jc w:val="left"/>
        <w:rPr>
          <w:rFonts w:hint="default" w:ascii="仿宋" w:hAnsi="仿宋" w:eastAsia="宋体" w:cs="Times New Roman"/>
          <w:color w:val="auto"/>
          <w:sz w:val="24"/>
          <w:highlight w:val="none"/>
          <w:lang w:val="en-US" w:eastAsia="zh-CN"/>
        </w:rPr>
      </w:pPr>
      <w:r>
        <w:rPr>
          <w:rFonts w:hint="eastAsia"/>
          <w:color w:val="auto"/>
          <w:sz w:val="24"/>
          <w:highlight w:val="none"/>
        </w:rPr>
        <w:t>二、收入决算情况说明</w:t>
      </w:r>
      <w:r>
        <w:rPr>
          <w:rFonts w:hint="eastAsia"/>
          <w:color w:val="auto"/>
          <w:sz w:val="24"/>
          <w:highlight w:val="none"/>
          <w:lang w:val="en-US" w:eastAsia="zh-CN"/>
        </w:rPr>
        <w:t>.................................................................................6</w:t>
      </w:r>
    </w:p>
    <w:p>
      <w:pPr>
        <w:pStyle w:val="15"/>
        <w:adjustRightInd w:val="0"/>
        <w:snapToGrid w:val="0"/>
        <w:spacing w:line="440" w:lineRule="exact"/>
        <w:jc w:val="left"/>
        <w:rPr>
          <w:rFonts w:hint="default" w:ascii="仿宋" w:hAnsi="仿宋" w:eastAsia="宋体" w:cs="Times New Roman"/>
          <w:color w:val="auto"/>
          <w:sz w:val="24"/>
          <w:highlight w:val="none"/>
          <w:lang w:val="en-US" w:eastAsia="zh-CN"/>
        </w:rPr>
      </w:pPr>
      <w:r>
        <w:rPr>
          <w:rFonts w:hint="eastAsia"/>
          <w:color w:val="auto"/>
          <w:sz w:val="24"/>
          <w:highlight w:val="none"/>
        </w:rPr>
        <w:t>三、支出决算情况说明</w:t>
      </w:r>
      <w:r>
        <w:rPr>
          <w:rFonts w:hint="eastAsia"/>
          <w:color w:val="auto"/>
          <w:sz w:val="24"/>
          <w:highlight w:val="none"/>
          <w:lang w:val="en-US" w:eastAsia="zh-CN"/>
        </w:rPr>
        <w:t>.................................................................................7</w:t>
      </w:r>
    </w:p>
    <w:p>
      <w:pPr>
        <w:pStyle w:val="15"/>
        <w:adjustRightInd w:val="0"/>
        <w:snapToGrid w:val="0"/>
        <w:spacing w:line="440" w:lineRule="exact"/>
        <w:jc w:val="left"/>
        <w:rPr>
          <w:rFonts w:hint="default" w:ascii="仿宋" w:hAnsi="仿宋" w:eastAsia="宋体" w:cs="Times New Roman"/>
          <w:color w:val="auto"/>
          <w:sz w:val="24"/>
          <w:highlight w:val="none"/>
          <w:lang w:val="en-US" w:eastAsia="zh-CN"/>
        </w:rPr>
      </w:pPr>
      <w:r>
        <w:rPr>
          <w:rFonts w:hint="eastAsia"/>
          <w:color w:val="auto"/>
          <w:sz w:val="24"/>
          <w:highlight w:val="none"/>
        </w:rPr>
        <w:t>四、财政拨款收入支出决算总体情况说明</w:t>
      </w:r>
      <w:r>
        <w:rPr>
          <w:rFonts w:hint="eastAsia"/>
          <w:color w:val="auto"/>
          <w:sz w:val="24"/>
          <w:highlight w:val="none"/>
          <w:lang w:val="en-US" w:eastAsia="zh-CN"/>
        </w:rPr>
        <w:t>..................................................7</w:t>
      </w:r>
    </w:p>
    <w:p>
      <w:pPr>
        <w:pStyle w:val="15"/>
        <w:adjustRightInd w:val="0"/>
        <w:snapToGrid w:val="0"/>
        <w:spacing w:line="440" w:lineRule="exact"/>
        <w:jc w:val="left"/>
        <w:rPr>
          <w:rFonts w:hint="default" w:ascii="仿宋" w:hAnsi="仿宋" w:eastAsia="宋体" w:cs="Times New Roman"/>
          <w:color w:val="auto"/>
          <w:sz w:val="24"/>
          <w:highlight w:val="none"/>
          <w:lang w:val="en-US" w:eastAsia="zh-CN"/>
        </w:rPr>
      </w:pPr>
      <w:r>
        <w:rPr>
          <w:rFonts w:hint="eastAsia"/>
          <w:color w:val="auto"/>
          <w:sz w:val="24"/>
          <w:highlight w:val="none"/>
        </w:rPr>
        <w:t>五、一般公共预算财政拨款支出决算情况说明</w:t>
      </w:r>
      <w:r>
        <w:rPr>
          <w:rFonts w:hint="eastAsia"/>
          <w:color w:val="auto"/>
          <w:sz w:val="24"/>
          <w:highlight w:val="none"/>
          <w:lang w:val="en-US" w:eastAsia="zh-CN"/>
        </w:rPr>
        <w:t>..........................................8</w:t>
      </w:r>
    </w:p>
    <w:p>
      <w:pPr>
        <w:pStyle w:val="15"/>
        <w:adjustRightInd w:val="0"/>
        <w:snapToGrid w:val="0"/>
        <w:spacing w:line="440" w:lineRule="exact"/>
        <w:jc w:val="left"/>
        <w:rPr>
          <w:rFonts w:hint="default" w:ascii="仿宋" w:hAnsi="仿宋" w:eastAsia="宋体" w:cs="Times New Roman"/>
          <w:color w:val="auto"/>
          <w:sz w:val="24"/>
          <w:highlight w:val="none"/>
          <w:lang w:val="en-US" w:eastAsia="zh-CN"/>
        </w:rPr>
      </w:pPr>
      <w:r>
        <w:rPr>
          <w:rFonts w:hint="eastAsia"/>
          <w:color w:val="auto"/>
          <w:sz w:val="24"/>
          <w:highlight w:val="none"/>
        </w:rPr>
        <w:t>六、一般公共预算财政拨款基本支出决算情况说明</w:t>
      </w:r>
      <w:r>
        <w:rPr>
          <w:rFonts w:hint="eastAsia"/>
          <w:color w:val="auto"/>
          <w:sz w:val="24"/>
          <w:highlight w:val="none"/>
          <w:lang w:val="en-US" w:eastAsia="zh-CN"/>
        </w:rPr>
        <w:t>................................11</w:t>
      </w:r>
    </w:p>
    <w:p>
      <w:pPr>
        <w:pStyle w:val="15"/>
        <w:adjustRightInd w:val="0"/>
        <w:snapToGrid w:val="0"/>
        <w:spacing w:line="440" w:lineRule="exact"/>
        <w:jc w:val="left"/>
        <w:rPr>
          <w:rFonts w:hint="default" w:ascii="仿宋" w:hAnsi="仿宋" w:eastAsia="宋体" w:cs="Times New Roman"/>
          <w:color w:val="auto"/>
          <w:sz w:val="24"/>
          <w:highlight w:val="none"/>
          <w:lang w:val="en-US" w:eastAsia="zh-CN"/>
        </w:rPr>
      </w:pPr>
      <w:r>
        <w:rPr>
          <w:rFonts w:hint="eastAsia"/>
          <w:color w:val="auto"/>
          <w:sz w:val="24"/>
          <w:highlight w:val="none"/>
        </w:rPr>
        <w:t>七、财政拨款</w:t>
      </w:r>
      <w:r>
        <w:rPr>
          <w:rFonts w:hint="eastAsia"/>
          <w:color w:val="auto"/>
          <w:sz w:val="24"/>
          <w:highlight w:val="none"/>
          <w:lang w:eastAsia="zh-CN"/>
        </w:rPr>
        <w:t>“</w:t>
      </w:r>
      <w:r>
        <w:rPr>
          <w:rFonts w:hint="eastAsia"/>
          <w:color w:val="auto"/>
          <w:sz w:val="24"/>
          <w:highlight w:val="none"/>
        </w:rPr>
        <w:t>三公”经费支出决算情况说明</w:t>
      </w:r>
      <w:r>
        <w:rPr>
          <w:rFonts w:hint="eastAsia"/>
          <w:color w:val="auto"/>
          <w:sz w:val="24"/>
          <w:highlight w:val="none"/>
          <w:lang w:val="en-US" w:eastAsia="zh-CN"/>
        </w:rPr>
        <w:t>........................................11</w:t>
      </w:r>
    </w:p>
    <w:p>
      <w:pPr>
        <w:pStyle w:val="15"/>
        <w:adjustRightInd w:val="0"/>
        <w:snapToGrid w:val="0"/>
        <w:spacing w:line="440" w:lineRule="exact"/>
        <w:jc w:val="left"/>
        <w:rPr>
          <w:rFonts w:hint="default" w:ascii="仿宋" w:hAnsi="仿宋" w:eastAsia="宋体" w:cs="Times New Roman"/>
          <w:color w:val="auto"/>
          <w:sz w:val="24"/>
          <w:highlight w:val="none"/>
          <w:lang w:val="en-US" w:eastAsia="zh-CN"/>
        </w:rPr>
      </w:pPr>
      <w:r>
        <w:rPr>
          <w:rFonts w:hint="eastAsia"/>
          <w:color w:val="auto"/>
          <w:sz w:val="24"/>
          <w:highlight w:val="none"/>
        </w:rPr>
        <w:t>八、政府性基金预算支出决算情况说明</w:t>
      </w:r>
      <w:r>
        <w:rPr>
          <w:rFonts w:hint="eastAsia"/>
          <w:color w:val="auto"/>
          <w:sz w:val="24"/>
          <w:highlight w:val="none"/>
          <w:lang w:val="en-US" w:eastAsia="zh-CN"/>
        </w:rPr>
        <w:t>....................................................13</w:t>
      </w:r>
    </w:p>
    <w:p>
      <w:pPr>
        <w:pStyle w:val="15"/>
        <w:adjustRightInd w:val="0"/>
        <w:snapToGrid w:val="0"/>
        <w:spacing w:line="440" w:lineRule="exact"/>
        <w:ind w:leftChars="0"/>
        <w:jc w:val="left"/>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九、</w:t>
      </w:r>
      <w:r>
        <w:rPr>
          <w:rFonts w:hint="eastAsia" w:ascii="宋体" w:hAnsi="宋体" w:eastAsia="宋体" w:cs="宋体"/>
          <w:color w:val="auto"/>
          <w:sz w:val="24"/>
          <w:highlight w:val="none"/>
          <w:lang w:eastAsia="zh-CN"/>
        </w:rPr>
        <w:t>国</w:t>
      </w:r>
      <w:r>
        <w:rPr>
          <w:rFonts w:hint="eastAsia" w:ascii="宋体" w:hAnsi="宋体" w:eastAsia="宋体" w:cs="宋体"/>
          <w:color w:val="auto"/>
          <w:sz w:val="24"/>
          <w:highlight w:val="none"/>
        </w:rPr>
        <w:t>有资本经营预算支出决算情况说明</w:t>
      </w:r>
      <w:r>
        <w:rPr>
          <w:rFonts w:hint="eastAsia" w:ascii="宋体" w:hAnsi="宋体" w:cs="宋体"/>
          <w:color w:val="auto"/>
          <w:sz w:val="24"/>
          <w:highlight w:val="none"/>
          <w:lang w:val="en-US" w:eastAsia="zh-CN"/>
        </w:rPr>
        <w:t>........................14</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175"/>
        <w:jc w:val="left"/>
        <w:textAlignment w:val="auto"/>
        <w:rPr>
          <w:rFonts w:hint="default" w:ascii="宋体" w:hAnsi="宋体" w:eastAsia="宋体" w:cs="宋体"/>
          <w:color w:val="auto"/>
          <w:sz w:val="24"/>
          <w:highlight w:val="none"/>
          <w:lang w:val="en-US" w:eastAsia="zh-CN"/>
        </w:rPr>
      </w:pPr>
      <w:r>
        <w:rPr>
          <w:rStyle w:val="20"/>
          <w:rFonts w:hint="eastAsia" w:ascii="宋体" w:hAnsi="宋体" w:eastAsia="宋体" w:cs="宋体"/>
          <w:color w:val="auto"/>
          <w:sz w:val="24"/>
          <w:highlight w:val="none"/>
          <w:u w:val="none"/>
          <w:lang w:eastAsia="zh-CN"/>
        </w:rPr>
        <w:t>十</w:t>
      </w:r>
      <w:r>
        <w:rPr>
          <w:rStyle w:val="20"/>
          <w:rFonts w:hint="eastAsia" w:ascii="宋体" w:hAnsi="宋体" w:eastAsia="宋体" w:cs="宋体"/>
          <w:color w:val="auto"/>
          <w:sz w:val="24"/>
          <w:highlight w:val="none"/>
          <w:u w:val="none"/>
        </w:rPr>
        <w:t>、</w:t>
      </w:r>
      <w:r>
        <w:rPr>
          <w:rFonts w:hint="eastAsia" w:ascii="宋体" w:hAnsi="宋体" w:eastAsia="宋体" w:cs="宋体"/>
          <w:color w:val="auto"/>
          <w:sz w:val="24"/>
          <w:highlight w:val="none"/>
        </w:rPr>
        <w:t>其他重要事项的情况说明</w:t>
      </w:r>
      <w:r>
        <w:rPr>
          <w:rFonts w:hint="eastAsia" w:ascii="宋体" w:hAnsi="宋体" w:eastAsia="宋体" w:cs="宋体"/>
          <w:color w:val="auto"/>
          <w:sz w:val="24"/>
          <w:highlight w:val="none"/>
        </w:rPr>
        <w:tab/>
      </w:r>
      <w:r>
        <w:rPr>
          <w:rFonts w:hint="eastAsia" w:ascii="宋体" w:hAnsi="宋体" w:cs="宋体"/>
          <w:color w:val="auto"/>
          <w:sz w:val="24"/>
          <w:highlight w:val="none"/>
          <w:lang w:val="en-US" w:eastAsia="zh-CN"/>
        </w:rPr>
        <w:t>................................14</w:t>
      </w:r>
    </w:p>
    <w:p>
      <w:pPr>
        <w:pStyle w:val="13"/>
        <w:adjustRightInd w:val="0"/>
        <w:snapToGrid w:val="0"/>
        <w:spacing w:before="0" w:line="440" w:lineRule="exact"/>
        <w:jc w:val="left"/>
        <w:rPr>
          <w:rFonts w:hint="default" w:eastAsia="仿宋" w:cs="Times New Roman"/>
          <w:color w:val="auto"/>
          <w:sz w:val="24"/>
          <w:szCs w:val="24"/>
          <w:highlight w:val="none"/>
          <w:lang w:val="en-US" w:eastAsia="zh-CN"/>
        </w:rPr>
      </w:pPr>
      <w:r>
        <w:rPr>
          <w:rFonts w:hint="eastAsia"/>
          <w:color w:val="auto"/>
          <w:sz w:val="24"/>
          <w:highlight w:val="none"/>
        </w:rPr>
        <w:t>第三部分</w:t>
      </w:r>
      <w:r>
        <w:rPr>
          <w:color w:val="auto"/>
          <w:sz w:val="24"/>
          <w:highlight w:val="none"/>
        </w:rPr>
        <w:t xml:space="preserve"> </w:t>
      </w:r>
      <w:r>
        <w:rPr>
          <w:rFonts w:hint="eastAsia"/>
          <w:color w:val="auto"/>
          <w:sz w:val="24"/>
          <w:highlight w:val="none"/>
        </w:rPr>
        <w:t>名词解释</w:t>
      </w:r>
      <w:r>
        <w:rPr>
          <w:rFonts w:hint="eastAsia"/>
          <w:color w:val="auto"/>
          <w:sz w:val="24"/>
          <w:highlight w:val="none"/>
          <w:lang w:val="en-US" w:eastAsia="zh-CN"/>
        </w:rPr>
        <w:t>...............................................16</w:t>
      </w:r>
    </w:p>
    <w:p>
      <w:pPr>
        <w:pStyle w:val="13"/>
        <w:adjustRightInd w:val="0"/>
        <w:snapToGrid w:val="0"/>
        <w:spacing w:before="0" w:line="440" w:lineRule="exact"/>
        <w:jc w:val="left"/>
        <w:rPr>
          <w:rFonts w:hint="default" w:eastAsia="仿宋" w:cs="Times New Roman"/>
          <w:color w:val="auto"/>
          <w:sz w:val="24"/>
          <w:szCs w:val="24"/>
          <w:highlight w:val="none"/>
          <w:lang w:val="en-US" w:eastAsia="zh-CN"/>
        </w:rPr>
      </w:pPr>
      <w:r>
        <w:rPr>
          <w:rFonts w:hint="eastAsia"/>
          <w:color w:val="auto"/>
          <w:sz w:val="24"/>
          <w:highlight w:val="none"/>
        </w:rPr>
        <w:t>第四部分</w:t>
      </w:r>
      <w:r>
        <w:rPr>
          <w:color w:val="auto"/>
          <w:sz w:val="24"/>
          <w:highlight w:val="none"/>
        </w:rPr>
        <w:t xml:space="preserve"> </w:t>
      </w:r>
      <w:r>
        <w:rPr>
          <w:rFonts w:hint="eastAsia"/>
          <w:color w:val="auto"/>
          <w:sz w:val="24"/>
          <w:highlight w:val="none"/>
        </w:rPr>
        <w:t>附件</w:t>
      </w:r>
      <w:r>
        <w:rPr>
          <w:rFonts w:hint="eastAsia"/>
          <w:color w:val="auto"/>
          <w:sz w:val="24"/>
          <w:highlight w:val="none"/>
          <w:lang w:val="en-US" w:eastAsia="zh-CN"/>
        </w:rPr>
        <w:t>...................................................21</w:t>
      </w:r>
    </w:p>
    <w:p>
      <w:pPr>
        <w:pStyle w:val="13"/>
        <w:adjustRightInd w:val="0"/>
        <w:snapToGrid w:val="0"/>
        <w:spacing w:before="0" w:line="440" w:lineRule="exact"/>
        <w:ind w:left="480" w:hanging="480" w:hangingChars="200"/>
        <w:jc w:val="left"/>
        <w:rPr>
          <w:rFonts w:hint="default"/>
          <w:color w:val="auto"/>
          <w:sz w:val="24"/>
          <w:highlight w:val="none"/>
          <w:lang w:val="en-US" w:eastAsia="zh-CN"/>
        </w:rPr>
      </w:pPr>
      <w:r>
        <w:rPr>
          <w:rFonts w:hint="eastAsia"/>
          <w:color w:val="auto"/>
          <w:sz w:val="24"/>
          <w:highlight w:val="none"/>
        </w:rPr>
        <w:t>第五部分</w:t>
      </w:r>
      <w:r>
        <w:rPr>
          <w:color w:val="auto"/>
          <w:sz w:val="24"/>
          <w:highlight w:val="none"/>
        </w:rPr>
        <w:t xml:space="preserve"> </w:t>
      </w:r>
      <w:r>
        <w:rPr>
          <w:rFonts w:hint="eastAsia"/>
          <w:color w:val="auto"/>
          <w:sz w:val="24"/>
          <w:highlight w:val="none"/>
        </w:rPr>
        <w:t>附表</w:t>
      </w:r>
      <w:r>
        <w:rPr>
          <w:rFonts w:hint="eastAsia"/>
          <w:color w:val="auto"/>
          <w:sz w:val="24"/>
          <w:highlight w:val="none"/>
          <w:lang w:val="en-US" w:eastAsia="zh-CN"/>
        </w:rPr>
        <w:t>...................................................40</w:t>
      </w:r>
    </w:p>
    <w:p>
      <w:pPr>
        <w:pStyle w:val="15"/>
        <w:bidi w:val="0"/>
        <w:rPr>
          <w:rFonts w:hint="eastAsia"/>
          <w:color w:val="auto"/>
          <w:highlight w:val="none"/>
        </w:rPr>
      </w:pPr>
      <w:r>
        <w:rPr>
          <w:rFonts w:hint="eastAsia"/>
          <w:sz w:val="24"/>
          <w:szCs w:val="24"/>
        </w:rPr>
        <w:t>一</w:t>
      </w:r>
      <w:r>
        <w:rPr>
          <w:rFonts w:hint="eastAsia"/>
        </w:rPr>
        <w:t>、收入支出决算总表</w:t>
      </w:r>
    </w:p>
    <w:p>
      <w:pPr>
        <w:pStyle w:val="15"/>
        <w:adjustRightInd w:val="0"/>
        <w:snapToGrid w:val="0"/>
        <w:spacing w:line="440" w:lineRule="exact"/>
        <w:jc w:val="left"/>
        <w:rPr>
          <w:rFonts w:hint="eastAsia"/>
          <w:color w:val="auto"/>
          <w:sz w:val="24"/>
          <w:highlight w:val="none"/>
        </w:rPr>
      </w:pPr>
      <w:r>
        <w:rPr>
          <w:rFonts w:hint="eastAsia"/>
          <w:color w:val="auto"/>
          <w:sz w:val="24"/>
          <w:highlight w:val="none"/>
        </w:rPr>
        <w:t>二、收入决算表</w:t>
      </w:r>
    </w:p>
    <w:p>
      <w:pPr>
        <w:pStyle w:val="15"/>
        <w:adjustRightInd w:val="0"/>
        <w:snapToGrid w:val="0"/>
        <w:spacing w:line="440" w:lineRule="exact"/>
        <w:jc w:val="left"/>
        <w:rPr>
          <w:rFonts w:hint="eastAsia"/>
          <w:color w:val="auto"/>
          <w:sz w:val="24"/>
          <w:highlight w:val="none"/>
        </w:rPr>
      </w:pPr>
      <w:r>
        <w:rPr>
          <w:rFonts w:hint="eastAsia"/>
          <w:color w:val="auto"/>
          <w:sz w:val="24"/>
          <w:highlight w:val="none"/>
        </w:rPr>
        <w:t>三、支出决算表</w:t>
      </w:r>
    </w:p>
    <w:p>
      <w:pPr>
        <w:pStyle w:val="15"/>
        <w:adjustRightInd w:val="0"/>
        <w:snapToGrid w:val="0"/>
        <w:spacing w:line="440" w:lineRule="exact"/>
        <w:jc w:val="left"/>
        <w:rPr>
          <w:rFonts w:hint="eastAsia"/>
          <w:color w:val="auto"/>
          <w:sz w:val="24"/>
          <w:highlight w:val="none"/>
        </w:rPr>
      </w:pPr>
      <w:r>
        <w:rPr>
          <w:rFonts w:hint="eastAsia"/>
          <w:color w:val="auto"/>
          <w:sz w:val="24"/>
          <w:highlight w:val="none"/>
        </w:rPr>
        <w:t>四、财政拨款收入支出决算总表</w:t>
      </w:r>
    </w:p>
    <w:p>
      <w:pPr>
        <w:pStyle w:val="15"/>
        <w:adjustRightInd w:val="0"/>
        <w:snapToGrid w:val="0"/>
        <w:spacing w:line="440" w:lineRule="exact"/>
        <w:jc w:val="left"/>
        <w:rPr>
          <w:rFonts w:hint="eastAsia"/>
          <w:color w:val="auto"/>
          <w:sz w:val="24"/>
          <w:highlight w:val="none"/>
        </w:rPr>
      </w:pPr>
      <w:r>
        <w:rPr>
          <w:rFonts w:hint="eastAsia"/>
          <w:color w:val="auto"/>
          <w:sz w:val="24"/>
          <w:highlight w:val="none"/>
        </w:rPr>
        <w:t>五、财政拨款支出决算明细表</w:t>
      </w:r>
    </w:p>
    <w:p>
      <w:pPr>
        <w:pStyle w:val="15"/>
        <w:adjustRightInd w:val="0"/>
        <w:snapToGrid w:val="0"/>
        <w:spacing w:line="440" w:lineRule="exact"/>
        <w:jc w:val="left"/>
        <w:rPr>
          <w:rFonts w:hint="eastAsia"/>
          <w:color w:val="auto"/>
          <w:sz w:val="24"/>
          <w:highlight w:val="none"/>
        </w:rPr>
      </w:pPr>
      <w:r>
        <w:rPr>
          <w:rFonts w:hint="eastAsia"/>
          <w:color w:val="auto"/>
          <w:sz w:val="24"/>
          <w:highlight w:val="none"/>
        </w:rPr>
        <w:t>六、一般公共预算财政拨款支出决算表</w:t>
      </w:r>
    </w:p>
    <w:p>
      <w:pPr>
        <w:pStyle w:val="15"/>
        <w:adjustRightInd w:val="0"/>
        <w:snapToGrid w:val="0"/>
        <w:spacing w:line="440" w:lineRule="exact"/>
        <w:jc w:val="left"/>
        <w:rPr>
          <w:rFonts w:hint="eastAsia"/>
          <w:color w:val="auto"/>
          <w:sz w:val="24"/>
          <w:highlight w:val="none"/>
        </w:rPr>
      </w:pPr>
      <w:r>
        <w:rPr>
          <w:rFonts w:hint="eastAsia"/>
          <w:color w:val="auto"/>
          <w:sz w:val="24"/>
          <w:highlight w:val="none"/>
        </w:rPr>
        <w:t>七、一般公共预算财政拨款支出决算明细表</w:t>
      </w:r>
    </w:p>
    <w:p>
      <w:pPr>
        <w:pStyle w:val="15"/>
        <w:adjustRightInd w:val="0"/>
        <w:snapToGrid w:val="0"/>
        <w:spacing w:line="440" w:lineRule="exact"/>
        <w:jc w:val="left"/>
        <w:rPr>
          <w:rFonts w:hint="eastAsia"/>
          <w:color w:val="auto"/>
          <w:sz w:val="24"/>
          <w:highlight w:val="none"/>
        </w:rPr>
      </w:pPr>
      <w:r>
        <w:rPr>
          <w:rFonts w:hint="eastAsia"/>
          <w:color w:val="auto"/>
          <w:sz w:val="24"/>
          <w:highlight w:val="none"/>
        </w:rPr>
        <w:t>八、一般公共预算财政拨款基本支出决算</w:t>
      </w:r>
      <w:r>
        <w:rPr>
          <w:rFonts w:hint="eastAsia"/>
          <w:color w:val="auto"/>
          <w:sz w:val="24"/>
          <w:highlight w:val="none"/>
          <w:lang w:eastAsia="zh-CN"/>
        </w:rPr>
        <w:t>明细</w:t>
      </w:r>
      <w:r>
        <w:rPr>
          <w:rFonts w:hint="eastAsia"/>
          <w:color w:val="auto"/>
          <w:sz w:val="24"/>
          <w:highlight w:val="none"/>
        </w:rPr>
        <w:t>表</w:t>
      </w:r>
    </w:p>
    <w:p>
      <w:pPr>
        <w:pStyle w:val="15"/>
        <w:adjustRightInd w:val="0"/>
        <w:snapToGrid w:val="0"/>
        <w:spacing w:line="440" w:lineRule="exact"/>
        <w:jc w:val="left"/>
        <w:rPr>
          <w:rFonts w:hint="eastAsia"/>
          <w:color w:val="auto"/>
          <w:sz w:val="24"/>
          <w:highlight w:val="none"/>
        </w:rPr>
      </w:pPr>
      <w:r>
        <w:rPr>
          <w:rFonts w:hint="eastAsia"/>
          <w:color w:val="auto"/>
          <w:sz w:val="24"/>
          <w:highlight w:val="none"/>
        </w:rPr>
        <w:t>九、一般公共预算财政拨款项目支出决算表</w:t>
      </w:r>
    </w:p>
    <w:p>
      <w:pPr>
        <w:pStyle w:val="15"/>
        <w:adjustRightInd w:val="0"/>
        <w:snapToGrid w:val="0"/>
        <w:spacing w:line="440" w:lineRule="exact"/>
        <w:jc w:val="left"/>
        <w:rPr>
          <w:rFonts w:hint="eastAsia"/>
          <w:color w:val="auto"/>
          <w:sz w:val="24"/>
          <w:highlight w:val="none"/>
        </w:rPr>
      </w:pPr>
      <w:r>
        <w:rPr>
          <w:rFonts w:hint="eastAsia"/>
          <w:color w:val="auto"/>
          <w:sz w:val="24"/>
          <w:highlight w:val="none"/>
        </w:rPr>
        <w:t>十、政府性基金预算财政拨款收入支出决算表</w:t>
      </w:r>
    </w:p>
    <w:p>
      <w:pPr>
        <w:pStyle w:val="15"/>
        <w:adjustRightInd w:val="0"/>
        <w:snapToGrid w:val="0"/>
        <w:spacing w:line="440" w:lineRule="exact"/>
        <w:jc w:val="left"/>
        <w:rPr>
          <w:rFonts w:hint="eastAsia"/>
          <w:color w:val="auto"/>
          <w:sz w:val="24"/>
          <w:highlight w:val="none"/>
        </w:rPr>
      </w:pPr>
      <w:r>
        <w:rPr>
          <w:rFonts w:hint="eastAsia"/>
          <w:color w:val="auto"/>
          <w:sz w:val="24"/>
          <w:highlight w:val="none"/>
        </w:rPr>
        <w:t>十一、国有资本经营预算财政拨款收入支出决算表</w:t>
      </w:r>
    </w:p>
    <w:p>
      <w:pPr>
        <w:pStyle w:val="15"/>
        <w:adjustRightInd w:val="0"/>
        <w:snapToGrid w:val="0"/>
        <w:spacing w:line="440" w:lineRule="exact"/>
        <w:jc w:val="left"/>
        <w:rPr>
          <w:rFonts w:hint="eastAsia"/>
          <w:color w:val="auto"/>
          <w:sz w:val="24"/>
          <w:highlight w:val="none"/>
          <w:lang w:val="en-US" w:eastAsia="zh-CN"/>
        </w:rPr>
      </w:pPr>
      <w:r>
        <w:rPr>
          <w:rFonts w:hint="eastAsia"/>
          <w:color w:val="auto"/>
          <w:sz w:val="24"/>
          <w:highlight w:val="none"/>
        </w:rPr>
        <w:t>十二、</w:t>
      </w:r>
      <w:r>
        <w:rPr>
          <w:rFonts w:hint="eastAsia"/>
          <w:color w:val="auto"/>
          <w:sz w:val="24"/>
          <w:highlight w:val="none"/>
          <w:lang w:val="en-US" w:eastAsia="zh-CN"/>
        </w:rPr>
        <w:t>国有资本经营预算财政拨款支出决算表</w:t>
      </w:r>
    </w:p>
    <w:p>
      <w:pPr>
        <w:pStyle w:val="15"/>
        <w:adjustRightInd w:val="0"/>
        <w:snapToGrid w:val="0"/>
        <w:spacing w:line="440" w:lineRule="exact"/>
        <w:jc w:val="left"/>
        <w:rPr>
          <w:rFonts w:hint="eastAsia" w:ascii="Times New Roman" w:hAnsi="Times New Roman" w:eastAsia="仿宋_GB2312" w:cs="仿宋_GB2312"/>
          <w:b/>
          <w:bCs/>
          <w:color w:val="auto"/>
          <w:sz w:val="32"/>
          <w:szCs w:val="32"/>
          <w:highlight w:val="none"/>
          <w:lang w:eastAsia="zh-CN"/>
        </w:rPr>
      </w:pPr>
      <w:r>
        <w:rPr>
          <w:rFonts w:hint="eastAsia" w:ascii="Times New Roman" w:hAnsi="Times New Roman" w:eastAsia="宋体" w:cs="Times New Roman"/>
          <w:color w:val="auto"/>
          <w:kern w:val="2"/>
          <w:sz w:val="24"/>
          <w:szCs w:val="24"/>
          <w:highlight w:val="none"/>
          <w:lang w:val="en-US" w:eastAsia="zh-CN" w:bidi="ar-SA"/>
        </w:rPr>
        <w:t>十三、财政拨款“三公”经费支出决算表</w:t>
      </w:r>
    </w:p>
    <w:p>
      <w:pPr>
        <w:keepNext w:val="0"/>
        <w:keepLines w:val="0"/>
        <w:pageBreakBefore w:val="0"/>
        <w:widowControl/>
        <w:kinsoku/>
        <w:wordWrap/>
        <w:overflowPunct/>
        <w:topLinePunct w:val="0"/>
        <w:autoSpaceDE/>
        <w:autoSpaceDN/>
        <w:bidi w:val="0"/>
        <w:spacing w:line="560" w:lineRule="exact"/>
        <w:jc w:val="left"/>
        <w:textAlignment w:val="auto"/>
        <w:rPr>
          <w:rFonts w:hint="eastAsia" w:ascii="Times New Roman" w:hAnsi="Times New Roman" w:eastAsia="仿宋_GB2312" w:cs="仿宋_GB2312"/>
          <w:bCs/>
          <w:color w:val="auto"/>
          <w:kern w:val="44"/>
          <w:sz w:val="32"/>
          <w:szCs w:val="32"/>
          <w:highlight w:val="none"/>
        </w:rPr>
      </w:pPr>
      <w:bookmarkStart w:id="6" w:name="_Toc15396599"/>
      <w:bookmarkStart w:id="7" w:name="_Toc15377196"/>
      <w:r>
        <w:rPr>
          <w:rFonts w:hint="eastAsia" w:ascii="Times New Roman" w:hAnsi="Times New Roman" w:eastAsia="仿宋_GB2312" w:cs="仿宋_GB2312"/>
          <w:b/>
          <w:color w:val="auto"/>
          <w:sz w:val="32"/>
          <w:szCs w:val="32"/>
          <w:highlight w:val="none"/>
        </w:rPr>
        <w:br w:type="page"/>
      </w:r>
    </w:p>
    <w:p>
      <w:pPr>
        <w:pStyle w:val="3"/>
        <w:jc w:val="center"/>
        <w:rPr>
          <w:rStyle w:val="29"/>
          <w:rFonts w:hint="eastAsia" w:ascii="Times New Roman" w:hAnsi="Times New Roman" w:eastAsia="方正小标宋简体" w:cs="方正小标宋简体"/>
          <w:b/>
          <w:bCs w:val="0"/>
          <w:color w:val="auto"/>
          <w:highlight w:val="none"/>
        </w:rPr>
      </w:pPr>
      <w:r>
        <w:rPr>
          <w:rFonts w:hint="eastAsia" w:ascii="Times New Roman" w:hAnsi="Times New Roman" w:eastAsia="方正小标宋简体" w:cs="方正小标宋简体"/>
          <w:b w:val="0"/>
          <w:color w:val="auto"/>
          <w:highlight w:val="none"/>
        </w:rPr>
        <w:t>第一部分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Style w:val="29"/>
          <w:rFonts w:hint="eastAsia" w:ascii="Times New Roman" w:hAnsi="Times New Roman" w:eastAsia="方正小标宋简体" w:cs="方正小标宋简体"/>
          <w:b w:val="0"/>
          <w:bCs w:val="0"/>
          <w:color w:val="auto"/>
          <w:highlight w:val="none"/>
        </w:rPr>
        <w:t>部门概况</w:t>
      </w:r>
      <w:bookmarkEnd w:id="6"/>
      <w:bookmarkEnd w:id="7"/>
    </w:p>
    <w:p>
      <w:pPr>
        <w:widowControl/>
        <w:jc w:val="left"/>
        <w:rPr>
          <w:rFonts w:ascii="Times New Roman" w:hAnsi="Times New Roman" w:eastAsia="黑体"/>
          <w:color w:val="auto"/>
          <w:sz w:val="32"/>
          <w:szCs w:val="32"/>
          <w:highlight w:val="none"/>
        </w:rPr>
      </w:pPr>
    </w:p>
    <w:p>
      <w:pPr>
        <w:pStyle w:val="4"/>
        <w:numPr>
          <w:ilvl w:val="0"/>
          <w:numId w:val="1"/>
        </w:numPr>
        <w:rPr>
          <w:rFonts w:hint="eastAsia" w:ascii="Times New Roman" w:hAnsi="Times New Roman" w:eastAsia="黑体"/>
          <w:b w:val="0"/>
          <w:color w:val="auto"/>
          <w:highlight w:val="none"/>
          <w:lang w:eastAsia="zh-CN"/>
        </w:rPr>
      </w:pPr>
      <w:r>
        <w:rPr>
          <w:rFonts w:hint="eastAsia" w:ascii="Times New Roman" w:hAnsi="Times New Roman" w:eastAsia="黑体"/>
          <w:b w:val="0"/>
          <w:color w:val="auto"/>
          <w:highlight w:val="none"/>
          <w:lang w:eastAsia="zh-CN"/>
        </w:rPr>
        <w:t>部门职责</w:t>
      </w:r>
    </w:p>
    <w:p>
      <w:pPr>
        <w:pStyle w:val="1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800"/>
        <w:jc w:val="both"/>
        <w:rPr>
          <w:rFonts w:hint="eastAsia" w:ascii="仿宋" w:hAnsi="仿宋" w:eastAsia="仿宋" w:cs="Times New Roman"/>
          <w:color w:val="auto"/>
          <w:kern w:val="2"/>
          <w:sz w:val="32"/>
          <w:szCs w:val="32"/>
          <w:highlight w:val="none"/>
          <w:lang w:val="en-US" w:eastAsia="zh-CN" w:bidi="ar-SA"/>
        </w:rPr>
      </w:pPr>
      <w:r>
        <w:rPr>
          <w:rFonts w:hint="default" w:ascii="仿宋" w:hAnsi="仿宋" w:eastAsia="仿宋" w:cs="Times New Roman"/>
          <w:color w:val="auto"/>
          <w:kern w:val="2"/>
          <w:sz w:val="32"/>
          <w:szCs w:val="32"/>
          <w:highlight w:val="none"/>
          <w:lang w:val="en-US" w:eastAsia="zh-CN" w:bidi="ar-SA"/>
        </w:rPr>
        <w:t>1.承担全面依法治国、依法治省、依法治市、依法治区重大问题的政策研究，协调有关方面提出全面依法治区规划建议，负责有关重大决策部署督察工作。</w:t>
      </w:r>
    </w:p>
    <w:p>
      <w:pPr>
        <w:pStyle w:val="1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800"/>
        <w:jc w:val="both"/>
        <w:rPr>
          <w:rFonts w:hint="eastAsia" w:ascii="仿宋" w:hAnsi="仿宋" w:eastAsia="仿宋" w:cs="Times New Roman"/>
          <w:color w:val="auto"/>
          <w:kern w:val="2"/>
          <w:sz w:val="32"/>
          <w:szCs w:val="32"/>
          <w:highlight w:val="none"/>
          <w:lang w:val="en-US" w:eastAsia="zh-CN" w:bidi="ar-SA"/>
        </w:rPr>
      </w:pPr>
      <w:r>
        <w:rPr>
          <w:rFonts w:hint="default" w:ascii="仿宋" w:hAnsi="仿宋" w:eastAsia="仿宋" w:cs="Times New Roman"/>
          <w:color w:val="auto"/>
          <w:kern w:val="2"/>
          <w:sz w:val="32"/>
          <w:szCs w:val="32"/>
          <w:highlight w:val="none"/>
          <w:lang w:val="en-US" w:eastAsia="zh-CN" w:bidi="ar-SA"/>
        </w:rPr>
        <w:t>2.负责区政府规范性文件、重大行政决策发布前的合法性审查。承办区政府规范性文件的报送备案工作。负责区政府各部门规范性文件报送区政府的备案审查工作。组织开展规范性文件清理。</w:t>
      </w:r>
    </w:p>
    <w:p>
      <w:pPr>
        <w:pStyle w:val="1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800"/>
        <w:jc w:val="both"/>
        <w:rPr>
          <w:rFonts w:hint="eastAsia" w:ascii="仿宋" w:hAnsi="仿宋" w:eastAsia="仿宋" w:cs="Times New Roman"/>
          <w:color w:val="auto"/>
          <w:kern w:val="2"/>
          <w:sz w:val="32"/>
          <w:szCs w:val="32"/>
          <w:highlight w:val="none"/>
          <w:lang w:val="en-US" w:eastAsia="zh-CN" w:bidi="ar-SA"/>
        </w:rPr>
      </w:pPr>
      <w:r>
        <w:rPr>
          <w:rFonts w:hint="default" w:ascii="仿宋" w:hAnsi="仿宋" w:eastAsia="仿宋" w:cs="Times New Roman"/>
          <w:color w:val="auto"/>
          <w:kern w:val="2"/>
          <w:sz w:val="32"/>
          <w:szCs w:val="32"/>
          <w:highlight w:val="none"/>
          <w:lang w:val="en-US" w:eastAsia="zh-CN" w:bidi="ar-SA"/>
        </w:rPr>
        <w:t>3.承担统筹推进法治政府建设的责任。指导监督区政府各部门依法行政工作。负责综合协调、监督检查行政执法，承担推进行政执法体系改革有关工作，推进严格规范公正文明执法。指导监督全区行政复议、行政应诉和行政赔偿工作，承办向区政府申请的行政复议、行政赔偿案件，代理区政府行政应诉案件。</w:t>
      </w:r>
    </w:p>
    <w:p>
      <w:pPr>
        <w:pStyle w:val="1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800"/>
        <w:jc w:val="both"/>
        <w:rPr>
          <w:rFonts w:hint="eastAsia" w:ascii="仿宋" w:hAnsi="仿宋" w:eastAsia="仿宋" w:cs="Times New Roman"/>
          <w:color w:val="auto"/>
          <w:kern w:val="2"/>
          <w:sz w:val="32"/>
          <w:szCs w:val="32"/>
          <w:highlight w:val="none"/>
          <w:lang w:val="en-US" w:eastAsia="zh-CN" w:bidi="ar-SA"/>
        </w:rPr>
      </w:pPr>
      <w:r>
        <w:rPr>
          <w:rFonts w:hint="default" w:ascii="仿宋" w:hAnsi="仿宋" w:eastAsia="仿宋" w:cs="Times New Roman"/>
          <w:color w:val="auto"/>
          <w:kern w:val="2"/>
          <w:sz w:val="32"/>
          <w:szCs w:val="32"/>
          <w:highlight w:val="none"/>
          <w:lang w:val="en-US" w:eastAsia="zh-CN" w:bidi="ar-SA"/>
        </w:rPr>
        <w:t>4.承担统筹规划法治社会建设的责任。负责拟订法治宣传教育规划，组织实施普法宣传工作，组织对外法治宣传。推动人民参与和促进法治建设。指导依法治理和法治创建工作。指导调解工作。负责并指导人民监督员的选任管理工作。指导人民陪审员选任工作。指导监督司法所建设和管理工作。负责职责范围内的安全生产工作。</w:t>
      </w:r>
    </w:p>
    <w:p>
      <w:pPr>
        <w:pStyle w:val="1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800"/>
        <w:jc w:val="both"/>
        <w:rPr>
          <w:rFonts w:hint="eastAsia" w:ascii="仿宋" w:hAnsi="仿宋" w:eastAsia="仿宋" w:cs="Times New Roman"/>
          <w:color w:val="auto"/>
          <w:kern w:val="2"/>
          <w:sz w:val="32"/>
          <w:szCs w:val="32"/>
          <w:highlight w:val="none"/>
          <w:lang w:val="en-US" w:eastAsia="zh-CN" w:bidi="ar-SA"/>
        </w:rPr>
      </w:pPr>
      <w:r>
        <w:rPr>
          <w:rFonts w:hint="default" w:ascii="仿宋" w:hAnsi="仿宋" w:eastAsia="仿宋" w:cs="Times New Roman"/>
          <w:color w:val="auto"/>
          <w:kern w:val="2"/>
          <w:sz w:val="32"/>
          <w:szCs w:val="32"/>
          <w:highlight w:val="none"/>
          <w:lang w:val="en-US" w:eastAsia="zh-CN" w:bidi="ar-SA"/>
        </w:rPr>
        <w:t>5.指导管理全区社区矫正工作。会同有关部门开展刑满释放人员帮教安置工作。</w:t>
      </w:r>
    </w:p>
    <w:p>
      <w:pPr>
        <w:pStyle w:val="1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800"/>
        <w:jc w:val="both"/>
        <w:rPr>
          <w:rFonts w:hint="eastAsia" w:ascii="仿宋" w:hAnsi="仿宋" w:eastAsia="仿宋" w:cs="Times New Roman"/>
          <w:color w:val="auto"/>
          <w:kern w:val="2"/>
          <w:sz w:val="32"/>
          <w:szCs w:val="32"/>
          <w:highlight w:val="none"/>
          <w:lang w:val="en-US" w:eastAsia="zh-CN" w:bidi="ar-SA"/>
        </w:rPr>
      </w:pPr>
      <w:r>
        <w:rPr>
          <w:rFonts w:hint="default" w:ascii="仿宋" w:hAnsi="仿宋" w:eastAsia="仿宋" w:cs="Times New Roman"/>
          <w:color w:val="auto"/>
          <w:kern w:val="2"/>
          <w:sz w:val="32"/>
          <w:szCs w:val="32"/>
          <w:highlight w:val="none"/>
          <w:lang w:val="en-US" w:eastAsia="zh-CN" w:bidi="ar-SA"/>
        </w:rPr>
        <w:t>6.负责拟订全区公共法律服务体系建设规划并指导实施，统筹和布局全区城乡、区域法律服务资源。指导监督律师、法律援助、公证和基层法律服务工作。</w:t>
      </w:r>
    </w:p>
    <w:p>
      <w:pPr>
        <w:pStyle w:val="1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800"/>
        <w:jc w:val="both"/>
        <w:rPr>
          <w:rFonts w:hint="eastAsia" w:ascii="仿宋" w:hAnsi="仿宋" w:eastAsia="仿宋" w:cs="Times New Roman"/>
          <w:color w:val="auto"/>
          <w:kern w:val="2"/>
          <w:sz w:val="32"/>
          <w:szCs w:val="32"/>
          <w:highlight w:val="none"/>
          <w:lang w:val="en-US" w:eastAsia="zh-CN" w:bidi="ar-SA"/>
        </w:rPr>
      </w:pPr>
      <w:r>
        <w:rPr>
          <w:rFonts w:hint="default" w:ascii="仿宋" w:hAnsi="仿宋" w:eastAsia="仿宋" w:cs="Times New Roman"/>
          <w:color w:val="auto"/>
          <w:kern w:val="2"/>
          <w:sz w:val="32"/>
          <w:szCs w:val="32"/>
          <w:highlight w:val="none"/>
          <w:lang w:val="en-US" w:eastAsia="zh-CN" w:bidi="ar-SA"/>
        </w:rPr>
        <w:t>7.负责本单位财务、装备、设施、场所等保障工作。指导监督所属事业单位的计划财务工作。负责所属事业单位内部审计工作。</w:t>
      </w:r>
    </w:p>
    <w:p>
      <w:pPr>
        <w:pStyle w:val="1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800"/>
        <w:jc w:val="both"/>
        <w:rPr>
          <w:rFonts w:hint="eastAsia" w:ascii="仿宋" w:hAnsi="仿宋" w:eastAsia="仿宋" w:cs="Times New Roman"/>
          <w:color w:val="auto"/>
          <w:kern w:val="2"/>
          <w:sz w:val="32"/>
          <w:szCs w:val="32"/>
          <w:highlight w:val="none"/>
          <w:lang w:val="en-US" w:eastAsia="zh-CN" w:bidi="ar-SA"/>
        </w:rPr>
      </w:pPr>
      <w:r>
        <w:rPr>
          <w:rFonts w:hint="default" w:ascii="仿宋" w:hAnsi="仿宋" w:eastAsia="仿宋" w:cs="Times New Roman"/>
          <w:color w:val="auto"/>
          <w:kern w:val="2"/>
          <w:sz w:val="32"/>
          <w:szCs w:val="32"/>
          <w:highlight w:val="none"/>
          <w:lang w:val="en-US" w:eastAsia="zh-CN" w:bidi="ar-SA"/>
        </w:rPr>
        <w:t>8.规划、协调、指导法治人才队伍建设相关工作，负责本单位队伍建设。</w:t>
      </w:r>
    </w:p>
    <w:p>
      <w:pPr>
        <w:pStyle w:val="1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800"/>
        <w:jc w:val="both"/>
        <w:rPr>
          <w:rFonts w:hint="eastAsia" w:ascii="仿宋" w:hAnsi="仿宋" w:eastAsia="仿宋" w:cs="Times New Roman"/>
          <w:color w:val="auto"/>
          <w:kern w:val="2"/>
          <w:sz w:val="32"/>
          <w:szCs w:val="32"/>
          <w:highlight w:val="none"/>
          <w:lang w:val="en-US" w:eastAsia="zh-CN" w:bidi="ar-SA"/>
        </w:rPr>
      </w:pPr>
      <w:r>
        <w:rPr>
          <w:rFonts w:hint="default" w:ascii="仿宋" w:hAnsi="仿宋" w:eastAsia="仿宋" w:cs="Times New Roman"/>
          <w:color w:val="auto"/>
          <w:kern w:val="2"/>
          <w:sz w:val="32"/>
          <w:szCs w:val="32"/>
          <w:highlight w:val="none"/>
          <w:lang w:val="en-US" w:eastAsia="zh-CN" w:bidi="ar-SA"/>
        </w:rPr>
        <w:t>9.负责本单位行政审批工作。负责全区外来企业投诉处理和民营企业法律服务工作。</w:t>
      </w:r>
    </w:p>
    <w:p>
      <w:pPr>
        <w:numPr>
          <w:ilvl w:val="0"/>
          <w:numId w:val="0"/>
        </w:numPr>
        <w:ind w:firstLine="640" w:firstLineChars="200"/>
        <w:rPr>
          <w:rFonts w:hint="eastAsia"/>
          <w:lang w:eastAsia="zh-CN"/>
        </w:rPr>
      </w:pPr>
      <w:r>
        <w:rPr>
          <w:rFonts w:hint="default" w:ascii="仿宋" w:hAnsi="仿宋" w:eastAsia="仿宋" w:cs="Times New Roman"/>
          <w:color w:val="auto"/>
          <w:kern w:val="2"/>
          <w:sz w:val="32"/>
          <w:szCs w:val="32"/>
          <w:highlight w:val="none"/>
          <w:lang w:val="en-US" w:eastAsia="zh-CN" w:bidi="ar-SA"/>
        </w:rPr>
        <w:t>10.完成区委、区政府交办的其他任务。</w:t>
      </w:r>
    </w:p>
    <w:p>
      <w:pPr>
        <w:pStyle w:val="4"/>
        <w:rPr>
          <w:rStyle w:val="30"/>
          <w:rFonts w:ascii="Times New Roman" w:hAnsi="Times New Roman"/>
          <w:b w:val="0"/>
          <w:bCs w:val="0"/>
          <w:color w:val="auto"/>
          <w:highlight w:val="none"/>
        </w:rPr>
      </w:pPr>
      <w:bookmarkStart w:id="8" w:name="_Toc15377200"/>
      <w:bookmarkStart w:id="9" w:name="_Toc15396601"/>
      <w:r>
        <w:rPr>
          <w:rFonts w:hint="eastAsia" w:ascii="Times New Roman" w:hAnsi="Times New Roman" w:eastAsia="黑体"/>
          <w:b w:val="0"/>
          <w:color w:val="auto"/>
          <w:highlight w:val="none"/>
        </w:rPr>
        <w:t>二、机</w:t>
      </w:r>
      <w:r>
        <w:rPr>
          <w:rStyle w:val="30"/>
          <w:rFonts w:hint="eastAsia" w:ascii="Times New Roman" w:hAnsi="Times New Roman" w:eastAsia="黑体"/>
          <w:b w:val="0"/>
          <w:bCs w:val="0"/>
          <w:color w:val="auto"/>
          <w:highlight w:val="none"/>
        </w:rPr>
        <w:t>构设置</w:t>
      </w:r>
      <w:bookmarkEnd w:id="8"/>
      <w:bookmarkEnd w:id="9"/>
    </w:p>
    <w:p>
      <w:pPr>
        <w:ind w:firstLine="800" w:firstLineChars="250"/>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攀枝花市西区司法局下属二级</w:t>
      </w:r>
      <w:r>
        <w:rPr>
          <w:rFonts w:hint="default" w:ascii="Times New Roman" w:hAnsi="Times New Roman" w:eastAsia="仿宋" w:cs="Times New Roman"/>
          <w:color w:val="auto"/>
          <w:sz w:val="32"/>
          <w:szCs w:val="32"/>
          <w:highlight w:val="none"/>
          <w:lang w:eastAsia="zh-CN"/>
        </w:rPr>
        <w:t>预算</w:t>
      </w:r>
      <w:r>
        <w:rPr>
          <w:rFonts w:hint="default" w:ascii="Times New Roman" w:hAnsi="Times New Roman" w:eastAsia="仿宋" w:cs="Times New Roman"/>
          <w:color w:val="auto"/>
          <w:sz w:val="32"/>
          <w:szCs w:val="32"/>
          <w:highlight w:val="none"/>
        </w:rPr>
        <w:t>单位</w:t>
      </w:r>
      <w:r>
        <w:rPr>
          <w:rFonts w:hint="default" w:ascii="Times New Roman" w:hAnsi="Times New Roman" w:eastAsia="仿宋" w:cs="Times New Roman"/>
          <w:color w:val="auto"/>
          <w:sz w:val="32"/>
          <w:szCs w:val="32"/>
          <w:highlight w:val="none"/>
          <w:lang w:val="en-US" w:eastAsia="zh-CN"/>
        </w:rPr>
        <w:t>2</w:t>
      </w:r>
      <w:r>
        <w:rPr>
          <w:rFonts w:hint="default" w:ascii="Times New Roman" w:hAnsi="Times New Roman" w:eastAsia="仿宋" w:cs="Times New Roman"/>
          <w:color w:val="auto"/>
          <w:sz w:val="32"/>
          <w:szCs w:val="32"/>
          <w:highlight w:val="none"/>
        </w:rPr>
        <w:t>个，其中行政单位</w:t>
      </w:r>
      <w:r>
        <w:rPr>
          <w:rFonts w:hint="eastAsia"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个，参照公务员法管理的事业单位</w:t>
      </w:r>
      <w:r>
        <w:rPr>
          <w:rFonts w:hint="default" w:ascii="Times New Roman" w:hAnsi="Times New Roman" w:eastAsia="仿宋" w:cs="Times New Roman"/>
          <w:color w:val="auto"/>
          <w:sz w:val="32"/>
          <w:szCs w:val="32"/>
          <w:highlight w:val="none"/>
          <w:lang w:val="en-US" w:eastAsia="zh-CN"/>
        </w:rPr>
        <w:t>1</w:t>
      </w:r>
      <w:r>
        <w:rPr>
          <w:rFonts w:hint="default" w:ascii="Times New Roman" w:hAnsi="Times New Roman" w:eastAsia="仿宋" w:cs="Times New Roman"/>
          <w:color w:val="auto"/>
          <w:sz w:val="32"/>
          <w:szCs w:val="32"/>
          <w:highlight w:val="none"/>
        </w:rPr>
        <w:t>个，其他事业单位</w:t>
      </w:r>
      <w:r>
        <w:rPr>
          <w:rFonts w:hint="default" w:ascii="Times New Roman" w:hAnsi="Times New Roman" w:eastAsia="仿宋" w:cs="Times New Roman"/>
          <w:color w:val="auto"/>
          <w:sz w:val="32"/>
          <w:szCs w:val="32"/>
          <w:highlight w:val="none"/>
          <w:lang w:val="en-US" w:eastAsia="zh-CN"/>
        </w:rPr>
        <w:t>1</w:t>
      </w:r>
      <w:r>
        <w:rPr>
          <w:rFonts w:hint="default" w:ascii="Times New Roman" w:hAnsi="Times New Roman" w:eastAsia="仿宋" w:cs="Times New Roman"/>
          <w:color w:val="auto"/>
          <w:sz w:val="32"/>
          <w:szCs w:val="32"/>
          <w:highlight w:val="none"/>
        </w:rPr>
        <w:t>个。</w:t>
      </w:r>
    </w:p>
    <w:p>
      <w:pPr>
        <w:pStyle w:val="6"/>
        <w:adjustRightInd w:val="0"/>
        <w:snapToGrid w:val="0"/>
        <w:spacing w:before="93" w:line="600" w:lineRule="exact"/>
        <w:ind w:firstLine="672" w:firstLineChars="210"/>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纳入</w:t>
      </w:r>
      <w:r>
        <w:rPr>
          <w:rFonts w:hint="default" w:ascii="Times New Roman" w:hAnsi="Times New Roman" w:eastAsia="仿宋" w:cs="Times New Roman"/>
          <w:sz w:val="32"/>
          <w:szCs w:val="32"/>
        </w:rPr>
        <w:t>攀枝花市西区司法局</w:t>
      </w:r>
      <w:r>
        <w:rPr>
          <w:rFonts w:hint="default" w:ascii="Times New Roman" w:hAnsi="Times New Roman" w:eastAsia="仿宋" w:cs="Times New Roman"/>
          <w:color w:val="auto"/>
          <w:sz w:val="32"/>
          <w:szCs w:val="32"/>
          <w:highlight w:val="none"/>
          <w:lang w:eastAsia="zh-CN"/>
        </w:rPr>
        <w:t>2024年度</w:t>
      </w:r>
      <w:r>
        <w:rPr>
          <w:rFonts w:hint="default" w:ascii="Times New Roman" w:hAnsi="Times New Roman" w:eastAsia="仿宋" w:cs="Times New Roman"/>
          <w:color w:val="auto"/>
          <w:sz w:val="32"/>
          <w:szCs w:val="32"/>
          <w:highlight w:val="none"/>
        </w:rPr>
        <w:t>部门决算编制范围的二级预算单位包括：</w:t>
      </w:r>
    </w:p>
    <w:p>
      <w:pPr>
        <w:pStyle w:val="1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93" w:beforeAutospacing="0" w:after="0" w:afterAutospacing="0" w:line="0" w:lineRule="atLeast"/>
        <w:ind w:firstLine="640" w:firstLineChars="200"/>
        <w:jc w:val="both"/>
        <w:rPr>
          <w:rFonts w:hint="default" w:ascii="Times New Roman" w:hAnsi="Times New Roman" w:eastAsia="仿宋" w:cs="Times New Roman"/>
          <w:sz w:val="32"/>
          <w:szCs w:val="32"/>
        </w:rPr>
      </w:pPr>
      <w:bookmarkStart w:id="10" w:name="_Toc19091"/>
      <w:r>
        <w:rPr>
          <w:rFonts w:hint="default" w:ascii="Times New Roman" w:hAnsi="Times New Roman" w:eastAsia="仿宋" w:cs="Times New Roman"/>
          <w:color w:val="000000"/>
          <w:sz w:val="32"/>
          <w:szCs w:val="32"/>
          <w:lang w:val="en-US" w:eastAsia="zh-CN"/>
        </w:rPr>
        <w:t>1.</w:t>
      </w:r>
      <w:r>
        <w:rPr>
          <w:rFonts w:hint="default" w:ascii="Times New Roman" w:hAnsi="Times New Roman" w:eastAsia="仿宋" w:cs="Times New Roman"/>
          <w:color w:val="000000"/>
          <w:sz w:val="32"/>
          <w:szCs w:val="32"/>
        </w:rPr>
        <w:t>西区法律援助中心</w:t>
      </w:r>
      <w:bookmarkEnd w:id="10"/>
    </w:p>
    <w:p>
      <w:pPr>
        <w:pStyle w:val="6"/>
        <w:adjustRightInd w:val="0"/>
        <w:snapToGrid w:val="0"/>
        <w:spacing w:before="93" w:line="600" w:lineRule="exact"/>
        <w:ind w:firstLine="640" w:firstLineChars="200"/>
        <w:rPr>
          <w:rFonts w:hint="eastAsia" w:ascii="Times New Roman" w:hAnsi="Times New Roman" w:eastAsia="仿宋_GB2312" w:cs="仿宋_GB2312"/>
          <w:color w:val="auto"/>
          <w:sz w:val="32"/>
          <w:szCs w:val="32"/>
          <w:highlight w:val="none"/>
        </w:rPr>
      </w:pPr>
      <w:bookmarkStart w:id="11" w:name="_Toc17537"/>
      <w:r>
        <w:rPr>
          <w:rFonts w:hint="default" w:ascii="Times New Roman" w:hAnsi="Times New Roman" w:eastAsia="仿宋" w:cs="Times New Roman"/>
          <w:color w:val="000000"/>
          <w:sz w:val="32"/>
          <w:szCs w:val="32"/>
          <w:lang w:val="en-US" w:eastAsia="zh-CN"/>
        </w:rPr>
        <w:t>2.</w:t>
      </w:r>
      <w:r>
        <w:rPr>
          <w:rFonts w:hint="default" w:ascii="Times New Roman" w:hAnsi="Times New Roman" w:eastAsia="仿宋" w:cs="Times New Roman"/>
          <w:color w:val="000000"/>
          <w:sz w:val="32"/>
          <w:szCs w:val="32"/>
        </w:rPr>
        <w:t>四川省攀枝花市玉泉公证处</w:t>
      </w:r>
      <w:bookmarkEnd w:id="11"/>
    </w:p>
    <w:p>
      <w:pPr>
        <w:widowControl/>
        <w:jc w:val="left"/>
        <w:rPr>
          <w:rFonts w:ascii="Times New Roman" w:hAnsi="Times New Roman" w:eastAsia="仿宋"/>
          <w:color w:val="auto"/>
          <w:kern w:val="0"/>
          <w:sz w:val="32"/>
          <w:szCs w:val="32"/>
          <w:highlight w:val="none"/>
        </w:rPr>
      </w:pPr>
      <w:r>
        <w:rPr>
          <w:rFonts w:ascii="Times New Roman" w:hAnsi="Times New Roman" w:eastAsia="仿宋"/>
          <w:color w:val="auto"/>
          <w:sz w:val="32"/>
          <w:szCs w:val="32"/>
          <w:highlight w:val="none"/>
        </w:rPr>
        <w:br w:type="page"/>
      </w:r>
    </w:p>
    <w:p>
      <w:pPr>
        <w:pStyle w:val="3"/>
        <w:jc w:val="center"/>
        <w:rPr>
          <w:rFonts w:hint="eastAsia" w:ascii="Times New Roman" w:hAnsi="Times New Roman" w:eastAsia="方正小标宋简体" w:cs="方正小标宋简体"/>
          <w:b w:val="0"/>
          <w:color w:val="auto"/>
          <w:highlight w:val="none"/>
        </w:rPr>
      </w:pPr>
      <w:bookmarkStart w:id="12" w:name="_Toc15396602"/>
      <w:bookmarkStart w:id="13" w:name="_Toc15377204"/>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ascii="Times New Roman" w:hAnsi="Times New Roman" w:eastAsia="方正小标宋简体" w:cs="方正小标宋简体"/>
          <w:b w:val="0"/>
          <w:color w:val="auto"/>
          <w:highlight w:val="none"/>
          <w:lang w:val="en-US" w:eastAsia="zh-CN"/>
        </w:rPr>
        <w:t>2024年度</w:t>
      </w:r>
      <w:r>
        <w:rPr>
          <w:rFonts w:hint="eastAsia" w:ascii="Times New Roman" w:hAnsi="Times New Roman" w:eastAsia="方正小标宋简体" w:cs="方正小标宋简体"/>
          <w:b w:val="0"/>
          <w:color w:val="auto"/>
          <w:highlight w:val="none"/>
        </w:rPr>
        <w:t>部门决算情况说明</w:t>
      </w:r>
      <w:bookmarkEnd w:id="12"/>
      <w:bookmarkEnd w:id="13"/>
    </w:p>
    <w:p>
      <w:pPr>
        <w:rPr>
          <w:rFonts w:ascii="Times New Roman" w:hAnsi="Times New Roman"/>
          <w:color w:val="auto"/>
          <w:highlight w:val="none"/>
        </w:rPr>
      </w:pPr>
    </w:p>
    <w:p>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0"/>
          <w:rFonts w:hint="eastAsia" w:ascii="Times New Roman" w:hAnsi="Times New Roman" w:eastAsia="黑体"/>
          <w:b w:val="0"/>
          <w:color w:val="auto"/>
          <w:highlight w:val="none"/>
        </w:rPr>
      </w:pPr>
      <w:bookmarkStart w:id="14" w:name="_Toc15396603"/>
      <w:bookmarkStart w:id="15" w:name="_Toc15377205"/>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30"/>
          <w:rFonts w:hint="eastAsia" w:ascii="Times New Roman" w:hAnsi="Times New Roman" w:eastAsia="黑体"/>
          <w:b w:val="0"/>
          <w:color w:val="auto"/>
          <w:highlight w:val="none"/>
        </w:rPr>
        <w:t>入支出决算总体情况说明</w:t>
      </w:r>
      <w:bookmarkEnd w:id="14"/>
      <w:bookmarkEnd w:id="15"/>
    </w:p>
    <w:p>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default" w:ascii="Times New Roman" w:hAnsi="Times New Roman" w:eastAsia="仿宋" w:cs="Times New Roman"/>
          <w:color w:val="auto"/>
          <w:sz w:val="32"/>
          <w:szCs w:val="32"/>
          <w:highlight w:val="none"/>
          <w:lang w:eastAsia="zh-CN"/>
        </w:rPr>
      </w:pPr>
      <w:r>
        <w:rPr>
          <w:rFonts w:hint="default" w:ascii="Times New Roman" w:hAnsi="Times New Roman" w:eastAsia="仿宋" w:cs="Times New Roman"/>
          <w:color w:val="auto"/>
          <w:sz w:val="32"/>
          <w:szCs w:val="32"/>
          <w:highlight w:val="none"/>
          <w:lang w:eastAsia="zh-CN"/>
        </w:rPr>
        <w:t>2024年度收入</w:t>
      </w:r>
      <w:r>
        <w:rPr>
          <w:rFonts w:hint="default" w:ascii="Times New Roman" w:hAnsi="Times New Roman" w:eastAsia="仿宋" w:cs="Times New Roman"/>
          <w:color w:val="auto"/>
          <w:sz w:val="32"/>
          <w:szCs w:val="32"/>
          <w:highlight w:val="none"/>
        </w:rPr>
        <w:t>、</w:t>
      </w:r>
      <w:r>
        <w:rPr>
          <w:rFonts w:hint="default" w:ascii="Times New Roman" w:hAnsi="Times New Roman" w:eastAsia="仿宋" w:cs="Times New Roman"/>
          <w:color w:val="auto"/>
          <w:sz w:val="32"/>
          <w:szCs w:val="32"/>
          <w:highlight w:val="none"/>
          <w:lang w:eastAsia="zh-CN"/>
        </w:rPr>
        <w:t>支出</w:t>
      </w:r>
      <w:r>
        <w:rPr>
          <w:rFonts w:hint="default" w:ascii="Times New Roman" w:hAnsi="Times New Roman" w:eastAsia="仿宋" w:cs="Times New Roman"/>
          <w:color w:val="auto"/>
          <w:sz w:val="32"/>
          <w:szCs w:val="32"/>
          <w:highlight w:val="none"/>
        </w:rPr>
        <w:t>总计</w:t>
      </w:r>
      <w:r>
        <w:rPr>
          <w:rFonts w:hint="default" w:ascii="Times New Roman" w:hAnsi="Times New Roman" w:eastAsia="仿宋" w:cs="Times New Roman"/>
          <w:color w:val="auto"/>
          <w:sz w:val="32"/>
          <w:szCs w:val="32"/>
          <w:highlight w:val="none"/>
          <w:lang w:eastAsia="zh-CN"/>
        </w:rPr>
        <w:t>均为</w:t>
      </w:r>
      <w:r>
        <w:rPr>
          <w:rFonts w:hint="default" w:ascii="Times New Roman" w:hAnsi="Times New Roman" w:eastAsia="仿宋" w:cs="Times New Roman"/>
          <w:sz w:val="32"/>
          <w:szCs w:val="32"/>
        </w:rPr>
        <w:t>791.87</w:t>
      </w:r>
      <w:r>
        <w:rPr>
          <w:rFonts w:hint="default" w:ascii="Times New Roman" w:hAnsi="Times New Roman" w:eastAsia="仿宋" w:cs="Times New Roman"/>
          <w:color w:val="auto"/>
          <w:sz w:val="32"/>
          <w:szCs w:val="32"/>
          <w:highlight w:val="none"/>
        </w:rPr>
        <w:t>万元。与</w:t>
      </w:r>
      <w:r>
        <w:rPr>
          <w:rFonts w:hint="default" w:ascii="Times New Roman" w:hAnsi="Times New Roman" w:eastAsia="仿宋" w:cs="Times New Roman"/>
          <w:color w:val="auto"/>
          <w:sz w:val="32"/>
          <w:szCs w:val="32"/>
          <w:highlight w:val="none"/>
          <w:lang w:eastAsia="zh-CN"/>
        </w:rPr>
        <w:t>202</w:t>
      </w:r>
      <w:r>
        <w:rPr>
          <w:rFonts w:hint="default" w:ascii="Times New Roman" w:hAnsi="Times New Roman" w:eastAsia="仿宋" w:cs="Times New Roman"/>
          <w:color w:val="auto"/>
          <w:sz w:val="32"/>
          <w:szCs w:val="32"/>
          <w:highlight w:val="none"/>
          <w:lang w:val="en-US" w:eastAsia="zh-CN"/>
        </w:rPr>
        <w:t>3</w:t>
      </w:r>
      <w:r>
        <w:rPr>
          <w:rFonts w:hint="default" w:ascii="Times New Roman" w:hAnsi="Times New Roman" w:eastAsia="仿宋" w:cs="Times New Roman"/>
          <w:color w:val="auto"/>
          <w:sz w:val="32"/>
          <w:szCs w:val="32"/>
          <w:highlight w:val="none"/>
        </w:rPr>
        <w:t>年</w:t>
      </w:r>
      <w:r>
        <w:rPr>
          <w:rFonts w:hint="default" w:ascii="Times New Roman" w:hAnsi="Times New Roman" w:eastAsia="仿宋" w:cs="Times New Roman"/>
          <w:color w:val="auto"/>
          <w:sz w:val="32"/>
          <w:szCs w:val="32"/>
          <w:highlight w:val="none"/>
          <w:lang w:eastAsia="zh-CN"/>
        </w:rPr>
        <w:t>度</w:t>
      </w:r>
      <w:r>
        <w:rPr>
          <w:rFonts w:hint="default" w:ascii="Times New Roman" w:hAnsi="Times New Roman" w:eastAsia="仿宋" w:cs="Times New Roman"/>
          <w:color w:val="auto"/>
          <w:sz w:val="32"/>
          <w:szCs w:val="32"/>
          <w:highlight w:val="none"/>
        </w:rPr>
        <w:t>相比，</w:t>
      </w:r>
      <w:r>
        <w:rPr>
          <w:rFonts w:hint="default" w:ascii="Times New Roman" w:hAnsi="Times New Roman" w:eastAsia="仿宋" w:cs="Times New Roman"/>
          <w:color w:val="auto"/>
          <w:sz w:val="32"/>
          <w:szCs w:val="32"/>
          <w:highlight w:val="none"/>
          <w:lang w:eastAsia="zh-CN"/>
        </w:rPr>
        <w:t>收入</w:t>
      </w:r>
      <w:r>
        <w:rPr>
          <w:rFonts w:hint="default" w:ascii="Times New Roman" w:hAnsi="Times New Roman" w:eastAsia="仿宋" w:cs="Times New Roman"/>
          <w:color w:val="auto"/>
          <w:sz w:val="32"/>
          <w:szCs w:val="32"/>
          <w:highlight w:val="none"/>
        </w:rPr>
        <w:t>、</w:t>
      </w:r>
      <w:r>
        <w:rPr>
          <w:rFonts w:hint="default" w:ascii="Times New Roman" w:hAnsi="Times New Roman" w:eastAsia="仿宋" w:cs="Times New Roman"/>
          <w:color w:val="auto"/>
          <w:sz w:val="32"/>
          <w:szCs w:val="32"/>
          <w:highlight w:val="none"/>
          <w:lang w:eastAsia="zh-CN"/>
        </w:rPr>
        <w:t>支出</w:t>
      </w:r>
      <w:r>
        <w:rPr>
          <w:rFonts w:hint="default" w:ascii="Times New Roman" w:hAnsi="Times New Roman" w:eastAsia="仿宋" w:cs="Times New Roman"/>
          <w:color w:val="auto"/>
          <w:sz w:val="32"/>
          <w:szCs w:val="32"/>
          <w:highlight w:val="none"/>
        </w:rPr>
        <w:t>总计各减少</w:t>
      </w:r>
      <w:r>
        <w:rPr>
          <w:rFonts w:hint="default" w:ascii="Times New Roman" w:hAnsi="Times New Roman" w:eastAsia="仿宋" w:cs="Times New Roman"/>
          <w:color w:val="auto"/>
          <w:sz w:val="32"/>
          <w:szCs w:val="32"/>
          <w:highlight w:val="none"/>
          <w:lang w:val="en-US" w:eastAsia="zh-CN"/>
        </w:rPr>
        <w:t>74.1</w:t>
      </w:r>
      <w:r>
        <w:rPr>
          <w:rFonts w:hint="default" w:ascii="Times New Roman" w:hAnsi="Times New Roman" w:eastAsia="仿宋" w:cs="Times New Roman"/>
          <w:color w:val="auto"/>
          <w:sz w:val="32"/>
          <w:szCs w:val="32"/>
          <w:highlight w:val="none"/>
        </w:rPr>
        <w:t>万元，下降</w:t>
      </w:r>
      <w:r>
        <w:rPr>
          <w:rFonts w:hint="default" w:ascii="Times New Roman" w:hAnsi="Times New Roman" w:eastAsia="仿宋" w:cs="Times New Roman"/>
          <w:color w:val="auto"/>
          <w:sz w:val="32"/>
          <w:szCs w:val="32"/>
          <w:highlight w:val="none"/>
          <w:lang w:val="en-US" w:eastAsia="zh-CN"/>
        </w:rPr>
        <w:t>8.6</w:t>
      </w:r>
      <w:r>
        <w:rPr>
          <w:rFonts w:hint="default" w:ascii="Times New Roman" w:hAnsi="Times New Roman" w:eastAsia="仿宋" w:cs="Times New Roman"/>
          <w:color w:val="auto"/>
          <w:sz w:val="32"/>
          <w:szCs w:val="32"/>
          <w:highlight w:val="none"/>
        </w:rPr>
        <w:t>%。主要变动原因是</w:t>
      </w:r>
      <w:r>
        <w:rPr>
          <w:rFonts w:hint="default" w:ascii="Times New Roman" w:hAnsi="Times New Roman" w:eastAsia="仿宋" w:cs="Times New Roman"/>
          <w:color w:val="auto"/>
          <w:sz w:val="32"/>
          <w:szCs w:val="32"/>
          <w:highlight w:val="none"/>
          <w:lang w:eastAsia="zh-CN"/>
        </w:rPr>
        <w:t>项目经费减少</w:t>
      </w:r>
      <w:r>
        <w:rPr>
          <w:rFonts w:hint="eastAsia" w:ascii="Times New Roman" w:hAnsi="Times New Roman" w:eastAsia="仿宋" w:cs="Times New Roman"/>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p>
    <w:p>
      <w:pPr>
        <w:keepNext w:val="0"/>
        <w:keepLines w:val="0"/>
        <w:pageBreakBefore w:val="0"/>
        <w:widowControl w:val="0"/>
        <w:kinsoku/>
        <w:wordWrap/>
        <w:overflowPunct/>
        <w:topLinePunct w:val="0"/>
        <w:autoSpaceDE/>
        <w:autoSpaceDN/>
        <w:bidi w:val="0"/>
        <w:adjustRightInd/>
        <w:snapToGrid/>
        <w:ind w:firstLine="420" w:firstLineChars="200"/>
        <w:jc w:val="center"/>
        <w:textAlignment w:val="auto"/>
        <w:rPr>
          <w:rFonts w:hint="eastAsia" w:ascii="Times New Roman" w:hAnsi="Times New Roman" w:eastAsia="仿宋_GB2312" w:cs="仿宋_GB2312"/>
          <w:color w:val="auto"/>
          <w:sz w:val="32"/>
          <w:szCs w:val="32"/>
          <w:highlight w:val="none"/>
        </w:rPr>
      </w:pPr>
      <w:r>
        <w:drawing>
          <wp:inline distT="0" distB="0" distL="114300" distR="114300">
            <wp:extent cx="4572000" cy="2743200"/>
            <wp:effectExtent l="4445" t="4445" r="10795" b="10795"/>
            <wp:docPr id="4"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16" w:name="_Toc15396604"/>
      <w:bookmarkStart w:id="17" w:name="_Toc15377206"/>
    </w:p>
    <w:p>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r>
        <w:rPr>
          <w:rFonts w:hint="eastAsia" w:ascii="Times New Roman" w:hAnsi="Times New Roman" w:eastAsia="黑体"/>
          <w:color w:val="auto"/>
          <w:sz w:val="32"/>
          <w:szCs w:val="32"/>
          <w:highlight w:val="none"/>
          <w:lang w:eastAsia="zh-CN"/>
        </w:rPr>
        <w:t>二、收入决算情况说明</w:t>
      </w:r>
      <w:bookmarkEnd w:id="16"/>
      <w:bookmarkEnd w:id="17"/>
    </w:p>
    <w:p>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lang w:val="en-US" w:eastAsia="zh-CN"/>
        </w:rPr>
      </w:pPr>
      <w:r>
        <w:rPr>
          <w:rFonts w:hint="default" w:ascii="Times New Roman" w:hAnsi="Times New Roman" w:eastAsia="仿宋" w:cs="Times New Roman"/>
          <w:color w:val="auto"/>
          <w:sz w:val="32"/>
          <w:szCs w:val="32"/>
          <w:highlight w:val="none"/>
          <w:lang w:eastAsia="zh-CN"/>
        </w:rPr>
        <w:t>2024年度本年收入合计</w:t>
      </w:r>
      <w:r>
        <w:rPr>
          <w:rFonts w:hint="default" w:ascii="Times New Roman" w:hAnsi="Times New Roman" w:eastAsia="仿宋" w:cs="Times New Roman"/>
          <w:sz w:val="32"/>
          <w:szCs w:val="32"/>
        </w:rPr>
        <w:t>791.87万元，其中：一般公共预算财政拨款收入790.87</w:t>
      </w:r>
      <w:r>
        <w:rPr>
          <w:rFonts w:hint="default" w:ascii="Times New Roman" w:hAnsi="Times New Roman" w:eastAsia="仿宋" w:cs="Times New Roman"/>
          <w:color w:val="auto"/>
          <w:sz w:val="32"/>
          <w:szCs w:val="32"/>
          <w:highlight w:val="none"/>
          <w:lang w:eastAsia="zh-CN"/>
        </w:rPr>
        <w:t>万元，占</w:t>
      </w:r>
      <w:r>
        <w:rPr>
          <w:rFonts w:hint="default" w:ascii="Times New Roman" w:hAnsi="Times New Roman" w:eastAsia="仿宋" w:cs="Times New Roman"/>
          <w:sz w:val="32"/>
          <w:szCs w:val="32"/>
        </w:rPr>
        <w:t>99.87</w:t>
      </w:r>
      <w:r>
        <w:rPr>
          <w:rFonts w:hint="default" w:ascii="Times New Roman" w:hAnsi="Times New Roman" w:eastAsia="仿宋" w:cs="Times New Roman"/>
          <w:color w:val="auto"/>
          <w:sz w:val="32"/>
          <w:szCs w:val="32"/>
          <w:highlight w:val="none"/>
          <w:lang w:eastAsia="zh-CN"/>
        </w:rPr>
        <w:t>%；政府性基金预算财政拨收入</w:t>
      </w:r>
      <w:r>
        <w:rPr>
          <w:rFonts w:hint="default" w:ascii="Times New Roman" w:hAnsi="Times New Roman" w:eastAsia="仿宋" w:cs="Times New Roman"/>
          <w:sz w:val="32"/>
          <w:szCs w:val="32"/>
        </w:rPr>
        <w:t>1</w:t>
      </w:r>
      <w:r>
        <w:rPr>
          <w:rFonts w:hint="default" w:ascii="Times New Roman" w:hAnsi="Times New Roman" w:eastAsia="仿宋" w:cs="Times New Roman"/>
          <w:color w:val="auto"/>
          <w:sz w:val="32"/>
          <w:szCs w:val="32"/>
          <w:highlight w:val="none"/>
          <w:lang w:eastAsia="zh-CN"/>
        </w:rPr>
        <w:t>万元，占</w:t>
      </w:r>
      <w:r>
        <w:rPr>
          <w:rFonts w:hint="default" w:ascii="Times New Roman" w:hAnsi="Times New Roman" w:eastAsia="仿宋" w:cs="Times New Roman"/>
          <w:sz w:val="32"/>
          <w:szCs w:val="32"/>
        </w:rPr>
        <w:t>0.12%</w:t>
      </w:r>
      <w:r>
        <w:rPr>
          <w:rFonts w:hint="default" w:ascii="Times New Roman" w:hAnsi="Times New Roman" w:eastAsia="仿宋" w:cs="Times New Roman"/>
          <w:sz w:val="32"/>
          <w:szCs w:val="32"/>
          <w:lang w:eastAsia="zh-CN"/>
        </w:rPr>
        <w:t>。</w:t>
      </w:r>
    </w:p>
    <w:p>
      <w:pPr>
        <w:numPr>
          <w:ilvl w:val="0"/>
          <w:numId w:val="0"/>
        </w:numPr>
        <w:tabs>
          <w:tab w:val="left" w:pos="343"/>
          <w:tab w:val="center" w:pos="4213"/>
        </w:tabs>
        <w:ind w:leftChars="0"/>
        <w:jc w:val="left"/>
        <w:rPr>
          <w:rFonts w:hint="eastAsia" w:ascii="Times New Roman" w:hAnsi="Times New Roman" w:eastAsia="仿宋_GB2312" w:cs="仿宋_GB2312"/>
          <w:color w:val="auto"/>
          <w:sz w:val="32"/>
          <w:szCs w:val="32"/>
          <w:highlight w:val="none"/>
          <w:lang w:eastAsia="zh-CN"/>
        </w:rPr>
      </w:pPr>
      <w:r>
        <w:rPr>
          <w:rFonts w:hint="eastAsia"/>
          <w:lang w:eastAsia="zh-CN"/>
        </w:rPr>
        <w:tab/>
      </w:r>
      <w:r>
        <w:rPr>
          <w:rFonts w:hint="eastAsia"/>
          <w:lang w:eastAsia="zh-CN"/>
        </w:rPr>
        <w:tab/>
      </w:r>
      <w:r>
        <w:drawing>
          <wp:inline distT="0" distB="0" distL="114300" distR="114300">
            <wp:extent cx="3816985" cy="2499360"/>
            <wp:effectExtent l="4445" t="4445" r="19050" b="10795"/>
            <wp:docPr id="1039"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ind w:firstLine="800" w:firstLineChars="250"/>
        <w:rPr>
          <w:rFonts w:hint="eastAsia" w:ascii="Times New Roman" w:hAnsi="Times New Roman" w:eastAsia="仿宋_GB2312" w:cs="仿宋_GB2312"/>
          <w:color w:val="auto"/>
          <w:sz w:val="32"/>
          <w:szCs w:val="32"/>
          <w:highlight w:val="none"/>
          <w:lang w:eastAsia="zh-CN"/>
        </w:rPr>
      </w:pPr>
    </w:p>
    <w:p>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0"/>
          <w:rFonts w:hint="eastAsia" w:ascii="Times New Roman" w:hAnsi="Times New Roman" w:eastAsia="黑体"/>
          <w:b w:val="0"/>
          <w:color w:val="auto"/>
          <w:highlight w:val="none"/>
        </w:rPr>
      </w:pPr>
      <w:bookmarkStart w:id="18" w:name="_Toc15396605"/>
      <w:bookmarkStart w:id="19" w:name="_Toc15377207"/>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30"/>
          <w:rFonts w:hint="eastAsia" w:ascii="Times New Roman" w:hAnsi="Times New Roman" w:eastAsia="黑体"/>
          <w:b w:val="0"/>
          <w:color w:val="auto"/>
          <w:highlight w:val="none"/>
        </w:rPr>
        <w:t>出决算情况说明</w:t>
      </w:r>
      <w:bookmarkEnd w:id="18"/>
      <w:bookmarkEnd w:id="19"/>
    </w:p>
    <w:p>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default" w:ascii="Times New Roman" w:hAnsi="Times New Roman" w:eastAsia="仿宋" w:cs="Times New Roman"/>
          <w:color w:val="auto"/>
          <w:sz w:val="32"/>
          <w:szCs w:val="32"/>
          <w:highlight w:val="none"/>
          <w:lang w:eastAsia="zh-CN"/>
        </w:rPr>
      </w:pPr>
      <w:r>
        <w:rPr>
          <w:rFonts w:hint="default" w:ascii="Times New Roman" w:hAnsi="Times New Roman" w:eastAsia="仿宋" w:cs="Times New Roman"/>
          <w:color w:val="auto"/>
          <w:sz w:val="32"/>
          <w:szCs w:val="32"/>
          <w:highlight w:val="none"/>
          <w:lang w:eastAsia="zh-CN"/>
        </w:rPr>
        <w:t>2024年度本年支出合计</w:t>
      </w:r>
      <w:r>
        <w:rPr>
          <w:rFonts w:hint="default" w:ascii="Times New Roman" w:hAnsi="Times New Roman" w:eastAsia="仿宋" w:cs="Times New Roman"/>
          <w:sz w:val="32"/>
          <w:szCs w:val="32"/>
        </w:rPr>
        <w:t>791.87</w:t>
      </w:r>
      <w:r>
        <w:rPr>
          <w:rFonts w:hint="default" w:ascii="Times New Roman" w:hAnsi="Times New Roman" w:eastAsia="仿宋" w:cs="Times New Roman"/>
          <w:color w:val="auto"/>
          <w:sz w:val="32"/>
          <w:szCs w:val="32"/>
          <w:highlight w:val="none"/>
          <w:lang w:eastAsia="zh-CN"/>
        </w:rPr>
        <w:t>万元，其中：基本支出</w:t>
      </w:r>
      <w:r>
        <w:rPr>
          <w:rFonts w:hint="default" w:ascii="Times New Roman" w:hAnsi="Times New Roman" w:eastAsia="仿宋" w:cs="Times New Roman"/>
          <w:sz w:val="32"/>
          <w:szCs w:val="32"/>
        </w:rPr>
        <w:t>689.04</w:t>
      </w:r>
      <w:r>
        <w:rPr>
          <w:rFonts w:hint="default" w:ascii="Times New Roman" w:hAnsi="Times New Roman" w:eastAsia="仿宋" w:cs="Times New Roman"/>
          <w:color w:val="auto"/>
          <w:sz w:val="32"/>
          <w:szCs w:val="32"/>
          <w:highlight w:val="none"/>
          <w:lang w:eastAsia="zh-CN"/>
        </w:rPr>
        <w:t>万元，占</w:t>
      </w:r>
      <w:r>
        <w:rPr>
          <w:rFonts w:hint="default" w:ascii="Times New Roman" w:hAnsi="Times New Roman" w:eastAsia="仿宋" w:cs="Times New Roman"/>
          <w:sz w:val="32"/>
          <w:szCs w:val="32"/>
        </w:rPr>
        <w:t>87.01</w:t>
      </w:r>
      <w:r>
        <w:rPr>
          <w:rFonts w:hint="default" w:ascii="Times New Roman" w:hAnsi="Times New Roman" w:eastAsia="仿宋" w:cs="Times New Roman"/>
          <w:color w:val="auto"/>
          <w:sz w:val="32"/>
          <w:szCs w:val="32"/>
          <w:highlight w:val="none"/>
          <w:lang w:eastAsia="zh-CN"/>
        </w:rPr>
        <w:t>%；项目支出</w:t>
      </w:r>
      <w:r>
        <w:rPr>
          <w:rFonts w:hint="default" w:ascii="Times New Roman" w:hAnsi="Times New Roman" w:eastAsia="仿宋" w:cs="Times New Roman"/>
          <w:sz w:val="32"/>
          <w:szCs w:val="32"/>
        </w:rPr>
        <w:t>102.83</w:t>
      </w:r>
      <w:r>
        <w:rPr>
          <w:rFonts w:hint="default" w:ascii="Times New Roman" w:hAnsi="Times New Roman" w:eastAsia="仿宋" w:cs="Times New Roman"/>
          <w:color w:val="auto"/>
          <w:sz w:val="32"/>
          <w:szCs w:val="32"/>
          <w:highlight w:val="none"/>
          <w:lang w:eastAsia="zh-CN"/>
        </w:rPr>
        <w:t>万元，占</w:t>
      </w:r>
      <w:r>
        <w:rPr>
          <w:rFonts w:hint="default" w:ascii="Times New Roman" w:hAnsi="Times New Roman" w:eastAsia="仿宋" w:cs="Times New Roman"/>
          <w:sz w:val="32"/>
          <w:szCs w:val="32"/>
        </w:rPr>
        <w:t>12.98</w:t>
      </w:r>
      <w:r>
        <w:rPr>
          <w:rFonts w:hint="default" w:ascii="Times New Roman" w:hAnsi="Times New Roman" w:eastAsia="仿宋" w:cs="Times New Roman"/>
          <w:color w:val="auto"/>
          <w:sz w:val="32"/>
          <w:szCs w:val="32"/>
          <w:highlight w:val="none"/>
          <w:lang w:eastAsia="zh-CN"/>
        </w:rPr>
        <w:t>%</w:t>
      </w:r>
      <w:r>
        <w:rPr>
          <w:rFonts w:hint="eastAsia" w:ascii="Times New Roman" w:hAnsi="Times New Roman" w:eastAsia="仿宋" w:cs="Times New Roman"/>
          <w:color w:val="auto"/>
          <w:sz w:val="32"/>
          <w:szCs w:val="32"/>
          <w:highlight w:val="none"/>
          <w:lang w:eastAsia="zh-CN"/>
        </w:rPr>
        <w:t>。</w:t>
      </w:r>
    </w:p>
    <w:p>
      <w:pPr>
        <w:ind w:firstLine="525" w:firstLineChars="250"/>
      </w:pPr>
    </w:p>
    <w:p>
      <w:pPr>
        <w:ind w:firstLine="525" w:firstLineChars="250"/>
        <w:jc w:val="center"/>
        <w:rPr>
          <w:rFonts w:hint="eastAsia" w:ascii="Times New Roman" w:hAnsi="Times New Roman" w:eastAsia="仿宋_GB2312" w:cs="仿宋_GB2312"/>
          <w:color w:val="auto"/>
          <w:sz w:val="32"/>
          <w:szCs w:val="32"/>
          <w:highlight w:val="none"/>
          <w:lang w:eastAsia="zh-CN"/>
        </w:rPr>
      </w:pPr>
      <w:r>
        <w:drawing>
          <wp:inline distT="0" distB="0" distL="114300" distR="114300">
            <wp:extent cx="4244975" cy="2446020"/>
            <wp:effectExtent l="4445" t="4445" r="17780" b="18415"/>
            <wp:docPr id="3"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ind w:firstLine="800" w:firstLineChars="250"/>
        <w:rPr>
          <w:rFonts w:hint="eastAsia" w:ascii="Times New Roman" w:hAnsi="Times New Roman" w:eastAsia="仿宋_GB2312" w:cs="仿宋_GB2312"/>
          <w:color w:val="auto"/>
          <w:sz w:val="32"/>
          <w:szCs w:val="32"/>
          <w:highlight w:val="none"/>
          <w:lang w:eastAsia="zh-CN"/>
        </w:rPr>
      </w:pPr>
    </w:p>
    <w:p>
      <w:pPr>
        <w:spacing w:line="600" w:lineRule="exact"/>
        <w:ind w:firstLine="640" w:firstLineChars="200"/>
        <w:outlineLvl w:val="1"/>
        <w:rPr>
          <w:rStyle w:val="30"/>
          <w:rFonts w:ascii="Times New Roman" w:hAnsi="Times New Roman" w:eastAsia="黑体"/>
          <w:b w:val="0"/>
          <w:color w:val="auto"/>
          <w:highlight w:val="none"/>
        </w:rPr>
      </w:pPr>
      <w:bookmarkStart w:id="20" w:name="_Toc15396606"/>
      <w:bookmarkStart w:id="21" w:name="_Toc15377208"/>
      <w:r>
        <w:rPr>
          <w:rFonts w:hint="eastAsia" w:ascii="Times New Roman" w:hAnsi="Times New Roman" w:eastAsia="黑体"/>
          <w:color w:val="auto"/>
          <w:sz w:val="32"/>
          <w:szCs w:val="32"/>
          <w:highlight w:val="none"/>
        </w:rPr>
        <w:t>四、财</w:t>
      </w:r>
      <w:r>
        <w:rPr>
          <w:rStyle w:val="30"/>
          <w:rFonts w:hint="eastAsia" w:ascii="Times New Roman" w:hAnsi="Times New Roman" w:eastAsia="黑体"/>
          <w:b w:val="0"/>
          <w:color w:val="auto"/>
          <w:highlight w:val="none"/>
        </w:rPr>
        <w:t>政拨款收入支出决算总体情况说明</w:t>
      </w:r>
      <w:bookmarkEnd w:id="20"/>
      <w:bookmarkEnd w:id="21"/>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仿宋" w:cs="Times New Roman"/>
          <w:color w:val="auto"/>
          <w:kern w:val="2"/>
          <w:sz w:val="32"/>
          <w:szCs w:val="32"/>
          <w:highlight w:val="none"/>
          <w:lang w:val="en-US" w:eastAsia="zh-CN" w:bidi="ar-SA"/>
        </w:rPr>
        <w:t>2024年度财政拨款收入、支出总计均为</w:t>
      </w:r>
      <w:r>
        <w:rPr>
          <w:rFonts w:hint="default" w:ascii="Times New Roman" w:hAnsi="Times New Roman" w:eastAsia="仿宋" w:cs="Times New Roman"/>
          <w:sz w:val="32"/>
          <w:szCs w:val="32"/>
        </w:rPr>
        <w:t>791.87</w:t>
      </w:r>
      <w:r>
        <w:rPr>
          <w:rFonts w:hint="default" w:ascii="Times New Roman" w:hAnsi="Times New Roman" w:eastAsia="仿宋" w:cs="Times New Roman"/>
          <w:color w:val="auto"/>
          <w:kern w:val="2"/>
          <w:sz w:val="32"/>
          <w:szCs w:val="32"/>
          <w:highlight w:val="none"/>
          <w:lang w:val="en-US" w:eastAsia="zh-CN" w:bidi="ar-SA"/>
        </w:rPr>
        <w:t>万元。与2023年度相比，财政拨款收入总计、支出总计各减少74.1万元，下降8.6%。主要变动原因是项目经费减少。</w:t>
      </w:r>
    </w:p>
    <w:p>
      <w:pPr>
        <w:spacing w:line="600" w:lineRule="exact"/>
        <w:ind w:firstLine="640"/>
      </w:pPr>
      <w:r>
        <w:drawing>
          <wp:anchor distT="0" distB="0" distL="114300" distR="114300" simplePos="0" relativeHeight="251658240" behindDoc="1" locked="0" layoutInCell="1" allowOverlap="1">
            <wp:simplePos x="0" y="0"/>
            <wp:positionH relativeFrom="column">
              <wp:posOffset>568325</wp:posOffset>
            </wp:positionH>
            <wp:positionV relativeFrom="paragraph">
              <wp:posOffset>149225</wp:posOffset>
            </wp:positionV>
            <wp:extent cx="4572000" cy="2743200"/>
            <wp:effectExtent l="4445" t="4445" r="10795" b="10795"/>
            <wp:wrapTight wrapText="bothSides">
              <wp:wrapPolygon>
                <wp:start x="-21" y="-35"/>
                <wp:lineTo x="-21" y="21565"/>
                <wp:lineTo x="21579" y="21565"/>
                <wp:lineTo x="21579" y="-35"/>
                <wp:lineTo x="-21" y="-35"/>
              </wp:wrapPolygon>
            </wp:wrapTight>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firstLineChars="200"/>
        <w:outlineLvl w:val="1"/>
        <w:rPr>
          <w:rFonts w:hint="eastAsia" w:ascii="Times New Roman" w:hAnsi="Times New Roman" w:eastAsia="黑体"/>
          <w:color w:val="auto"/>
          <w:sz w:val="32"/>
          <w:szCs w:val="32"/>
          <w:highlight w:val="none"/>
        </w:rPr>
      </w:pPr>
      <w:bookmarkStart w:id="22" w:name="_Toc15377209"/>
      <w:bookmarkStart w:id="23" w:name="_Toc15396607"/>
    </w:p>
    <w:p>
      <w:pPr>
        <w:spacing w:line="600" w:lineRule="exact"/>
        <w:ind w:firstLine="640" w:firstLineChars="200"/>
        <w:outlineLvl w:val="1"/>
        <w:rPr>
          <w:rFonts w:hint="eastAsia" w:ascii="Times New Roman" w:hAnsi="Times New Roman" w:eastAsia="黑体"/>
          <w:color w:val="auto"/>
          <w:sz w:val="32"/>
          <w:szCs w:val="32"/>
          <w:highlight w:val="none"/>
        </w:rPr>
      </w:pPr>
    </w:p>
    <w:p>
      <w:pPr>
        <w:spacing w:line="600" w:lineRule="exact"/>
        <w:ind w:firstLine="640" w:firstLineChars="200"/>
        <w:outlineLvl w:val="1"/>
        <w:rPr>
          <w:rFonts w:hint="eastAsia" w:ascii="Times New Roman" w:hAnsi="Times New Roman" w:eastAsia="黑体"/>
          <w:color w:val="auto"/>
          <w:sz w:val="32"/>
          <w:szCs w:val="32"/>
          <w:highlight w:val="none"/>
        </w:rPr>
      </w:pPr>
    </w:p>
    <w:p>
      <w:pPr>
        <w:spacing w:line="600" w:lineRule="exact"/>
        <w:ind w:firstLine="640" w:firstLineChars="200"/>
        <w:outlineLvl w:val="1"/>
        <w:rPr>
          <w:rStyle w:val="30"/>
          <w:rFonts w:ascii="Times New Roman" w:hAnsi="Times New Roman" w:eastAsia="黑体"/>
          <w:b w:val="0"/>
          <w:color w:val="auto"/>
          <w:highlight w:val="none"/>
        </w:rPr>
      </w:pPr>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30"/>
          <w:rFonts w:hint="eastAsia" w:ascii="Times New Roman" w:hAnsi="Times New Roman" w:eastAsia="黑体"/>
          <w:b w:val="0"/>
          <w:color w:val="auto"/>
          <w:highlight w:val="none"/>
        </w:rPr>
        <w:t>般公共预算财政拨款支出决算情况说明</w:t>
      </w:r>
      <w:bookmarkEnd w:id="22"/>
      <w:bookmarkEnd w:id="23"/>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4"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24"/>
    </w:p>
    <w:p>
      <w:pPr>
        <w:spacing w:line="600" w:lineRule="exact"/>
        <w:ind w:firstLine="640"/>
        <w:rPr>
          <w:rFonts w:hint="default" w:ascii="Times New Roman" w:hAnsi="Times New Roman" w:eastAsia="仿宋" w:cs="Times New Roman"/>
          <w:color w:val="auto"/>
          <w:kern w:val="2"/>
          <w:sz w:val="32"/>
          <w:szCs w:val="32"/>
          <w:highlight w:val="none"/>
          <w:lang w:val="en-US" w:eastAsia="zh-CN" w:bidi="ar-SA"/>
        </w:rPr>
      </w:pPr>
      <w:r>
        <w:rPr>
          <w:rFonts w:hint="default" w:ascii="Times New Roman" w:hAnsi="Times New Roman" w:eastAsia="仿宋" w:cs="Times New Roman"/>
          <w:color w:val="auto"/>
          <w:kern w:val="2"/>
          <w:sz w:val="32"/>
          <w:szCs w:val="32"/>
          <w:highlight w:val="none"/>
          <w:lang w:val="en-US" w:eastAsia="zh-CN" w:bidi="ar-SA"/>
        </w:rPr>
        <w:t>2024年度一般公共预算财政拨款支出</w:t>
      </w:r>
      <w:r>
        <w:rPr>
          <w:rFonts w:hint="default" w:ascii="Times New Roman" w:hAnsi="Times New Roman" w:eastAsia="仿宋" w:cs="Times New Roman"/>
          <w:sz w:val="32"/>
          <w:szCs w:val="32"/>
        </w:rPr>
        <w:t>790.87</w:t>
      </w:r>
      <w:r>
        <w:rPr>
          <w:rFonts w:hint="default" w:ascii="Times New Roman" w:hAnsi="Times New Roman" w:eastAsia="仿宋" w:cs="Times New Roman"/>
          <w:color w:val="auto"/>
          <w:kern w:val="2"/>
          <w:sz w:val="32"/>
          <w:szCs w:val="32"/>
          <w:highlight w:val="none"/>
          <w:lang w:val="en-US" w:eastAsia="zh-CN" w:bidi="ar-SA"/>
        </w:rPr>
        <w:t>万元，占本年支出合计的</w:t>
      </w:r>
      <w:r>
        <w:rPr>
          <w:rFonts w:hint="default" w:ascii="Times New Roman" w:hAnsi="Times New Roman" w:eastAsia="仿宋" w:cs="Times New Roman"/>
          <w:sz w:val="32"/>
          <w:szCs w:val="32"/>
        </w:rPr>
        <w:t>99.87</w:t>
      </w:r>
      <w:r>
        <w:rPr>
          <w:rFonts w:hint="default" w:ascii="Times New Roman" w:hAnsi="Times New Roman" w:eastAsia="仿宋" w:cs="Times New Roman"/>
          <w:color w:val="auto"/>
          <w:kern w:val="2"/>
          <w:sz w:val="32"/>
          <w:szCs w:val="32"/>
          <w:highlight w:val="none"/>
          <w:lang w:val="en-US" w:eastAsia="zh-CN" w:bidi="ar-SA"/>
        </w:rPr>
        <w:t>%。与2023年度相比，一般公共预算财政拨款支出减少54.55万元，下降6.5%。主要变动原因是项目经费减少。</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pStyle w:val="2"/>
        <w:jc w:val="center"/>
        <w:rPr>
          <w:rFonts w:hint="eastAsia"/>
          <w:lang w:val="en-US" w:eastAsia="zh-CN"/>
        </w:rPr>
      </w:pPr>
      <w:r>
        <w:drawing>
          <wp:inline distT="0" distB="0" distL="114300" distR="114300">
            <wp:extent cx="4572000" cy="2743200"/>
            <wp:effectExtent l="4445" t="4445" r="10795" b="10795"/>
            <wp:docPr id="6"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5" w:name="_Toc15377211"/>
      <w:r>
        <w:rPr>
          <w:rFonts w:hint="eastAsia" w:ascii="Times New Roman" w:hAnsi="Times New Roman" w:eastAsia="楷体_GB2312" w:cs="楷体_GB2312"/>
          <w:b/>
          <w:color w:val="auto"/>
          <w:sz w:val="32"/>
          <w:szCs w:val="32"/>
          <w:highlight w:val="none"/>
        </w:rPr>
        <w:t>（二）一般公共预算财政拨款支出决算结构情况</w:t>
      </w:r>
      <w:bookmarkEnd w:id="25"/>
    </w:p>
    <w:p>
      <w:pPr>
        <w:spacing w:line="600" w:lineRule="exact"/>
        <w:ind w:firstLine="640"/>
        <w:rPr>
          <w:rFonts w:hint="eastAsia"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kern w:val="2"/>
          <w:sz w:val="32"/>
          <w:szCs w:val="32"/>
          <w:highlight w:val="none"/>
          <w:lang w:val="en-US" w:eastAsia="zh-CN" w:bidi="ar-SA"/>
        </w:rPr>
        <w:t>2024年度一般公共预算财政拨款支出</w:t>
      </w:r>
      <w:r>
        <w:rPr>
          <w:rFonts w:hint="default" w:ascii="Times New Roman" w:hAnsi="Times New Roman" w:eastAsia="仿宋" w:cs="Times New Roman"/>
          <w:sz w:val="32"/>
          <w:szCs w:val="32"/>
        </w:rPr>
        <w:t>790.87</w:t>
      </w:r>
      <w:r>
        <w:rPr>
          <w:rFonts w:hint="default" w:ascii="Times New Roman" w:hAnsi="Times New Roman" w:eastAsia="仿宋" w:cs="Times New Roman"/>
          <w:color w:val="auto"/>
          <w:kern w:val="2"/>
          <w:sz w:val="32"/>
          <w:szCs w:val="32"/>
          <w:highlight w:val="none"/>
          <w:lang w:val="en-US" w:eastAsia="zh-CN" w:bidi="ar-SA"/>
        </w:rPr>
        <w:t>万元，主要用于以下方面：</w:t>
      </w:r>
      <w:r>
        <w:rPr>
          <w:rFonts w:hint="default" w:ascii="Times New Roman" w:hAnsi="Times New Roman" w:eastAsia="仿宋" w:cs="Times New Roman"/>
          <w:b/>
          <w:color w:val="auto"/>
          <w:sz w:val="32"/>
          <w:szCs w:val="32"/>
          <w:highlight w:val="none"/>
        </w:rPr>
        <w:t>公共安全支出</w:t>
      </w:r>
      <w:r>
        <w:rPr>
          <w:rFonts w:hint="default" w:ascii="Times New Roman" w:hAnsi="Times New Roman" w:eastAsia="仿宋" w:cs="Times New Roman"/>
          <w:b/>
          <w:color w:val="auto"/>
          <w:sz w:val="32"/>
          <w:szCs w:val="32"/>
          <w:highlight w:val="none"/>
          <w:lang w:val="en-US" w:eastAsia="zh-CN"/>
        </w:rPr>
        <w:t>613.17</w:t>
      </w:r>
      <w:r>
        <w:rPr>
          <w:rFonts w:hint="default" w:ascii="Times New Roman" w:hAnsi="Times New Roman" w:eastAsia="仿宋" w:cs="Times New Roman"/>
          <w:color w:val="auto"/>
          <w:sz w:val="32"/>
          <w:szCs w:val="32"/>
          <w:highlight w:val="none"/>
        </w:rPr>
        <w:t>万元，占</w:t>
      </w:r>
      <w:r>
        <w:rPr>
          <w:rFonts w:hint="default" w:ascii="Times New Roman" w:hAnsi="Times New Roman" w:eastAsia="仿宋" w:cs="Times New Roman"/>
          <w:color w:val="auto"/>
          <w:sz w:val="32"/>
          <w:szCs w:val="32"/>
          <w:highlight w:val="none"/>
          <w:lang w:val="en-US" w:eastAsia="zh-CN"/>
        </w:rPr>
        <w:t>77</w:t>
      </w:r>
      <w:r>
        <w:rPr>
          <w:rFonts w:hint="default" w:ascii="Times New Roman" w:hAnsi="Times New Roman" w:eastAsia="仿宋" w:cs="Times New Roman"/>
          <w:color w:val="auto"/>
          <w:sz w:val="32"/>
          <w:szCs w:val="32"/>
          <w:highlight w:val="none"/>
        </w:rPr>
        <w:t>%；</w:t>
      </w:r>
      <w:r>
        <w:rPr>
          <w:rFonts w:hint="default" w:ascii="Times New Roman" w:hAnsi="Times New Roman" w:eastAsia="仿宋" w:cs="Times New Roman"/>
          <w:b/>
          <w:color w:val="auto"/>
          <w:sz w:val="32"/>
          <w:szCs w:val="32"/>
          <w:highlight w:val="none"/>
        </w:rPr>
        <w:t>社会保障和就业</w:t>
      </w:r>
      <w:r>
        <w:rPr>
          <w:rFonts w:hint="default" w:ascii="Times New Roman" w:hAnsi="Times New Roman" w:eastAsia="仿宋" w:cs="Times New Roman"/>
          <w:b/>
          <w:bCs/>
          <w:color w:val="auto"/>
          <w:sz w:val="32"/>
          <w:szCs w:val="32"/>
          <w:highlight w:val="none"/>
        </w:rPr>
        <w:t>支出</w:t>
      </w:r>
      <w:r>
        <w:rPr>
          <w:rFonts w:hint="default" w:ascii="Times New Roman" w:hAnsi="Times New Roman" w:eastAsia="仿宋" w:cs="Times New Roman"/>
          <w:b/>
          <w:bCs/>
          <w:color w:val="auto"/>
          <w:sz w:val="32"/>
          <w:szCs w:val="32"/>
          <w:highlight w:val="none"/>
          <w:lang w:val="en-US" w:eastAsia="zh-CN"/>
        </w:rPr>
        <w:t>69.33</w:t>
      </w:r>
      <w:r>
        <w:rPr>
          <w:rFonts w:hint="default" w:ascii="Times New Roman" w:hAnsi="Times New Roman" w:eastAsia="仿宋" w:cs="Times New Roman"/>
          <w:color w:val="auto"/>
          <w:sz w:val="32"/>
          <w:szCs w:val="32"/>
          <w:highlight w:val="none"/>
        </w:rPr>
        <w:t>万元，占</w:t>
      </w:r>
      <w:r>
        <w:rPr>
          <w:rFonts w:hint="default" w:ascii="Times New Roman" w:hAnsi="Times New Roman" w:eastAsia="仿宋" w:cs="Times New Roman"/>
          <w:color w:val="auto"/>
          <w:sz w:val="32"/>
          <w:szCs w:val="32"/>
          <w:highlight w:val="none"/>
          <w:lang w:val="en-US" w:eastAsia="zh-CN"/>
        </w:rPr>
        <w:t>9</w:t>
      </w:r>
      <w:r>
        <w:rPr>
          <w:rFonts w:hint="default" w:ascii="Times New Roman" w:hAnsi="Times New Roman" w:eastAsia="仿宋" w:cs="Times New Roman"/>
          <w:color w:val="auto"/>
          <w:sz w:val="32"/>
          <w:szCs w:val="32"/>
          <w:highlight w:val="none"/>
        </w:rPr>
        <w:t>%；</w:t>
      </w:r>
      <w:r>
        <w:rPr>
          <w:rFonts w:hint="default" w:ascii="Times New Roman" w:hAnsi="Times New Roman" w:eastAsia="仿宋" w:cs="Times New Roman"/>
          <w:b/>
          <w:bCs/>
          <w:color w:val="auto"/>
          <w:sz w:val="32"/>
          <w:szCs w:val="32"/>
          <w:highlight w:val="none"/>
        </w:rPr>
        <w:t>卫生健康支出</w:t>
      </w:r>
      <w:r>
        <w:rPr>
          <w:rFonts w:hint="default" w:ascii="Times New Roman" w:hAnsi="Times New Roman" w:eastAsia="仿宋" w:cs="Times New Roman"/>
          <w:b/>
          <w:bCs/>
          <w:color w:val="auto"/>
          <w:sz w:val="32"/>
          <w:szCs w:val="32"/>
          <w:highlight w:val="none"/>
          <w:lang w:val="en-US" w:eastAsia="zh-CN"/>
        </w:rPr>
        <w:t>59.82</w:t>
      </w:r>
      <w:r>
        <w:rPr>
          <w:rFonts w:hint="default" w:ascii="Times New Roman" w:hAnsi="Times New Roman" w:eastAsia="仿宋" w:cs="Times New Roman"/>
          <w:color w:val="auto"/>
          <w:sz w:val="32"/>
          <w:szCs w:val="32"/>
          <w:highlight w:val="none"/>
        </w:rPr>
        <w:t>万元，占</w:t>
      </w:r>
      <w:r>
        <w:rPr>
          <w:rFonts w:hint="default" w:ascii="Times New Roman" w:hAnsi="Times New Roman" w:eastAsia="仿宋" w:cs="Times New Roman"/>
          <w:color w:val="auto"/>
          <w:sz w:val="32"/>
          <w:szCs w:val="32"/>
          <w:highlight w:val="none"/>
          <w:lang w:val="en-US" w:eastAsia="zh-CN"/>
        </w:rPr>
        <w:t>8</w:t>
      </w:r>
      <w:r>
        <w:rPr>
          <w:rFonts w:hint="default" w:ascii="Times New Roman" w:hAnsi="Times New Roman" w:eastAsia="仿宋" w:cs="Times New Roman"/>
          <w:color w:val="auto"/>
          <w:sz w:val="32"/>
          <w:szCs w:val="32"/>
          <w:highlight w:val="none"/>
        </w:rPr>
        <w:t>%；</w:t>
      </w:r>
      <w:r>
        <w:rPr>
          <w:rFonts w:hint="default" w:ascii="Times New Roman" w:hAnsi="Times New Roman" w:eastAsia="仿宋" w:cs="Times New Roman"/>
          <w:b/>
          <w:bCs/>
          <w:color w:val="auto"/>
          <w:sz w:val="32"/>
          <w:szCs w:val="32"/>
          <w:highlight w:val="none"/>
        </w:rPr>
        <w:t>住房保障支出</w:t>
      </w:r>
      <w:r>
        <w:rPr>
          <w:rFonts w:hint="default" w:ascii="Times New Roman" w:hAnsi="Times New Roman" w:eastAsia="仿宋" w:cs="Times New Roman"/>
          <w:b/>
          <w:bCs/>
          <w:color w:val="auto"/>
          <w:sz w:val="32"/>
          <w:szCs w:val="32"/>
          <w:highlight w:val="none"/>
          <w:lang w:val="en-US" w:eastAsia="zh-CN"/>
        </w:rPr>
        <w:t>48.54</w:t>
      </w:r>
      <w:r>
        <w:rPr>
          <w:rFonts w:hint="default" w:ascii="Times New Roman" w:hAnsi="Times New Roman" w:eastAsia="仿宋" w:cs="Times New Roman"/>
          <w:color w:val="auto"/>
          <w:sz w:val="32"/>
          <w:szCs w:val="32"/>
          <w:highlight w:val="none"/>
        </w:rPr>
        <w:t>万元，占</w:t>
      </w:r>
      <w:r>
        <w:rPr>
          <w:rFonts w:hint="default" w:ascii="Times New Roman" w:hAnsi="Times New Roman" w:eastAsia="仿宋" w:cs="Times New Roman"/>
          <w:color w:val="auto"/>
          <w:sz w:val="32"/>
          <w:szCs w:val="32"/>
          <w:highlight w:val="none"/>
          <w:lang w:val="en-US" w:eastAsia="zh-CN"/>
        </w:rPr>
        <w:t>6</w:t>
      </w:r>
      <w:r>
        <w:rPr>
          <w:rFonts w:hint="default" w:ascii="Times New Roman" w:hAnsi="Times New Roman" w:eastAsia="仿宋" w:cs="Times New Roman"/>
          <w:color w:val="auto"/>
          <w:sz w:val="32"/>
          <w:szCs w:val="32"/>
          <w:highlight w:val="none"/>
        </w:rPr>
        <w:t>%</w:t>
      </w:r>
      <w:r>
        <w:rPr>
          <w:rFonts w:hint="eastAsia" w:ascii="Times New Roman" w:hAnsi="Times New Roman" w:eastAsia="仿宋" w:cs="Times New Roman"/>
          <w:color w:val="auto"/>
          <w:sz w:val="32"/>
          <w:szCs w:val="32"/>
          <w:highlight w:val="none"/>
          <w:lang w:eastAsia="zh-CN"/>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pStyle w:val="2"/>
        <w:jc w:val="center"/>
        <w:rPr>
          <w:rFonts w:hint="eastAsia"/>
          <w:lang w:val="en-US" w:eastAsia="zh-CN"/>
        </w:rPr>
      </w:pPr>
      <w:r>
        <w:drawing>
          <wp:inline distT="0" distB="0" distL="114300" distR="114300">
            <wp:extent cx="4572000" cy="2743200"/>
            <wp:effectExtent l="4445" t="4445" r="10795" b="10795"/>
            <wp:docPr id="7"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6" w:name="_Toc15377212"/>
      <w:r>
        <w:rPr>
          <w:rFonts w:hint="eastAsia" w:ascii="Times New Roman" w:hAnsi="Times New Roman" w:eastAsia="楷体_GB2312" w:cs="楷体_GB2312"/>
          <w:b/>
          <w:color w:val="auto"/>
          <w:sz w:val="32"/>
          <w:szCs w:val="32"/>
          <w:highlight w:val="none"/>
        </w:rPr>
        <w:t>（三）一般公共预算财政拨款支出决算具体情况</w:t>
      </w:r>
      <w:bookmarkEnd w:id="26"/>
    </w:p>
    <w:p>
      <w:pPr>
        <w:spacing w:line="600" w:lineRule="exact"/>
        <w:ind w:firstLine="640"/>
        <w:rPr>
          <w:rFonts w:hint="default" w:ascii="Times New Roman" w:hAnsi="Times New Roman" w:eastAsia="仿宋" w:cs="Times New Roman"/>
          <w:color w:val="auto"/>
          <w:kern w:val="2"/>
          <w:sz w:val="32"/>
          <w:szCs w:val="32"/>
          <w:highlight w:val="none"/>
          <w:lang w:val="en-US" w:eastAsia="zh-CN" w:bidi="ar-SA"/>
        </w:rPr>
      </w:pPr>
      <w:bookmarkStart w:id="27" w:name="_Toc15377444"/>
      <w:bookmarkStart w:id="28" w:name="_Toc15378460"/>
      <w:bookmarkStart w:id="29" w:name="_Toc15377213"/>
      <w:r>
        <w:rPr>
          <w:rFonts w:hint="default" w:ascii="Times New Roman" w:hAnsi="Times New Roman" w:eastAsia="仿宋" w:cs="Times New Roman"/>
          <w:color w:val="auto"/>
          <w:kern w:val="2"/>
          <w:sz w:val="32"/>
          <w:szCs w:val="32"/>
          <w:highlight w:val="none"/>
          <w:lang w:val="en-US" w:eastAsia="zh-CN" w:bidi="ar-SA"/>
        </w:rPr>
        <w:t>2024年度一般公共预算财政拨款支出决算数为</w:t>
      </w:r>
      <w:r>
        <w:rPr>
          <w:rFonts w:hint="default" w:ascii="Times New Roman" w:hAnsi="Times New Roman" w:eastAsia="仿宋" w:cs="Times New Roman"/>
          <w:sz w:val="32"/>
          <w:szCs w:val="32"/>
        </w:rPr>
        <w:t>790.87</w:t>
      </w:r>
      <w:r>
        <w:rPr>
          <w:rFonts w:hint="default" w:ascii="Times New Roman" w:hAnsi="Times New Roman" w:eastAsia="仿宋" w:cs="Times New Roman"/>
          <w:color w:val="auto"/>
          <w:kern w:val="2"/>
          <w:sz w:val="32"/>
          <w:szCs w:val="32"/>
          <w:highlight w:val="none"/>
          <w:lang w:val="en-US" w:eastAsia="zh-CN" w:bidi="ar-SA"/>
        </w:rPr>
        <w:t>，完成预算100%。其中：</w:t>
      </w:r>
      <w:bookmarkEnd w:id="27"/>
      <w:bookmarkEnd w:id="28"/>
      <w:bookmarkEnd w:id="29"/>
    </w:p>
    <w:p>
      <w:pPr>
        <w:spacing w:line="600" w:lineRule="exact"/>
        <w:ind w:firstLine="643" w:firstLineChars="200"/>
        <w:rPr>
          <w:rFonts w:hint="default" w:ascii="Times New Roman" w:hAnsi="Times New Roman" w:eastAsia="仿宋" w:cs="Times New Roman"/>
          <w:b/>
          <w:color w:val="auto"/>
          <w:sz w:val="32"/>
          <w:szCs w:val="32"/>
          <w:highlight w:val="none"/>
        </w:rPr>
      </w:pPr>
      <w:r>
        <w:rPr>
          <w:rStyle w:val="19"/>
          <w:rFonts w:hint="default" w:ascii="Times New Roman" w:hAnsi="Times New Roman" w:eastAsia="仿宋" w:cs="Times New Roman"/>
          <w:bCs/>
          <w:color w:val="auto"/>
          <w:sz w:val="32"/>
          <w:szCs w:val="32"/>
          <w:highlight w:val="none"/>
        </w:rPr>
        <w:t>1.公共安全支出（类）司法（款）行政运行（项）:</w:t>
      </w:r>
      <w:r>
        <w:rPr>
          <w:rStyle w:val="19"/>
          <w:rFonts w:hint="default" w:ascii="Times New Roman" w:hAnsi="Times New Roman" w:eastAsia="仿宋" w:cs="Times New Roman"/>
          <w:b w:val="0"/>
          <w:bCs/>
          <w:color w:val="auto"/>
          <w:sz w:val="32"/>
          <w:szCs w:val="32"/>
          <w:highlight w:val="none"/>
        </w:rPr>
        <w:t>支出决算为</w:t>
      </w:r>
      <w:r>
        <w:rPr>
          <w:rStyle w:val="19"/>
          <w:rFonts w:hint="default" w:ascii="Times New Roman" w:hAnsi="Times New Roman" w:eastAsia="仿宋" w:cs="Times New Roman"/>
          <w:b w:val="0"/>
          <w:bCs/>
          <w:color w:val="auto"/>
          <w:sz w:val="32"/>
          <w:szCs w:val="32"/>
          <w:highlight w:val="none"/>
          <w:lang w:val="en-US" w:eastAsia="zh-CN"/>
        </w:rPr>
        <w:t>473.77</w:t>
      </w:r>
      <w:r>
        <w:rPr>
          <w:rStyle w:val="19"/>
          <w:rFonts w:hint="default" w:ascii="Times New Roman" w:hAnsi="Times New Roman" w:eastAsia="仿宋" w:cs="Times New Roman"/>
          <w:b w:val="0"/>
          <w:bCs/>
          <w:color w:val="auto"/>
          <w:sz w:val="32"/>
          <w:szCs w:val="32"/>
          <w:highlight w:val="none"/>
        </w:rPr>
        <w:t>万元，完成预算</w:t>
      </w:r>
      <w:r>
        <w:rPr>
          <w:rStyle w:val="19"/>
          <w:rFonts w:hint="default" w:ascii="Times New Roman" w:hAnsi="Times New Roman" w:eastAsia="仿宋" w:cs="Times New Roman"/>
          <w:b w:val="0"/>
          <w:bCs/>
          <w:color w:val="auto"/>
          <w:sz w:val="32"/>
          <w:szCs w:val="32"/>
          <w:highlight w:val="none"/>
          <w:lang w:val="en-US" w:eastAsia="zh-CN"/>
        </w:rPr>
        <w:t>100</w:t>
      </w:r>
      <w:r>
        <w:rPr>
          <w:rStyle w:val="19"/>
          <w:rFonts w:hint="default" w:ascii="Times New Roman" w:hAnsi="Times New Roman" w:eastAsia="仿宋" w:cs="Times New Roman"/>
          <w:b w:val="0"/>
          <w:bCs/>
          <w:color w:val="auto"/>
          <w:sz w:val="32"/>
          <w:szCs w:val="32"/>
          <w:highlight w:val="none"/>
        </w:rPr>
        <w:t>%。</w:t>
      </w:r>
    </w:p>
    <w:p>
      <w:pPr>
        <w:spacing w:line="600" w:lineRule="exact"/>
        <w:ind w:firstLine="643" w:firstLineChars="200"/>
        <w:rPr>
          <w:rStyle w:val="19"/>
          <w:rFonts w:hint="default" w:ascii="Times New Roman" w:hAnsi="Times New Roman" w:eastAsia="仿宋" w:cs="Times New Roman"/>
          <w:b w:val="0"/>
          <w:bCs/>
          <w:color w:val="auto"/>
          <w:sz w:val="32"/>
          <w:szCs w:val="32"/>
          <w:highlight w:val="none"/>
        </w:rPr>
      </w:pPr>
      <w:r>
        <w:rPr>
          <w:rStyle w:val="19"/>
          <w:rFonts w:hint="default" w:ascii="Times New Roman" w:hAnsi="Times New Roman" w:eastAsia="仿宋" w:cs="Times New Roman"/>
          <w:bCs/>
          <w:color w:val="auto"/>
          <w:sz w:val="32"/>
          <w:szCs w:val="32"/>
          <w:highlight w:val="none"/>
        </w:rPr>
        <w:t>2.公共安全支出（类）司法（款）</w:t>
      </w:r>
      <w:r>
        <w:rPr>
          <w:rStyle w:val="19"/>
          <w:rFonts w:hint="default" w:ascii="Times New Roman" w:hAnsi="Times New Roman" w:eastAsia="仿宋" w:cs="Times New Roman"/>
          <w:bCs/>
          <w:color w:val="auto"/>
          <w:sz w:val="32"/>
          <w:szCs w:val="32"/>
          <w:highlight w:val="none"/>
          <w:lang w:eastAsia="zh-CN"/>
        </w:rPr>
        <w:t>基层司法业务</w:t>
      </w:r>
      <w:r>
        <w:rPr>
          <w:rStyle w:val="19"/>
          <w:rFonts w:hint="default" w:ascii="Times New Roman" w:hAnsi="Times New Roman" w:eastAsia="仿宋" w:cs="Times New Roman"/>
          <w:bCs/>
          <w:color w:val="auto"/>
          <w:sz w:val="32"/>
          <w:szCs w:val="32"/>
          <w:highlight w:val="none"/>
        </w:rPr>
        <w:t>（项）:</w:t>
      </w:r>
      <w:r>
        <w:rPr>
          <w:rStyle w:val="19"/>
          <w:rFonts w:hint="default" w:ascii="Times New Roman" w:hAnsi="Times New Roman" w:eastAsia="仿宋" w:cs="Times New Roman"/>
          <w:b w:val="0"/>
          <w:bCs/>
          <w:color w:val="auto"/>
          <w:sz w:val="32"/>
          <w:szCs w:val="32"/>
          <w:highlight w:val="none"/>
        </w:rPr>
        <w:t>支出决算为</w:t>
      </w:r>
      <w:r>
        <w:rPr>
          <w:rStyle w:val="19"/>
          <w:rFonts w:hint="default" w:ascii="Times New Roman" w:hAnsi="Times New Roman" w:eastAsia="仿宋" w:cs="Times New Roman"/>
          <w:b w:val="0"/>
          <w:bCs/>
          <w:color w:val="auto"/>
          <w:sz w:val="32"/>
          <w:szCs w:val="32"/>
          <w:highlight w:val="none"/>
          <w:lang w:val="en-US" w:eastAsia="zh-CN"/>
        </w:rPr>
        <w:t>3.51</w:t>
      </w:r>
      <w:r>
        <w:rPr>
          <w:rStyle w:val="19"/>
          <w:rFonts w:hint="default" w:ascii="Times New Roman" w:hAnsi="Times New Roman" w:eastAsia="仿宋" w:cs="Times New Roman"/>
          <w:b w:val="0"/>
          <w:bCs/>
          <w:color w:val="auto"/>
          <w:sz w:val="32"/>
          <w:szCs w:val="32"/>
          <w:highlight w:val="none"/>
        </w:rPr>
        <w:t>万元，完成预算</w:t>
      </w:r>
      <w:r>
        <w:rPr>
          <w:rStyle w:val="19"/>
          <w:rFonts w:hint="default" w:ascii="Times New Roman" w:hAnsi="Times New Roman" w:eastAsia="仿宋" w:cs="Times New Roman"/>
          <w:b w:val="0"/>
          <w:bCs/>
          <w:color w:val="auto"/>
          <w:sz w:val="32"/>
          <w:szCs w:val="32"/>
          <w:highlight w:val="none"/>
          <w:lang w:val="en-US" w:eastAsia="zh-CN"/>
        </w:rPr>
        <w:t>100</w:t>
      </w:r>
      <w:r>
        <w:rPr>
          <w:rStyle w:val="19"/>
          <w:rFonts w:hint="default" w:ascii="Times New Roman" w:hAnsi="Times New Roman" w:eastAsia="仿宋" w:cs="Times New Roman"/>
          <w:b w:val="0"/>
          <w:bCs/>
          <w:color w:val="auto"/>
          <w:sz w:val="32"/>
          <w:szCs w:val="32"/>
          <w:highlight w:val="none"/>
        </w:rPr>
        <w:t>%。</w:t>
      </w:r>
    </w:p>
    <w:p>
      <w:pPr>
        <w:pStyle w:val="2"/>
        <w:ind w:firstLine="643" w:firstLineChars="200"/>
        <w:rPr>
          <w:rStyle w:val="19"/>
          <w:rFonts w:hint="default" w:ascii="Times New Roman" w:hAnsi="Times New Roman" w:eastAsia="仿宋" w:cs="Times New Roman"/>
          <w:b w:val="0"/>
          <w:bCs/>
          <w:color w:val="auto"/>
          <w:sz w:val="32"/>
          <w:szCs w:val="32"/>
          <w:highlight w:val="none"/>
          <w:lang w:eastAsia="zh-CN"/>
        </w:rPr>
      </w:pPr>
      <w:r>
        <w:rPr>
          <w:rStyle w:val="19"/>
          <w:rFonts w:hint="default" w:ascii="Times New Roman" w:hAnsi="Times New Roman" w:eastAsia="仿宋" w:cs="Times New Roman"/>
          <w:bCs/>
          <w:color w:val="auto"/>
          <w:sz w:val="32"/>
          <w:szCs w:val="32"/>
          <w:highlight w:val="none"/>
        </w:rPr>
        <w:t>2.公共安全支出（类）司法（款）</w:t>
      </w:r>
      <w:r>
        <w:rPr>
          <w:rStyle w:val="19"/>
          <w:rFonts w:hint="default" w:ascii="Times New Roman" w:hAnsi="Times New Roman" w:eastAsia="仿宋" w:cs="Times New Roman"/>
          <w:bCs/>
          <w:color w:val="auto"/>
          <w:sz w:val="32"/>
          <w:szCs w:val="32"/>
          <w:highlight w:val="none"/>
          <w:lang w:eastAsia="zh-CN"/>
        </w:rPr>
        <w:t>普法宣传</w:t>
      </w:r>
      <w:r>
        <w:rPr>
          <w:rStyle w:val="19"/>
          <w:rFonts w:hint="default" w:ascii="Times New Roman" w:hAnsi="Times New Roman" w:eastAsia="仿宋" w:cs="Times New Roman"/>
          <w:bCs/>
          <w:color w:val="auto"/>
          <w:sz w:val="32"/>
          <w:szCs w:val="32"/>
          <w:highlight w:val="none"/>
        </w:rPr>
        <w:t>（项）:</w:t>
      </w:r>
      <w:r>
        <w:rPr>
          <w:rStyle w:val="19"/>
          <w:rFonts w:hint="default" w:ascii="Times New Roman" w:hAnsi="Times New Roman" w:eastAsia="仿宋" w:cs="Times New Roman"/>
          <w:b w:val="0"/>
          <w:bCs/>
          <w:color w:val="auto"/>
          <w:sz w:val="32"/>
          <w:szCs w:val="32"/>
          <w:highlight w:val="none"/>
        </w:rPr>
        <w:t>支出决算为</w:t>
      </w:r>
      <w:r>
        <w:rPr>
          <w:rStyle w:val="19"/>
          <w:rFonts w:hint="default" w:ascii="Times New Roman" w:hAnsi="Times New Roman" w:eastAsia="仿宋" w:cs="Times New Roman"/>
          <w:b w:val="0"/>
          <w:bCs/>
          <w:color w:val="auto"/>
          <w:sz w:val="32"/>
          <w:szCs w:val="32"/>
          <w:highlight w:val="none"/>
          <w:lang w:val="en-US" w:eastAsia="zh-CN"/>
        </w:rPr>
        <w:t>1.85</w:t>
      </w:r>
      <w:r>
        <w:rPr>
          <w:rStyle w:val="19"/>
          <w:rFonts w:hint="default" w:ascii="Times New Roman" w:hAnsi="Times New Roman" w:eastAsia="仿宋" w:cs="Times New Roman"/>
          <w:b w:val="0"/>
          <w:bCs/>
          <w:color w:val="auto"/>
          <w:sz w:val="32"/>
          <w:szCs w:val="32"/>
          <w:highlight w:val="none"/>
        </w:rPr>
        <w:t>万元，完成预算</w:t>
      </w:r>
      <w:r>
        <w:rPr>
          <w:rStyle w:val="19"/>
          <w:rFonts w:hint="default" w:ascii="Times New Roman" w:hAnsi="Times New Roman" w:eastAsia="仿宋" w:cs="Times New Roman"/>
          <w:b w:val="0"/>
          <w:bCs/>
          <w:color w:val="auto"/>
          <w:sz w:val="32"/>
          <w:szCs w:val="32"/>
          <w:highlight w:val="none"/>
          <w:lang w:val="en-US" w:eastAsia="zh-CN"/>
        </w:rPr>
        <w:t>100</w:t>
      </w:r>
      <w:r>
        <w:rPr>
          <w:rStyle w:val="19"/>
          <w:rFonts w:hint="default" w:ascii="Times New Roman" w:hAnsi="Times New Roman" w:eastAsia="仿宋" w:cs="Times New Roman"/>
          <w:b w:val="0"/>
          <w:bCs/>
          <w:color w:val="auto"/>
          <w:sz w:val="32"/>
          <w:szCs w:val="32"/>
          <w:highlight w:val="none"/>
        </w:rPr>
        <w:t>%</w:t>
      </w:r>
      <w:r>
        <w:rPr>
          <w:rStyle w:val="19"/>
          <w:rFonts w:hint="default" w:ascii="Times New Roman" w:hAnsi="Times New Roman" w:eastAsia="仿宋" w:cs="Times New Roman"/>
          <w:b w:val="0"/>
          <w:bCs/>
          <w:color w:val="auto"/>
          <w:sz w:val="32"/>
          <w:szCs w:val="32"/>
          <w:highlight w:val="none"/>
          <w:lang w:eastAsia="zh-CN"/>
        </w:rPr>
        <w:t>。</w:t>
      </w:r>
    </w:p>
    <w:p>
      <w:pPr>
        <w:pStyle w:val="2"/>
        <w:ind w:firstLine="643" w:firstLineChars="200"/>
        <w:rPr>
          <w:rStyle w:val="19"/>
          <w:rFonts w:hint="default" w:ascii="Times New Roman" w:hAnsi="Times New Roman" w:eastAsia="仿宋" w:cs="Times New Roman"/>
          <w:b w:val="0"/>
          <w:bCs/>
          <w:color w:val="auto"/>
          <w:sz w:val="32"/>
          <w:szCs w:val="32"/>
          <w:highlight w:val="none"/>
          <w:lang w:val="en-US" w:eastAsia="zh-CN"/>
        </w:rPr>
      </w:pPr>
      <w:r>
        <w:rPr>
          <w:rStyle w:val="19"/>
          <w:rFonts w:hint="default" w:ascii="Times New Roman" w:hAnsi="Times New Roman" w:eastAsia="仿宋" w:cs="Times New Roman"/>
          <w:bCs/>
          <w:color w:val="auto"/>
          <w:sz w:val="32"/>
          <w:szCs w:val="32"/>
          <w:highlight w:val="none"/>
        </w:rPr>
        <w:t>2.公共安全支出（类）司法（款）</w:t>
      </w:r>
      <w:r>
        <w:rPr>
          <w:rStyle w:val="19"/>
          <w:rFonts w:hint="default" w:ascii="Times New Roman" w:hAnsi="Times New Roman" w:eastAsia="仿宋" w:cs="Times New Roman"/>
          <w:bCs/>
          <w:color w:val="auto"/>
          <w:sz w:val="32"/>
          <w:szCs w:val="32"/>
          <w:highlight w:val="none"/>
          <w:lang w:eastAsia="zh-CN"/>
        </w:rPr>
        <w:t>律师管理</w:t>
      </w:r>
      <w:r>
        <w:rPr>
          <w:rStyle w:val="19"/>
          <w:rFonts w:hint="default" w:ascii="Times New Roman" w:hAnsi="Times New Roman" w:eastAsia="仿宋" w:cs="Times New Roman"/>
          <w:bCs/>
          <w:color w:val="auto"/>
          <w:sz w:val="32"/>
          <w:szCs w:val="32"/>
          <w:highlight w:val="none"/>
        </w:rPr>
        <w:t>（项）:</w:t>
      </w:r>
      <w:r>
        <w:rPr>
          <w:rStyle w:val="19"/>
          <w:rFonts w:hint="default" w:ascii="Times New Roman" w:hAnsi="Times New Roman" w:eastAsia="仿宋" w:cs="Times New Roman"/>
          <w:b w:val="0"/>
          <w:bCs/>
          <w:color w:val="auto"/>
          <w:sz w:val="32"/>
          <w:szCs w:val="32"/>
          <w:highlight w:val="none"/>
        </w:rPr>
        <w:t>支出决算为</w:t>
      </w:r>
      <w:r>
        <w:rPr>
          <w:rStyle w:val="19"/>
          <w:rFonts w:hint="default" w:ascii="Times New Roman" w:hAnsi="Times New Roman" w:eastAsia="仿宋" w:cs="Times New Roman"/>
          <w:b w:val="0"/>
          <w:bCs/>
          <w:color w:val="auto"/>
          <w:sz w:val="32"/>
          <w:szCs w:val="32"/>
          <w:highlight w:val="none"/>
          <w:lang w:val="en-US" w:eastAsia="zh-CN"/>
        </w:rPr>
        <w:t>4</w:t>
      </w:r>
      <w:r>
        <w:rPr>
          <w:rStyle w:val="19"/>
          <w:rFonts w:hint="default" w:ascii="Times New Roman" w:hAnsi="Times New Roman" w:eastAsia="仿宋" w:cs="Times New Roman"/>
          <w:b w:val="0"/>
          <w:bCs/>
          <w:color w:val="auto"/>
          <w:sz w:val="32"/>
          <w:szCs w:val="32"/>
          <w:highlight w:val="none"/>
        </w:rPr>
        <w:t>万元，完成预算</w:t>
      </w:r>
      <w:r>
        <w:rPr>
          <w:rStyle w:val="19"/>
          <w:rFonts w:hint="default" w:ascii="Times New Roman" w:hAnsi="Times New Roman" w:eastAsia="仿宋" w:cs="Times New Roman"/>
          <w:b w:val="0"/>
          <w:bCs/>
          <w:color w:val="auto"/>
          <w:sz w:val="32"/>
          <w:szCs w:val="32"/>
          <w:highlight w:val="none"/>
          <w:lang w:val="en-US" w:eastAsia="zh-CN"/>
        </w:rPr>
        <w:t>100</w:t>
      </w:r>
      <w:r>
        <w:rPr>
          <w:rStyle w:val="19"/>
          <w:rFonts w:hint="default" w:ascii="Times New Roman" w:hAnsi="Times New Roman" w:eastAsia="仿宋" w:cs="Times New Roman"/>
          <w:b w:val="0"/>
          <w:bCs/>
          <w:color w:val="auto"/>
          <w:sz w:val="32"/>
          <w:szCs w:val="32"/>
          <w:highlight w:val="none"/>
        </w:rPr>
        <w:t>%</w:t>
      </w:r>
      <w:r>
        <w:rPr>
          <w:rStyle w:val="19"/>
          <w:rFonts w:hint="default" w:ascii="Times New Roman" w:hAnsi="Times New Roman" w:eastAsia="仿宋" w:cs="Times New Roman"/>
          <w:b w:val="0"/>
          <w:bCs/>
          <w:color w:val="auto"/>
          <w:sz w:val="32"/>
          <w:szCs w:val="32"/>
          <w:highlight w:val="none"/>
          <w:lang w:val="en-US" w:eastAsia="zh-CN"/>
        </w:rPr>
        <w:t>.</w:t>
      </w:r>
    </w:p>
    <w:p>
      <w:pPr>
        <w:pStyle w:val="2"/>
        <w:ind w:firstLine="643" w:firstLineChars="200"/>
        <w:rPr>
          <w:rStyle w:val="19"/>
          <w:rFonts w:hint="default" w:ascii="Times New Roman" w:hAnsi="Times New Roman" w:eastAsia="仿宋" w:cs="Times New Roman"/>
          <w:b w:val="0"/>
          <w:bCs/>
          <w:color w:val="auto"/>
          <w:sz w:val="32"/>
          <w:szCs w:val="32"/>
          <w:highlight w:val="none"/>
          <w:lang w:eastAsia="zh-CN"/>
        </w:rPr>
      </w:pPr>
      <w:r>
        <w:rPr>
          <w:rStyle w:val="19"/>
          <w:rFonts w:hint="default" w:ascii="Times New Roman" w:hAnsi="Times New Roman" w:eastAsia="仿宋" w:cs="Times New Roman"/>
          <w:bCs/>
          <w:color w:val="auto"/>
          <w:sz w:val="32"/>
          <w:szCs w:val="32"/>
          <w:highlight w:val="none"/>
        </w:rPr>
        <w:t>2.公共安全支出（类）司法（款）</w:t>
      </w:r>
      <w:r>
        <w:rPr>
          <w:rStyle w:val="19"/>
          <w:rFonts w:hint="default" w:ascii="Times New Roman" w:hAnsi="Times New Roman" w:eastAsia="仿宋" w:cs="Times New Roman"/>
          <w:bCs/>
          <w:color w:val="auto"/>
          <w:sz w:val="32"/>
          <w:szCs w:val="32"/>
          <w:highlight w:val="none"/>
          <w:lang w:eastAsia="zh-CN"/>
        </w:rPr>
        <w:t>公共法律服务</w:t>
      </w:r>
      <w:r>
        <w:rPr>
          <w:rStyle w:val="19"/>
          <w:rFonts w:hint="default" w:ascii="Times New Roman" w:hAnsi="Times New Roman" w:eastAsia="仿宋" w:cs="Times New Roman"/>
          <w:bCs/>
          <w:color w:val="auto"/>
          <w:sz w:val="32"/>
          <w:szCs w:val="32"/>
          <w:highlight w:val="none"/>
        </w:rPr>
        <w:t>（项）:</w:t>
      </w:r>
      <w:r>
        <w:rPr>
          <w:rStyle w:val="19"/>
          <w:rFonts w:hint="default" w:ascii="Times New Roman" w:hAnsi="Times New Roman" w:eastAsia="仿宋" w:cs="Times New Roman"/>
          <w:b w:val="0"/>
          <w:bCs/>
          <w:color w:val="auto"/>
          <w:sz w:val="32"/>
          <w:szCs w:val="32"/>
          <w:highlight w:val="none"/>
        </w:rPr>
        <w:t>支出决算为</w:t>
      </w:r>
      <w:r>
        <w:rPr>
          <w:rStyle w:val="19"/>
          <w:rFonts w:hint="default" w:ascii="Times New Roman" w:hAnsi="Times New Roman" w:eastAsia="仿宋" w:cs="Times New Roman"/>
          <w:b w:val="0"/>
          <w:bCs/>
          <w:color w:val="auto"/>
          <w:sz w:val="32"/>
          <w:szCs w:val="32"/>
          <w:highlight w:val="none"/>
          <w:lang w:val="en-US" w:eastAsia="zh-CN"/>
        </w:rPr>
        <w:t>2</w:t>
      </w:r>
      <w:r>
        <w:rPr>
          <w:rStyle w:val="19"/>
          <w:rFonts w:hint="default" w:ascii="Times New Roman" w:hAnsi="Times New Roman" w:eastAsia="仿宋" w:cs="Times New Roman"/>
          <w:b w:val="0"/>
          <w:bCs/>
          <w:color w:val="auto"/>
          <w:sz w:val="32"/>
          <w:szCs w:val="32"/>
          <w:highlight w:val="none"/>
        </w:rPr>
        <w:t>万元，完成预算</w:t>
      </w:r>
      <w:r>
        <w:rPr>
          <w:rStyle w:val="19"/>
          <w:rFonts w:hint="default" w:ascii="Times New Roman" w:hAnsi="Times New Roman" w:eastAsia="仿宋" w:cs="Times New Roman"/>
          <w:b w:val="0"/>
          <w:bCs/>
          <w:color w:val="auto"/>
          <w:sz w:val="32"/>
          <w:szCs w:val="32"/>
          <w:highlight w:val="none"/>
          <w:lang w:val="en-US" w:eastAsia="zh-CN"/>
        </w:rPr>
        <w:t>100</w:t>
      </w:r>
      <w:r>
        <w:rPr>
          <w:rStyle w:val="19"/>
          <w:rFonts w:hint="default" w:ascii="Times New Roman" w:hAnsi="Times New Roman" w:eastAsia="仿宋" w:cs="Times New Roman"/>
          <w:b w:val="0"/>
          <w:bCs/>
          <w:color w:val="auto"/>
          <w:sz w:val="32"/>
          <w:szCs w:val="32"/>
          <w:highlight w:val="none"/>
        </w:rPr>
        <w:t>%</w:t>
      </w:r>
      <w:r>
        <w:rPr>
          <w:rStyle w:val="19"/>
          <w:rFonts w:hint="default" w:ascii="Times New Roman" w:hAnsi="Times New Roman" w:eastAsia="仿宋" w:cs="Times New Roman"/>
          <w:b w:val="0"/>
          <w:bCs/>
          <w:color w:val="auto"/>
          <w:sz w:val="32"/>
          <w:szCs w:val="32"/>
          <w:highlight w:val="none"/>
          <w:lang w:eastAsia="zh-CN"/>
        </w:rPr>
        <w:t>。</w:t>
      </w:r>
    </w:p>
    <w:p>
      <w:pPr>
        <w:spacing w:line="600" w:lineRule="exact"/>
        <w:ind w:firstLine="643" w:firstLineChars="200"/>
        <w:rPr>
          <w:rStyle w:val="19"/>
          <w:rFonts w:hint="default" w:ascii="Times New Roman" w:hAnsi="Times New Roman" w:eastAsia="仿宋" w:cs="Times New Roman"/>
          <w:b w:val="0"/>
          <w:bCs/>
          <w:color w:val="auto"/>
          <w:sz w:val="32"/>
          <w:szCs w:val="32"/>
          <w:highlight w:val="none"/>
        </w:rPr>
      </w:pPr>
      <w:r>
        <w:rPr>
          <w:rStyle w:val="19"/>
          <w:rFonts w:hint="default" w:ascii="Times New Roman" w:hAnsi="Times New Roman" w:eastAsia="仿宋" w:cs="Times New Roman"/>
          <w:bCs/>
          <w:color w:val="auto"/>
          <w:sz w:val="32"/>
          <w:szCs w:val="32"/>
          <w:highlight w:val="none"/>
        </w:rPr>
        <w:t>3.公共安全支出（类）司法（款）社区矫正（项）:</w:t>
      </w:r>
      <w:r>
        <w:rPr>
          <w:rStyle w:val="19"/>
          <w:rFonts w:hint="default" w:ascii="Times New Roman" w:hAnsi="Times New Roman" w:eastAsia="仿宋" w:cs="Times New Roman"/>
          <w:b w:val="0"/>
          <w:bCs/>
          <w:color w:val="auto"/>
          <w:sz w:val="32"/>
          <w:szCs w:val="32"/>
          <w:highlight w:val="none"/>
        </w:rPr>
        <w:t>支出决算为</w:t>
      </w:r>
      <w:r>
        <w:rPr>
          <w:rStyle w:val="19"/>
          <w:rFonts w:hint="default" w:ascii="Times New Roman" w:hAnsi="Times New Roman" w:eastAsia="仿宋" w:cs="Times New Roman"/>
          <w:b w:val="0"/>
          <w:bCs/>
          <w:color w:val="auto"/>
          <w:sz w:val="32"/>
          <w:szCs w:val="32"/>
          <w:highlight w:val="none"/>
          <w:lang w:val="en-US" w:eastAsia="zh-CN"/>
        </w:rPr>
        <w:t>1.73</w:t>
      </w:r>
      <w:r>
        <w:rPr>
          <w:rStyle w:val="19"/>
          <w:rFonts w:hint="default" w:ascii="Times New Roman" w:hAnsi="Times New Roman" w:eastAsia="仿宋" w:cs="Times New Roman"/>
          <w:b w:val="0"/>
          <w:bCs/>
          <w:color w:val="auto"/>
          <w:sz w:val="32"/>
          <w:szCs w:val="32"/>
          <w:highlight w:val="none"/>
        </w:rPr>
        <w:t>万元，完成预算</w:t>
      </w:r>
      <w:r>
        <w:rPr>
          <w:rStyle w:val="19"/>
          <w:rFonts w:hint="default" w:ascii="Times New Roman" w:hAnsi="Times New Roman" w:eastAsia="仿宋" w:cs="Times New Roman"/>
          <w:b w:val="0"/>
          <w:bCs/>
          <w:color w:val="auto"/>
          <w:sz w:val="32"/>
          <w:szCs w:val="32"/>
          <w:highlight w:val="none"/>
          <w:lang w:val="en-US" w:eastAsia="zh-CN"/>
        </w:rPr>
        <w:t>100</w:t>
      </w:r>
      <w:r>
        <w:rPr>
          <w:rStyle w:val="19"/>
          <w:rFonts w:hint="default" w:ascii="Times New Roman" w:hAnsi="Times New Roman" w:eastAsia="仿宋" w:cs="Times New Roman"/>
          <w:b w:val="0"/>
          <w:bCs/>
          <w:color w:val="auto"/>
          <w:sz w:val="32"/>
          <w:szCs w:val="32"/>
          <w:highlight w:val="none"/>
        </w:rPr>
        <w:t>%。</w:t>
      </w:r>
    </w:p>
    <w:p>
      <w:pPr>
        <w:pStyle w:val="2"/>
        <w:ind w:firstLine="643" w:firstLineChars="200"/>
        <w:rPr>
          <w:rFonts w:hint="default" w:ascii="Times New Roman" w:hAnsi="Times New Roman" w:eastAsia="仿宋" w:cs="Times New Roman"/>
          <w:sz w:val="32"/>
          <w:szCs w:val="32"/>
        </w:rPr>
      </w:pPr>
      <w:r>
        <w:rPr>
          <w:rStyle w:val="19"/>
          <w:rFonts w:hint="default" w:ascii="Times New Roman" w:hAnsi="Times New Roman" w:eastAsia="仿宋" w:cs="Times New Roman"/>
          <w:bCs/>
          <w:color w:val="auto"/>
          <w:sz w:val="32"/>
          <w:szCs w:val="32"/>
          <w:highlight w:val="none"/>
        </w:rPr>
        <w:t>2.公共安全支出（类）司法（款）</w:t>
      </w:r>
      <w:r>
        <w:rPr>
          <w:rStyle w:val="19"/>
          <w:rFonts w:hint="default" w:ascii="Times New Roman" w:hAnsi="Times New Roman" w:eastAsia="仿宋" w:cs="Times New Roman"/>
          <w:bCs/>
          <w:color w:val="auto"/>
          <w:sz w:val="32"/>
          <w:szCs w:val="32"/>
          <w:highlight w:val="none"/>
          <w:lang w:eastAsia="zh-CN"/>
        </w:rPr>
        <w:t>法治建设</w:t>
      </w:r>
      <w:r>
        <w:rPr>
          <w:rStyle w:val="19"/>
          <w:rFonts w:hint="default" w:ascii="Times New Roman" w:hAnsi="Times New Roman" w:eastAsia="仿宋" w:cs="Times New Roman"/>
          <w:bCs/>
          <w:color w:val="auto"/>
          <w:sz w:val="32"/>
          <w:szCs w:val="32"/>
          <w:highlight w:val="none"/>
        </w:rPr>
        <w:t>（项）:</w:t>
      </w:r>
      <w:r>
        <w:rPr>
          <w:rStyle w:val="19"/>
          <w:rFonts w:hint="default" w:ascii="Times New Roman" w:hAnsi="Times New Roman" w:eastAsia="仿宋" w:cs="Times New Roman"/>
          <w:b w:val="0"/>
          <w:bCs/>
          <w:color w:val="auto"/>
          <w:sz w:val="32"/>
          <w:szCs w:val="32"/>
          <w:highlight w:val="none"/>
        </w:rPr>
        <w:t>支出决算为</w:t>
      </w:r>
      <w:r>
        <w:rPr>
          <w:rStyle w:val="19"/>
          <w:rFonts w:hint="default" w:ascii="Times New Roman" w:hAnsi="Times New Roman" w:eastAsia="仿宋" w:cs="Times New Roman"/>
          <w:b w:val="0"/>
          <w:bCs/>
          <w:color w:val="auto"/>
          <w:sz w:val="32"/>
          <w:szCs w:val="32"/>
          <w:highlight w:val="none"/>
          <w:lang w:val="en-US" w:eastAsia="zh-CN"/>
        </w:rPr>
        <w:t>2.80</w:t>
      </w:r>
      <w:r>
        <w:rPr>
          <w:rStyle w:val="19"/>
          <w:rFonts w:hint="default" w:ascii="Times New Roman" w:hAnsi="Times New Roman" w:eastAsia="仿宋" w:cs="Times New Roman"/>
          <w:b w:val="0"/>
          <w:bCs/>
          <w:color w:val="auto"/>
          <w:sz w:val="32"/>
          <w:szCs w:val="32"/>
          <w:highlight w:val="none"/>
        </w:rPr>
        <w:t>万元，完成预算</w:t>
      </w:r>
      <w:r>
        <w:rPr>
          <w:rStyle w:val="19"/>
          <w:rFonts w:hint="default" w:ascii="Times New Roman" w:hAnsi="Times New Roman" w:eastAsia="仿宋" w:cs="Times New Roman"/>
          <w:b w:val="0"/>
          <w:bCs/>
          <w:color w:val="auto"/>
          <w:sz w:val="32"/>
          <w:szCs w:val="32"/>
          <w:highlight w:val="none"/>
          <w:lang w:val="en-US" w:eastAsia="zh-CN"/>
        </w:rPr>
        <w:t>100</w:t>
      </w:r>
      <w:r>
        <w:rPr>
          <w:rStyle w:val="19"/>
          <w:rFonts w:hint="default" w:ascii="Times New Roman" w:hAnsi="Times New Roman" w:eastAsia="仿宋" w:cs="Times New Roman"/>
          <w:b w:val="0"/>
          <w:bCs/>
          <w:color w:val="auto"/>
          <w:sz w:val="32"/>
          <w:szCs w:val="32"/>
          <w:highlight w:val="none"/>
        </w:rPr>
        <w:t>%</w:t>
      </w:r>
      <w:r>
        <w:rPr>
          <w:rStyle w:val="19"/>
          <w:rFonts w:hint="default" w:ascii="Times New Roman" w:hAnsi="Times New Roman" w:eastAsia="仿宋" w:cs="Times New Roman"/>
          <w:b w:val="0"/>
          <w:bCs/>
          <w:color w:val="auto"/>
          <w:sz w:val="32"/>
          <w:szCs w:val="32"/>
          <w:highlight w:val="none"/>
          <w:lang w:eastAsia="zh-CN"/>
        </w:rPr>
        <w:t>。</w:t>
      </w:r>
    </w:p>
    <w:p>
      <w:pPr>
        <w:spacing w:line="600" w:lineRule="exact"/>
        <w:ind w:firstLine="643" w:firstLineChars="200"/>
        <w:rPr>
          <w:rFonts w:hint="default" w:ascii="Times New Roman" w:hAnsi="Times New Roman" w:eastAsia="仿宋" w:cs="Times New Roman"/>
          <w:b/>
          <w:color w:val="auto"/>
          <w:sz w:val="32"/>
          <w:szCs w:val="32"/>
          <w:highlight w:val="none"/>
        </w:rPr>
      </w:pPr>
      <w:r>
        <w:rPr>
          <w:rStyle w:val="19"/>
          <w:rFonts w:hint="default" w:ascii="Times New Roman" w:hAnsi="Times New Roman" w:eastAsia="仿宋" w:cs="Times New Roman"/>
          <w:bCs/>
          <w:color w:val="auto"/>
          <w:sz w:val="32"/>
          <w:szCs w:val="32"/>
          <w:highlight w:val="none"/>
        </w:rPr>
        <w:t>4.公共安全支出（类）司法（款）事业运行（项）:</w:t>
      </w:r>
      <w:r>
        <w:rPr>
          <w:rStyle w:val="19"/>
          <w:rFonts w:hint="default" w:ascii="Times New Roman" w:hAnsi="Times New Roman" w:eastAsia="仿宋" w:cs="Times New Roman"/>
          <w:b w:val="0"/>
          <w:bCs/>
          <w:color w:val="auto"/>
          <w:sz w:val="32"/>
          <w:szCs w:val="32"/>
          <w:highlight w:val="none"/>
        </w:rPr>
        <w:t>支出决算为</w:t>
      </w:r>
      <w:r>
        <w:rPr>
          <w:rStyle w:val="19"/>
          <w:rFonts w:hint="default" w:ascii="Times New Roman" w:hAnsi="Times New Roman" w:eastAsia="仿宋" w:cs="Times New Roman"/>
          <w:b w:val="0"/>
          <w:bCs/>
          <w:color w:val="auto"/>
          <w:sz w:val="32"/>
          <w:szCs w:val="32"/>
          <w:highlight w:val="none"/>
          <w:lang w:val="en-US" w:eastAsia="zh-CN"/>
        </w:rPr>
        <w:t>37.58</w:t>
      </w:r>
      <w:r>
        <w:rPr>
          <w:rStyle w:val="19"/>
          <w:rFonts w:hint="default" w:ascii="Times New Roman" w:hAnsi="Times New Roman" w:eastAsia="仿宋" w:cs="Times New Roman"/>
          <w:b w:val="0"/>
          <w:bCs/>
          <w:color w:val="auto"/>
          <w:sz w:val="32"/>
          <w:szCs w:val="32"/>
          <w:highlight w:val="none"/>
        </w:rPr>
        <w:t>万元，完成预算</w:t>
      </w:r>
      <w:r>
        <w:rPr>
          <w:rStyle w:val="19"/>
          <w:rFonts w:hint="default" w:ascii="Times New Roman" w:hAnsi="Times New Roman" w:eastAsia="仿宋" w:cs="Times New Roman"/>
          <w:b w:val="0"/>
          <w:bCs/>
          <w:color w:val="auto"/>
          <w:sz w:val="32"/>
          <w:szCs w:val="32"/>
          <w:highlight w:val="none"/>
          <w:lang w:val="en-US" w:eastAsia="zh-CN"/>
        </w:rPr>
        <w:t>100</w:t>
      </w:r>
      <w:r>
        <w:rPr>
          <w:rStyle w:val="19"/>
          <w:rFonts w:hint="default" w:ascii="Times New Roman" w:hAnsi="Times New Roman" w:eastAsia="仿宋" w:cs="Times New Roman"/>
          <w:b w:val="0"/>
          <w:bCs/>
          <w:color w:val="auto"/>
          <w:sz w:val="32"/>
          <w:szCs w:val="32"/>
          <w:highlight w:val="none"/>
        </w:rPr>
        <w:t>%。</w:t>
      </w:r>
    </w:p>
    <w:p>
      <w:pPr>
        <w:spacing w:line="600" w:lineRule="exact"/>
        <w:ind w:firstLine="643" w:firstLineChars="200"/>
        <w:rPr>
          <w:rFonts w:hint="default" w:ascii="Times New Roman" w:hAnsi="Times New Roman" w:eastAsia="仿宋" w:cs="Times New Roman"/>
          <w:b/>
          <w:color w:val="auto"/>
          <w:sz w:val="32"/>
          <w:szCs w:val="32"/>
          <w:highlight w:val="none"/>
        </w:rPr>
      </w:pPr>
      <w:r>
        <w:rPr>
          <w:rStyle w:val="19"/>
          <w:rFonts w:hint="default" w:ascii="Times New Roman" w:hAnsi="Times New Roman" w:eastAsia="仿宋" w:cs="Times New Roman"/>
          <w:bCs/>
          <w:color w:val="auto"/>
          <w:sz w:val="32"/>
          <w:szCs w:val="32"/>
          <w:highlight w:val="none"/>
        </w:rPr>
        <w:t>5.公共安全支出（类）司法（款）其他司法支出（项）:</w:t>
      </w:r>
      <w:r>
        <w:rPr>
          <w:rStyle w:val="19"/>
          <w:rFonts w:hint="default" w:ascii="Times New Roman" w:hAnsi="Times New Roman" w:eastAsia="仿宋" w:cs="Times New Roman"/>
          <w:b w:val="0"/>
          <w:bCs/>
          <w:color w:val="auto"/>
          <w:sz w:val="32"/>
          <w:szCs w:val="32"/>
          <w:highlight w:val="none"/>
        </w:rPr>
        <w:t>支出决算为</w:t>
      </w:r>
      <w:r>
        <w:rPr>
          <w:rStyle w:val="19"/>
          <w:rFonts w:hint="default" w:ascii="Times New Roman" w:hAnsi="Times New Roman" w:eastAsia="仿宋" w:cs="Times New Roman"/>
          <w:b w:val="0"/>
          <w:bCs/>
          <w:color w:val="auto"/>
          <w:sz w:val="32"/>
          <w:szCs w:val="32"/>
          <w:highlight w:val="none"/>
          <w:lang w:val="en-US" w:eastAsia="zh-CN"/>
        </w:rPr>
        <w:t>71.80</w:t>
      </w:r>
      <w:r>
        <w:rPr>
          <w:rStyle w:val="19"/>
          <w:rFonts w:hint="default" w:ascii="Times New Roman" w:hAnsi="Times New Roman" w:eastAsia="仿宋" w:cs="Times New Roman"/>
          <w:b w:val="0"/>
          <w:bCs/>
          <w:color w:val="auto"/>
          <w:sz w:val="32"/>
          <w:szCs w:val="32"/>
          <w:highlight w:val="none"/>
        </w:rPr>
        <w:t>万元，完成预算</w:t>
      </w:r>
      <w:r>
        <w:rPr>
          <w:rStyle w:val="19"/>
          <w:rFonts w:hint="default" w:ascii="Times New Roman" w:hAnsi="Times New Roman" w:eastAsia="仿宋" w:cs="Times New Roman"/>
          <w:b w:val="0"/>
          <w:bCs/>
          <w:color w:val="auto"/>
          <w:sz w:val="32"/>
          <w:szCs w:val="32"/>
          <w:highlight w:val="none"/>
          <w:lang w:val="en-US" w:eastAsia="zh-CN"/>
        </w:rPr>
        <w:t>100</w:t>
      </w:r>
      <w:r>
        <w:rPr>
          <w:rStyle w:val="19"/>
          <w:rFonts w:hint="default" w:ascii="Times New Roman" w:hAnsi="Times New Roman" w:eastAsia="仿宋" w:cs="Times New Roman"/>
          <w:b w:val="0"/>
          <w:bCs/>
          <w:color w:val="auto"/>
          <w:sz w:val="32"/>
          <w:szCs w:val="32"/>
          <w:highlight w:val="none"/>
        </w:rPr>
        <w:t>%。</w:t>
      </w:r>
    </w:p>
    <w:p>
      <w:pPr>
        <w:spacing w:line="600" w:lineRule="exact"/>
        <w:ind w:firstLine="643" w:firstLineChars="200"/>
        <w:rPr>
          <w:rFonts w:hint="default" w:ascii="Times New Roman" w:hAnsi="Times New Roman" w:eastAsia="仿宋" w:cs="Times New Roman"/>
          <w:b/>
          <w:color w:val="auto"/>
          <w:sz w:val="32"/>
          <w:szCs w:val="32"/>
          <w:highlight w:val="none"/>
        </w:rPr>
      </w:pPr>
      <w:r>
        <w:rPr>
          <w:rStyle w:val="19"/>
          <w:rFonts w:hint="default" w:ascii="Times New Roman" w:hAnsi="Times New Roman" w:eastAsia="仿宋" w:cs="Times New Roman"/>
          <w:bCs/>
          <w:color w:val="auto"/>
          <w:sz w:val="32"/>
          <w:szCs w:val="32"/>
          <w:highlight w:val="none"/>
        </w:rPr>
        <w:t>6.公共安全支出（类）其他公共安全支出（款）其他公共安全支出（项）:</w:t>
      </w:r>
      <w:r>
        <w:rPr>
          <w:rStyle w:val="19"/>
          <w:rFonts w:hint="default" w:ascii="Times New Roman" w:hAnsi="Times New Roman" w:eastAsia="仿宋" w:cs="Times New Roman"/>
          <w:b w:val="0"/>
          <w:bCs/>
          <w:color w:val="auto"/>
          <w:sz w:val="32"/>
          <w:szCs w:val="32"/>
          <w:highlight w:val="none"/>
        </w:rPr>
        <w:t>支出决算为</w:t>
      </w:r>
      <w:r>
        <w:rPr>
          <w:rStyle w:val="19"/>
          <w:rFonts w:hint="default" w:ascii="Times New Roman" w:hAnsi="Times New Roman" w:eastAsia="仿宋" w:cs="Times New Roman"/>
          <w:b w:val="0"/>
          <w:bCs/>
          <w:color w:val="auto"/>
          <w:sz w:val="32"/>
          <w:szCs w:val="32"/>
          <w:highlight w:val="none"/>
          <w:lang w:val="en-US" w:eastAsia="zh-CN"/>
        </w:rPr>
        <w:t>14.14</w:t>
      </w:r>
      <w:r>
        <w:rPr>
          <w:rStyle w:val="19"/>
          <w:rFonts w:hint="default" w:ascii="Times New Roman" w:hAnsi="Times New Roman" w:eastAsia="仿宋" w:cs="Times New Roman"/>
          <w:b w:val="0"/>
          <w:bCs/>
          <w:color w:val="auto"/>
          <w:sz w:val="32"/>
          <w:szCs w:val="32"/>
          <w:highlight w:val="none"/>
        </w:rPr>
        <w:t>万元，完成预算</w:t>
      </w:r>
      <w:r>
        <w:rPr>
          <w:rStyle w:val="19"/>
          <w:rFonts w:hint="default" w:ascii="Times New Roman" w:hAnsi="Times New Roman" w:eastAsia="仿宋" w:cs="Times New Roman"/>
          <w:b w:val="0"/>
          <w:bCs/>
          <w:color w:val="auto"/>
          <w:sz w:val="32"/>
          <w:szCs w:val="32"/>
          <w:highlight w:val="none"/>
          <w:lang w:val="en-US" w:eastAsia="zh-CN"/>
        </w:rPr>
        <w:t>100</w:t>
      </w:r>
      <w:r>
        <w:rPr>
          <w:rStyle w:val="19"/>
          <w:rFonts w:hint="default" w:ascii="Times New Roman" w:hAnsi="Times New Roman" w:eastAsia="仿宋" w:cs="Times New Roman"/>
          <w:b w:val="0"/>
          <w:bCs/>
          <w:color w:val="auto"/>
          <w:sz w:val="32"/>
          <w:szCs w:val="32"/>
          <w:highlight w:val="none"/>
        </w:rPr>
        <w:t>%。</w:t>
      </w:r>
    </w:p>
    <w:p>
      <w:pPr>
        <w:spacing w:line="600" w:lineRule="exact"/>
        <w:ind w:firstLine="643" w:firstLineChars="200"/>
        <w:rPr>
          <w:rFonts w:hint="default" w:ascii="Times New Roman" w:hAnsi="Times New Roman" w:eastAsia="仿宋" w:cs="Times New Roman"/>
          <w:b/>
          <w:color w:val="auto"/>
          <w:sz w:val="32"/>
          <w:szCs w:val="32"/>
          <w:highlight w:val="none"/>
        </w:rPr>
      </w:pPr>
      <w:r>
        <w:rPr>
          <w:rStyle w:val="19"/>
          <w:rFonts w:hint="default" w:ascii="Times New Roman" w:hAnsi="Times New Roman" w:eastAsia="仿宋" w:cs="Times New Roman"/>
          <w:bCs/>
          <w:color w:val="auto"/>
          <w:sz w:val="32"/>
          <w:szCs w:val="32"/>
          <w:highlight w:val="none"/>
          <w:lang w:val="en-US" w:eastAsia="zh-CN"/>
        </w:rPr>
        <w:t>7</w:t>
      </w:r>
      <w:r>
        <w:rPr>
          <w:rStyle w:val="19"/>
          <w:rFonts w:hint="default" w:ascii="Times New Roman" w:hAnsi="Times New Roman" w:eastAsia="仿宋" w:cs="Times New Roman"/>
          <w:bCs/>
          <w:color w:val="auto"/>
          <w:sz w:val="32"/>
          <w:szCs w:val="32"/>
          <w:highlight w:val="none"/>
        </w:rPr>
        <w:t>.社会保障和就业支出（类）行政事业单位养老支出（款）行政单位离退休（项）:</w:t>
      </w:r>
      <w:r>
        <w:rPr>
          <w:rStyle w:val="19"/>
          <w:rFonts w:hint="default" w:ascii="Times New Roman" w:hAnsi="Times New Roman" w:eastAsia="仿宋" w:cs="Times New Roman"/>
          <w:b w:val="0"/>
          <w:bCs/>
          <w:color w:val="auto"/>
          <w:sz w:val="32"/>
          <w:szCs w:val="32"/>
          <w:highlight w:val="none"/>
        </w:rPr>
        <w:t>支出决算为</w:t>
      </w:r>
      <w:r>
        <w:rPr>
          <w:rStyle w:val="19"/>
          <w:rFonts w:hint="default" w:ascii="Times New Roman" w:hAnsi="Times New Roman" w:eastAsia="仿宋" w:cs="Times New Roman"/>
          <w:b w:val="0"/>
          <w:bCs/>
          <w:color w:val="auto"/>
          <w:sz w:val="32"/>
          <w:szCs w:val="32"/>
          <w:highlight w:val="none"/>
          <w:lang w:val="en-US" w:eastAsia="zh-CN"/>
        </w:rPr>
        <w:t>13.10</w:t>
      </w:r>
      <w:r>
        <w:rPr>
          <w:rStyle w:val="19"/>
          <w:rFonts w:hint="default" w:ascii="Times New Roman" w:hAnsi="Times New Roman" w:eastAsia="仿宋" w:cs="Times New Roman"/>
          <w:b w:val="0"/>
          <w:bCs/>
          <w:color w:val="auto"/>
          <w:sz w:val="32"/>
          <w:szCs w:val="32"/>
          <w:highlight w:val="none"/>
        </w:rPr>
        <w:t>万元，完成预算</w:t>
      </w:r>
      <w:r>
        <w:rPr>
          <w:rStyle w:val="19"/>
          <w:rFonts w:hint="default" w:ascii="Times New Roman" w:hAnsi="Times New Roman" w:eastAsia="仿宋" w:cs="Times New Roman"/>
          <w:b w:val="0"/>
          <w:bCs/>
          <w:color w:val="auto"/>
          <w:sz w:val="32"/>
          <w:szCs w:val="32"/>
          <w:highlight w:val="none"/>
          <w:lang w:val="en-US" w:eastAsia="zh-CN"/>
        </w:rPr>
        <w:t>100</w:t>
      </w:r>
      <w:r>
        <w:rPr>
          <w:rStyle w:val="19"/>
          <w:rFonts w:hint="default" w:ascii="Times New Roman" w:hAnsi="Times New Roman" w:eastAsia="仿宋" w:cs="Times New Roman"/>
          <w:b w:val="0"/>
          <w:bCs/>
          <w:color w:val="auto"/>
          <w:sz w:val="32"/>
          <w:szCs w:val="32"/>
          <w:highlight w:val="none"/>
        </w:rPr>
        <w:t>%。</w:t>
      </w:r>
    </w:p>
    <w:p>
      <w:pPr>
        <w:spacing w:line="600" w:lineRule="exact"/>
        <w:ind w:firstLine="643" w:firstLineChars="200"/>
        <w:rPr>
          <w:rFonts w:hint="default" w:ascii="Times New Roman" w:hAnsi="Times New Roman" w:eastAsia="仿宋" w:cs="Times New Roman"/>
          <w:b/>
          <w:color w:val="auto"/>
          <w:sz w:val="32"/>
          <w:szCs w:val="32"/>
          <w:highlight w:val="none"/>
        </w:rPr>
      </w:pPr>
      <w:r>
        <w:rPr>
          <w:rStyle w:val="19"/>
          <w:rFonts w:hint="default" w:ascii="Times New Roman" w:hAnsi="Times New Roman" w:eastAsia="仿宋" w:cs="Times New Roman"/>
          <w:bCs/>
          <w:color w:val="auto"/>
          <w:sz w:val="32"/>
          <w:szCs w:val="32"/>
          <w:highlight w:val="none"/>
          <w:lang w:val="en-US" w:eastAsia="zh-CN"/>
        </w:rPr>
        <w:t>8</w:t>
      </w:r>
      <w:r>
        <w:rPr>
          <w:rStyle w:val="19"/>
          <w:rFonts w:hint="default" w:ascii="Times New Roman" w:hAnsi="Times New Roman" w:eastAsia="仿宋" w:cs="Times New Roman"/>
          <w:bCs/>
          <w:color w:val="auto"/>
          <w:sz w:val="32"/>
          <w:szCs w:val="32"/>
          <w:highlight w:val="none"/>
        </w:rPr>
        <w:t>.社会保障和就业支出（类）行政事业单位养老支出（款）机关事业单位基本养老保险缴费支出（项）:</w:t>
      </w:r>
      <w:r>
        <w:rPr>
          <w:rStyle w:val="19"/>
          <w:rFonts w:hint="default" w:ascii="Times New Roman" w:hAnsi="Times New Roman" w:eastAsia="仿宋" w:cs="Times New Roman"/>
          <w:b w:val="0"/>
          <w:bCs/>
          <w:color w:val="auto"/>
          <w:sz w:val="32"/>
          <w:szCs w:val="32"/>
          <w:highlight w:val="none"/>
        </w:rPr>
        <w:t>支出决算为</w:t>
      </w:r>
      <w:r>
        <w:rPr>
          <w:rStyle w:val="19"/>
          <w:rFonts w:hint="default" w:ascii="Times New Roman" w:hAnsi="Times New Roman" w:eastAsia="仿宋" w:cs="Times New Roman"/>
          <w:b w:val="0"/>
          <w:bCs/>
          <w:color w:val="auto"/>
          <w:sz w:val="32"/>
          <w:szCs w:val="32"/>
          <w:highlight w:val="none"/>
          <w:lang w:val="en-US" w:eastAsia="zh-CN"/>
        </w:rPr>
        <w:t>56.22</w:t>
      </w:r>
      <w:r>
        <w:rPr>
          <w:rStyle w:val="19"/>
          <w:rFonts w:hint="default" w:ascii="Times New Roman" w:hAnsi="Times New Roman" w:eastAsia="仿宋" w:cs="Times New Roman"/>
          <w:b w:val="0"/>
          <w:bCs/>
          <w:color w:val="auto"/>
          <w:sz w:val="32"/>
          <w:szCs w:val="32"/>
          <w:highlight w:val="none"/>
        </w:rPr>
        <w:t>万元，完成预算</w:t>
      </w:r>
      <w:r>
        <w:rPr>
          <w:rStyle w:val="19"/>
          <w:rFonts w:hint="default" w:ascii="Times New Roman" w:hAnsi="Times New Roman" w:eastAsia="仿宋" w:cs="Times New Roman"/>
          <w:b w:val="0"/>
          <w:bCs/>
          <w:color w:val="auto"/>
          <w:sz w:val="32"/>
          <w:szCs w:val="32"/>
          <w:highlight w:val="none"/>
          <w:lang w:val="en-US" w:eastAsia="zh-CN"/>
        </w:rPr>
        <w:t>100</w:t>
      </w:r>
      <w:r>
        <w:rPr>
          <w:rStyle w:val="19"/>
          <w:rFonts w:hint="default" w:ascii="Times New Roman" w:hAnsi="Times New Roman" w:eastAsia="仿宋" w:cs="Times New Roman"/>
          <w:b w:val="0"/>
          <w:bCs/>
          <w:color w:val="auto"/>
          <w:sz w:val="32"/>
          <w:szCs w:val="32"/>
          <w:highlight w:val="none"/>
        </w:rPr>
        <w:t>%。</w:t>
      </w:r>
    </w:p>
    <w:p>
      <w:pPr>
        <w:spacing w:line="600" w:lineRule="exact"/>
        <w:ind w:firstLine="643" w:firstLineChars="200"/>
        <w:rPr>
          <w:rFonts w:hint="default" w:ascii="Times New Roman" w:hAnsi="Times New Roman" w:eastAsia="仿宋" w:cs="Times New Roman"/>
          <w:b/>
          <w:color w:val="auto"/>
          <w:sz w:val="32"/>
          <w:szCs w:val="32"/>
          <w:highlight w:val="none"/>
        </w:rPr>
      </w:pPr>
      <w:r>
        <w:rPr>
          <w:rStyle w:val="19"/>
          <w:rFonts w:hint="default" w:ascii="Times New Roman" w:hAnsi="Times New Roman" w:eastAsia="仿宋" w:cs="Times New Roman"/>
          <w:bCs/>
          <w:color w:val="auto"/>
          <w:sz w:val="32"/>
          <w:szCs w:val="32"/>
          <w:highlight w:val="none"/>
          <w:lang w:val="en-US" w:eastAsia="zh-CN"/>
        </w:rPr>
        <w:t>10</w:t>
      </w:r>
      <w:r>
        <w:rPr>
          <w:rStyle w:val="19"/>
          <w:rFonts w:hint="default" w:ascii="Times New Roman" w:hAnsi="Times New Roman" w:eastAsia="仿宋" w:cs="Times New Roman"/>
          <w:bCs/>
          <w:color w:val="auto"/>
          <w:sz w:val="32"/>
          <w:szCs w:val="32"/>
          <w:highlight w:val="none"/>
        </w:rPr>
        <w:t>.卫生健康支出（类）行政事业单位医疗（款）行政单位医疗（项）:</w:t>
      </w:r>
      <w:r>
        <w:rPr>
          <w:rStyle w:val="19"/>
          <w:rFonts w:hint="default" w:ascii="Times New Roman" w:hAnsi="Times New Roman" w:eastAsia="仿宋" w:cs="Times New Roman"/>
          <w:b w:val="0"/>
          <w:bCs/>
          <w:color w:val="auto"/>
          <w:sz w:val="32"/>
          <w:szCs w:val="32"/>
          <w:highlight w:val="none"/>
        </w:rPr>
        <w:t>支出决算为</w:t>
      </w:r>
      <w:r>
        <w:rPr>
          <w:rStyle w:val="19"/>
          <w:rFonts w:hint="default" w:ascii="Times New Roman" w:hAnsi="Times New Roman" w:eastAsia="仿宋" w:cs="Times New Roman"/>
          <w:b w:val="0"/>
          <w:bCs/>
          <w:color w:val="auto"/>
          <w:sz w:val="32"/>
          <w:szCs w:val="32"/>
          <w:highlight w:val="none"/>
          <w:lang w:val="en-US" w:eastAsia="zh-CN"/>
        </w:rPr>
        <w:t>31.17</w:t>
      </w:r>
      <w:r>
        <w:rPr>
          <w:rStyle w:val="19"/>
          <w:rFonts w:hint="default" w:ascii="Times New Roman" w:hAnsi="Times New Roman" w:eastAsia="仿宋" w:cs="Times New Roman"/>
          <w:b w:val="0"/>
          <w:bCs/>
          <w:color w:val="auto"/>
          <w:sz w:val="32"/>
          <w:szCs w:val="32"/>
          <w:highlight w:val="none"/>
        </w:rPr>
        <w:t>万元，完成预算</w:t>
      </w:r>
      <w:r>
        <w:rPr>
          <w:rStyle w:val="19"/>
          <w:rFonts w:hint="default" w:ascii="Times New Roman" w:hAnsi="Times New Roman" w:eastAsia="仿宋" w:cs="Times New Roman"/>
          <w:b w:val="0"/>
          <w:bCs/>
          <w:color w:val="auto"/>
          <w:sz w:val="32"/>
          <w:szCs w:val="32"/>
          <w:highlight w:val="none"/>
          <w:lang w:val="en-US" w:eastAsia="zh-CN"/>
        </w:rPr>
        <w:t>100</w:t>
      </w:r>
      <w:r>
        <w:rPr>
          <w:rStyle w:val="19"/>
          <w:rFonts w:hint="default" w:ascii="Times New Roman" w:hAnsi="Times New Roman" w:eastAsia="仿宋" w:cs="Times New Roman"/>
          <w:b w:val="0"/>
          <w:bCs/>
          <w:color w:val="auto"/>
          <w:sz w:val="32"/>
          <w:szCs w:val="32"/>
          <w:highlight w:val="none"/>
        </w:rPr>
        <w:t>%。</w:t>
      </w:r>
    </w:p>
    <w:p>
      <w:pPr>
        <w:spacing w:line="600" w:lineRule="exact"/>
        <w:ind w:firstLine="643" w:firstLineChars="200"/>
        <w:rPr>
          <w:rFonts w:hint="default" w:ascii="Times New Roman" w:hAnsi="Times New Roman" w:eastAsia="仿宋" w:cs="Times New Roman"/>
          <w:b/>
          <w:color w:val="auto"/>
          <w:sz w:val="32"/>
          <w:szCs w:val="32"/>
          <w:highlight w:val="none"/>
        </w:rPr>
      </w:pPr>
      <w:r>
        <w:rPr>
          <w:rStyle w:val="19"/>
          <w:rFonts w:hint="default" w:ascii="Times New Roman" w:hAnsi="Times New Roman" w:eastAsia="仿宋" w:cs="Times New Roman"/>
          <w:bCs/>
          <w:color w:val="auto"/>
          <w:sz w:val="32"/>
          <w:szCs w:val="32"/>
          <w:highlight w:val="none"/>
          <w:lang w:val="en-US" w:eastAsia="zh-CN"/>
        </w:rPr>
        <w:t>11</w:t>
      </w:r>
      <w:r>
        <w:rPr>
          <w:rStyle w:val="19"/>
          <w:rFonts w:hint="default" w:ascii="Times New Roman" w:hAnsi="Times New Roman" w:eastAsia="仿宋" w:cs="Times New Roman"/>
          <w:bCs/>
          <w:color w:val="auto"/>
          <w:sz w:val="32"/>
          <w:szCs w:val="32"/>
          <w:highlight w:val="none"/>
        </w:rPr>
        <w:t>.卫生健康支出（类）行政事业单位医疗（款）事业单位医疗（项）:</w:t>
      </w:r>
      <w:r>
        <w:rPr>
          <w:rStyle w:val="19"/>
          <w:rFonts w:hint="default" w:ascii="Times New Roman" w:hAnsi="Times New Roman" w:eastAsia="仿宋" w:cs="Times New Roman"/>
          <w:b w:val="0"/>
          <w:bCs/>
          <w:color w:val="auto"/>
          <w:sz w:val="32"/>
          <w:szCs w:val="32"/>
          <w:highlight w:val="none"/>
        </w:rPr>
        <w:t>支出决算为</w:t>
      </w:r>
      <w:r>
        <w:rPr>
          <w:rStyle w:val="19"/>
          <w:rFonts w:hint="default" w:ascii="Times New Roman" w:hAnsi="Times New Roman" w:eastAsia="仿宋" w:cs="Times New Roman"/>
          <w:b w:val="0"/>
          <w:bCs/>
          <w:color w:val="auto"/>
          <w:sz w:val="32"/>
          <w:szCs w:val="32"/>
          <w:highlight w:val="none"/>
          <w:lang w:val="en-US" w:eastAsia="zh-CN"/>
        </w:rPr>
        <w:t>2.63</w:t>
      </w:r>
      <w:r>
        <w:rPr>
          <w:rStyle w:val="19"/>
          <w:rFonts w:hint="default" w:ascii="Times New Roman" w:hAnsi="Times New Roman" w:eastAsia="仿宋" w:cs="Times New Roman"/>
          <w:b w:val="0"/>
          <w:bCs/>
          <w:color w:val="auto"/>
          <w:sz w:val="32"/>
          <w:szCs w:val="32"/>
          <w:highlight w:val="none"/>
        </w:rPr>
        <w:t>万元，完成预算</w:t>
      </w:r>
      <w:r>
        <w:rPr>
          <w:rStyle w:val="19"/>
          <w:rFonts w:hint="default" w:ascii="Times New Roman" w:hAnsi="Times New Roman" w:eastAsia="仿宋" w:cs="Times New Roman"/>
          <w:b w:val="0"/>
          <w:bCs/>
          <w:color w:val="auto"/>
          <w:sz w:val="32"/>
          <w:szCs w:val="32"/>
          <w:highlight w:val="none"/>
          <w:lang w:val="en-US" w:eastAsia="zh-CN"/>
        </w:rPr>
        <w:t>100</w:t>
      </w:r>
      <w:r>
        <w:rPr>
          <w:rStyle w:val="19"/>
          <w:rFonts w:hint="default" w:ascii="Times New Roman" w:hAnsi="Times New Roman" w:eastAsia="仿宋" w:cs="Times New Roman"/>
          <w:b w:val="0"/>
          <w:bCs/>
          <w:color w:val="auto"/>
          <w:sz w:val="32"/>
          <w:szCs w:val="32"/>
          <w:highlight w:val="none"/>
        </w:rPr>
        <w:t>%。</w:t>
      </w:r>
    </w:p>
    <w:p>
      <w:pPr>
        <w:spacing w:line="600" w:lineRule="exact"/>
        <w:ind w:firstLine="643" w:firstLineChars="200"/>
        <w:rPr>
          <w:rFonts w:hint="default" w:ascii="Times New Roman" w:hAnsi="Times New Roman" w:eastAsia="仿宋" w:cs="Times New Roman"/>
          <w:b/>
          <w:color w:val="auto"/>
          <w:sz w:val="32"/>
          <w:szCs w:val="32"/>
          <w:highlight w:val="none"/>
        </w:rPr>
      </w:pPr>
      <w:r>
        <w:rPr>
          <w:rStyle w:val="19"/>
          <w:rFonts w:hint="default" w:ascii="Times New Roman" w:hAnsi="Times New Roman" w:eastAsia="仿宋" w:cs="Times New Roman"/>
          <w:bCs/>
          <w:color w:val="auto"/>
          <w:sz w:val="32"/>
          <w:szCs w:val="32"/>
          <w:highlight w:val="none"/>
          <w:lang w:val="en-US" w:eastAsia="zh-CN"/>
        </w:rPr>
        <w:t>12</w:t>
      </w:r>
      <w:r>
        <w:rPr>
          <w:rStyle w:val="19"/>
          <w:rFonts w:hint="default" w:ascii="Times New Roman" w:hAnsi="Times New Roman" w:eastAsia="仿宋" w:cs="Times New Roman"/>
          <w:bCs/>
          <w:color w:val="auto"/>
          <w:sz w:val="32"/>
          <w:szCs w:val="32"/>
          <w:highlight w:val="none"/>
        </w:rPr>
        <w:t>.卫生健康支出（类）行政事业单位医疗（款）公务员医疗补助（项）:</w:t>
      </w:r>
      <w:r>
        <w:rPr>
          <w:rStyle w:val="19"/>
          <w:rFonts w:hint="default" w:ascii="Times New Roman" w:hAnsi="Times New Roman" w:eastAsia="仿宋" w:cs="Times New Roman"/>
          <w:b w:val="0"/>
          <w:bCs/>
          <w:color w:val="auto"/>
          <w:sz w:val="32"/>
          <w:szCs w:val="32"/>
          <w:highlight w:val="none"/>
        </w:rPr>
        <w:t>支出决算为</w:t>
      </w:r>
      <w:r>
        <w:rPr>
          <w:rStyle w:val="19"/>
          <w:rFonts w:hint="default" w:ascii="Times New Roman" w:hAnsi="Times New Roman" w:eastAsia="仿宋" w:cs="Times New Roman"/>
          <w:b w:val="0"/>
          <w:bCs/>
          <w:color w:val="auto"/>
          <w:sz w:val="32"/>
          <w:szCs w:val="32"/>
          <w:highlight w:val="none"/>
          <w:lang w:val="en-US" w:eastAsia="zh-CN"/>
        </w:rPr>
        <w:t>24.36</w:t>
      </w:r>
      <w:r>
        <w:rPr>
          <w:rStyle w:val="19"/>
          <w:rFonts w:hint="default" w:ascii="Times New Roman" w:hAnsi="Times New Roman" w:eastAsia="仿宋" w:cs="Times New Roman"/>
          <w:b w:val="0"/>
          <w:bCs/>
          <w:color w:val="auto"/>
          <w:sz w:val="32"/>
          <w:szCs w:val="32"/>
          <w:highlight w:val="none"/>
        </w:rPr>
        <w:t>万元，完成预算</w:t>
      </w:r>
      <w:r>
        <w:rPr>
          <w:rStyle w:val="19"/>
          <w:rFonts w:hint="default" w:ascii="Times New Roman" w:hAnsi="Times New Roman" w:eastAsia="仿宋" w:cs="Times New Roman"/>
          <w:b w:val="0"/>
          <w:bCs/>
          <w:color w:val="auto"/>
          <w:sz w:val="32"/>
          <w:szCs w:val="32"/>
          <w:highlight w:val="none"/>
          <w:lang w:val="en-US" w:eastAsia="zh-CN"/>
        </w:rPr>
        <w:t>100</w:t>
      </w:r>
      <w:r>
        <w:rPr>
          <w:rStyle w:val="19"/>
          <w:rFonts w:hint="default" w:ascii="Times New Roman" w:hAnsi="Times New Roman" w:eastAsia="仿宋" w:cs="Times New Roman"/>
          <w:b w:val="0"/>
          <w:bCs/>
          <w:color w:val="auto"/>
          <w:sz w:val="32"/>
          <w:szCs w:val="32"/>
          <w:highlight w:val="none"/>
        </w:rPr>
        <w:t>%。</w:t>
      </w:r>
    </w:p>
    <w:p>
      <w:pPr>
        <w:spacing w:line="600" w:lineRule="exact"/>
        <w:ind w:firstLine="643" w:firstLineChars="200"/>
        <w:rPr>
          <w:rFonts w:hint="default" w:ascii="Times New Roman" w:hAnsi="Times New Roman" w:eastAsia="仿宋" w:cs="Times New Roman"/>
          <w:b/>
          <w:color w:val="auto"/>
          <w:sz w:val="32"/>
          <w:szCs w:val="32"/>
          <w:highlight w:val="none"/>
        </w:rPr>
      </w:pPr>
      <w:r>
        <w:rPr>
          <w:rStyle w:val="19"/>
          <w:rFonts w:hint="default" w:ascii="Times New Roman" w:hAnsi="Times New Roman" w:eastAsia="仿宋" w:cs="Times New Roman"/>
          <w:bCs/>
          <w:color w:val="auto"/>
          <w:sz w:val="32"/>
          <w:szCs w:val="32"/>
          <w:highlight w:val="none"/>
          <w:lang w:val="en-US" w:eastAsia="zh-CN"/>
        </w:rPr>
        <w:t>13</w:t>
      </w:r>
      <w:r>
        <w:rPr>
          <w:rStyle w:val="19"/>
          <w:rFonts w:hint="default" w:ascii="Times New Roman" w:hAnsi="Times New Roman" w:eastAsia="仿宋" w:cs="Times New Roman"/>
          <w:bCs/>
          <w:color w:val="auto"/>
          <w:sz w:val="32"/>
          <w:szCs w:val="32"/>
          <w:highlight w:val="none"/>
        </w:rPr>
        <w:t>.卫生健康支出（类）行政事业单位医疗（款）其他行政事业单位医疗支出（项）:</w:t>
      </w:r>
      <w:r>
        <w:rPr>
          <w:rStyle w:val="19"/>
          <w:rFonts w:hint="default" w:ascii="Times New Roman" w:hAnsi="Times New Roman" w:eastAsia="仿宋" w:cs="Times New Roman"/>
          <w:b w:val="0"/>
          <w:bCs/>
          <w:color w:val="auto"/>
          <w:sz w:val="32"/>
          <w:szCs w:val="32"/>
          <w:highlight w:val="none"/>
        </w:rPr>
        <w:t>支出决算为</w:t>
      </w:r>
      <w:r>
        <w:rPr>
          <w:rStyle w:val="19"/>
          <w:rFonts w:hint="default" w:ascii="Times New Roman" w:hAnsi="Times New Roman" w:eastAsia="仿宋" w:cs="Times New Roman"/>
          <w:b w:val="0"/>
          <w:bCs/>
          <w:color w:val="auto"/>
          <w:sz w:val="32"/>
          <w:szCs w:val="32"/>
          <w:highlight w:val="none"/>
          <w:lang w:val="en-US" w:eastAsia="zh-CN"/>
        </w:rPr>
        <w:t>1.66</w:t>
      </w:r>
      <w:r>
        <w:rPr>
          <w:rStyle w:val="19"/>
          <w:rFonts w:hint="default" w:ascii="Times New Roman" w:hAnsi="Times New Roman" w:eastAsia="仿宋" w:cs="Times New Roman"/>
          <w:b w:val="0"/>
          <w:bCs/>
          <w:color w:val="auto"/>
          <w:sz w:val="32"/>
          <w:szCs w:val="32"/>
          <w:highlight w:val="none"/>
        </w:rPr>
        <w:t>万元，完成预算</w:t>
      </w:r>
      <w:r>
        <w:rPr>
          <w:rStyle w:val="19"/>
          <w:rFonts w:hint="default" w:ascii="Times New Roman" w:hAnsi="Times New Roman" w:eastAsia="仿宋" w:cs="Times New Roman"/>
          <w:b w:val="0"/>
          <w:bCs/>
          <w:color w:val="auto"/>
          <w:sz w:val="32"/>
          <w:szCs w:val="32"/>
          <w:highlight w:val="none"/>
          <w:lang w:val="en-US" w:eastAsia="zh-CN"/>
        </w:rPr>
        <w:t>100</w:t>
      </w:r>
      <w:r>
        <w:rPr>
          <w:rStyle w:val="19"/>
          <w:rFonts w:hint="default" w:ascii="Times New Roman" w:hAnsi="Times New Roman" w:eastAsia="仿宋" w:cs="Times New Roman"/>
          <w:b w:val="0"/>
          <w:bCs/>
          <w:color w:val="auto"/>
          <w:sz w:val="32"/>
          <w:szCs w:val="32"/>
          <w:highlight w:val="none"/>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Style w:val="19"/>
          <w:rFonts w:hint="default" w:ascii="Times New Roman" w:hAnsi="Times New Roman" w:eastAsia="仿宋" w:cs="Times New Roman"/>
          <w:bCs/>
          <w:color w:val="auto"/>
          <w:sz w:val="32"/>
          <w:szCs w:val="32"/>
          <w:highlight w:val="none"/>
          <w:lang w:val="en-US" w:eastAsia="zh-CN"/>
        </w:rPr>
        <w:t>14</w:t>
      </w:r>
      <w:r>
        <w:rPr>
          <w:rStyle w:val="19"/>
          <w:rFonts w:hint="default" w:ascii="Times New Roman" w:hAnsi="Times New Roman" w:eastAsia="仿宋" w:cs="Times New Roman"/>
          <w:bCs/>
          <w:color w:val="auto"/>
          <w:sz w:val="32"/>
          <w:szCs w:val="32"/>
          <w:highlight w:val="none"/>
        </w:rPr>
        <w:t>.住房保障支出（类）住房改革支出（款）住房公积金（项）:</w:t>
      </w:r>
      <w:r>
        <w:rPr>
          <w:rStyle w:val="19"/>
          <w:rFonts w:hint="default" w:ascii="Times New Roman" w:hAnsi="Times New Roman" w:eastAsia="仿宋" w:cs="Times New Roman"/>
          <w:b w:val="0"/>
          <w:bCs/>
          <w:color w:val="auto"/>
          <w:sz w:val="32"/>
          <w:szCs w:val="32"/>
          <w:highlight w:val="none"/>
        </w:rPr>
        <w:t>支出决算为</w:t>
      </w:r>
      <w:r>
        <w:rPr>
          <w:rStyle w:val="19"/>
          <w:rFonts w:hint="default" w:ascii="Times New Roman" w:hAnsi="Times New Roman" w:eastAsia="仿宋" w:cs="Times New Roman"/>
          <w:b w:val="0"/>
          <w:bCs/>
          <w:color w:val="auto"/>
          <w:sz w:val="32"/>
          <w:szCs w:val="32"/>
          <w:highlight w:val="none"/>
          <w:lang w:val="en-US" w:eastAsia="zh-CN"/>
        </w:rPr>
        <w:t>48.54</w:t>
      </w:r>
      <w:r>
        <w:rPr>
          <w:rStyle w:val="19"/>
          <w:rFonts w:hint="default" w:ascii="Times New Roman" w:hAnsi="Times New Roman" w:eastAsia="仿宋" w:cs="Times New Roman"/>
          <w:b w:val="0"/>
          <w:bCs/>
          <w:color w:val="auto"/>
          <w:sz w:val="32"/>
          <w:szCs w:val="32"/>
          <w:highlight w:val="none"/>
        </w:rPr>
        <w:t>万元，完成预算</w:t>
      </w:r>
      <w:r>
        <w:rPr>
          <w:rStyle w:val="19"/>
          <w:rFonts w:hint="default" w:ascii="Times New Roman" w:hAnsi="Times New Roman" w:eastAsia="仿宋" w:cs="Times New Roman"/>
          <w:b w:val="0"/>
          <w:bCs/>
          <w:color w:val="auto"/>
          <w:sz w:val="32"/>
          <w:szCs w:val="32"/>
          <w:highlight w:val="none"/>
          <w:lang w:val="en-US" w:eastAsia="zh-CN"/>
        </w:rPr>
        <w:t>100</w:t>
      </w:r>
      <w:r>
        <w:rPr>
          <w:rStyle w:val="19"/>
          <w:rFonts w:hint="default" w:ascii="Times New Roman" w:hAnsi="Times New Roman" w:eastAsia="仿宋" w:cs="Times New Roman"/>
          <w:b w:val="0"/>
          <w:bCs/>
          <w:color w:val="auto"/>
          <w:sz w:val="32"/>
          <w:szCs w:val="32"/>
          <w:highlight w:val="none"/>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tabs>
          <w:tab w:val="right" w:pos="8306"/>
        </w:tabs>
        <w:spacing w:line="600" w:lineRule="exact"/>
        <w:ind w:firstLine="640"/>
        <w:outlineLvl w:val="1"/>
        <w:rPr>
          <w:rStyle w:val="30"/>
          <w:rFonts w:ascii="Times New Roman" w:hAnsi="Times New Roman"/>
          <w:color w:val="auto"/>
          <w:highlight w:val="none"/>
        </w:rPr>
      </w:pPr>
      <w:bookmarkStart w:id="30" w:name="_Toc15396608"/>
      <w:bookmarkStart w:id="31" w:name="_Toc15377214"/>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30"/>
          <w:rFonts w:hint="eastAsia" w:ascii="Times New Roman" w:hAnsi="Times New Roman" w:eastAsia="黑体"/>
          <w:b w:val="0"/>
          <w:color w:val="auto"/>
          <w:highlight w:val="none"/>
        </w:rPr>
        <w:t>般公共预算财政拨款基本支出决算情况说明</w:t>
      </w:r>
      <w:bookmarkEnd w:id="30"/>
      <w:bookmarkEnd w:id="31"/>
      <w:r>
        <w:rPr>
          <w:rStyle w:val="30"/>
          <w:rFonts w:ascii="Times New Roman" w:hAnsi="Times New Roman" w:eastAsia="黑体"/>
          <w:b w:val="0"/>
          <w:color w:val="auto"/>
          <w:highlight w:val="none"/>
        </w:rPr>
        <w:tab/>
      </w:r>
    </w:p>
    <w:p>
      <w:pPr>
        <w:spacing w:line="600" w:lineRule="exact"/>
        <w:ind w:firstLine="640"/>
        <w:rPr>
          <w:rFonts w:hint="default" w:ascii="Times New Roman" w:hAnsi="Times New Roman" w:eastAsia="仿宋" w:cs="Times New Roman"/>
          <w:color w:val="auto"/>
          <w:kern w:val="2"/>
          <w:sz w:val="32"/>
          <w:szCs w:val="32"/>
          <w:highlight w:val="none"/>
          <w:lang w:val="en-US" w:eastAsia="zh-CN" w:bidi="ar-SA"/>
        </w:rPr>
      </w:pPr>
      <w:r>
        <w:rPr>
          <w:rFonts w:hint="default" w:ascii="Times New Roman" w:hAnsi="Times New Roman" w:eastAsia="仿宋" w:cs="Times New Roman"/>
          <w:color w:val="auto"/>
          <w:kern w:val="2"/>
          <w:sz w:val="32"/>
          <w:szCs w:val="32"/>
          <w:highlight w:val="none"/>
          <w:lang w:val="en-US" w:eastAsia="zh-CN" w:bidi="ar-SA"/>
        </w:rPr>
        <w:t>2024年度一般公共预算财政拨款基本支出</w:t>
      </w:r>
      <w:r>
        <w:rPr>
          <w:rFonts w:hint="default" w:ascii="Times New Roman" w:hAnsi="Times New Roman" w:eastAsia="仿宋" w:cs="Times New Roman"/>
          <w:sz w:val="32"/>
          <w:szCs w:val="32"/>
        </w:rPr>
        <w:t>689.04</w:t>
      </w:r>
      <w:r>
        <w:rPr>
          <w:rFonts w:hint="default" w:ascii="Times New Roman" w:hAnsi="Times New Roman" w:eastAsia="仿宋" w:cs="Times New Roman"/>
          <w:color w:val="auto"/>
          <w:kern w:val="2"/>
          <w:sz w:val="32"/>
          <w:szCs w:val="32"/>
          <w:highlight w:val="none"/>
          <w:lang w:val="en-US" w:eastAsia="zh-CN" w:bidi="ar-SA"/>
        </w:rPr>
        <w:t>万元，其中：</w:t>
      </w:r>
    </w:p>
    <w:p>
      <w:pPr>
        <w:spacing w:line="600" w:lineRule="exact"/>
        <w:ind w:firstLine="640"/>
        <w:rPr>
          <w:rFonts w:hint="eastAsia" w:eastAsia="仿宋" w:cs="Times New Roman"/>
          <w:color w:val="auto"/>
          <w:kern w:val="2"/>
          <w:sz w:val="32"/>
          <w:szCs w:val="32"/>
          <w:highlight w:val="none"/>
          <w:lang w:val="en-US" w:eastAsia="zh-CN" w:bidi="ar-SA"/>
        </w:rPr>
      </w:pPr>
      <w:r>
        <w:rPr>
          <w:rFonts w:hint="default" w:ascii="Times New Roman" w:hAnsi="Times New Roman" w:eastAsia="仿宋" w:cs="Times New Roman"/>
          <w:color w:val="auto"/>
          <w:kern w:val="2"/>
          <w:sz w:val="32"/>
          <w:szCs w:val="32"/>
          <w:highlight w:val="none"/>
          <w:lang w:val="en-US" w:eastAsia="zh-CN" w:bidi="ar-SA"/>
        </w:rPr>
        <w:t>人员经费6</w:t>
      </w:r>
      <w:r>
        <w:rPr>
          <w:rFonts w:hint="eastAsia" w:eastAsia="仿宋" w:cs="Times New Roman"/>
          <w:color w:val="auto"/>
          <w:kern w:val="2"/>
          <w:sz w:val="32"/>
          <w:szCs w:val="32"/>
          <w:highlight w:val="none"/>
          <w:lang w:val="en-US" w:eastAsia="zh-CN" w:bidi="ar-SA"/>
        </w:rPr>
        <w:t>41.62</w:t>
      </w:r>
      <w:r>
        <w:rPr>
          <w:rFonts w:hint="default" w:ascii="Times New Roman" w:hAnsi="Times New Roman" w:eastAsia="仿宋" w:cs="Times New Roman"/>
          <w:color w:val="auto"/>
          <w:kern w:val="2"/>
          <w:sz w:val="32"/>
          <w:szCs w:val="32"/>
          <w:highlight w:val="none"/>
          <w:lang w:val="en-US" w:eastAsia="zh-CN" w:bidi="ar-SA"/>
        </w:rPr>
        <w:t>万元，主要包括：基本工资、津贴补贴、奖金、绩效工资、机关事业单位基本养老保险缴费、职工基本医疗保险缴费、公务员医疗补助缴费、其他社会保障缴费、住房公积金、其他工资福利支出</w:t>
      </w:r>
      <w:r>
        <w:rPr>
          <w:rFonts w:hint="eastAsia" w:eastAsia="仿宋" w:cs="Times New Roman"/>
          <w:color w:val="auto"/>
          <w:kern w:val="2"/>
          <w:sz w:val="32"/>
          <w:szCs w:val="32"/>
          <w:highlight w:val="none"/>
          <w:lang w:val="en-US" w:eastAsia="zh-CN" w:bidi="ar-SA"/>
        </w:rPr>
        <w:t>、生活补助等。</w:t>
      </w:r>
    </w:p>
    <w:p>
      <w:pPr>
        <w:spacing w:line="600" w:lineRule="exact"/>
        <w:ind w:firstLine="640"/>
        <w:rPr>
          <w:rFonts w:hint="eastAsia" w:eastAsia="仿宋" w:cs="Times New Roman"/>
          <w:color w:val="auto"/>
          <w:kern w:val="2"/>
          <w:sz w:val="32"/>
          <w:szCs w:val="32"/>
          <w:highlight w:val="none"/>
          <w:lang w:val="en-US" w:eastAsia="zh-CN" w:bidi="ar-SA"/>
        </w:rPr>
      </w:pPr>
      <w:r>
        <w:rPr>
          <w:rFonts w:hint="default" w:ascii="Times New Roman" w:hAnsi="Times New Roman" w:eastAsia="仿宋" w:cs="Times New Roman"/>
          <w:color w:val="auto"/>
          <w:kern w:val="2"/>
          <w:sz w:val="32"/>
          <w:szCs w:val="32"/>
          <w:highlight w:val="none"/>
          <w:lang w:val="en-US" w:eastAsia="zh-CN" w:bidi="ar-SA"/>
        </w:rPr>
        <w:t>公用经费47.42万元，主要包括：办公费</w:t>
      </w:r>
      <w:r>
        <w:rPr>
          <w:rFonts w:hint="eastAsia" w:eastAsia="仿宋" w:cs="Times New Roman"/>
          <w:color w:val="auto"/>
          <w:kern w:val="2"/>
          <w:sz w:val="32"/>
          <w:szCs w:val="32"/>
          <w:highlight w:val="none"/>
          <w:lang w:val="en-US" w:eastAsia="zh-CN" w:bidi="ar-SA"/>
        </w:rPr>
        <w:t>、</w:t>
      </w:r>
      <w:r>
        <w:rPr>
          <w:rFonts w:hint="default" w:ascii="Times New Roman" w:hAnsi="Times New Roman" w:eastAsia="仿宋" w:cs="Times New Roman"/>
          <w:color w:val="auto"/>
          <w:kern w:val="2"/>
          <w:sz w:val="32"/>
          <w:szCs w:val="32"/>
          <w:highlight w:val="none"/>
          <w:lang w:val="en-US" w:eastAsia="zh-CN" w:bidi="ar-SA"/>
        </w:rPr>
        <w:t>差旅费、</w:t>
      </w:r>
      <w:r>
        <w:rPr>
          <w:rFonts w:hint="eastAsia" w:eastAsia="仿宋" w:cs="Times New Roman"/>
          <w:color w:val="auto"/>
          <w:kern w:val="2"/>
          <w:sz w:val="32"/>
          <w:szCs w:val="32"/>
          <w:highlight w:val="none"/>
          <w:lang w:val="en-US" w:eastAsia="zh-CN" w:bidi="ar-SA"/>
        </w:rPr>
        <w:t>公务接待费、工会经费、福利费、公务用车运行维护费、其他交通费用、其他商品和服务支出等。</w:t>
      </w:r>
    </w:p>
    <w:p>
      <w:pPr>
        <w:pStyle w:val="2"/>
        <w:rPr>
          <w:rFonts w:hint="eastAsia"/>
          <w:lang w:val="en-US" w:eastAsia="zh-CN"/>
        </w:rPr>
      </w:pPr>
    </w:p>
    <w:p>
      <w:pPr>
        <w:spacing w:line="600" w:lineRule="exact"/>
        <w:ind w:firstLine="640"/>
        <w:outlineLvl w:val="1"/>
        <w:rPr>
          <w:rStyle w:val="30"/>
          <w:rFonts w:ascii="Times New Roman" w:hAnsi="Times New Roman" w:eastAsia="黑体"/>
          <w:b w:val="0"/>
          <w:color w:val="auto"/>
          <w:highlight w:val="none"/>
        </w:rPr>
      </w:pPr>
      <w:bookmarkStart w:id="32" w:name="_Toc15396609"/>
      <w:bookmarkStart w:id="33" w:name="_Toc15377215"/>
      <w:r>
        <w:rPr>
          <w:rFonts w:hint="eastAsia" w:ascii="Times New Roman" w:hAnsi="Times New Roman" w:eastAsia="黑体"/>
          <w:color w:val="auto"/>
          <w:sz w:val="32"/>
          <w:szCs w:val="32"/>
          <w:highlight w:val="none"/>
        </w:rPr>
        <w:t>七、</w:t>
      </w:r>
      <w:r>
        <w:rPr>
          <w:rStyle w:val="30"/>
          <w:rFonts w:hint="eastAsia" w:ascii="Times New Roman" w:hAnsi="Times New Roman" w:eastAsia="黑体"/>
          <w:b w:val="0"/>
          <w:color w:val="auto"/>
          <w:highlight w:val="none"/>
        </w:rPr>
        <w:t>财政拨款</w:t>
      </w:r>
      <w:r>
        <w:rPr>
          <w:rStyle w:val="30"/>
          <w:rFonts w:hint="eastAsia" w:ascii="Times New Roman" w:hAnsi="Times New Roman" w:eastAsia="黑体"/>
          <w:color w:val="auto"/>
          <w:highlight w:val="none"/>
        </w:rPr>
        <w:t>“</w:t>
      </w:r>
      <w:r>
        <w:rPr>
          <w:rStyle w:val="30"/>
          <w:rFonts w:hint="eastAsia" w:ascii="Times New Roman" w:hAnsi="Times New Roman" w:eastAsia="黑体"/>
          <w:b w:val="0"/>
          <w:color w:val="auto"/>
          <w:highlight w:val="none"/>
        </w:rPr>
        <w:t>三公”经费支出决算情况说明</w:t>
      </w:r>
      <w:bookmarkEnd w:id="32"/>
      <w:bookmarkEnd w:id="33"/>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4"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34"/>
    </w:p>
    <w:p>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default" w:ascii="Times New Roman" w:hAnsi="Times New Roman" w:eastAsia="仿宋" w:cs="Times New Roman"/>
          <w:color w:val="auto"/>
          <w:kern w:val="2"/>
          <w:sz w:val="32"/>
          <w:szCs w:val="32"/>
          <w:highlight w:val="none"/>
          <w:lang w:val="en-US" w:eastAsia="zh-CN" w:bidi="ar-SA"/>
        </w:rPr>
        <w:t>2024年度“三公”经费财政拨款支出决算为</w:t>
      </w:r>
      <w:r>
        <w:rPr>
          <w:rFonts w:hint="default" w:ascii="Times New Roman" w:hAnsi="Times New Roman" w:eastAsia="仿宋" w:cs="Times New Roman"/>
          <w:sz w:val="32"/>
          <w:szCs w:val="32"/>
        </w:rPr>
        <w:t>1.23</w:t>
      </w:r>
      <w:r>
        <w:rPr>
          <w:rFonts w:hint="default" w:ascii="Times New Roman" w:hAnsi="Times New Roman" w:eastAsia="仿宋" w:cs="Times New Roman"/>
          <w:color w:val="auto"/>
          <w:kern w:val="2"/>
          <w:sz w:val="32"/>
          <w:szCs w:val="32"/>
          <w:highlight w:val="none"/>
          <w:lang w:val="en-US" w:eastAsia="zh-CN" w:bidi="ar-SA"/>
        </w:rPr>
        <w:t>万元，完成预算</w:t>
      </w:r>
      <w:r>
        <w:rPr>
          <w:rFonts w:hint="default" w:ascii="Times New Roman" w:hAnsi="Times New Roman" w:eastAsia="仿宋" w:cs="Times New Roman"/>
          <w:sz w:val="32"/>
          <w:szCs w:val="32"/>
        </w:rPr>
        <w:t>100</w:t>
      </w:r>
      <w:r>
        <w:rPr>
          <w:rFonts w:hint="default" w:ascii="Times New Roman" w:hAnsi="Times New Roman" w:eastAsia="仿宋" w:cs="Times New Roman"/>
          <w:color w:val="auto"/>
          <w:kern w:val="2"/>
          <w:sz w:val="32"/>
          <w:szCs w:val="32"/>
          <w:highlight w:val="none"/>
          <w:lang w:val="en-US" w:eastAsia="zh-CN" w:bidi="ar-SA"/>
        </w:rPr>
        <w:t>%，较上年减少0.15万元，下降11%。决算数小于预算数的主要原因是</w:t>
      </w:r>
      <w:r>
        <w:rPr>
          <w:rFonts w:hint="default" w:ascii="Times New Roman" w:hAnsi="Times New Roman" w:eastAsia="仿宋" w:cs="Times New Roman"/>
          <w:color w:val="auto"/>
          <w:sz w:val="32"/>
          <w:szCs w:val="32"/>
          <w:highlight w:val="none"/>
          <w:lang w:eastAsia="zh-CN"/>
        </w:rPr>
        <w:t>厉行节约，减少支出。</w:t>
      </w:r>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5" w:name="_Toc15377217"/>
      <w:r>
        <w:rPr>
          <w:rFonts w:hint="eastAsia" w:ascii="Times New Roman" w:hAnsi="Times New Roman" w:eastAsia="楷体_GB2312" w:cs="楷体_GB2312"/>
          <w:b/>
          <w:color w:val="auto"/>
          <w:sz w:val="32"/>
          <w:szCs w:val="32"/>
          <w:highlight w:val="none"/>
        </w:rPr>
        <w:t>（二）“三公”经费财政拨款支出决算具体情况说明</w:t>
      </w:r>
      <w:bookmarkEnd w:id="35"/>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default" w:ascii="Times New Roman" w:hAnsi="Times New Roman" w:eastAsia="仿宋" w:cs="Times New Roman"/>
          <w:color w:val="auto"/>
          <w:kern w:val="2"/>
          <w:sz w:val="32"/>
          <w:szCs w:val="32"/>
          <w:highlight w:val="none"/>
          <w:lang w:val="en-US" w:eastAsia="zh-CN" w:bidi="ar-SA"/>
        </w:rPr>
        <w:t>2024年度“三公”经费财政拨款支出决算中，因公出国（境）费支出决算</w:t>
      </w:r>
      <w:r>
        <w:rPr>
          <w:rFonts w:hint="default" w:ascii="Times New Roman" w:hAnsi="Times New Roman" w:eastAsia="仿宋" w:cs="Times New Roman"/>
          <w:sz w:val="32"/>
          <w:szCs w:val="32"/>
        </w:rPr>
        <w:t>0</w:t>
      </w:r>
      <w:r>
        <w:rPr>
          <w:rFonts w:hint="default" w:ascii="Times New Roman" w:hAnsi="Times New Roman" w:eastAsia="仿宋" w:cs="Times New Roman"/>
          <w:color w:val="auto"/>
          <w:kern w:val="2"/>
          <w:sz w:val="32"/>
          <w:szCs w:val="32"/>
          <w:highlight w:val="none"/>
          <w:lang w:val="en-US" w:eastAsia="zh-CN" w:bidi="ar-SA"/>
        </w:rPr>
        <w:t>万元，占0%；公务用车购置及运行维护费支出决算</w:t>
      </w:r>
      <w:r>
        <w:rPr>
          <w:rFonts w:hint="default" w:ascii="Times New Roman" w:hAnsi="Times New Roman" w:eastAsia="仿宋" w:cs="Times New Roman"/>
          <w:sz w:val="32"/>
          <w:szCs w:val="32"/>
        </w:rPr>
        <w:t>1.16</w:t>
      </w:r>
      <w:r>
        <w:rPr>
          <w:rFonts w:hint="default" w:ascii="Times New Roman" w:hAnsi="Times New Roman" w:eastAsia="仿宋" w:cs="Times New Roman"/>
          <w:color w:val="auto"/>
          <w:kern w:val="2"/>
          <w:sz w:val="32"/>
          <w:szCs w:val="32"/>
          <w:highlight w:val="none"/>
          <w:lang w:val="en-US" w:eastAsia="zh-CN" w:bidi="ar-SA"/>
        </w:rPr>
        <w:t>万元，占94%；公务接待费支出决算</w:t>
      </w:r>
      <w:r>
        <w:rPr>
          <w:rFonts w:hint="default" w:ascii="Times New Roman" w:hAnsi="Times New Roman" w:eastAsia="仿宋" w:cs="Times New Roman"/>
          <w:sz w:val="32"/>
          <w:szCs w:val="32"/>
        </w:rPr>
        <w:t>0.08</w:t>
      </w:r>
      <w:r>
        <w:rPr>
          <w:rFonts w:hint="default" w:ascii="Times New Roman" w:hAnsi="Times New Roman" w:eastAsia="仿宋" w:cs="Times New Roman"/>
          <w:color w:val="auto"/>
          <w:kern w:val="2"/>
          <w:sz w:val="32"/>
          <w:szCs w:val="32"/>
          <w:highlight w:val="none"/>
          <w:lang w:val="en-US" w:eastAsia="zh-CN" w:bidi="ar-SA"/>
        </w:rPr>
        <w:t>万元，占6%。具体情况如下：</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drawing>
          <wp:anchor distT="0" distB="0" distL="114300" distR="114300" simplePos="0" relativeHeight="251659264" behindDoc="1" locked="0" layoutInCell="1" allowOverlap="1">
            <wp:simplePos x="0" y="0"/>
            <wp:positionH relativeFrom="column">
              <wp:posOffset>342265</wp:posOffset>
            </wp:positionH>
            <wp:positionV relativeFrom="paragraph">
              <wp:posOffset>233045</wp:posOffset>
            </wp:positionV>
            <wp:extent cx="4572000" cy="3078480"/>
            <wp:effectExtent l="4445" t="4445" r="10795" b="10795"/>
            <wp:wrapTight wrapText="bothSides">
              <wp:wrapPolygon>
                <wp:start x="-21" y="-31"/>
                <wp:lineTo x="-21" y="21569"/>
                <wp:lineTo x="21579" y="21569"/>
                <wp:lineTo x="21579" y="-31"/>
                <wp:lineTo x="-21" y="-31"/>
              </wp:wrapPolygon>
            </wp:wrapTight>
            <wp:docPr id="10"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pPr>
        <w:numPr>
          <w:ilvl w:val="0"/>
          <w:numId w:val="2"/>
        </w:numPr>
        <w:spacing w:line="600" w:lineRule="exact"/>
        <w:ind w:firstLine="640"/>
        <w:rPr>
          <w:rFonts w:hint="default" w:ascii="Times New Roman" w:hAnsi="Times New Roman" w:eastAsia="仿宋" w:cs="Times New Roman"/>
          <w:color w:val="auto"/>
          <w:kern w:val="2"/>
          <w:sz w:val="32"/>
          <w:szCs w:val="32"/>
          <w:highlight w:val="none"/>
          <w:lang w:val="en-US" w:eastAsia="zh-CN" w:bidi="ar-SA"/>
        </w:rPr>
      </w:pPr>
      <w:r>
        <w:rPr>
          <w:rFonts w:hint="default" w:ascii="Times New Roman" w:hAnsi="Times New Roman" w:eastAsia="仿宋" w:cs="Times New Roman"/>
          <w:b/>
          <w:bCs/>
          <w:color w:val="auto"/>
          <w:kern w:val="2"/>
          <w:sz w:val="32"/>
          <w:szCs w:val="32"/>
          <w:highlight w:val="none"/>
          <w:lang w:val="en-US" w:eastAsia="zh-CN" w:bidi="ar-SA"/>
        </w:rPr>
        <w:t>因公出国（境）经费支出0万元，完成预算0%。</w:t>
      </w:r>
      <w:r>
        <w:rPr>
          <w:rFonts w:hint="default" w:ascii="Times New Roman" w:hAnsi="Times New Roman" w:eastAsia="仿宋" w:cs="Times New Roman"/>
          <w:color w:val="auto"/>
          <w:kern w:val="2"/>
          <w:sz w:val="32"/>
          <w:szCs w:val="32"/>
          <w:highlight w:val="none"/>
          <w:lang w:val="en-US" w:eastAsia="zh-CN" w:bidi="ar-SA"/>
        </w:rPr>
        <w:t>全年安排因公出国（境）团组</w:t>
      </w:r>
      <w:r>
        <w:rPr>
          <w:rFonts w:hint="default" w:ascii="Times New Roman" w:hAnsi="Times New Roman" w:eastAsia="仿宋" w:cs="Times New Roman"/>
          <w:sz w:val="32"/>
          <w:szCs w:val="32"/>
        </w:rPr>
        <w:t>0</w:t>
      </w:r>
      <w:r>
        <w:rPr>
          <w:rFonts w:hint="default" w:ascii="Times New Roman" w:hAnsi="Times New Roman" w:eastAsia="仿宋" w:cs="Times New Roman"/>
          <w:color w:val="auto"/>
          <w:kern w:val="2"/>
          <w:sz w:val="32"/>
          <w:szCs w:val="32"/>
          <w:highlight w:val="none"/>
          <w:lang w:val="en-US" w:eastAsia="zh-CN" w:bidi="ar-SA"/>
        </w:rPr>
        <w:t>次，出国（境）</w:t>
      </w:r>
      <w:r>
        <w:rPr>
          <w:rFonts w:hint="default" w:ascii="Times New Roman" w:hAnsi="Times New Roman" w:eastAsia="仿宋" w:cs="Times New Roman"/>
          <w:sz w:val="32"/>
          <w:szCs w:val="32"/>
        </w:rPr>
        <w:t>0</w:t>
      </w:r>
      <w:r>
        <w:rPr>
          <w:rFonts w:hint="default" w:ascii="Times New Roman" w:hAnsi="Times New Roman" w:eastAsia="仿宋" w:cs="Times New Roman"/>
          <w:color w:val="auto"/>
          <w:kern w:val="2"/>
          <w:sz w:val="32"/>
          <w:szCs w:val="32"/>
          <w:highlight w:val="none"/>
          <w:lang w:val="en-US" w:eastAsia="zh-CN" w:bidi="ar-SA"/>
        </w:rPr>
        <w:t>人。因公出国（境）支出决算</w:t>
      </w:r>
      <w:r>
        <w:rPr>
          <w:rFonts w:hint="eastAsia" w:eastAsia="仿宋" w:cs="Times New Roman"/>
          <w:color w:val="auto"/>
          <w:kern w:val="2"/>
          <w:sz w:val="32"/>
          <w:szCs w:val="32"/>
          <w:highlight w:val="none"/>
          <w:lang w:val="en-US" w:eastAsia="zh-CN" w:bidi="ar-SA"/>
        </w:rPr>
        <w:t>跟</w:t>
      </w:r>
      <w:r>
        <w:rPr>
          <w:rFonts w:hint="default" w:ascii="Times New Roman" w:hAnsi="Times New Roman" w:eastAsia="仿宋" w:cs="Times New Roman"/>
          <w:color w:val="auto"/>
          <w:kern w:val="2"/>
          <w:sz w:val="32"/>
          <w:szCs w:val="32"/>
          <w:highlight w:val="none"/>
          <w:lang w:val="en-US" w:eastAsia="zh-CN" w:bidi="ar-SA"/>
        </w:rPr>
        <w:t>2023年持平。</w:t>
      </w:r>
    </w:p>
    <w:p>
      <w:pPr>
        <w:numPr>
          <w:ilvl w:val="0"/>
          <w:numId w:val="0"/>
        </w:numPr>
        <w:spacing w:line="600" w:lineRule="exact"/>
        <w:ind w:firstLine="640" w:firstLineChars="200"/>
        <w:rPr>
          <w:rFonts w:hint="default" w:ascii="Times New Roman" w:hAnsi="Times New Roman" w:eastAsia="仿宋" w:cs="Times New Roman"/>
          <w:color w:val="auto"/>
          <w:kern w:val="2"/>
          <w:sz w:val="32"/>
          <w:szCs w:val="32"/>
          <w:highlight w:val="none"/>
          <w:lang w:val="en-US" w:eastAsia="zh-CN" w:bidi="ar-SA"/>
        </w:rPr>
      </w:pPr>
      <w:r>
        <w:rPr>
          <w:rFonts w:hint="default" w:ascii="Times New Roman" w:hAnsi="Times New Roman" w:eastAsia="仿宋" w:cs="Times New Roman"/>
          <w:color w:val="auto"/>
          <w:kern w:val="2"/>
          <w:sz w:val="32"/>
          <w:szCs w:val="32"/>
          <w:highlight w:val="none"/>
          <w:lang w:val="en-US" w:eastAsia="zh-CN" w:bidi="ar-SA"/>
        </w:rPr>
        <w:t>开支内容包括：无</w:t>
      </w:r>
    </w:p>
    <w:p>
      <w:pPr>
        <w:numPr>
          <w:ilvl w:val="0"/>
          <w:numId w:val="2"/>
        </w:numPr>
        <w:spacing w:line="600" w:lineRule="exact"/>
        <w:ind w:left="0" w:leftChars="0" w:firstLine="640" w:firstLineChars="0"/>
        <w:rPr>
          <w:rFonts w:hint="default" w:ascii="Times New Roman" w:hAnsi="Times New Roman" w:eastAsia="仿宋" w:cs="Times New Roman"/>
          <w:color w:val="auto"/>
          <w:kern w:val="2"/>
          <w:sz w:val="32"/>
          <w:szCs w:val="32"/>
          <w:highlight w:val="none"/>
          <w:lang w:val="en-US" w:eastAsia="zh-CN" w:bidi="ar-SA"/>
        </w:rPr>
      </w:pPr>
      <w:r>
        <w:rPr>
          <w:rFonts w:hint="default" w:ascii="Times New Roman" w:hAnsi="Times New Roman" w:eastAsia="仿宋" w:cs="Times New Roman"/>
          <w:b/>
          <w:bCs/>
          <w:color w:val="auto"/>
          <w:kern w:val="2"/>
          <w:sz w:val="32"/>
          <w:szCs w:val="32"/>
          <w:highlight w:val="none"/>
          <w:lang w:val="en-US" w:eastAsia="zh-CN" w:bidi="ar-SA"/>
        </w:rPr>
        <w:t>公务用车购置及运行维护费支出1.16万元，完成预算100%。</w:t>
      </w:r>
      <w:r>
        <w:rPr>
          <w:rFonts w:hint="default" w:ascii="Times New Roman" w:hAnsi="Times New Roman" w:eastAsia="仿宋" w:cs="Times New Roman"/>
          <w:color w:val="auto"/>
          <w:kern w:val="2"/>
          <w:sz w:val="32"/>
          <w:szCs w:val="32"/>
          <w:highlight w:val="none"/>
          <w:lang w:val="en-US" w:eastAsia="zh-CN" w:bidi="ar-SA"/>
        </w:rPr>
        <w:t>公务用车购置及运行维护费支出决算比2023年度增加0.08万元，增长7%。主要原因是公务用车运行维护费增加。</w:t>
      </w:r>
    </w:p>
    <w:p>
      <w:pPr>
        <w:numPr>
          <w:ilvl w:val="0"/>
          <w:numId w:val="0"/>
        </w:numPr>
        <w:spacing w:line="600" w:lineRule="exact"/>
        <w:ind w:firstLine="640" w:firstLineChars="200"/>
        <w:rPr>
          <w:rFonts w:hint="default" w:ascii="Times New Roman" w:hAnsi="Times New Roman" w:eastAsia="仿宋" w:cs="Times New Roman"/>
          <w:color w:val="auto"/>
          <w:kern w:val="2"/>
          <w:sz w:val="32"/>
          <w:szCs w:val="32"/>
          <w:highlight w:val="none"/>
          <w:lang w:val="en-US" w:eastAsia="zh-CN" w:bidi="ar-SA"/>
        </w:rPr>
      </w:pPr>
      <w:r>
        <w:rPr>
          <w:rFonts w:hint="default" w:ascii="Times New Roman" w:hAnsi="Times New Roman" w:eastAsia="仿宋" w:cs="Times New Roman"/>
          <w:color w:val="auto"/>
          <w:kern w:val="2"/>
          <w:sz w:val="32"/>
          <w:szCs w:val="32"/>
          <w:highlight w:val="none"/>
          <w:lang w:val="en-US" w:eastAsia="zh-CN" w:bidi="ar-SA"/>
        </w:rPr>
        <w:t>其中：公务用车购置支出</w:t>
      </w:r>
      <w:r>
        <w:rPr>
          <w:rFonts w:hint="default" w:ascii="Times New Roman" w:hAnsi="Times New Roman" w:eastAsia="仿宋" w:cs="Times New Roman"/>
          <w:sz w:val="32"/>
          <w:szCs w:val="32"/>
        </w:rPr>
        <w:t>0</w:t>
      </w:r>
      <w:r>
        <w:rPr>
          <w:rFonts w:hint="default" w:ascii="Times New Roman" w:hAnsi="Times New Roman" w:eastAsia="仿宋" w:cs="Times New Roman"/>
          <w:color w:val="auto"/>
          <w:kern w:val="2"/>
          <w:sz w:val="32"/>
          <w:szCs w:val="32"/>
          <w:highlight w:val="none"/>
          <w:lang w:val="en-US" w:eastAsia="zh-CN" w:bidi="ar-SA"/>
        </w:rPr>
        <w:t>万元。全年按规定更新购置公务用车0辆，其中：轿车0辆、金额0万元，越野车0辆、金额0万元，载客汽车0辆、金额0万元。截至2024年12月31日，单位共有公务用车1辆，其中：轿车1辆、越野车0辆、载客汽车0辆。</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仿宋" w:cs="Times New Roman"/>
          <w:color w:val="auto"/>
          <w:kern w:val="2"/>
          <w:sz w:val="32"/>
          <w:szCs w:val="32"/>
          <w:highlight w:val="none"/>
          <w:lang w:val="en-US" w:eastAsia="zh-CN" w:bidi="ar-SA"/>
        </w:rPr>
        <w:t>公务用车运行维护费支出</w:t>
      </w:r>
      <w:r>
        <w:rPr>
          <w:rFonts w:hint="default" w:ascii="Times New Roman" w:hAnsi="Times New Roman" w:eastAsia="仿宋" w:cs="Times New Roman"/>
          <w:sz w:val="32"/>
          <w:szCs w:val="32"/>
        </w:rPr>
        <w:t>1.16</w:t>
      </w:r>
      <w:r>
        <w:rPr>
          <w:rFonts w:hint="default" w:ascii="Times New Roman" w:hAnsi="Times New Roman" w:eastAsia="仿宋" w:cs="Times New Roman"/>
          <w:color w:val="auto"/>
          <w:kern w:val="2"/>
          <w:sz w:val="32"/>
          <w:szCs w:val="32"/>
          <w:highlight w:val="none"/>
          <w:lang w:val="en-US" w:eastAsia="zh-CN" w:bidi="ar-SA"/>
        </w:rPr>
        <w:t>万元。主要用于</w:t>
      </w:r>
      <w:r>
        <w:rPr>
          <w:rFonts w:hint="eastAsia" w:eastAsia="仿宋" w:cs="Times New Roman"/>
          <w:color w:val="auto"/>
          <w:kern w:val="2"/>
          <w:sz w:val="32"/>
          <w:szCs w:val="32"/>
          <w:highlight w:val="none"/>
          <w:lang w:val="en-US" w:eastAsia="zh-CN" w:bidi="ar-SA"/>
        </w:rPr>
        <w:t>监督检查、办案时</w:t>
      </w:r>
      <w:r>
        <w:rPr>
          <w:rFonts w:hint="default" w:ascii="Times New Roman" w:hAnsi="Times New Roman" w:eastAsia="仿宋" w:cs="Times New Roman"/>
          <w:color w:val="auto"/>
          <w:kern w:val="2"/>
          <w:sz w:val="32"/>
          <w:szCs w:val="32"/>
          <w:highlight w:val="none"/>
          <w:lang w:val="en-US" w:eastAsia="zh-CN" w:bidi="ar-SA"/>
        </w:rPr>
        <w:t>公务用车燃料费、维修费、过路过桥费、保险费等支出。</w:t>
      </w:r>
    </w:p>
    <w:p>
      <w:pPr>
        <w:numPr>
          <w:ilvl w:val="0"/>
          <w:numId w:val="2"/>
        </w:numPr>
        <w:spacing w:line="600" w:lineRule="exact"/>
        <w:ind w:left="0" w:leftChars="0" w:firstLine="640" w:firstLineChars="0"/>
        <w:rPr>
          <w:rFonts w:hint="default" w:ascii="Times New Roman" w:hAnsi="Times New Roman" w:eastAsia="仿宋" w:cs="Times New Roman"/>
          <w:color w:val="auto"/>
          <w:kern w:val="2"/>
          <w:sz w:val="32"/>
          <w:szCs w:val="32"/>
          <w:highlight w:val="none"/>
          <w:lang w:val="en-US" w:eastAsia="zh-CN" w:bidi="ar-SA"/>
        </w:rPr>
      </w:pPr>
      <w:r>
        <w:rPr>
          <w:rFonts w:hint="default" w:ascii="Times New Roman" w:hAnsi="Times New Roman" w:eastAsia="仿宋" w:cs="Times New Roman"/>
          <w:b/>
          <w:bCs/>
          <w:color w:val="auto"/>
          <w:kern w:val="2"/>
          <w:sz w:val="32"/>
          <w:szCs w:val="32"/>
          <w:highlight w:val="none"/>
          <w:lang w:val="en-US" w:eastAsia="zh-CN" w:bidi="ar-SA"/>
        </w:rPr>
        <w:t>公务接待费支出0.08万元，完成预算100%。</w:t>
      </w:r>
      <w:r>
        <w:rPr>
          <w:rFonts w:hint="default" w:ascii="Times New Roman" w:hAnsi="Times New Roman" w:eastAsia="仿宋" w:cs="Times New Roman"/>
          <w:color w:val="auto"/>
          <w:kern w:val="2"/>
          <w:sz w:val="32"/>
          <w:szCs w:val="32"/>
          <w:highlight w:val="none"/>
          <w:lang w:val="en-US" w:eastAsia="zh-CN" w:bidi="ar-SA"/>
        </w:rPr>
        <w:t>公务接待费支出决算比2023年度减少0.22万元，下降73%。主要原因是减少</w:t>
      </w:r>
      <w:r>
        <w:rPr>
          <w:rFonts w:hint="default" w:ascii="Times New Roman" w:hAnsi="Times New Roman" w:eastAsia="仿宋" w:cs="Times New Roman"/>
          <w:color w:val="auto"/>
          <w:sz w:val="32"/>
          <w:szCs w:val="32"/>
          <w:highlight w:val="none"/>
          <w:lang w:eastAsia="zh-CN"/>
        </w:rPr>
        <w:t>了考察、调研公务接待。</w:t>
      </w:r>
      <w:r>
        <w:rPr>
          <w:rFonts w:hint="default" w:ascii="Times New Roman" w:hAnsi="Times New Roman" w:eastAsia="仿宋" w:cs="Times New Roman"/>
          <w:color w:val="auto"/>
          <w:kern w:val="2"/>
          <w:sz w:val="32"/>
          <w:szCs w:val="32"/>
          <w:highlight w:val="none"/>
          <w:lang w:val="en-US" w:eastAsia="zh-CN" w:bidi="ar-SA"/>
        </w:rPr>
        <w:t>其中：</w:t>
      </w:r>
    </w:p>
    <w:p>
      <w:pPr>
        <w:spacing w:line="600" w:lineRule="exact"/>
        <w:ind w:firstLine="640"/>
        <w:rPr>
          <w:rFonts w:hint="default" w:ascii="Times New Roman" w:hAnsi="Times New Roman" w:eastAsia="仿宋" w:cs="Times New Roman"/>
          <w:color w:val="auto"/>
          <w:kern w:val="2"/>
          <w:sz w:val="32"/>
          <w:szCs w:val="32"/>
          <w:highlight w:val="none"/>
          <w:lang w:val="en-US" w:eastAsia="zh-CN" w:bidi="ar-SA"/>
        </w:rPr>
      </w:pPr>
      <w:r>
        <w:rPr>
          <w:rFonts w:hint="default" w:ascii="Times New Roman" w:hAnsi="Times New Roman" w:eastAsia="仿宋" w:cs="Times New Roman"/>
          <w:color w:val="auto"/>
          <w:kern w:val="2"/>
          <w:sz w:val="32"/>
          <w:szCs w:val="32"/>
          <w:highlight w:val="none"/>
          <w:lang w:val="en-US" w:eastAsia="zh-CN" w:bidi="ar-SA"/>
        </w:rPr>
        <w:t>国内公务接待支出</w:t>
      </w:r>
      <w:r>
        <w:rPr>
          <w:rFonts w:hint="default" w:ascii="Times New Roman" w:hAnsi="Times New Roman" w:eastAsia="仿宋" w:cs="Times New Roman"/>
          <w:sz w:val="32"/>
          <w:szCs w:val="32"/>
        </w:rPr>
        <w:t>0.08</w:t>
      </w:r>
      <w:r>
        <w:rPr>
          <w:rFonts w:hint="default" w:ascii="Times New Roman" w:hAnsi="Times New Roman" w:eastAsia="仿宋" w:cs="Times New Roman"/>
          <w:color w:val="auto"/>
          <w:kern w:val="2"/>
          <w:sz w:val="32"/>
          <w:szCs w:val="32"/>
          <w:highlight w:val="none"/>
          <w:lang w:val="en-US" w:eastAsia="zh-CN" w:bidi="ar-SA"/>
        </w:rPr>
        <w:t>万元，主要用于督导检查</w:t>
      </w:r>
      <w:r>
        <w:rPr>
          <w:rFonts w:hint="default" w:ascii="Times New Roman" w:hAnsi="Times New Roman" w:eastAsia="仿宋" w:cs="Times New Roman"/>
          <w:color w:val="000000"/>
          <w:sz w:val="32"/>
          <w:szCs w:val="32"/>
        </w:rPr>
        <w:t>公务活动开支的用餐费</w:t>
      </w:r>
      <w:r>
        <w:rPr>
          <w:rFonts w:hint="default" w:ascii="Times New Roman" w:hAnsi="Times New Roman" w:eastAsia="仿宋" w:cs="Times New Roman"/>
          <w:color w:val="auto"/>
          <w:kern w:val="2"/>
          <w:sz w:val="32"/>
          <w:szCs w:val="32"/>
          <w:highlight w:val="none"/>
          <w:lang w:val="en-US" w:eastAsia="zh-CN" w:bidi="ar-SA"/>
        </w:rPr>
        <w:t>。国内公务接待</w:t>
      </w:r>
      <w:r>
        <w:rPr>
          <w:rFonts w:hint="default" w:ascii="Times New Roman" w:hAnsi="Times New Roman" w:eastAsia="仿宋" w:cs="Times New Roman"/>
          <w:sz w:val="32"/>
          <w:szCs w:val="32"/>
        </w:rPr>
        <w:t>1</w:t>
      </w:r>
      <w:r>
        <w:rPr>
          <w:rFonts w:hint="default" w:ascii="Times New Roman" w:hAnsi="Times New Roman" w:eastAsia="仿宋" w:cs="Times New Roman"/>
          <w:color w:val="auto"/>
          <w:kern w:val="2"/>
          <w:sz w:val="32"/>
          <w:szCs w:val="32"/>
          <w:highlight w:val="none"/>
          <w:lang w:val="en-US" w:eastAsia="zh-CN" w:bidi="ar-SA"/>
        </w:rPr>
        <w:t>批次，</w:t>
      </w:r>
      <w:r>
        <w:rPr>
          <w:rFonts w:hint="default" w:ascii="Times New Roman" w:hAnsi="Times New Roman" w:eastAsia="仿宋" w:cs="Times New Roman"/>
          <w:sz w:val="32"/>
          <w:szCs w:val="32"/>
        </w:rPr>
        <w:t>6</w:t>
      </w:r>
      <w:r>
        <w:rPr>
          <w:rFonts w:hint="default" w:ascii="Times New Roman" w:hAnsi="Times New Roman" w:eastAsia="仿宋" w:cs="Times New Roman"/>
          <w:color w:val="auto"/>
          <w:kern w:val="2"/>
          <w:sz w:val="32"/>
          <w:szCs w:val="32"/>
          <w:highlight w:val="none"/>
          <w:lang w:val="en-US" w:eastAsia="zh-CN" w:bidi="ar-SA"/>
        </w:rPr>
        <w:t>人次（不包括陪同人员），共计支出0.08万元，具体内容包括：上级开展社区矫正安全隐患专项排查整治督导检查。</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仿宋" w:cs="Times New Roman"/>
          <w:color w:val="auto"/>
          <w:kern w:val="2"/>
          <w:sz w:val="32"/>
          <w:szCs w:val="32"/>
          <w:highlight w:val="none"/>
          <w:lang w:val="en-US" w:eastAsia="zh-CN" w:bidi="ar-SA"/>
        </w:rPr>
        <w:t>外事接待支出</w:t>
      </w:r>
      <w:r>
        <w:rPr>
          <w:rFonts w:hint="default" w:ascii="Times New Roman" w:hAnsi="Times New Roman" w:eastAsia="仿宋" w:cs="Times New Roman"/>
          <w:sz w:val="32"/>
          <w:szCs w:val="32"/>
        </w:rPr>
        <w:t>0</w:t>
      </w:r>
      <w:r>
        <w:rPr>
          <w:rFonts w:hint="default" w:ascii="Times New Roman" w:hAnsi="Times New Roman" w:eastAsia="仿宋" w:cs="Times New Roman"/>
          <w:color w:val="auto"/>
          <w:kern w:val="2"/>
          <w:sz w:val="32"/>
          <w:szCs w:val="32"/>
          <w:highlight w:val="none"/>
          <w:lang w:val="en-US" w:eastAsia="zh-CN" w:bidi="ar-SA"/>
        </w:rPr>
        <w:t>万元，共计支出0万元。</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36" w:name="_Toc15377218"/>
      <w:bookmarkStart w:id="37" w:name="_Toc15396610"/>
    </w:p>
    <w:p>
      <w:pPr>
        <w:spacing w:line="600" w:lineRule="exact"/>
        <w:ind w:firstLine="640"/>
        <w:outlineLvl w:val="1"/>
        <w:rPr>
          <w:rStyle w:val="30"/>
          <w:rFonts w:ascii="Times New Roman" w:hAnsi="Times New Roman" w:eastAsia="黑体"/>
          <w:color w:val="auto"/>
          <w:highlight w:val="none"/>
        </w:rPr>
      </w:pPr>
      <w:r>
        <w:rPr>
          <w:rFonts w:hint="eastAsia" w:ascii="Times New Roman" w:hAnsi="Times New Roman" w:eastAsia="黑体"/>
          <w:color w:val="auto"/>
          <w:sz w:val="32"/>
          <w:szCs w:val="32"/>
          <w:highlight w:val="none"/>
        </w:rPr>
        <w:t>八、</w:t>
      </w:r>
      <w:r>
        <w:rPr>
          <w:rStyle w:val="30"/>
          <w:rFonts w:hint="eastAsia" w:ascii="Times New Roman" w:hAnsi="Times New Roman" w:eastAsia="黑体"/>
          <w:b w:val="0"/>
          <w:color w:val="auto"/>
          <w:highlight w:val="none"/>
        </w:rPr>
        <w:t>政府性基金预算支出决算情况说明</w:t>
      </w:r>
      <w:bookmarkEnd w:id="36"/>
      <w:bookmarkEnd w:id="37"/>
    </w:p>
    <w:p>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default" w:ascii="Times New Roman" w:hAnsi="Times New Roman" w:eastAsia="仿宋" w:cs="Times New Roman"/>
          <w:color w:val="auto"/>
          <w:kern w:val="2"/>
          <w:sz w:val="32"/>
          <w:szCs w:val="32"/>
          <w:highlight w:val="none"/>
          <w:lang w:val="en-US" w:eastAsia="zh-CN" w:bidi="ar-SA"/>
        </w:rPr>
        <w:t>2024年度政府性基金预算财政拨款支出</w:t>
      </w:r>
      <w:r>
        <w:rPr>
          <w:rFonts w:hint="default" w:ascii="Times New Roman" w:hAnsi="Times New Roman" w:eastAsia="仿宋" w:cs="Times New Roman"/>
          <w:sz w:val="32"/>
          <w:szCs w:val="32"/>
        </w:rPr>
        <w:t>1</w:t>
      </w:r>
      <w:r>
        <w:rPr>
          <w:rFonts w:hint="default" w:ascii="Times New Roman" w:hAnsi="Times New Roman" w:eastAsia="仿宋" w:cs="Times New Roman"/>
          <w:color w:val="auto"/>
          <w:kern w:val="2"/>
          <w:sz w:val="32"/>
          <w:szCs w:val="32"/>
          <w:highlight w:val="none"/>
          <w:lang w:val="en-US" w:eastAsia="zh-CN" w:bidi="ar-SA"/>
        </w:rPr>
        <w:t>万元，占本年支出合计的</w:t>
      </w:r>
      <w:r>
        <w:rPr>
          <w:rFonts w:hint="default" w:ascii="Times New Roman" w:hAnsi="Times New Roman" w:eastAsia="仿宋" w:cs="Times New Roman"/>
          <w:sz w:val="32"/>
          <w:szCs w:val="32"/>
        </w:rPr>
        <w:t>0.12</w:t>
      </w:r>
      <w:r>
        <w:rPr>
          <w:rFonts w:hint="default" w:ascii="Times New Roman" w:hAnsi="Times New Roman" w:eastAsia="仿宋" w:cs="Times New Roman"/>
          <w:color w:val="auto"/>
          <w:kern w:val="2"/>
          <w:sz w:val="32"/>
          <w:szCs w:val="32"/>
          <w:highlight w:val="none"/>
          <w:lang w:val="en-US" w:eastAsia="zh-CN" w:bidi="ar-SA"/>
        </w:rPr>
        <w:t>%。与2023年度相比，政府性基金预算财政拨款支出减少19.55万元，下降95%。主要变动原因是项目支出减少。</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numPr>
          <w:ilvl w:val="0"/>
          <w:numId w:val="0"/>
        </w:numPr>
        <w:spacing w:line="600" w:lineRule="exact"/>
        <w:ind w:left="630" w:leftChars="0"/>
        <w:outlineLvl w:val="1"/>
        <w:rPr>
          <w:rStyle w:val="30"/>
          <w:rFonts w:ascii="Times New Roman" w:hAnsi="Times New Roman" w:eastAsia="黑体"/>
          <w:b w:val="0"/>
          <w:color w:val="auto"/>
          <w:highlight w:val="none"/>
        </w:rPr>
      </w:pPr>
      <w:bookmarkStart w:id="38" w:name="_Toc15396611"/>
      <w:bookmarkStart w:id="39" w:name="_Toc15377219"/>
      <w:r>
        <w:rPr>
          <w:rStyle w:val="30"/>
          <w:rFonts w:hint="eastAsia" w:ascii="Times New Roman" w:hAnsi="Times New Roman" w:eastAsia="黑体"/>
          <w:b w:val="0"/>
          <w:color w:val="auto"/>
          <w:highlight w:val="none"/>
          <w:lang w:eastAsia="zh-CN"/>
        </w:rPr>
        <w:t>九、</w:t>
      </w:r>
      <w:r>
        <w:rPr>
          <w:rStyle w:val="30"/>
          <w:rFonts w:hint="eastAsia" w:ascii="Times New Roman" w:hAnsi="Times New Roman" w:eastAsia="黑体"/>
          <w:b w:val="0"/>
          <w:color w:val="auto"/>
          <w:highlight w:val="none"/>
        </w:rPr>
        <w:t>国有资本经营预算支出决算情况说明</w:t>
      </w:r>
      <w:bookmarkEnd w:id="38"/>
      <w:bookmarkEnd w:id="39"/>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仿宋" w:cs="Times New Roman"/>
          <w:color w:val="auto"/>
          <w:kern w:val="2"/>
          <w:sz w:val="32"/>
          <w:szCs w:val="32"/>
          <w:highlight w:val="none"/>
          <w:lang w:val="en-US" w:eastAsia="zh-CN" w:bidi="ar-SA"/>
        </w:rPr>
        <w:t>2024</w:t>
      </w:r>
      <w:r>
        <w:rPr>
          <w:rFonts w:hint="default" w:ascii="Times New Roman" w:hAnsi="Times New Roman" w:eastAsia="仿宋" w:cs="Times New Roman"/>
          <w:color w:val="000000" w:themeColor="text1"/>
          <w:kern w:val="2"/>
          <w:sz w:val="32"/>
          <w:szCs w:val="32"/>
          <w:highlight w:val="none"/>
          <w:lang w:val="en-US" w:eastAsia="zh-CN" w:bidi="ar-SA"/>
          <w14:textFill>
            <w14:solidFill>
              <w14:schemeClr w14:val="tx1"/>
            </w14:solidFill>
          </w14:textFill>
        </w:rPr>
        <w:t>年</w:t>
      </w:r>
      <w:r>
        <w:rPr>
          <w:rFonts w:hint="default" w:ascii="Times New Roman" w:hAnsi="Times New Roman" w:eastAsia="仿宋" w:cs="Times New Roman"/>
          <w:color w:val="auto"/>
          <w:kern w:val="2"/>
          <w:sz w:val="32"/>
          <w:szCs w:val="32"/>
          <w:highlight w:val="none"/>
          <w:lang w:val="en-US" w:eastAsia="zh-CN" w:bidi="ar-SA"/>
        </w:rPr>
        <w:t>度国有资本经营预算财政拨款支出</w:t>
      </w:r>
      <w:r>
        <w:rPr>
          <w:rFonts w:hint="default" w:ascii="Times New Roman" w:hAnsi="Times New Roman" w:eastAsia="仿宋" w:cs="Times New Roman"/>
          <w:sz w:val="32"/>
          <w:szCs w:val="32"/>
        </w:rPr>
        <w:t>0</w:t>
      </w:r>
      <w:r>
        <w:rPr>
          <w:rFonts w:hint="default" w:ascii="Times New Roman" w:hAnsi="Times New Roman" w:eastAsia="仿宋" w:cs="Times New Roman"/>
          <w:color w:val="auto"/>
          <w:kern w:val="2"/>
          <w:sz w:val="32"/>
          <w:szCs w:val="32"/>
          <w:highlight w:val="none"/>
          <w:lang w:val="en-US" w:eastAsia="zh-CN" w:bidi="ar-SA"/>
        </w:rPr>
        <w:t>万元，占本年支出合计的</w:t>
      </w:r>
      <w:r>
        <w:rPr>
          <w:rFonts w:hint="default" w:ascii="Times New Roman" w:hAnsi="Times New Roman" w:eastAsia="仿宋" w:cs="Times New Roman"/>
          <w:sz w:val="32"/>
          <w:szCs w:val="32"/>
        </w:rPr>
        <w:t>0</w:t>
      </w:r>
      <w:r>
        <w:rPr>
          <w:rFonts w:hint="default" w:ascii="Times New Roman" w:hAnsi="Times New Roman" w:eastAsia="仿宋" w:cs="Times New Roman"/>
          <w:color w:val="auto"/>
          <w:kern w:val="2"/>
          <w:sz w:val="32"/>
          <w:szCs w:val="32"/>
          <w:highlight w:val="none"/>
          <w:lang w:val="en-US" w:eastAsia="zh-CN" w:bidi="ar-SA"/>
        </w:rPr>
        <w:t>%。与2023年度相比，</w:t>
      </w:r>
      <w:r>
        <w:rPr>
          <w:rFonts w:hint="eastAsia" w:eastAsia="仿宋" w:cs="Times New Roman"/>
          <w:color w:val="auto"/>
          <w:kern w:val="2"/>
          <w:sz w:val="32"/>
          <w:szCs w:val="32"/>
          <w:highlight w:val="none"/>
          <w:lang w:val="en-US" w:eastAsia="zh-CN" w:bidi="ar-SA"/>
        </w:rPr>
        <w:t>无变化。</w:t>
      </w:r>
    </w:p>
    <w:p>
      <w:pPr>
        <w:pStyle w:val="2"/>
        <w:rPr>
          <w:rFonts w:hint="eastAsia"/>
          <w:lang w:val="en-US" w:eastAsia="zh-CN"/>
        </w:rPr>
      </w:pPr>
    </w:p>
    <w:p>
      <w:pPr>
        <w:numPr>
          <w:ilvl w:val="0"/>
          <w:numId w:val="0"/>
        </w:numPr>
        <w:spacing w:line="600" w:lineRule="exact"/>
        <w:ind w:left="630" w:leftChars="0"/>
        <w:outlineLvl w:val="1"/>
        <w:rPr>
          <w:rStyle w:val="30"/>
          <w:rFonts w:hint="eastAsia" w:ascii="Times New Roman" w:hAnsi="Times New Roman" w:eastAsia="黑体"/>
          <w:b w:val="0"/>
          <w:color w:val="auto"/>
          <w:highlight w:val="none"/>
        </w:rPr>
      </w:pPr>
      <w:bookmarkStart w:id="40" w:name="_Toc15396612"/>
      <w:bookmarkStart w:id="41" w:name="_Toc15377221"/>
      <w:r>
        <w:rPr>
          <w:rStyle w:val="30"/>
          <w:rFonts w:hint="eastAsia" w:ascii="Times New Roman" w:hAnsi="Times New Roman" w:eastAsia="黑体"/>
          <w:b w:val="0"/>
          <w:color w:val="auto"/>
          <w:highlight w:val="none"/>
          <w:lang w:eastAsia="zh-CN"/>
        </w:rPr>
        <w:t>十、</w:t>
      </w:r>
      <w:r>
        <w:rPr>
          <w:rStyle w:val="30"/>
          <w:rFonts w:hint="eastAsia" w:ascii="Times New Roman" w:hAnsi="Times New Roman" w:eastAsia="黑体"/>
          <w:b w:val="0"/>
          <w:color w:val="auto"/>
          <w:highlight w:val="none"/>
        </w:rPr>
        <w:t>其他重要事项的情况说明</w:t>
      </w:r>
      <w:bookmarkEnd w:id="40"/>
      <w:bookmarkEnd w:id="41"/>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2" w:name="_Toc15377222"/>
      <w:r>
        <w:rPr>
          <w:rFonts w:hint="eastAsia" w:ascii="Times New Roman" w:hAnsi="Times New Roman" w:eastAsia="楷体_GB2312" w:cs="楷体_GB2312"/>
          <w:b/>
          <w:color w:val="auto"/>
          <w:sz w:val="32"/>
          <w:szCs w:val="32"/>
          <w:highlight w:val="none"/>
        </w:rPr>
        <w:t>（一）机关运行经费支出情况</w:t>
      </w:r>
      <w:bookmarkEnd w:id="42"/>
    </w:p>
    <w:p>
      <w:pPr>
        <w:tabs>
          <w:tab w:val="left" w:pos="1050"/>
        </w:tabs>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仿宋" w:cs="Times New Roman"/>
          <w:color w:val="auto"/>
          <w:kern w:val="2"/>
          <w:sz w:val="32"/>
          <w:szCs w:val="32"/>
          <w:highlight w:val="none"/>
          <w:lang w:val="en-US" w:eastAsia="zh-CN" w:bidi="ar-SA"/>
        </w:rPr>
        <w:t>2024年度，</w:t>
      </w:r>
      <w:r>
        <w:rPr>
          <w:rFonts w:hint="default" w:ascii="Times New Roman" w:hAnsi="Times New Roman" w:eastAsia="仿宋" w:cs="Times New Roman"/>
          <w:sz w:val="32"/>
          <w:szCs w:val="32"/>
        </w:rPr>
        <w:t>攀枝花市西区司法局</w:t>
      </w:r>
      <w:r>
        <w:rPr>
          <w:rFonts w:hint="default" w:ascii="Times New Roman" w:hAnsi="Times New Roman" w:eastAsia="仿宋" w:cs="Times New Roman"/>
          <w:color w:val="auto"/>
          <w:kern w:val="2"/>
          <w:sz w:val="32"/>
          <w:szCs w:val="32"/>
          <w:highlight w:val="none"/>
          <w:lang w:val="en-US" w:eastAsia="zh-CN" w:bidi="ar-SA"/>
        </w:rPr>
        <w:t>机关运行经费支出</w:t>
      </w:r>
      <w:r>
        <w:rPr>
          <w:rFonts w:hint="default" w:ascii="Times New Roman" w:hAnsi="Times New Roman" w:eastAsia="仿宋" w:cs="Times New Roman"/>
          <w:sz w:val="32"/>
          <w:szCs w:val="32"/>
        </w:rPr>
        <w:t>47.42</w:t>
      </w:r>
      <w:r>
        <w:rPr>
          <w:rFonts w:hint="default" w:ascii="Times New Roman" w:hAnsi="Times New Roman" w:eastAsia="仿宋" w:cs="Times New Roman"/>
          <w:color w:val="auto"/>
          <w:kern w:val="2"/>
          <w:sz w:val="32"/>
          <w:szCs w:val="32"/>
          <w:highlight w:val="none"/>
          <w:lang w:val="en-US" w:eastAsia="zh-CN" w:bidi="ar-SA"/>
        </w:rPr>
        <w:t>万元，比2023年度减少2.27万元，下降5%。主要原因是</w:t>
      </w:r>
      <w:r>
        <w:rPr>
          <w:rFonts w:hint="eastAsia" w:eastAsia="仿宋" w:cs="Times New Roman"/>
          <w:color w:val="auto"/>
          <w:kern w:val="2"/>
          <w:sz w:val="32"/>
          <w:szCs w:val="32"/>
          <w:highlight w:val="none"/>
          <w:lang w:val="en-US" w:eastAsia="zh-CN" w:bidi="ar-SA"/>
        </w:rPr>
        <w:t>厉行勤俭节约，减少了支出。</w:t>
      </w:r>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3" w:name="_Toc15377223"/>
      <w:r>
        <w:rPr>
          <w:rFonts w:hint="eastAsia" w:ascii="Times New Roman" w:hAnsi="Times New Roman" w:eastAsia="楷体_GB2312" w:cs="楷体_GB2312"/>
          <w:b/>
          <w:color w:val="auto"/>
          <w:sz w:val="32"/>
          <w:szCs w:val="32"/>
          <w:highlight w:val="none"/>
        </w:rPr>
        <w:t>（二）政府采购支出情况</w:t>
      </w:r>
      <w:bookmarkEnd w:id="43"/>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default" w:ascii="Times New Roman" w:hAnsi="Times New Roman" w:eastAsia="仿宋" w:cs="Times New Roman"/>
          <w:color w:val="auto"/>
          <w:kern w:val="2"/>
          <w:sz w:val="32"/>
          <w:szCs w:val="32"/>
          <w:highlight w:val="none"/>
          <w:lang w:val="en-US" w:eastAsia="zh-CN" w:bidi="ar-SA"/>
        </w:rPr>
        <w:t>2024年度，</w:t>
      </w:r>
      <w:r>
        <w:rPr>
          <w:rFonts w:hint="default" w:ascii="Times New Roman" w:hAnsi="Times New Roman" w:eastAsia="仿宋" w:cs="Times New Roman"/>
          <w:sz w:val="32"/>
          <w:szCs w:val="32"/>
        </w:rPr>
        <w:t>攀枝花市西区司法局</w:t>
      </w:r>
      <w:r>
        <w:rPr>
          <w:rFonts w:hint="default" w:ascii="Times New Roman" w:hAnsi="Times New Roman" w:eastAsia="仿宋" w:cs="Times New Roman"/>
          <w:color w:val="auto"/>
          <w:kern w:val="2"/>
          <w:sz w:val="32"/>
          <w:szCs w:val="32"/>
          <w:highlight w:val="none"/>
          <w:lang w:val="en-US" w:eastAsia="zh-CN" w:bidi="ar-SA"/>
        </w:rPr>
        <w:t>政府采购支出总额</w:t>
      </w:r>
      <w:r>
        <w:rPr>
          <w:rFonts w:hint="default" w:ascii="Times New Roman" w:hAnsi="Times New Roman" w:eastAsia="仿宋" w:cs="Times New Roman"/>
          <w:sz w:val="32"/>
          <w:szCs w:val="32"/>
        </w:rPr>
        <w:t>96.4</w:t>
      </w:r>
      <w:r>
        <w:rPr>
          <w:rFonts w:hint="default" w:ascii="Times New Roman" w:hAnsi="Times New Roman" w:eastAsia="仿宋" w:cs="Times New Roman"/>
          <w:color w:val="auto"/>
          <w:kern w:val="2"/>
          <w:sz w:val="32"/>
          <w:szCs w:val="32"/>
          <w:highlight w:val="none"/>
          <w:lang w:val="en-US" w:eastAsia="zh-CN" w:bidi="ar-SA"/>
        </w:rPr>
        <w:t>万元，其中：政府采购货物支出</w:t>
      </w:r>
      <w:r>
        <w:rPr>
          <w:rFonts w:hint="default" w:ascii="Times New Roman" w:hAnsi="Times New Roman" w:eastAsia="仿宋" w:cs="Times New Roman"/>
          <w:sz w:val="32"/>
          <w:szCs w:val="32"/>
        </w:rPr>
        <w:t>6.46</w:t>
      </w:r>
      <w:r>
        <w:rPr>
          <w:rFonts w:hint="default" w:ascii="Times New Roman" w:hAnsi="Times New Roman" w:eastAsia="仿宋" w:cs="Times New Roman"/>
          <w:color w:val="auto"/>
          <w:kern w:val="2"/>
          <w:sz w:val="32"/>
          <w:szCs w:val="32"/>
          <w:highlight w:val="none"/>
          <w:lang w:val="en-US" w:eastAsia="zh-CN" w:bidi="ar-SA"/>
        </w:rPr>
        <w:t>万元、政府采购工程支出</w:t>
      </w:r>
      <w:r>
        <w:rPr>
          <w:rFonts w:hint="default" w:ascii="Times New Roman" w:hAnsi="Times New Roman" w:eastAsia="仿宋" w:cs="Times New Roman"/>
          <w:sz w:val="32"/>
          <w:szCs w:val="32"/>
        </w:rPr>
        <w:t>0</w:t>
      </w:r>
      <w:r>
        <w:rPr>
          <w:rFonts w:hint="default" w:ascii="Times New Roman" w:hAnsi="Times New Roman" w:eastAsia="仿宋" w:cs="Times New Roman"/>
          <w:color w:val="auto"/>
          <w:kern w:val="2"/>
          <w:sz w:val="32"/>
          <w:szCs w:val="32"/>
          <w:highlight w:val="none"/>
          <w:lang w:val="en-US" w:eastAsia="zh-CN" w:bidi="ar-SA"/>
        </w:rPr>
        <w:t>万元、政府采购服务支出</w:t>
      </w:r>
      <w:r>
        <w:rPr>
          <w:rFonts w:hint="default" w:ascii="Times New Roman" w:hAnsi="Times New Roman" w:eastAsia="仿宋" w:cs="Times New Roman"/>
          <w:sz w:val="32"/>
          <w:szCs w:val="32"/>
        </w:rPr>
        <w:t>89.94</w:t>
      </w:r>
      <w:r>
        <w:rPr>
          <w:rFonts w:hint="default" w:ascii="Times New Roman" w:hAnsi="Times New Roman" w:eastAsia="仿宋" w:cs="Times New Roman"/>
          <w:color w:val="auto"/>
          <w:kern w:val="2"/>
          <w:sz w:val="32"/>
          <w:szCs w:val="32"/>
          <w:highlight w:val="none"/>
          <w:lang w:val="en-US" w:eastAsia="zh-CN" w:bidi="ar-SA"/>
        </w:rPr>
        <w:t>万元。主要用于</w:t>
      </w:r>
      <w:r>
        <w:rPr>
          <w:rFonts w:hint="eastAsia" w:ascii="Times New Roman" w:hAnsi="Times New Roman" w:eastAsia="仿宋" w:cs="Times New Roman"/>
          <w:color w:val="auto"/>
          <w:kern w:val="2"/>
          <w:sz w:val="32"/>
          <w:szCs w:val="32"/>
          <w:highlight w:val="none"/>
          <w:lang w:val="en-US" w:eastAsia="zh-CN" w:bidi="ar-SA"/>
        </w:rPr>
        <w:t>社区矫正、法律援助等工作</w:t>
      </w:r>
      <w:r>
        <w:rPr>
          <w:rFonts w:hint="default" w:ascii="Times New Roman" w:hAnsi="Times New Roman" w:eastAsia="仿宋" w:cs="Times New Roman"/>
          <w:color w:val="auto"/>
          <w:kern w:val="2"/>
          <w:sz w:val="32"/>
          <w:szCs w:val="32"/>
          <w:highlight w:val="none"/>
          <w:lang w:val="en-US" w:eastAsia="zh-CN" w:bidi="ar-SA"/>
        </w:rPr>
        <w:t>。授予中小企业合同金额</w:t>
      </w:r>
      <w:r>
        <w:rPr>
          <w:rFonts w:hint="default" w:ascii="Times New Roman" w:hAnsi="Times New Roman" w:eastAsia="仿宋" w:cs="Times New Roman"/>
          <w:sz w:val="32"/>
          <w:szCs w:val="32"/>
        </w:rPr>
        <w:t>6.46</w:t>
      </w:r>
      <w:r>
        <w:rPr>
          <w:rFonts w:hint="default" w:ascii="Times New Roman" w:hAnsi="Times New Roman" w:eastAsia="仿宋" w:cs="Times New Roman"/>
          <w:color w:val="auto"/>
          <w:kern w:val="2"/>
          <w:sz w:val="32"/>
          <w:szCs w:val="32"/>
          <w:highlight w:val="none"/>
          <w:lang w:val="en-US" w:eastAsia="zh-CN" w:bidi="ar-SA"/>
        </w:rPr>
        <w:t>万元，占政府采购支出总额的</w:t>
      </w:r>
      <w:r>
        <w:rPr>
          <w:rFonts w:hint="default" w:ascii="Times New Roman" w:hAnsi="Times New Roman" w:eastAsia="仿宋" w:cs="Times New Roman"/>
          <w:sz w:val="32"/>
          <w:szCs w:val="32"/>
        </w:rPr>
        <w:t>6.69</w:t>
      </w:r>
      <w:r>
        <w:rPr>
          <w:rFonts w:hint="default" w:ascii="Times New Roman" w:hAnsi="Times New Roman" w:eastAsia="仿宋" w:cs="Times New Roman"/>
          <w:color w:val="auto"/>
          <w:kern w:val="2"/>
          <w:sz w:val="32"/>
          <w:szCs w:val="32"/>
          <w:highlight w:val="none"/>
          <w:lang w:val="en-US" w:eastAsia="zh-CN" w:bidi="ar-SA"/>
        </w:rPr>
        <w:t>%，其中：授予小微企业合同金额</w:t>
      </w:r>
      <w:r>
        <w:rPr>
          <w:rFonts w:hint="default" w:ascii="Times New Roman" w:hAnsi="Times New Roman" w:eastAsia="仿宋" w:cs="Times New Roman"/>
          <w:sz w:val="32"/>
          <w:szCs w:val="32"/>
        </w:rPr>
        <w:t>6.46</w:t>
      </w:r>
      <w:r>
        <w:rPr>
          <w:rFonts w:hint="default" w:ascii="Times New Roman" w:hAnsi="Times New Roman" w:eastAsia="仿宋" w:cs="Times New Roman"/>
          <w:color w:val="auto"/>
          <w:kern w:val="2"/>
          <w:sz w:val="32"/>
          <w:szCs w:val="32"/>
          <w:highlight w:val="none"/>
          <w:lang w:val="en-US" w:eastAsia="zh-CN" w:bidi="ar-SA"/>
        </w:rPr>
        <w:t>万元，占政府采购支出总额的</w:t>
      </w:r>
      <w:r>
        <w:rPr>
          <w:rFonts w:hint="default" w:ascii="Times New Roman" w:hAnsi="Times New Roman" w:eastAsia="仿宋" w:cs="Times New Roman"/>
          <w:sz w:val="32"/>
          <w:szCs w:val="32"/>
        </w:rPr>
        <w:t>6.69</w:t>
      </w:r>
      <w:r>
        <w:rPr>
          <w:rFonts w:hint="default" w:ascii="Times New Roman" w:hAnsi="Times New Roman" w:eastAsia="仿宋" w:cs="Times New Roman"/>
          <w:color w:val="auto"/>
          <w:kern w:val="2"/>
          <w:sz w:val="32"/>
          <w:szCs w:val="32"/>
          <w:highlight w:val="none"/>
          <w:lang w:val="en-US" w:eastAsia="zh-CN" w:bidi="ar-SA"/>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4" w:name="_Toc15377224"/>
      <w:r>
        <w:rPr>
          <w:rFonts w:hint="eastAsia" w:ascii="Times New Roman" w:hAnsi="Times New Roman" w:eastAsia="楷体_GB2312" w:cs="楷体_GB2312"/>
          <w:b/>
          <w:color w:val="auto"/>
          <w:sz w:val="32"/>
          <w:szCs w:val="32"/>
          <w:highlight w:val="none"/>
        </w:rPr>
        <w:t>（三）国有资产占有使用情况</w:t>
      </w:r>
      <w:bookmarkEnd w:id="44"/>
    </w:p>
    <w:p>
      <w:pPr>
        <w:spacing w:line="600" w:lineRule="exact"/>
        <w:ind w:firstLine="640"/>
        <w:rPr>
          <w:rFonts w:hint="default" w:ascii="Times New Roman" w:hAnsi="Times New Roman" w:eastAsia="仿宋" w:cs="Times New Roman"/>
          <w:color w:val="auto"/>
          <w:kern w:val="2"/>
          <w:sz w:val="32"/>
          <w:szCs w:val="32"/>
          <w:highlight w:val="none"/>
          <w:lang w:val="en-US" w:eastAsia="zh-CN" w:bidi="ar-SA"/>
        </w:rPr>
      </w:pPr>
      <w:r>
        <w:rPr>
          <w:rFonts w:hint="default" w:ascii="Times New Roman" w:hAnsi="Times New Roman" w:eastAsia="仿宋" w:cs="Times New Roman"/>
          <w:color w:val="auto"/>
          <w:kern w:val="2"/>
          <w:sz w:val="32"/>
          <w:szCs w:val="32"/>
          <w:highlight w:val="none"/>
          <w:lang w:val="en-US" w:eastAsia="zh-CN" w:bidi="ar-SA"/>
        </w:rPr>
        <w:t>截至2024年12月31日，</w:t>
      </w:r>
      <w:r>
        <w:rPr>
          <w:rFonts w:hint="default" w:ascii="Times New Roman" w:hAnsi="Times New Roman" w:eastAsia="仿宋" w:cs="Times New Roman"/>
          <w:sz w:val="32"/>
          <w:szCs w:val="32"/>
        </w:rPr>
        <w:t>攀枝花市西区司法局</w:t>
      </w:r>
      <w:r>
        <w:rPr>
          <w:rFonts w:hint="default" w:ascii="Times New Roman" w:hAnsi="Times New Roman" w:eastAsia="仿宋" w:cs="Times New Roman"/>
          <w:color w:val="auto"/>
          <w:kern w:val="2"/>
          <w:sz w:val="32"/>
          <w:szCs w:val="32"/>
          <w:highlight w:val="none"/>
          <w:lang w:val="en-US" w:eastAsia="zh-CN" w:bidi="ar-SA"/>
        </w:rPr>
        <w:t>共有车辆</w:t>
      </w:r>
      <w:r>
        <w:rPr>
          <w:rFonts w:hint="default" w:ascii="Times New Roman" w:hAnsi="Times New Roman" w:eastAsia="仿宋" w:cs="Times New Roman"/>
          <w:sz w:val="32"/>
          <w:szCs w:val="32"/>
        </w:rPr>
        <w:t>1</w:t>
      </w:r>
      <w:r>
        <w:rPr>
          <w:rFonts w:hint="default" w:ascii="Times New Roman" w:hAnsi="Times New Roman" w:eastAsia="仿宋" w:cs="Times New Roman"/>
          <w:color w:val="auto"/>
          <w:kern w:val="2"/>
          <w:sz w:val="32"/>
          <w:szCs w:val="32"/>
          <w:highlight w:val="none"/>
          <w:lang w:val="en-US" w:eastAsia="zh-CN" w:bidi="ar-SA"/>
        </w:rPr>
        <w:t>辆，其中：主要负责人用车</w:t>
      </w:r>
      <w:r>
        <w:rPr>
          <w:rFonts w:hint="default" w:ascii="Times New Roman" w:hAnsi="Times New Roman" w:eastAsia="仿宋" w:cs="Times New Roman"/>
          <w:sz w:val="32"/>
          <w:szCs w:val="32"/>
        </w:rPr>
        <w:t>0</w:t>
      </w:r>
      <w:r>
        <w:rPr>
          <w:rFonts w:hint="default" w:ascii="Times New Roman" w:hAnsi="Times New Roman" w:eastAsia="仿宋" w:cs="Times New Roman"/>
          <w:color w:val="auto"/>
          <w:kern w:val="2"/>
          <w:sz w:val="32"/>
          <w:szCs w:val="32"/>
          <w:highlight w:val="none"/>
          <w:lang w:val="en-US" w:eastAsia="zh-CN" w:bidi="ar-SA"/>
        </w:rPr>
        <w:t>辆、机要通信用车</w:t>
      </w:r>
      <w:r>
        <w:rPr>
          <w:rFonts w:hint="default" w:ascii="Times New Roman" w:hAnsi="Times New Roman" w:eastAsia="仿宋" w:cs="Times New Roman"/>
          <w:sz w:val="32"/>
          <w:szCs w:val="32"/>
        </w:rPr>
        <w:t>0</w:t>
      </w:r>
      <w:r>
        <w:rPr>
          <w:rFonts w:hint="default" w:ascii="Times New Roman" w:hAnsi="Times New Roman" w:eastAsia="仿宋" w:cs="Times New Roman"/>
          <w:color w:val="auto"/>
          <w:kern w:val="2"/>
          <w:sz w:val="32"/>
          <w:szCs w:val="32"/>
          <w:highlight w:val="none"/>
          <w:lang w:val="en-US" w:eastAsia="zh-CN" w:bidi="ar-SA"/>
        </w:rPr>
        <w:t>辆、应急保障用车1辆。单价100万元（含）以上设备（不含车辆）</w:t>
      </w:r>
      <w:r>
        <w:rPr>
          <w:rFonts w:hint="default" w:ascii="Times New Roman" w:hAnsi="Times New Roman" w:eastAsia="仿宋" w:cs="Times New Roman"/>
          <w:sz w:val="32"/>
          <w:szCs w:val="32"/>
        </w:rPr>
        <w:t>0</w:t>
      </w:r>
      <w:r>
        <w:rPr>
          <w:rFonts w:hint="default" w:ascii="Times New Roman" w:hAnsi="Times New Roman" w:eastAsia="仿宋" w:cs="Times New Roman"/>
          <w:color w:val="auto"/>
          <w:kern w:val="2"/>
          <w:sz w:val="32"/>
          <w:szCs w:val="32"/>
          <w:highlight w:val="none"/>
          <w:lang w:val="en-US" w:eastAsia="zh-CN" w:bidi="ar-SA"/>
        </w:rPr>
        <w:t>台（套）。</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（四）预算绩效管理情况</w:t>
      </w:r>
    </w:p>
    <w:p>
      <w:pPr>
        <w:spacing w:line="600" w:lineRule="exact"/>
        <w:ind w:firstLine="640"/>
        <w:rPr>
          <w:rFonts w:hint="default" w:ascii="Times New Roman" w:hAnsi="Times New Roman" w:eastAsia="仿宋" w:cs="Times New Roman"/>
          <w:color w:val="auto"/>
          <w:kern w:val="2"/>
          <w:sz w:val="32"/>
          <w:szCs w:val="32"/>
          <w:highlight w:val="none"/>
          <w:lang w:val="en-US" w:eastAsia="zh-CN" w:bidi="ar-SA"/>
        </w:rPr>
      </w:pPr>
      <w:r>
        <w:rPr>
          <w:rFonts w:hint="default" w:ascii="Times New Roman" w:hAnsi="Times New Roman" w:eastAsia="仿宋" w:cs="Times New Roman"/>
          <w:color w:val="auto"/>
          <w:kern w:val="2"/>
          <w:sz w:val="32"/>
          <w:szCs w:val="32"/>
          <w:highlight w:val="none"/>
          <w:lang w:val="en-US" w:eastAsia="zh-CN" w:bidi="ar-SA"/>
        </w:rPr>
        <w:t>根据预算绩效管理要求，本部门在2024年度预算编制阶段，组织对</w:t>
      </w:r>
      <w:r>
        <w:rPr>
          <w:rFonts w:hint="default" w:ascii="Times New Roman" w:hAnsi="Times New Roman" w:eastAsia="仿宋" w:cs="Times New Roman"/>
          <w:color w:val="auto"/>
          <w:sz w:val="32"/>
          <w:szCs w:val="32"/>
          <w:highlight w:val="none"/>
          <w:lang w:eastAsia="zh-CN"/>
        </w:rPr>
        <w:t>政法</w:t>
      </w:r>
      <w:r>
        <w:rPr>
          <w:rFonts w:hint="default" w:ascii="Times New Roman" w:hAnsi="Times New Roman" w:eastAsia="仿宋" w:cs="Times New Roman"/>
          <w:color w:val="auto"/>
          <w:sz w:val="32"/>
          <w:szCs w:val="32"/>
          <w:highlight w:val="none"/>
        </w:rPr>
        <w:t>转移支付资金项目</w:t>
      </w:r>
      <w:r>
        <w:rPr>
          <w:rFonts w:hint="default" w:ascii="Times New Roman" w:hAnsi="Times New Roman" w:eastAsia="仿宋" w:cs="Times New Roman"/>
          <w:color w:val="auto"/>
          <w:sz w:val="32"/>
          <w:szCs w:val="32"/>
          <w:highlight w:val="none"/>
          <w:lang w:val="en-US" w:eastAsia="zh-CN"/>
        </w:rPr>
        <w:t>1个项目开展了预算事前绩效评估，对1个项目编制了绩效目标，预算执行过程中，选取1个项目开</w:t>
      </w:r>
      <w:r>
        <w:rPr>
          <w:rFonts w:hint="default" w:ascii="Times New Roman" w:hAnsi="Times New Roman" w:eastAsia="仿宋" w:cs="Times New Roman"/>
          <w:color w:val="auto"/>
          <w:kern w:val="2"/>
          <w:sz w:val="32"/>
          <w:szCs w:val="32"/>
          <w:highlight w:val="none"/>
          <w:lang w:val="en-US" w:eastAsia="zh-CN" w:bidi="ar-SA"/>
        </w:rPr>
        <w:t>展绩效监控。</w:t>
      </w:r>
    </w:p>
    <w:p>
      <w:pPr>
        <w:adjustRightInd w:val="0"/>
        <w:snapToGrid w:val="0"/>
        <w:spacing w:line="360" w:lineRule="auto"/>
        <w:ind w:firstLine="640" w:firstLineChars="200"/>
        <w:rPr>
          <w:rFonts w:hint="default" w:ascii="Times New Roman" w:hAnsi="Times New Roman" w:eastAsia="仿宋" w:cs="Times New Roman"/>
          <w:b/>
          <w:bCs/>
          <w:color w:val="auto"/>
          <w:kern w:val="2"/>
          <w:sz w:val="32"/>
          <w:szCs w:val="32"/>
          <w:highlight w:val="none"/>
          <w:lang w:val="en-US" w:eastAsia="zh-CN" w:bidi="ar-SA"/>
        </w:rPr>
      </w:pPr>
      <w:r>
        <w:rPr>
          <w:rFonts w:hint="default" w:ascii="Times New Roman" w:hAnsi="Times New Roman" w:eastAsia="仿宋" w:cs="Times New Roman"/>
          <w:color w:val="auto"/>
          <w:kern w:val="2"/>
          <w:sz w:val="32"/>
          <w:szCs w:val="32"/>
          <w:highlight w:val="none"/>
          <w:lang w:val="en-US" w:eastAsia="zh-CN" w:bidi="ar-SA"/>
        </w:rPr>
        <w:t>组织对2024年度一般公共预算、政府性基金预算全面开展绩效自评，形成</w:t>
      </w:r>
      <w:r>
        <w:rPr>
          <w:rFonts w:hint="default" w:ascii="Times New Roman" w:hAnsi="Times New Roman" w:eastAsia="仿宋" w:cs="Times New Roman"/>
          <w:color w:val="auto"/>
          <w:sz w:val="32"/>
          <w:szCs w:val="32"/>
          <w:highlight w:val="none"/>
          <w:lang w:val="en-US" w:eastAsia="zh-CN"/>
        </w:rPr>
        <w:t>西区司法局</w:t>
      </w:r>
      <w:r>
        <w:rPr>
          <w:rFonts w:hint="default" w:ascii="Times New Roman" w:hAnsi="Times New Roman" w:eastAsia="仿宋" w:cs="Times New Roman"/>
          <w:color w:val="auto"/>
          <w:kern w:val="2"/>
          <w:sz w:val="32"/>
          <w:szCs w:val="32"/>
          <w:highlight w:val="none"/>
          <w:lang w:val="en-US" w:eastAsia="zh-CN" w:bidi="ar-SA"/>
        </w:rPr>
        <w:t>整体（含部门预算项目）绩效自评报告、</w:t>
      </w:r>
      <w:r>
        <w:rPr>
          <w:rFonts w:hint="default" w:ascii="Times New Roman" w:hAnsi="Times New Roman" w:eastAsia="仿宋" w:cs="Times New Roman"/>
          <w:color w:val="auto"/>
          <w:sz w:val="32"/>
          <w:szCs w:val="32"/>
          <w:highlight w:val="none"/>
          <w:lang w:eastAsia="zh-CN"/>
        </w:rPr>
        <w:t>政法</w:t>
      </w:r>
      <w:r>
        <w:rPr>
          <w:rFonts w:hint="default" w:ascii="Times New Roman" w:hAnsi="Times New Roman" w:eastAsia="仿宋" w:cs="Times New Roman"/>
          <w:color w:val="auto"/>
          <w:sz w:val="32"/>
          <w:szCs w:val="32"/>
          <w:highlight w:val="none"/>
        </w:rPr>
        <w:t>转移支付资金</w:t>
      </w:r>
      <w:r>
        <w:rPr>
          <w:rFonts w:hint="default" w:ascii="Times New Roman" w:hAnsi="Times New Roman" w:eastAsia="仿宋" w:cs="Times New Roman"/>
          <w:color w:val="auto"/>
          <w:sz w:val="32"/>
          <w:szCs w:val="32"/>
          <w:highlight w:val="none"/>
          <w:lang w:eastAsia="zh-CN"/>
        </w:rPr>
        <w:t>专项预算项目</w:t>
      </w:r>
      <w:r>
        <w:rPr>
          <w:rFonts w:hint="default" w:ascii="Times New Roman" w:hAnsi="Times New Roman" w:eastAsia="仿宋" w:cs="Times New Roman"/>
          <w:color w:val="auto"/>
          <w:sz w:val="32"/>
          <w:szCs w:val="32"/>
          <w:highlight w:val="none"/>
          <w:lang w:val="en-US" w:eastAsia="zh-CN"/>
        </w:rPr>
        <w:t>绩效</w:t>
      </w:r>
      <w:r>
        <w:rPr>
          <w:rFonts w:hint="default" w:ascii="Times New Roman" w:hAnsi="Times New Roman" w:eastAsia="仿宋" w:cs="Times New Roman"/>
          <w:color w:val="auto"/>
          <w:kern w:val="2"/>
          <w:sz w:val="32"/>
          <w:szCs w:val="32"/>
          <w:highlight w:val="none"/>
          <w:lang w:val="en-US" w:eastAsia="zh-CN" w:bidi="ar-SA"/>
        </w:rPr>
        <w:t>自评报告，其中，</w:t>
      </w:r>
      <w:r>
        <w:rPr>
          <w:rFonts w:hint="default" w:ascii="Times New Roman" w:hAnsi="Times New Roman" w:eastAsia="仿宋" w:cs="Times New Roman"/>
          <w:color w:val="auto"/>
          <w:sz w:val="32"/>
          <w:szCs w:val="32"/>
          <w:highlight w:val="none"/>
          <w:lang w:val="en-US" w:eastAsia="zh-CN"/>
        </w:rPr>
        <w:t>西区司法局</w:t>
      </w:r>
      <w:r>
        <w:rPr>
          <w:rFonts w:hint="default" w:ascii="Times New Roman" w:hAnsi="Times New Roman" w:eastAsia="仿宋" w:cs="Times New Roman"/>
          <w:color w:val="auto"/>
          <w:kern w:val="2"/>
          <w:sz w:val="32"/>
          <w:szCs w:val="32"/>
          <w:highlight w:val="none"/>
          <w:lang w:val="en-US" w:eastAsia="zh-CN" w:bidi="ar-SA"/>
        </w:rPr>
        <w:t>部门整体绩效自评得分为97分，绩效自评综述：</w:t>
      </w:r>
      <w:r>
        <w:rPr>
          <w:rFonts w:hint="default" w:ascii="Times New Roman" w:hAnsi="Times New Roman" w:eastAsia="仿宋" w:cs="Times New Roman"/>
          <w:color w:val="auto"/>
          <w:sz w:val="32"/>
          <w:szCs w:val="32"/>
          <w:highlight w:val="none"/>
          <w:lang w:val="en-US" w:eastAsia="zh-CN"/>
        </w:rPr>
        <w:t>2024年度较好地完成了年初制定的工作目标任务，各个项目有序开展，整体支出平稳，较好地实现了社会效益和可持续效益目标，通过自评，财政部门能够清晰完整地了解我局在预决算执行过程的问题</w:t>
      </w:r>
      <w:r>
        <w:rPr>
          <w:rFonts w:hint="default" w:ascii="Times New Roman" w:hAnsi="Times New Roman" w:eastAsia="仿宋" w:cs="Times New Roman"/>
          <w:color w:val="auto"/>
          <w:kern w:val="2"/>
          <w:sz w:val="32"/>
          <w:szCs w:val="32"/>
          <w:highlight w:val="none"/>
          <w:lang w:val="en-US" w:eastAsia="zh-CN" w:bidi="ar-SA"/>
        </w:rPr>
        <w:t>；</w:t>
      </w:r>
      <w:r>
        <w:rPr>
          <w:rFonts w:hint="default" w:ascii="Times New Roman" w:hAnsi="Times New Roman" w:eastAsia="仿宋" w:cs="Times New Roman"/>
          <w:color w:val="auto"/>
          <w:sz w:val="32"/>
          <w:szCs w:val="32"/>
          <w:highlight w:val="none"/>
          <w:lang w:val="en-US" w:eastAsia="zh-CN"/>
        </w:rPr>
        <w:t>政法转移支付</w:t>
      </w:r>
      <w:r>
        <w:rPr>
          <w:rFonts w:hint="default" w:ascii="Times New Roman" w:hAnsi="Times New Roman" w:eastAsia="仿宋" w:cs="Times New Roman"/>
          <w:color w:val="auto"/>
          <w:sz w:val="32"/>
          <w:szCs w:val="32"/>
          <w:highlight w:val="none"/>
          <w:lang w:eastAsia="zh-CN"/>
        </w:rPr>
        <w:t>专项预</w:t>
      </w:r>
      <w:r>
        <w:rPr>
          <w:rFonts w:hint="default" w:ascii="Times New Roman" w:hAnsi="Times New Roman" w:eastAsia="仿宋" w:cs="Times New Roman"/>
          <w:color w:val="auto"/>
          <w:sz w:val="32"/>
          <w:szCs w:val="32"/>
          <w:highlight w:val="none"/>
          <w:lang w:val="en-US" w:eastAsia="zh-CN"/>
        </w:rPr>
        <w:t>算项目绩效自评得</w:t>
      </w:r>
      <w:r>
        <w:rPr>
          <w:rFonts w:hint="default" w:ascii="Times New Roman" w:hAnsi="Times New Roman" w:eastAsia="仿宋" w:cs="Times New Roman"/>
          <w:color w:val="auto"/>
          <w:kern w:val="2"/>
          <w:sz w:val="32"/>
          <w:szCs w:val="32"/>
          <w:highlight w:val="none"/>
          <w:lang w:val="en-US" w:eastAsia="zh-CN" w:bidi="ar-SA"/>
        </w:rPr>
        <w:t>分为97分，绩效自评综述：</w:t>
      </w:r>
      <w:r>
        <w:rPr>
          <w:rFonts w:hint="default" w:ascii="Times New Roman" w:hAnsi="Times New Roman" w:eastAsia="仿宋" w:cs="Times New Roman"/>
          <w:color w:val="auto"/>
          <w:sz w:val="32"/>
          <w:szCs w:val="32"/>
          <w:highlight w:val="none"/>
          <w:lang w:val="zh-CN" w:eastAsia="zh-CN"/>
        </w:rPr>
        <w:t>按照确定的绩效目标，结合年度工作计划，具体实施分阶段开展落实，克服困难，较好地完成了年初设定的工作任务，实现了既定的目标，取得了良好的效果，达到了预期的目的，经济效益和社会效益均实现了双赢。</w:t>
      </w:r>
      <w:r>
        <w:rPr>
          <w:rFonts w:hint="default" w:ascii="Times New Roman" w:hAnsi="Times New Roman" w:eastAsia="仿宋" w:cs="Times New Roman"/>
          <w:color w:val="auto"/>
          <w:kern w:val="2"/>
          <w:sz w:val="32"/>
          <w:szCs w:val="32"/>
          <w:highlight w:val="none"/>
          <w:lang w:val="en-US" w:eastAsia="zh-CN" w:bidi="ar-SA"/>
        </w:rPr>
        <w:t>绩效自评报告详见附件。</w:t>
      </w:r>
    </w:p>
    <w:p>
      <w:pPr>
        <w:spacing w:line="600" w:lineRule="exact"/>
        <w:rPr>
          <w:rFonts w:hint="eastAsia" w:ascii="Times New Roman" w:hAnsi="Times New Roman" w:eastAsia="仿宋_GB2312" w:cs="仿宋_GB2312"/>
          <w:color w:val="auto"/>
          <w:kern w:val="2"/>
          <w:sz w:val="32"/>
          <w:szCs w:val="32"/>
          <w:highlight w:val="none"/>
          <w:lang w:val="en-US" w:eastAsia="zh-CN" w:bidi="ar-SA"/>
        </w:rPr>
      </w:pPr>
    </w:p>
    <w:p>
      <w:pPr>
        <w:numPr>
          <w:ilvl w:val="0"/>
          <w:numId w:val="0"/>
        </w:numPr>
        <w:spacing w:line="600" w:lineRule="exact"/>
        <w:jc w:val="both"/>
        <w:outlineLvl w:val="0"/>
        <w:rPr>
          <w:rFonts w:hint="eastAsia" w:ascii="Times New Roman" w:hAnsi="Times New Roman" w:eastAsia="黑体"/>
          <w:color w:val="auto"/>
          <w:sz w:val="44"/>
          <w:szCs w:val="44"/>
          <w:highlight w:val="none"/>
        </w:rPr>
      </w:pPr>
      <w:bookmarkStart w:id="45" w:name="_Toc15396613"/>
      <w:bookmarkStart w:id="46" w:name="_Toc15377225"/>
    </w:p>
    <w:p>
      <w:pPr>
        <w:pStyle w:val="2"/>
        <w:rPr>
          <w:rFonts w:hint="eastAsia" w:ascii="Times New Roman" w:hAnsi="Times New Roman" w:eastAsia="黑体"/>
          <w:color w:val="auto"/>
          <w:sz w:val="44"/>
          <w:szCs w:val="44"/>
          <w:highlight w:val="none"/>
        </w:rPr>
      </w:pPr>
    </w:p>
    <w:p>
      <w:pPr>
        <w:numPr>
          <w:ilvl w:val="0"/>
          <w:numId w:val="0"/>
        </w:numPr>
        <w:spacing w:line="600" w:lineRule="exact"/>
        <w:jc w:val="center"/>
        <w:outlineLvl w:val="0"/>
        <w:rPr>
          <w:rFonts w:hint="eastAsia" w:ascii="Times New Roman" w:hAnsi="Times New Roman" w:eastAsia="黑体"/>
          <w:color w:val="auto"/>
          <w:sz w:val="44"/>
          <w:szCs w:val="44"/>
          <w:highlight w:val="none"/>
        </w:rPr>
      </w:pPr>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三</w:t>
      </w:r>
      <w:r>
        <w:rPr>
          <w:rFonts w:hint="eastAsia" w:ascii="Times New Roman" w:hAnsi="Times New Roman" w:eastAsia="黑体"/>
          <w:color w:val="auto"/>
          <w:sz w:val="44"/>
          <w:szCs w:val="44"/>
          <w:highlight w:val="none"/>
        </w:rPr>
        <w:t>部分</w:t>
      </w:r>
      <w:r>
        <w:rPr>
          <w:rFonts w:hint="eastAsia" w:ascii="Times New Roman" w:hAnsi="Times New Roman" w:eastAsia="黑体"/>
          <w:color w:val="auto"/>
          <w:sz w:val="44"/>
          <w:szCs w:val="44"/>
          <w:highlight w:val="none"/>
          <w:lang w:val="en-US" w:eastAsia="zh-CN"/>
        </w:rPr>
        <w:t xml:space="preserve"> </w:t>
      </w:r>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bookmarkEnd w:id="45"/>
      <w:bookmarkEnd w:id="46"/>
    </w:p>
    <w:p>
      <w:pPr>
        <w:spacing w:line="600" w:lineRule="exact"/>
        <w:jc w:val="left"/>
        <w:rPr>
          <w:rFonts w:ascii="Times New Roman" w:hAnsi="Times New Roman"/>
          <w:b/>
          <w:color w:val="auto"/>
          <w:sz w:val="44"/>
          <w:szCs w:val="44"/>
          <w:highlight w:val="none"/>
        </w:rPr>
      </w:pPr>
    </w:p>
    <w:p>
      <w:pPr>
        <w:spacing w:line="600" w:lineRule="exact"/>
        <w:ind w:firstLine="640"/>
        <w:rPr>
          <w:rFonts w:hint="default" w:ascii="Times New Roman" w:hAnsi="Times New Roman" w:eastAsia="仿宋" w:cs="Times New Roman"/>
          <w:color w:val="auto"/>
          <w:kern w:val="2"/>
          <w:sz w:val="32"/>
          <w:szCs w:val="32"/>
          <w:highlight w:val="none"/>
          <w:lang w:val="en-US" w:eastAsia="zh-CN" w:bidi="ar-SA"/>
        </w:rPr>
      </w:pPr>
      <w:r>
        <w:rPr>
          <w:rFonts w:hint="default" w:ascii="Times New Roman" w:hAnsi="Times New Roman" w:eastAsia="仿宋" w:cs="Times New Roman"/>
          <w:color w:val="auto"/>
          <w:kern w:val="2"/>
          <w:sz w:val="32"/>
          <w:szCs w:val="32"/>
          <w:highlight w:val="none"/>
          <w:lang w:val="en-US" w:eastAsia="zh-CN" w:bidi="ar-SA"/>
        </w:rPr>
        <w:t>1.财政拨款收入：指单位从同级财政部门取得的财政预算资金。</w:t>
      </w:r>
    </w:p>
    <w:p>
      <w:pPr>
        <w:spacing w:line="600" w:lineRule="exact"/>
        <w:ind w:firstLine="640"/>
        <w:rPr>
          <w:rFonts w:hint="default" w:ascii="Times New Roman" w:hAnsi="Times New Roman" w:eastAsia="仿宋" w:cs="Times New Roman"/>
          <w:color w:val="auto"/>
          <w:kern w:val="2"/>
          <w:sz w:val="32"/>
          <w:szCs w:val="32"/>
          <w:highlight w:val="none"/>
          <w:lang w:val="en-US" w:eastAsia="zh-CN" w:bidi="ar-SA"/>
        </w:rPr>
      </w:pPr>
      <w:r>
        <w:rPr>
          <w:rFonts w:hint="default" w:ascii="Times New Roman" w:hAnsi="Times New Roman" w:eastAsia="仿宋" w:cs="Times New Roman"/>
          <w:color w:val="auto"/>
          <w:kern w:val="2"/>
          <w:sz w:val="32"/>
          <w:szCs w:val="32"/>
          <w:highlight w:val="none"/>
          <w:lang w:val="en-US" w:eastAsia="zh-CN" w:bidi="ar-SA"/>
        </w:rPr>
        <w:t>2.事业收入：指事业单位开展专业业务活动及辅助活动取得的收入。</w:t>
      </w:r>
    </w:p>
    <w:p>
      <w:pPr>
        <w:spacing w:line="600" w:lineRule="exact"/>
        <w:ind w:firstLine="640"/>
        <w:rPr>
          <w:rFonts w:hint="default" w:ascii="Times New Roman" w:hAnsi="Times New Roman" w:eastAsia="仿宋" w:cs="Times New Roman"/>
          <w:color w:val="auto"/>
          <w:kern w:val="2"/>
          <w:sz w:val="32"/>
          <w:szCs w:val="32"/>
          <w:highlight w:val="none"/>
          <w:lang w:val="en-US" w:eastAsia="zh-CN" w:bidi="ar-SA"/>
        </w:rPr>
      </w:pPr>
      <w:r>
        <w:rPr>
          <w:rFonts w:hint="default" w:ascii="Times New Roman" w:hAnsi="Times New Roman" w:eastAsia="仿宋" w:cs="Times New Roman"/>
          <w:color w:val="auto"/>
          <w:kern w:val="2"/>
          <w:sz w:val="32"/>
          <w:szCs w:val="32"/>
          <w:highlight w:val="none"/>
          <w:lang w:val="en-US" w:eastAsia="zh-CN" w:bidi="ar-SA"/>
        </w:rPr>
        <w:t>3.经营收入：指事业单位在专业业务活动及其辅助活动之外开展非独立核算经营活动取得的收入。</w:t>
      </w:r>
    </w:p>
    <w:p>
      <w:pPr>
        <w:spacing w:line="600" w:lineRule="exact"/>
        <w:ind w:firstLine="640"/>
        <w:rPr>
          <w:rFonts w:hint="default" w:ascii="Times New Roman" w:hAnsi="Times New Roman" w:eastAsia="仿宋" w:cs="Times New Roman"/>
          <w:color w:val="auto"/>
          <w:kern w:val="2"/>
          <w:sz w:val="32"/>
          <w:szCs w:val="32"/>
          <w:highlight w:val="none"/>
          <w:lang w:val="en-US" w:eastAsia="zh-CN" w:bidi="ar-SA"/>
        </w:rPr>
      </w:pPr>
      <w:r>
        <w:rPr>
          <w:rFonts w:hint="default" w:ascii="Times New Roman" w:hAnsi="Times New Roman" w:eastAsia="仿宋" w:cs="Times New Roman"/>
          <w:color w:val="auto"/>
          <w:kern w:val="2"/>
          <w:sz w:val="32"/>
          <w:szCs w:val="32"/>
          <w:highlight w:val="none"/>
          <w:lang w:val="en-US" w:eastAsia="zh-CN" w:bidi="ar-SA"/>
        </w:rPr>
        <w:t xml:space="preserve">4.其他收入：指单位取得的除上述收入以外的各项收入。 </w:t>
      </w:r>
    </w:p>
    <w:p>
      <w:pPr>
        <w:spacing w:line="600" w:lineRule="exact"/>
        <w:ind w:firstLine="640"/>
        <w:rPr>
          <w:rFonts w:hint="default" w:ascii="Times New Roman" w:hAnsi="Times New Roman" w:eastAsia="仿宋" w:cs="Times New Roman"/>
          <w:color w:val="auto"/>
          <w:kern w:val="2"/>
          <w:sz w:val="32"/>
          <w:szCs w:val="32"/>
          <w:highlight w:val="none"/>
          <w:lang w:val="en-US" w:eastAsia="zh-CN" w:bidi="ar-SA"/>
        </w:rPr>
      </w:pPr>
      <w:r>
        <w:rPr>
          <w:rFonts w:hint="default" w:ascii="Times New Roman" w:hAnsi="Times New Roman" w:eastAsia="仿宋" w:cs="Times New Roman"/>
          <w:color w:val="auto"/>
          <w:kern w:val="2"/>
          <w:sz w:val="32"/>
          <w:szCs w:val="32"/>
          <w:highlight w:val="none"/>
          <w:lang w:val="en-US" w:eastAsia="zh-CN" w:bidi="ar-SA"/>
        </w:rPr>
        <w:t xml:space="preserve">5.使用非财政拨款结余（含专用结余）：指事业单位使用以前年度积累的非财政拨款结余弥补当年收支差额的金额。 </w:t>
      </w:r>
    </w:p>
    <w:p>
      <w:pPr>
        <w:spacing w:line="600" w:lineRule="exact"/>
        <w:ind w:firstLine="640"/>
        <w:rPr>
          <w:rFonts w:hint="default" w:ascii="Times New Roman" w:hAnsi="Times New Roman" w:eastAsia="仿宋" w:cs="Times New Roman"/>
          <w:color w:val="auto"/>
          <w:kern w:val="2"/>
          <w:sz w:val="32"/>
          <w:szCs w:val="32"/>
          <w:highlight w:val="none"/>
          <w:lang w:val="en-US" w:eastAsia="zh-CN" w:bidi="ar-SA"/>
        </w:rPr>
      </w:pPr>
      <w:r>
        <w:rPr>
          <w:rFonts w:hint="default" w:ascii="Times New Roman" w:hAnsi="Times New Roman" w:eastAsia="仿宋" w:cs="Times New Roman"/>
          <w:color w:val="auto"/>
          <w:kern w:val="2"/>
          <w:sz w:val="32"/>
          <w:szCs w:val="32"/>
          <w:highlight w:val="none"/>
          <w:lang w:val="en-US" w:eastAsia="zh-CN" w:bidi="ar-SA"/>
        </w:rPr>
        <w:t xml:space="preserve">6.年初结转和结余：指以前年度尚未完成、结转到本年按有关规定继续使用的资金。 </w:t>
      </w:r>
    </w:p>
    <w:p>
      <w:pPr>
        <w:spacing w:line="600" w:lineRule="exact"/>
        <w:ind w:firstLine="640"/>
        <w:rPr>
          <w:rFonts w:hint="default" w:ascii="Times New Roman" w:hAnsi="Times New Roman" w:eastAsia="仿宋" w:cs="Times New Roman"/>
          <w:color w:val="auto"/>
          <w:kern w:val="2"/>
          <w:sz w:val="32"/>
          <w:szCs w:val="32"/>
          <w:highlight w:val="none"/>
          <w:lang w:val="en-US" w:eastAsia="zh-CN" w:bidi="ar-SA"/>
        </w:rPr>
      </w:pPr>
      <w:r>
        <w:rPr>
          <w:rFonts w:hint="default" w:ascii="Times New Roman" w:hAnsi="Times New Roman" w:eastAsia="仿宋" w:cs="Times New Roman"/>
          <w:color w:val="auto"/>
          <w:kern w:val="2"/>
          <w:sz w:val="32"/>
          <w:szCs w:val="32"/>
          <w:highlight w:val="none"/>
          <w:lang w:val="en-US" w:eastAsia="zh-CN" w:bidi="ar-SA"/>
        </w:rPr>
        <w:t>7.结余分配：指事业单位按照会计制度规定缴纳的所得税、提取的专用结余以及转入非财政拨款结余的金额等。</w:t>
      </w:r>
    </w:p>
    <w:p>
      <w:pPr>
        <w:spacing w:line="600" w:lineRule="exact"/>
        <w:ind w:firstLine="640"/>
        <w:rPr>
          <w:rFonts w:hint="default" w:ascii="Times New Roman" w:hAnsi="Times New Roman" w:eastAsia="仿宋" w:cs="Times New Roman"/>
          <w:color w:val="auto"/>
          <w:kern w:val="2"/>
          <w:sz w:val="32"/>
          <w:szCs w:val="32"/>
          <w:highlight w:val="none"/>
          <w:lang w:val="en-US" w:eastAsia="zh-CN" w:bidi="ar-SA"/>
        </w:rPr>
      </w:pPr>
      <w:r>
        <w:rPr>
          <w:rFonts w:hint="default" w:ascii="Times New Roman" w:hAnsi="Times New Roman" w:eastAsia="仿宋" w:cs="Times New Roman"/>
          <w:color w:val="auto"/>
          <w:kern w:val="2"/>
          <w:sz w:val="32"/>
          <w:szCs w:val="32"/>
          <w:highlight w:val="none"/>
          <w:lang w:val="en-US" w:eastAsia="zh-CN" w:bidi="ar-SA"/>
        </w:rPr>
        <w:t>8.年末结转和结余：指单位按有关规定结转到下年或以后年度继续使用的资金。</w:t>
      </w:r>
    </w:p>
    <w:p>
      <w:pPr>
        <w:spacing w:line="600" w:lineRule="exact"/>
        <w:ind w:firstLine="640"/>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kern w:val="2"/>
          <w:sz w:val="32"/>
          <w:szCs w:val="32"/>
          <w:highlight w:val="none"/>
          <w:lang w:val="en-US" w:eastAsia="zh-CN" w:bidi="ar-SA"/>
        </w:rPr>
        <w:t>9.</w:t>
      </w:r>
      <w:r>
        <w:rPr>
          <w:rFonts w:hint="default" w:ascii="Times New Roman" w:hAnsi="Times New Roman" w:eastAsia="仿宋" w:cs="Times New Roman"/>
          <w:color w:val="auto"/>
          <w:sz w:val="32"/>
          <w:szCs w:val="32"/>
          <w:highlight w:val="none"/>
        </w:rPr>
        <w:t>公共安全支出（类）司法（款）行政运行（项）：指</w:t>
      </w:r>
      <w:r>
        <w:rPr>
          <w:rFonts w:hint="default" w:ascii="Times New Roman" w:hAnsi="Times New Roman" w:eastAsia="仿宋" w:cs="Times New Roman"/>
          <w:color w:val="000000"/>
          <w:sz w:val="32"/>
          <w:szCs w:val="32"/>
        </w:rPr>
        <w:t>行政单位（包括实行公务员管理的事业单位）的基本支出</w:t>
      </w:r>
      <w:r>
        <w:rPr>
          <w:rFonts w:hint="default" w:ascii="Times New Roman" w:hAnsi="Times New Roman" w:eastAsia="仿宋" w:cs="Times New Roman"/>
          <w:color w:val="auto"/>
          <w:sz w:val="32"/>
          <w:szCs w:val="32"/>
          <w:highlight w:val="none"/>
        </w:rPr>
        <w:t>。</w:t>
      </w:r>
    </w:p>
    <w:p>
      <w:pPr>
        <w:spacing w:line="600" w:lineRule="exact"/>
        <w:ind w:firstLine="640"/>
        <w:rPr>
          <w:rFonts w:hint="default" w:ascii="Times New Roman" w:hAnsi="Times New Roman" w:eastAsia="仿宋" w:cs="Times New Roman"/>
          <w:color w:val="auto"/>
          <w:sz w:val="32"/>
          <w:szCs w:val="32"/>
          <w:highlight w:val="none"/>
          <w:lang w:eastAsia="zh-CN"/>
        </w:rPr>
      </w:pPr>
      <w:r>
        <w:rPr>
          <w:rFonts w:hint="default" w:ascii="Times New Roman" w:hAnsi="Times New Roman" w:eastAsia="仿宋" w:cs="Times New Roman"/>
          <w:color w:val="auto"/>
          <w:kern w:val="2"/>
          <w:sz w:val="32"/>
          <w:szCs w:val="32"/>
          <w:highlight w:val="none"/>
          <w:lang w:val="en-US" w:eastAsia="zh-CN" w:bidi="ar-SA"/>
        </w:rPr>
        <w:t>10.</w:t>
      </w:r>
      <w:r>
        <w:rPr>
          <w:rFonts w:hint="default" w:ascii="Times New Roman" w:hAnsi="Times New Roman" w:eastAsia="仿宋" w:cs="Times New Roman"/>
          <w:color w:val="auto"/>
          <w:sz w:val="32"/>
          <w:szCs w:val="32"/>
          <w:highlight w:val="none"/>
        </w:rPr>
        <w:t>公共安全支出（类）司法（款）基层司法业务（项）</w:t>
      </w:r>
      <w:r>
        <w:rPr>
          <w:rFonts w:hint="default" w:ascii="Times New Roman" w:hAnsi="Times New Roman" w:eastAsia="仿宋" w:cs="Times New Roman"/>
          <w:color w:val="auto"/>
          <w:sz w:val="32"/>
          <w:szCs w:val="32"/>
          <w:highlight w:val="none"/>
          <w:lang w:eastAsia="zh-CN"/>
        </w:rPr>
        <w:t>：指反映各级司法行政部门用于基层业务的支出。</w:t>
      </w:r>
    </w:p>
    <w:p>
      <w:pPr>
        <w:spacing w:line="600" w:lineRule="exact"/>
        <w:ind w:firstLine="640"/>
        <w:rPr>
          <w:rFonts w:hint="default" w:ascii="Times New Roman" w:hAnsi="Times New Roman" w:eastAsia="仿宋" w:cs="Times New Roman"/>
          <w:color w:val="auto"/>
          <w:kern w:val="2"/>
          <w:sz w:val="32"/>
          <w:szCs w:val="32"/>
          <w:highlight w:val="none"/>
          <w:lang w:val="en-US" w:eastAsia="zh-CN" w:bidi="ar-SA"/>
        </w:rPr>
      </w:pPr>
      <w:r>
        <w:rPr>
          <w:rFonts w:hint="default" w:ascii="Times New Roman" w:hAnsi="Times New Roman" w:eastAsia="仿宋" w:cs="Times New Roman"/>
          <w:color w:val="auto"/>
          <w:kern w:val="2"/>
          <w:sz w:val="32"/>
          <w:szCs w:val="32"/>
          <w:highlight w:val="none"/>
          <w:lang w:val="en-US" w:eastAsia="zh-CN" w:bidi="ar-SA"/>
        </w:rPr>
        <w:t>11.公共安全支出（类）司法（款）普法宣传（项）：指反映各级司法行政部门用于组织各种媒体的宣传、普法装备与设施、宣传资料、对外宣传、法制作品的审读评审等方面的支出。</w:t>
      </w:r>
    </w:p>
    <w:p>
      <w:pPr>
        <w:spacing w:line="600" w:lineRule="exact"/>
        <w:ind w:firstLine="640"/>
        <w:rPr>
          <w:rFonts w:hint="default" w:ascii="Times New Roman" w:hAnsi="Times New Roman" w:eastAsia="仿宋" w:cs="Times New Roman"/>
          <w:color w:val="auto"/>
          <w:kern w:val="2"/>
          <w:sz w:val="32"/>
          <w:szCs w:val="32"/>
          <w:highlight w:val="none"/>
          <w:lang w:val="en-US" w:eastAsia="zh-CN" w:bidi="ar-SA"/>
        </w:rPr>
      </w:pPr>
      <w:r>
        <w:rPr>
          <w:rFonts w:hint="default" w:ascii="Times New Roman" w:hAnsi="Times New Roman" w:eastAsia="仿宋" w:cs="Times New Roman"/>
          <w:color w:val="auto"/>
          <w:kern w:val="2"/>
          <w:sz w:val="32"/>
          <w:szCs w:val="32"/>
          <w:highlight w:val="none"/>
          <w:lang w:val="en-US" w:eastAsia="zh-CN" w:bidi="ar-SA"/>
        </w:rPr>
        <w:t>12.公共安全支出（类）司法（款）律师管理（项）：指反映司法行政部门用于律师管理和法律顾问的相关支出。</w:t>
      </w:r>
    </w:p>
    <w:p>
      <w:pPr>
        <w:spacing w:line="600" w:lineRule="exact"/>
        <w:ind w:firstLine="640"/>
        <w:rPr>
          <w:rFonts w:hint="default" w:ascii="Times New Roman" w:hAnsi="Times New Roman" w:eastAsia="仿宋" w:cs="Times New Roman"/>
          <w:color w:val="auto"/>
          <w:kern w:val="2"/>
          <w:sz w:val="32"/>
          <w:szCs w:val="32"/>
          <w:highlight w:val="none"/>
          <w:lang w:val="en-US" w:eastAsia="zh-CN" w:bidi="ar-SA"/>
        </w:rPr>
      </w:pPr>
      <w:r>
        <w:rPr>
          <w:rFonts w:hint="default" w:ascii="Times New Roman" w:hAnsi="Times New Roman" w:eastAsia="仿宋" w:cs="Times New Roman"/>
          <w:color w:val="auto"/>
          <w:kern w:val="2"/>
          <w:sz w:val="32"/>
          <w:szCs w:val="32"/>
          <w:highlight w:val="none"/>
          <w:lang w:val="en-US" w:eastAsia="zh-CN" w:bidi="ar-SA"/>
        </w:rPr>
        <w:t>13.公共安全支出（类）司法（款）公共法律服务（项）：指反映司法行政部门用于法律援助、司法鉴定、公证、仲裁等公共法律服务工作的相关支出。</w:t>
      </w:r>
    </w:p>
    <w:p>
      <w:pPr>
        <w:spacing w:line="600" w:lineRule="exact"/>
        <w:ind w:firstLine="640"/>
        <w:rPr>
          <w:rFonts w:hint="default" w:ascii="Times New Roman" w:hAnsi="Times New Roman" w:eastAsia="仿宋" w:cs="Times New Roman"/>
          <w:color w:val="auto"/>
          <w:kern w:val="2"/>
          <w:sz w:val="32"/>
          <w:szCs w:val="32"/>
          <w:highlight w:val="none"/>
          <w:lang w:val="en-US" w:eastAsia="zh-CN" w:bidi="ar-SA"/>
        </w:rPr>
      </w:pPr>
      <w:r>
        <w:rPr>
          <w:rFonts w:hint="default" w:ascii="Times New Roman" w:hAnsi="Times New Roman" w:eastAsia="仿宋" w:cs="Times New Roman"/>
          <w:color w:val="auto"/>
          <w:kern w:val="2"/>
          <w:sz w:val="32"/>
          <w:szCs w:val="32"/>
          <w:highlight w:val="none"/>
          <w:lang w:val="en-US" w:eastAsia="zh-CN" w:bidi="ar-SA"/>
        </w:rPr>
        <w:t>14.公共安全支出（类）司法（款）社区矫正（项）：指反映司法行政部门用于社区矫正的相关支出。</w:t>
      </w:r>
    </w:p>
    <w:p>
      <w:pPr>
        <w:spacing w:line="600" w:lineRule="exact"/>
        <w:ind w:firstLine="640"/>
        <w:rPr>
          <w:rFonts w:hint="default" w:ascii="Times New Roman" w:hAnsi="Times New Roman" w:eastAsia="仿宋" w:cs="Times New Roman"/>
          <w:color w:val="auto"/>
          <w:kern w:val="2"/>
          <w:sz w:val="32"/>
          <w:szCs w:val="32"/>
          <w:highlight w:val="none"/>
          <w:lang w:val="en-US" w:eastAsia="zh-CN" w:bidi="ar-SA"/>
        </w:rPr>
      </w:pPr>
      <w:r>
        <w:rPr>
          <w:rFonts w:hint="default" w:ascii="Times New Roman" w:hAnsi="Times New Roman" w:eastAsia="仿宋" w:cs="Times New Roman"/>
          <w:color w:val="auto"/>
          <w:kern w:val="2"/>
          <w:sz w:val="32"/>
          <w:szCs w:val="32"/>
          <w:highlight w:val="none"/>
          <w:lang w:val="en-US" w:eastAsia="zh-CN" w:bidi="ar-SA"/>
        </w:rPr>
        <w:t>15.公共安全支出（类）司法（款）法治建设（项）：指反映全面依法治国相关工作和行政立法、执法监督、行政复议等方面的支出。</w:t>
      </w:r>
    </w:p>
    <w:p>
      <w:pPr>
        <w:spacing w:line="600" w:lineRule="exact"/>
        <w:ind w:firstLine="640"/>
        <w:rPr>
          <w:rFonts w:hint="default" w:ascii="Times New Roman" w:hAnsi="Times New Roman" w:eastAsia="仿宋" w:cs="Times New Roman"/>
          <w:color w:val="auto"/>
          <w:kern w:val="2"/>
          <w:sz w:val="32"/>
          <w:szCs w:val="32"/>
          <w:highlight w:val="none"/>
          <w:lang w:val="en-US" w:eastAsia="zh-CN" w:bidi="ar-SA"/>
        </w:rPr>
      </w:pPr>
      <w:r>
        <w:rPr>
          <w:rFonts w:hint="default" w:ascii="Times New Roman" w:hAnsi="Times New Roman" w:eastAsia="仿宋" w:cs="Times New Roman"/>
          <w:color w:val="auto"/>
          <w:kern w:val="2"/>
          <w:sz w:val="32"/>
          <w:szCs w:val="32"/>
          <w:highlight w:val="none"/>
          <w:lang w:val="en-US" w:eastAsia="zh-CN" w:bidi="ar-SA"/>
        </w:rPr>
        <w:t>16.公共安全支出（类）司法（款）事业运行（项）：指反映事业单位的基本支出，不包括行政单位（包括实行公务员管理的事业单位）后勤服务中心、医务室等附属事业单位。</w:t>
      </w:r>
    </w:p>
    <w:p>
      <w:pPr>
        <w:spacing w:line="600" w:lineRule="exact"/>
        <w:ind w:firstLine="640"/>
        <w:rPr>
          <w:rFonts w:hint="default" w:ascii="Times New Roman" w:hAnsi="Times New Roman" w:eastAsia="仿宋" w:cs="Times New Roman"/>
          <w:color w:val="auto"/>
          <w:kern w:val="2"/>
          <w:sz w:val="32"/>
          <w:szCs w:val="32"/>
          <w:highlight w:val="none"/>
          <w:lang w:val="en-US" w:eastAsia="zh-CN" w:bidi="ar-SA"/>
        </w:rPr>
      </w:pPr>
      <w:r>
        <w:rPr>
          <w:rFonts w:hint="default" w:ascii="Times New Roman" w:hAnsi="Times New Roman" w:eastAsia="仿宋" w:cs="Times New Roman"/>
          <w:color w:val="auto"/>
          <w:kern w:val="2"/>
          <w:sz w:val="32"/>
          <w:szCs w:val="32"/>
          <w:highlight w:val="none"/>
          <w:lang w:val="en-US" w:eastAsia="zh-CN" w:bidi="ar-SA"/>
        </w:rPr>
        <w:t>17.公共安全支出（类）司法（款）其他司法支出（项）：指反映除上述项目以外其他用于司法方面的支出。</w:t>
      </w:r>
    </w:p>
    <w:p>
      <w:pPr>
        <w:spacing w:line="600" w:lineRule="exact"/>
        <w:ind w:firstLine="640"/>
        <w:rPr>
          <w:rFonts w:hint="default" w:ascii="Times New Roman" w:hAnsi="Times New Roman" w:eastAsia="仿宋" w:cs="Times New Roman"/>
          <w:color w:val="auto"/>
          <w:kern w:val="2"/>
          <w:sz w:val="32"/>
          <w:szCs w:val="32"/>
          <w:highlight w:val="none"/>
          <w:lang w:val="en-US" w:eastAsia="zh-CN" w:bidi="ar-SA"/>
        </w:rPr>
      </w:pPr>
      <w:r>
        <w:rPr>
          <w:rFonts w:hint="default" w:ascii="Times New Roman" w:hAnsi="Times New Roman" w:eastAsia="仿宋" w:cs="Times New Roman"/>
          <w:color w:val="auto"/>
          <w:kern w:val="2"/>
          <w:sz w:val="32"/>
          <w:szCs w:val="32"/>
          <w:highlight w:val="none"/>
          <w:lang w:val="en-US" w:eastAsia="zh-CN" w:bidi="ar-SA"/>
        </w:rPr>
        <w:t>18.公共安全支出（类）其他公共安全支出（款）其他公共安全支出（项）：指反映除上述项目以外其他用于司法方面的支出。</w:t>
      </w:r>
    </w:p>
    <w:p>
      <w:pPr>
        <w:spacing w:line="600" w:lineRule="exact"/>
        <w:ind w:firstLine="640"/>
        <w:rPr>
          <w:rFonts w:hint="default" w:ascii="Times New Roman" w:hAnsi="Times New Roman" w:eastAsia="仿宋" w:cs="Times New Roman"/>
          <w:color w:val="auto"/>
          <w:kern w:val="2"/>
          <w:sz w:val="32"/>
          <w:szCs w:val="32"/>
          <w:highlight w:val="none"/>
          <w:lang w:val="en-US" w:eastAsia="zh-CN" w:bidi="ar-SA"/>
        </w:rPr>
      </w:pPr>
      <w:r>
        <w:rPr>
          <w:rFonts w:hint="default" w:ascii="Times New Roman" w:hAnsi="Times New Roman" w:eastAsia="仿宋" w:cs="Times New Roman"/>
          <w:color w:val="auto"/>
          <w:kern w:val="2"/>
          <w:sz w:val="32"/>
          <w:szCs w:val="32"/>
          <w:highlight w:val="none"/>
          <w:lang w:val="en-US" w:eastAsia="zh-CN" w:bidi="ar-SA"/>
        </w:rPr>
        <w:t>19.社会保障和就业支出（类）行政事业单位养老支出（款）行政单位离退休（项）：指行政单位（包括实行公务员管理的事业单位）开支的离退休支出。</w:t>
      </w:r>
    </w:p>
    <w:p>
      <w:pPr>
        <w:spacing w:line="600" w:lineRule="exact"/>
        <w:ind w:firstLine="640"/>
        <w:rPr>
          <w:rFonts w:hint="default" w:ascii="Times New Roman" w:hAnsi="Times New Roman" w:eastAsia="仿宋" w:cs="Times New Roman"/>
          <w:color w:val="auto"/>
          <w:kern w:val="2"/>
          <w:sz w:val="32"/>
          <w:szCs w:val="32"/>
          <w:highlight w:val="none"/>
          <w:lang w:val="en-US" w:eastAsia="zh-CN" w:bidi="ar-SA"/>
        </w:rPr>
      </w:pPr>
      <w:r>
        <w:rPr>
          <w:rFonts w:hint="default" w:ascii="Times New Roman" w:hAnsi="Times New Roman" w:eastAsia="仿宋" w:cs="Times New Roman"/>
          <w:color w:val="auto"/>
          <w:kern w:val="2"/>
          <w:sz w:val="32"/>
          <w:szCs w:val="32"/>
          <w:highlight w:val="none"/>
          <w:lang w:val="en-US" w:eastAsia="zh-CN" w:bidi="ar-SA"/>
        </w:rPr>
        <w:t>20.社会保障和就业支出（类）行政事业单位养老支出（款）机关事业单位基本养老保险缴费支出（项）：指机关事业单位实施养老保险制度有单位缴纳的基本养老保险费支出。</w:t>
      </w:r>
    </w:p>
    <w:p>
      <w:pPr>
        <w:spacing w:line="600" w:lineRule="exact"/>
        <w:ind w:firstLine="640"/>
        <w:rPr>
          <w:rFonts w:hint="default" w:ascii="Times New Roman" w:hAnsi="Times New Roman" w:eastAsia="仿宋" w:cs="Times New Roman"/>
          <w:color w:val="auto"/>
          <w:kern w:val="2"/>
          <w:sz w:val="32"/>
          <w:szCs w:val="32"/>
          <w:highlight w:val="none"/>
          <w:lang w:val="en-US" w:eastAsia="zh-CN" w:bidi="ar-SA"/>
        </w:rPr>
      </w:pPr>
      <w:r>
        <w:rPr>
          <w:rFonts w:hint="default" w:ascii="Times New Roman" w:hAnsi="Times New Roman" w:eastAsia="仿宋" w:cs="Times New Roman"/>
          <w:color w:val="auto"/>
          <w:kern w:val="2"/>
          <w:sz w:val="32"/>
          <w:szCs w:val="32"/>
          <w:highlight w:val="none"/>
          <w:lang w:val="en-US" w:eastAsia="zh-CN" w:bidi="ar-SA"/>
        </w:rPr>
        <w:t>21.卫生健康支出（类）行政事业单位医疗（款）行政单位医疗（项）：指反映财政部门安排的行政单位（包括实行公务员管理的事业单位、下同）基本医疗保险缴费经费，未参加医疗保险的行政单位的公费医疗经费，按国家规定享受离休人员、红军老战士待遇人员的医疗经费。</w:t>
      </w:r>
    </w:p>
    <w:p>
      <w:pPr>
        <w:spacing w:line="600" w:lineRule="exact"/>
        <w:ind w:firstLine="640"/>
        <w:rPr>
          <w:rFonts w:hint="default" w:ascii="Times New Roman" w:hAnsi="Times New Roman" w:eastAsia="仿宋" w:cs="Times New Roman"/>
          <w:color w:val="auto"/>
          <w:kern w:val="2"/>
          <w:sz w:val="32"/>
          <w:szCs w:val="32"/>
          <w:highlight w:val="none"/>
          <w:lang w:val="en-US" w:eastAsia="zh-CN" w:bidi="ar-SA"/>
        </w:rPr>
      </w:pPr>
      <w:r>
        <w:rPr>
          <w:rFonts w:hint="default" w:ascii="Times New Roman" w:hAnsi="Times New Roman" w:eastAsia="仿宋" w:cs="Times New Roman"/>
          <w:color w:val="auto"/>
          <w:kern w:val="2"/>
          <w:sz w:val="32"/>
          <w:szCs w:val="32"/>
          <w:highlight w:val="none"/>
          <w:lang w:val="en-US" w:eastAsia="zh-CN" w:bidi="ar-SA"/>
        </w:rPr>
        <w:t>22.卫生健康支出（类）行政事业单位医疗（款）事业单位医疗（项）：指反映财政部门安排的事业单位基本医疗保险缴费经费，未参加医疗保险的事业单位的公费医疗经费，按国家规定享受离休人员待遇的医疗经费。</w:t>
      </w:r>
    </w:p>
    <w:p>
      <w:pPr>
        <w:spacing w:line="600" w:lineRule="exact"/>
        <w:ind w:firstLine="640"/>
        <w:rPr>
          <w:rFonts w:hint="default" w:ascii="Times New Roman" w:hAnsi="Times New Roman" w:eastAsia="仿宋" w:cs="Times New Roman"/>
          <w:color w:val="auto"/>
          <w:kern w:val="2"/>
          <w:sz w:val="32"/>
          <w:szCs w:val="32"/>
          <w:highlight w:val="none"/>
          <w:lang w:val="en-US" w:eastAsia="zh-CN" w:bidi="ar-SA"/>
        </w:rPr>
      </w:pPr>
      <w:r>
        <w:rPr>
          <w:rFonts w:hint="default" w:ascii="Times New Roman" w:hAnsi="Times New Roman" w:eastAsia="仿宋" w:cs="Times New Roman"/>
          <w:color w:val="auto"/>
          <w:kern w:val="2"/>
          <w:sz w:val="32"/>
          <w:szCs w:val="32"/>
          <w:highlight w:val="none"/>
          <w:lang w:val="en-US" w:eastAsia="zh-CN" w:bidi="ar-SA"/>
        </w:rPr>
        <w:t>23.卫生健康支出（类）行政事业单位医疗（款）公务员医疗补助（项）：指反映财政部门安排的公务员医疗补助经费。</w:t>
      </w:r>
    </w:p>
    <w:p>
      <w:pPr>
        <w:spacing w:line="600" w:lineRule="exact"/>
        <w:ind w:firstLine="640"/>
        <w:rPr>
          <w:rFonts w:hint="default" w:ascii="Times New Roman" w:hAnsi="Times New Roman" w:eastAsia="仿宋" w:cs="Times New Roman"/>
          <w:color w:val="auto"/>
          <w:kern w:val="2"/>
          <w:sz w:val="32"/>
          <w:szCs w:val="32"/>
          <w:highlight w:val="none"/>
          <w:lang w:val="en-US" w:eastAsia="zh-CN" w:bidi="ar-SA"/>
        </w:rPr>
      </w:pPr>
      <w:r>
        <w:rPr>
          <w:rFonts w:hint="default" w:ascii="Times New Roman" w:hAnsi="Times New Roman" w:eastAsia="仿宋" w:cs="Times New Roman"/>
          <w:color w:val="auto"/>
          <w:kern w:val="2"/>
          <w:sz w:val="32"/>
          <w:szCs w:val="32"/>
          <w:highlight w:val="none"/>
          <w:lang w:val="en-US" w:eastAsia="zh-CN" w:bidi="ar-SA"/>
        </w:rPr>
        <w:t>24.卫生健康支出（类）行政事业单位医疗（款）其他行政事业单位医疗支出（项）：指反映除上述项目以外的其他用于行政事业单位医疗方面的支出。</w:t>
      </w:r>
    </w:p>
    <w:p>
      <w:pPr>
        <w:spacing w:line="600" w:lineRule="exact"/>
        <w:ind w:firstLine="640"/>
        <w:rPr>
          <w:rFonts w:hint="default" w:ascii="Times New Roman" w:hAnsi="Times New Roman" w:eastAsia="仿宋" w:cs="Times New Roman"/>
          <w:color w:val="auto"/>
          <w:kern w:val="2"/>
          <w:sz w:val="32"/>
          <w:szCs w:val="32"/>
          <w:highlight w:val="none"/>
          <w:lang w:val="en-US" w:eastAsia="zh-CN" w:bidi="ar-SA"/>
        </w:rPr>
      </w:pPr>
      <w:r>
        <w:rPr>
          <w:rFonts w:hint="default" w:ascii="Times New Roman" w:hAnsi="Times New Roman" w:eastAsia="仿宋" w:cs="Times New Roman"/>
          <w:color w:val="auto"/>
          <w:kern w:val="2"/>
          <w:sz w:val="32"/>
          <w:szCs w:val="32"/>
          <w:highlight w:val="none"/>
          <w:lang w:val="en-US" w:eastAsia="zh-CN" w:bidi="ar-SA"/>
        </w:rPr>
        <w:t>25.城乡社区支出（类）国有土地使用权出让收入安排的支出（款）土地开发支出（项）：指反映新疆生产建设兵团和地方政府用于前期土地开发性支出以及前期土地开发相关的费用支出。</w:t>
      </w:r>
    </w:p>
    <w:p>
      <w:pPr>
        <w:spacing w:line="600" w:lineRule="exact"/>
        <w:ind w:firstLine="640"/>
        <w:rPr>
          <w:rFonts w:hint="default" w:ascii="Times New Roman" w:hAnsi="Times New Roman" w:eastAsia="仿宋" w:cs="Times New Roman"/>
          <w:color w:val="auto"/>
          <w:kern w:val="2"/>
          <w:sz w:val="32"/>
          <w:szCs w:val="32"/>
          <w:highlight w:val="none"/>
          <w:lang w:val="en-US" w:eastAsia="zh-CN" w:bidi="ar-SA"/>
        </w:rPr>
      </w:pPr>
      <w:r>
        <w:rPr>
          <w:rFonts w:hint="default" w:ascii="Times New Roman" w:hAnsi="Times New Roman" w:eastAsia="仿宋" w:cs="Times New Roman"/>
          <w:color w:val="auto"/>
          <w:kern w:val="2"/>
          <w:sz w:val="32"/>
          <w:szCs w:val="32"/>
          <w:highlight w:val="none"/>
          <w:lang w:val="en-US" w:eastAsia="zh-CN" w:bidi="ar-SA"/>
        </w:rPr>
        <w:t>26.住房保障支出（类）住房改革支出（款）住房公积金（项）：指行政事业单位按人力资源和社会保障部、财政部规定的基本工资和津贴补贴以及规定比例为职工缴纳的住房公积金。</w:t>
      </w:r>
    </w:p>
    <w:p>
      <w:pPr>
        <w:spacing w:line="600" w:lineRule="exact"/>
        <w:ind w:firstLine="640"/>
        <w:rPr>
          <w:rFonts w:hint="default" w:ascii="Times New Roman" w:hAnsi="Times New Roman" w:eastAsia="仿宋" w:cs="Times New Roman"/>
          <w:color w:val="auto"/>
          <w:kern w:val="2"/>
          <w:sz w:val="32"/>
          <w:szCs w:val="32"/>
          <w:highlight w:val="none"/>
          <w:lang w:val="en-US" w:eastAsia="zh-CN" w:bidi="ar-SA"/>
        </w:rPr>
      </w:pPr>
      <w:r>
        <w:rPr>
          <w:rFonts w:hint="default" w:ascii="Times New Roman" w:hAnsi="Times New Roman" w:eastAsia="仿宋" w:cs="Times New Roman"/>
          <w:color w:val="auto"/>
          <w:kern w:val="2"/>
          <w:sz w:val="32"/>
          <w:szCs w:val="32"/>
          <w:highlight w:val="none"/>
          <w:lang w:val="en-US" w:eastAsia="zh-CN" w:bidi="ar-SA"/>
        </w:rPr>
        <w:t>27.基本支出：指为保障机构正常运转、完成日常工作任务而发生的人员支出和公用支出。</w:t>
      </w:r>
    </w:p>
    <w:p>
      <w:pPr>
        <w:spacing w:line="600" w:lineRule="exact"/>
        <w:ind w:firstLine="640"/>
        <w:rPr>
          <w:rFonts w:hint="default" w:ascii="Times New Roman" w:hAnsi="Times New Roman" w:eastAsia="仿宋" w:cs="Times New Roman"/>
          <w:color w:val="auto"/>
          <w:kern w:val="2"/>
          <w:sz w:val="32"/>
          <w:szCs w:val="32"/>
          <w:highlight w:val="none"/>
          <w:lang w:val="en-US" w:eastAsia="zh-CN" w:bidi="ar-SA"/>
        </w:rPr>
      </w:pPr>
      <w:r>
        <w:rPr>
          <w:rFonts w:hint="default" w:ascii="Times New Roman" w:hAnsi="Times New Roman" w:eastAsia="仿宋" w:cs="Times New Roman"/>
          <w:color w:val="auto"/>
          <w:kern w:val="2"/>
          <w:sz w:val="32"/>
          <w:szCs w:val="32"/>
          <w:highlight w:val="none"/>
          <w:lang w:val="en-US" w:eastAsia="zh-CN" w:bidi="ar-SA"/>
        </w:rPr>
        <w:t xml:space="preserve">28.项目支出：指在基本支出之外为完成特定行政任务和事业发展目标所发生的支出。 </w:t>
      </w:r>
    </w:p>
    <w:p>
      <w:pPr>
        <w:spacing w:line="600" w:lineRule="exact"/>
        <w:ind w:firstLine="640"/>
        <w:rPr>
          <w:rFonts w:hint="default" w:ascii="Times New Roman" w:hAnsi="Times New Roman" w:eastAsia="仿宋" w:cs="Times New Roman"/>
          <w:color w:val="auto"/>
          <w:kern w:val="2"/>
          <w:sz w:val="32"/>
          <w:szCs w:val="32"/>
          <w:highlight w:val="none"/>
          <w:lang w:val="en-US" w:eastAsia="zh-CN" w:bidi="ar-SA"/>
        </w:rPr>
      </w:pPr>
      <w:r>
        <w:rPr>
          <w:rFonts w:hint="default" w:ascii="Times New Roman" w:hAnsi="Times New Roman" w:eastAsia="仿宋" w:cs="Times New Roman"/>
          <w:color w:val="auto"/>
          <w:kern w:val="2"/>
          <w:sz w:val="32"/>
          <w:szCs w:val="32"/>
          <w:highlight w:val="none"/>
          <w:lang w:val="en-US" w:eastAsia="zh-CN" w:bidi="ar-SA"/>
        </w:rPr>
        <w:t>29.经营支出：指事业单位在专业业务活动及其辅助活动之外开展非独立核算经营活动发生的支出。</w:t>
      </w:r>
    </w:p>
    <w:p>
      <w:pPr>
        <w:spacing w:line="600" w:lineRule="exact"/>
        <w:ind w:firstLine="640"/>
        <w:rPr>
          <w:rFonts w:hint="default" w:ascii="Times New Roman" w:hAnsi="Times New Roman" w:eastAsia="仿宋" w:cs="Times New Roman"/>
          <w:color w:val="auto"/>
          <w:kern w:val="2"/>
          <w:sz w:val="32"/>
          <w:szCs w:val="32"/>
          <w:highlight w:val="none"/>
          <w:lang w:val="en-US" w:eastAsia="zh-CN" w:bidi="ar-SA"/>
        </w:rPr>
      </w:pPr>
      <w:r>
        <w:rPr>
          <w:rFonts w:hint="default" w:ascii="Times New Roman" w:hAnsi="Times New Roman" w:eastAsia="仿宋" w:cs="Times New Roman"/>
          <w:color w:val="auto"/>
          <w:kern w:val="2"/>
          <w:sz w:val="32"/>
          <w:szCs w:val="32"/>
          <w:highlight w:val="none"/>
          <w:lang w:val="en-US" w:eastAsia="zh-CN" w:bidi="ar-SA"/>
        </w:rPr>
        <w:t>30.“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仿宋" w:cs="Times New Roman"/>
          <w:color w:val="auto"/>
          <w:kern w:val="2"/>
          <w:sz w:val="32"/>
          <w:szCs w:val="32"/>
          <w:highlight w:val="none"/>
          <w:lang w:val="en-US" w:eastAsia="zh-CN" w:bidi="ar-SA"/>
        </w:rPr>
        <w:t>31.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rPr>
          <w:rStyle w:val="29"/>
          <w:rFonts w:hint="eastAsia" w:ascii="Times New Roman" w:hAnsi="Times New Roman" w:eastAsia="黑体"/>
          <w:b w:val="0"/>
          <w:color w:val="auto"/>
          <w:highlight w:val="none"/>
          <w:lang w:eastAsia="zh-CN"/>
        </w:rPr>
      </w:pPr>
      <w:bookmarkStart w:id="47" w:name="_Toc15377226"/>
      <w:r>
        <w:rPr>
          <w:rFonts w:hint="eastAsia" w:ascii="Times New Roman" w:hAnsi="Times New Roman" w:eastAsia="仿宋_GB2312" w:cs="仿宋_GB2312"/>
          <w:color w:val="auto"/>
          <w:kern w:val="2"/>
          <w:sz w:val="32"/>
          <w:szCs w:val="32"/>
          <w:highlight w:val="none"/>
          <w:lang w:val="en-US" w:eastAsia="zh-CN" w:bidi="ar-SA"/>
        </w:rPr>
        <w:br w:type="page"/>
      </w:r>
      <w:bookmarkStart w:id="48" w:name="_Toc15396614"/>
      <w:r>
        <w:rPr>
          <w:rFonts w:hint="eastAsia" w:ascii="Times New Roman" w:hAnsi="Times New Roman" w:eastAsia="黑体"/>
          <w:color w:val="auto"/>
          <w:sz w:val="44"/>
          <w:szCs w:val="44"/>
          <w:highlight w:val="none"/>
        </w:rPr>
        <w:t>第四部分</w:t>
      </w:r>
      <w:r>
        <w:rPr>
          <w:rFonts w:hint="eastAsia" w:ascii="Times New Roman" w:hAnsi="Times New Roman"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 xml:space="preserve"> 附件</w:t>
      </w:r>
      <w:bookmarkEnd w:id="48"/>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黑体"/>
          <w:color w:val="FF0000"/>
          <w:sz w:val="32"/>
          <w:szCs w:val="32"/>
          <w:highlight w:val="none"/>
        </w:rPr>
      </w:pPr>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方正小标宋简体"/>
          <w:color w:val="auto"/>
          <w:sz w:val="44"/>
          <w:szCs w:val="44"/>
          <w:highlight w:val="none"/>
          <w:lang w:val="en-US" w:eastAsia="zh-CN"/>
        </w:rPr>
      </w:pPr>
      <w:r>
        <w:rPr>
          <w:rFonts w:hint="eastAsia" w:ascii="Times New Roman" w:hAnsi="Times New Roman" w:eastAsia="黑体" w:cs="黑体"/>
          <w:color w:val="auto"/>
          <w:sz w:val="32"/>
          <w:szCs w:val="32"/>
          <w:highlight w:val="none"/>
        </w:rPr>
        <w:t>附件</w:t>
      </w:r>
      <w:r>
        <w:rPr>
          <w:rFonts w:hint="eastAsia" w:ascii="Times New Roman" w:hAnsi="Times New Roman" w:eastAsia="黑体" w:cs="黑体"/>
          <w:color w:val="auto"/>
          <w:sz w:val="32"/>
          <w:szCs w:val="32"/>
          <w:highlight w:val="none"/>
          <w:lang w:val="en-US" w:eastAsia="zh-CN"/>
        </w:rPr>
        <w:t>1</w:t>
      </w:r>
    </w:p>
    <w:p>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p>
    <w:p>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r>
        <w:rPr>
          <w:rFonts w:hint="default" w:ascii="Times New Roman" w:hAnsi="Times New Roman" w:eastAsia="方正小标宋简体" w:cs="Times New Roman"/>
          <w:b w:val="0"/>
          <w:bCs/>
          <w:sz w:val="44"/>
          <w:szCs w:val="44"/>
          <w:highlight w:val="none"/>
          <w:shd w:val="clear" w:color="auto" w:fill="FFFFFF"/>
        </w:rPr>
        <w:t>部门</w:t>
      </w:r>
      <w:r>
        <w:rPr>
          <w:rFonts w:hint="default" w:ascii="Times New Roman" w:hAnsi="Times New Roman" w:eastAsia="方正小标宋简体" w:cs="Times New Roman"/>
          <w:b w:val="0"/>
          <w:bCs/>
          <w:sz w:val="44"/>
          <w:szCs w:val="44"/>
          <w:highlight w:val="none"/>
          <w:shd w:val="clear" w:color="auto" w:fill="FFFFFF"/>
          <w:lang w:eastAsia="zh-CN"/>
        </w:rPr>
        <w:t>预算</w:t>
      </w:r>
      <w:r>
        <w:rPr>
          <w:rFonts w:hint="default" w:ascii="Times New Roman" w:hAnsi="Times New Roman" w:eastAsia="方正小标宋简体" w:cs="Times New Roman"/>
          <w:b w:val="0"/>
          <w:bCs/>
          <w:sz w:val="44"/>
          <w:szCs w:val="44"/>
          <w:highlight w:val="none"/>
          <w:shd w:val="clear" w:color="auto" w:fill="FFFFFF"/>
        </w:rPr>
        <w:t>绩效</w:t>
      </w:r>
      <w:r>
        <w:rPr>
          <w:rFonts w:hint="eastAsia" w:ascii="Times New Roman" w:hAnsi="Times New Roman" w:eastAsia="方正小标宋简体" w:cs="Times New Roman"/>
          <w:b w:val="0"/>
          <w:bCs/>
          <w:sz w:val="44"/>
          <w:szCs w:val="44"/>
          <w:highlight w:val="none"/>
          <w:shd w:val="clear" w:color="auto" w:fill="FFFFFF"/>
          <w:lang w:eastAsia="zh-CN"/>
        </w:rPr>
        <w:t>评价</w:t>
      </w:r>
      <w:r>
        <w:rPr>
          <w:rFonts w:hint="default" w:ascii="Times New Roman" w:hAnsi="Times New Roman" w:eastAsia="方正小标宋简体" w:cs="Times New Roman"/>
          <w:b w:val="0"/>
          <w:bCs/>
          <w:sz w:val="44"/>
          <w:szCs w:val="44"/>
          <w:highlight w:val="none"/>
          <w:shd w:val="clear" w:color="auto" w:fill="FFFFFF"/>
        </w:rPr>
        <w:t>报告</w:t>
      </w:r>
    </w:p>
    <w:p>
      <w:pPr>
        <w:pStyle w:val="2"/>
        <w:rPr>
          <w:rFonts w:hint="default"/>
        </w:rPr>
      </w:pPr>
    </w:p>
    <w:p>
      <w:pPr>
        <w:spacing w:line="560" w:lineRule="exact"/>
        <w:ind w:firstLine="640" w:firstLineChars="200"/>
        <w:rPr>
          <w:rFonts w:ascii="Times New Roman" w:hAnsi="Times New Roman" w:eastAsia="黑体" w:cs="Times New Roman"/>
          <w:sz w:val="32"/>
          <w:lang w:val="zh-CN"/>
        </w:rPr>
      </w:pPr>
      <w:r>
        <w:rPr>
          <w:rFonts w:ascii="Times New Roman" w:hAnsi="Times New Roman" w:eastAsia="黑体" w:cs="Times New Roman"/>
          <w:sz w:val="32"/>
          <w:lang w:val="zh-CN"/>
        </w:rPr>
        <w:t>一、部门（单位）基本情况</w:t>
      </w:r>
    </w:p>
    <w:p>
      <w:pPr>
        <w:spacing w:line="560" w:lineRule="exact"/>
        <w:ind w:firstLine="640" w:firstLineChars="200"/>
        <w:rPr>
          <w:rFonts w:ascii="Times New Roman" w:hAnsi="Times New Roman" w:eastAsia="楷体_GB2312" w:cs="Times New Roman"/>
          <w:sz w:val="32"/>
        </w:rPr>
      </w:pPr>
      <w:r>
        <w:rPr>
          <w:rFonts w:ascii="Times New Roman" w:hAnsi="Times New Roman" w:eastAsia="楷体_GB2312" w:cs="Times New Roman"/>
          <w:sz w:val="32"/>
          <w:lang w:val="zh-CN"/>
        </w:rPr>
        <w:t>（一）机构组成。</w:t>
      </w:r>
    </w:p>
    <w:p>
      <w:pPr>
        <w:spacing w:line="560" w:lineRule="exact"/>
        <w:ind w:firstLine="640" w:firstLineChars="200"/>
        <w:rPr>
          <w:rFonts w:ascii="Times New Roman" w:hAnsi="Times New Roman" w:eastAsia="仿宋_GB2312" w:cs="Times New Roman"/>
          <w:sz w:val="32"/>
          <w:lang w:val="zh-CN"/>
        </w:rPr>
      </w:pPr>
      <w:r>
        <w:rPr>
          <w:rFonts w:hint="default" w:ascii="Times New Roman" w:hAnsi="Times New Roman" w:eastAsia="仿宋" w:cs="Times New Roman"/>
          <w:sz w:val="32"/>
          <w:lang w:val="zh-CN"/>
        </w:rPr>
        <w:t>西区司法局内设股室</w:t>
      </w:r>
      <w:r>
        <w:rPr>
          <w:rFonts w:hint="default" w:ascii="Times New Roman" w:hAnsi="Times New Roman" w:eastAsia="仿宋" w:cs="Times New Roman"/>
          <w:sz w:val="32"/>
        </w:rPr>
        <w:t>7</w:t>
      </w:r>
      <w:r>
        <w:rPr>
          <w:rFonts w:hint="default" w:ascii="Times New Roman" w:hAnsi="Times New Roman" w:eastAsia="仿宋" w:cs="Times New Roman"/>
          <w:sz w:val="32"/>
          <w:lang w:val="zh-CN"/>
        </w:rPr>
        <w:t>个，下属二级单位2个，其中：参照公务员法管理的事业单位1个，西区法律援助中心；其他事业单位1个，四川省攀枝花市玉泉公证处。</w:t>
      </w:r>
    </w:p>
    <w:p>
      <w:pPr>
        <w:spacing w:line="560" w:lineRule="exact"/>
        <w:ind w:firstLine="640" w:firstLineChars="200"/>
        <w:rPr>
          <w:rFonts w:ascii="Times New Roman" w:hAnsi="Times New Roman" w:eastAsia="楷体_GB2312" w:cs="Times New Roman"/>
          <w:sz w:val="32"/>
          <w:lang w:val="zh-CN"/>
        </w:rPr>
      </w:pPr>
      <w:r>
        <w:rPr>
          <w:rFonts w:ascii="Times New Roman" w:hAnsi="Times New Roman" w:eastAsia="楷体_GB2312" w:cs="Times New Roman"/>
          <w:sz w:val="32"/>
          <w:lang w:val="zh-CN"/>
        </w:rPr>
        <w:t>（二）机构职能。</w:t>
      </w:r>
    </w:p>
    <w:p>
      <w:pPr>
        <w:spacing w:line="560" w:lineRule="exact"/>
        <w:ind w:firstLine="643" w:firstLineChars="200"/>
        <w:rPr>
          <w:rFonts w:hint="default" w:ascii="Times New Roman" w:hAnsi="Times New Roman" w:eastAsia="仿宋" w:cs="Times New Roman"/>
          <w:sz w:val="32"/>
          <w:lang w:val="zh-CN"/>
        </w:rPr>
      </w:pPr>
      <w:r>
        <w:rPr>
          <w:rFonts w:hint="default" w:ascii="Times New Roman" w:hAnsi="Times New Roman" w:eastAsia="仿宋" w:cs="Times New Roman"/>
          <w:b/>
          <w:bCs/>
          <w:sz w:val="32"/>
        </w:rPr>
        <w:t>1.办公室。</w:t>
      </w:r>
      <w:r>
        <w:rPr>
          <w:rFonts w:hint="default" w:ascii="Times New Roman" w:hAnsi="Times New Roman" w:eastAsia="仿宋" w:cs="Times New Roman"/>
          <w:sz w:val="32"/>
          <w:lang w:val="zh-CN"/>
        </w:rPr>
        <w:t>处理区司法局日常政务和事务。负责机关文电、会务、接待、机要、档案、保密、信访、绩效管理、信息宣传、政务公开、政府信息公开、司法行政舆情管理、安全生产等工作。承担综合公文的起草审核、重大政务督办、史志年鉴编纂等工作。负责推进本机关科技与信息化工作。负责机关科技信息化基础建设和涉及重大信息化项目的规划、设计、实施和管理。负责机关网络信息安全工作。负责机关财务、物资管理装备和基本建设管理工作。指导监督本单位中央、省级和市级政法补助专款和基建投资的使用工作。负责本单位警车的监督管理工作。</w:t>
      </w:r>
    </w:p>
    <w:p>
      <w:pPr>
        <w:spacing w:line="560" w:lineRule="exact"/>
        <w:ind w:firstLine="643" w:firstLineChars="200"/>
        <w:rPr>
          <w:rFonts w:hint="default" w:ascii="Times New Roman" w:hAnsi="Times New Roman" w:eastAsia="仿宋" w:cs="Times New Roman"/>
          <w:sz w:val="32"/>
          <w:lang w:val="zh-CN"/>
        </w:rPr>
      </w:pPr>
      <w:r>
        <w:rPr>
          <w:rFonts w:hint="default" w:ascii="Times New Roman" w:hAnsi="Times New Roman" w:eastAsia="仿宋" w:cs="Times New Roman"/>
          <w:b/>
          <w:bCs/>
          <w:sz w:val="32"/>
        </w:rPr>
        <w:t>2.普法与行政执法监督股。</w:t>
      </w:r>
      <w:r>
        <w:rPr>
          <w:rFonts w:hint="default" w:ascii="Times New Roman" w:hAnsi="Times New Roman" w:eastAsia="仿宋" w:cs="Times New Roman"/>
          <w:sz w:val="32"/>
          <w:lang w:val="zh-CN"/>
        </w:rPr>
        <w:t>开展全面依法治国理论与实践调查研究工作，提出政策建议。承办全面依法治区工作规划建议的协调工作。组织起草全面依法治区有关重要文件。研究提出建设法治政府、推进依法行政的意见和措施。拟订本单位发展战略、发展规划、重大政策。推进司法行政改革。拟订全面依法治区决策部署的年度督察工作计划，开展重大专项督察，提出督察意见、问责建议。接受区政府各部门法治工作重要决定和方案的备案。负责全区行政执法的综合协调、监督检查和评价工作。协调行政执法体制改革和行政执法的普遍性重要性问题。负责全区行政执法人员、监督人员的资格和证件管理，推进严格规范公正文明执法。协调各部门在执法中产生的重大矛盾和争议。指导行政裁决工作。办理有关行政执法投诉举报案件。拟订法治宣传教育规划并组织实施。指导监督各部门“谁执法谁普法”的普法责任制落实工作，推进全民普法。指导监督国家工作人员学法用法工作。指导各部门、各行业依法治理和法治创建工作。组织对外法治宣传。指导社会主义法治文化建设。</w:t>
      </w:r>
    </w:p>
    <w:p>
      <w:pPr>
        <w:spacing w:line="560" w:lineRule="exact"/>
        <w:ind w:firstLine="643" w:firstLineChars="200"/>
        <w:rPr>
          <w:rFonts w:hint="default" w:ascii="Times New Roman" w:hAnsi="Times New Roman" w:eastAsia="仿宋" w:cs="Times New Roman"/>
          <w:sz w:val="32"/>
          <w:lang w:val="zh-CN"/>
        </w:rPr>
      </w:pPr>
      <w:r>
        <w:rPr>
          <w:rFonts w:hint="default" w:ascii="Times New Roman" w:hAnsi="Times New Roman" w:eastAsia="仿宋" w:cs="Times New Roman"/>
          <w:b/>
          <w:bCs/>
          <w:sz w:val="32"/>
        </w:rPr>
        <w:t>3.法治政府建设股。</w:t>
      </w:r>
      <w:r>
        <w:rPr>
          <w:rFonts w:hint="default" w:ascii="Times New Roman" w:hAnsi="Times New Roman" w:eastAsia="仿宋" w:cs="Times New Roman"/>
          <w:sz w:val="32"/>
          <w:lang w:val="zh-CN"/>
        </w:rPr>
        <w:t>承担区政府常务会议会前学法工作。负责区政府规范性文件、重大行政决策发布前的合法性审查。承办区政府规范性文件的报送备案工作。负责区政府各部门规范性文件报送区政府的备案审查工作。组织开展规范性文件清理。监督协调全区行政复议、行政诉讼、行政赔偿工作。办理向区政府申请的行政复议案件和因之引发的行政诉讼案件。办理向区政府申请行政赔偿的案件。办理向区司法局申请的行政复议案件、行政赔偿案件和以区司法局为被告的行政诉讼案件。负责本单位行政审批相关工作，推进本单位行政审批制度改革。负责本单位“放管服”改革工作。</w:t>
      </w:r>
    </w:p>
    <w:p>
      <w:pPr>
        <w:spacing w:line="560" w:lineRule="exact"/>
        <w:ind w:firstLine="643" w:firstLineChars="200"/>
        <w:rPr>
          <w:rFonts w:hint="default" w:ascii="Times New Roman" w:hAnsi="Times New Roman" w:eastAsia="仿宋" w:cs="Times New Roman"/>
          <w:sz w:val="32"/>
        </w:rPr>
      </w:pPr>
      <w:r>
        <w:rPr>
          <w:rFonts w:hint="default" w:ascii="Times New Roman" w:hAnsi="Times New Roman" w:eastAsia="仿宋" w:cs="Times New Roman"/>
          <w:b/>
          <w:bCs/>
          <w:sz w:val="32"/>
        </w:rPr>
        <w:t>4.</w:t>
      </w:r>
      <w:r>
        <w:rPr>
          <w:rFonts w:hint="default" w:ascii="Times New Roman" w:hAnsi="Times New Roman" w:eastAsia="仿宋" w:cs="Times New Roman"/>
          <w:b/>
          <w:bCs/>
          <w:sz w:val="32"/>
          <w:lang w:val="zh-CN"/>
        </w:rPr>
        <w:t>社区矫正股。</w:t>
      </w:r>
      <w:r>
        <w:rPr>
          <w:rFonts w:hint="default" w:ascii="Times New Roman" w:hAnsi="Times New Roman" w:eastAsia="仿宋" w:cs="Times New Roman"/>
          <w:sz w:val="32"/>
          <w:lang w:val="zh-CN"/>
        </w:rPr>
        <w:t>监督检查社区矫正法律、法规、规章和政策的执行工作。监督对社区矫正对象的刑罚执行、管理教育和帮扶工作。指导社会力量和志愿者参与社区矫正工作。</w:t>
      </w:r>
    </w:p>
    <w:p>
      <w:pPr>
        <w:spacing w:line="560" w:lineRule="exact"/>
        <w:ind w:firstLine="643" w:firstLineChars="200"/>
        <w:rPr>
          <w:rFonts w:hint="default" w:ascii="Times New Roman" w:hAnsi="Times New Roman" w:eastAsia="仿宋" w:cs="Times New Roman"/>
          <w:sz w:val="32"/>
          <w:lang w:val="zh-CN"/>
        </w:rPr>
      </w:pPr>
      <w:r>
        <w:rPr>
          <w:rFonts w:hint="default" w:ascii="Times New Roman" w:hAnsi="Times New Roman" w:eastAsia="仿宋" w:cs="Times New Roman"/>
          <w:b/>
          <w:bCs/>
          <w:sz w:val="32"/>
        </w:rPr>
        <w:t>5.</w:t>
      </w:r>
      <w:r>
        <w:rPr>
          <w:rFonts w:hint="default" w:ascii="Times New Roman" w:hAnsi="Times New Roman" w:eastAsia="仿宋" w:cs="Times New Roman"/>
          <w:b/>
          <w:bCs/>
          <w:sz w:val="32"/>
          <w:lang w:val="zh-CN"/>
        </w:rPr>
        <w:t>人民参与和促进法治股。</w:t>
      </w:r>
      <w:r>
        <w:rPr>
          <w:rFonts w:hint="default" w:ascii="Times New Roman" w:hAnsi="Times New Roman" w:eastAsia="仿宋" w:cs="Times New Roman"/>
          <w:sz w:val="32"/>
          <w:lang w:val="zh-CN"/>
        </w:rPr>
        <w:t>拟订保障人民群众参与、促进、监督法治建设的制度措施。指导人民团体、群众自治组织和社会组织参与、支持法治社会建设工作。指导人民调解、行政调解和行业性专业性调解工作。负责并指导人民监督员选任管理工作。指导监督人民陪审员选任工作。指导监督司法所建设和管理工作。指导帮教安置工作。负责本单位综治维稳工作。</w:t>
      </w:r>
    </w:p>
    <w:p>
      <w:pPr>
        <w:spacing w:line="560" w:lineRule="exact"/>
        <w:ind w:firstLine="643" w:firstLineChars="200"/>
        <w:rPr>
          <w:rFonts w:hint="default" w:ascii="Times New Roman" w:hAnsi="Times New Roman" w:eastAsia="仿宋" w:cs="Times New Roman"/>
          <w:sz w:val="32"/>
          <w:lang w:val="zh-CN"/>
        </w:rPr>
      </w:pPr>
      <w:r>
        <w:rPr>
          <w:rFonts w:hint="default" w:ascii="Times New Roman" w:hAnsi="Times New Roman" w:eastAsia="仿宋" w:cs="Times New Roman"/>
          <w:b/>
          <w:bCs/>
          <w:sz w:val="32"/>
        </w:rPr>
        <w:t>6.</w:t>
      </w:r>
      <w:r>
        <w:rPr>
          <w:rFonts w:hint="default" w:ascii="Times New Roman" w:hAnsi="Times New Roman" w:eastAsia="仿宋" w:cs="Times New Roman"/>
          <w:b/>
          <w:bCs/>
          <w:sz w:val="32"/>
          <w:lang w:val="zh-CN"/>
        </w:rPr>
        <w:t>公共法律服务管理股。</w:t>
      </w:r>
      <w:r>
        <w:rPr>
          <w:rFonts w:hint="default" w:ascii="Times New Roman" w:hAnsi="Times New Roman" w:eastAsia="仿宋" w:cs="Times New Roman"/>
          <w:sz w:val="32"/>
          <w:lang w:val="zh-CN"/>
        </w:rPr>
        <w:t>负责规划和推进公共法律服务体系和平台建设工作。监督管理律师、律师事务所、法律援助、公证工作。指导社会组织和志愿者开展法律服务工作。指导监督、协调处理全区外来企业投诉处理工作。为外来企业、民营企业及投资者提供法律、政策咨询服务。承办特许执业律师的审查报批工作。指导监督党政机关、企事业单位法律顾问工作。管理公职律师、公司律师工作。指导监督基层法律服务工作。</w:t>
      </w:r>
    </w:p>
    <w:p>
      <w:pPr>
        <w:spacing w:line="560" w:lineRule="exact"/>
        <w:ind w:firstLine="643" w:firstLineChars="200"/>
        <w:rPr>
          <w:rFonts w:hint="default" w:ascii="Times New Roman" w:hAnsi="Times New Roman" w:eastAsia="仿宋" w:cs="Times New Roman"/>
          <w:sz w:val="32"/>
          <w:lang w:val="zh-CN"/>
        </w:rPr>
      </w:pPr>
      <w:r>
        <w:rPr>
          <w:rFonts w:hint="default" w:ascii="Times New Roman" w:hAnsi="Times New Roman" w:eastAsia="仿宋" w:cs="Times New Roman"/>
          <w:b/>
          <w:bCs/>
          <w:sz w:val="32"/>
        </w:rPr>
        <w:t>7.</w:t>
      </w:r>
      <w:r>
        <w:rPr>
          <w:rFonts w:hint="default" w:ascii="Times New Roman" w:hAnsi="Times New Roman" w:eastAsia="仿宋" w:cs="Times New Roman"/>
          <w:b/>
          <w:bCs/>
          <w:sz w:val="32"/>
          <w:lang w:val="zh-CN"/>
        </w:rPr>
        <w:t>政治部。</w:t>
      </w:r>
      <w:r>
        <w:rPr>
          <w:rFonts w:hint="default" w:ascii="Times New Roman" w:hAnsi="Times New Roman" w:eastAsia="仿宋" w:cs="Times New Roman"/>
          <w:sz w:val="32"/>
          <w:lang w:val="zh-CN"/>
        </w:rPr>
        <w:t>负责本单位党的建设、党风廉政建设、班子队伍建设、干部任免、干部监督、教育培训、文化建设等工作。负责本单位机构编制、人事人才、表彰奖励等工作；负责人员的日常考核及年度考核工作。负责意识形态工作。</w:t>
      </w:r>
    </w:p>
    <w:p>
      <w:pPr>
        <w:spacing w:line="560" w:lineRule="exact"/>
        <w:ind w:firstLine="643" w:firstLineChars="200"/>
        <w:rPr>
          <w:rFonts w:ascii="Times New Roman" w:hAnsi="Times New Roman" w:eastAsia="仿宋_GB2312" w:cs="Times New Roman"/>
          <w:sz w:val="32"/>
        </w:rPr>
      </w:pPr>
      <w:r>
        <w:rPr>
          <w:rFonts w:hint="default" w:ascii="Times New Roman" w:hAnsi="Times New Roman" w:eastAsia="仿宋" w:cs="Times New Roman"/>
          <w:b/>
          <w:bCs/>
          <w:sz w:val="32"/>
        </w:rPr>
        <w:t>8.</w:t>
      </w:r>
      <w:r>
        <w:rPr>
          <w:rFonts w:hint="default" w:ascii="Times New Roman" w:hAnsi="Times New Roman" w:eastAsia="仿宋" w:cs="Times New Roman"/>
          <w:sz w:val="32"/>
          <w:lang w:val="zh-CN"/>
        </w:rPr>
        <w:t>完成区委、区政府交办的其他任务。</w:t>
      </w:r>
    </w:p>
    <w:p>
      <w:pPr>
        <w:spacing w:line="560" w:lineRule="exact"/>
        <w:ind w:firstLine="640" w:firstLineChars="200"/>
        <w:rPr>
          <w:rFonts w:ascii="楷体_GB2312" w:hAnsi="楷体_GB2312" w:eastAsia="楷体_GB2312" w:cs="楷体_GB2312"/>
          <w:sz w:val="32"/>
          <w:lang w:val="zh-CN"/>
        </w:rPr>
      </w:pPr>
      <w:r>
        <w:rPr>
          <w:rFonts w:hint="eastAsia" w:ascii="楷体_GB2312" w:hAnsi="楷体_GB2312" w:eastAsia="楷体_GB2312" w:cs="楷体_GB2312"/>
          <w:sz w:val="32"/>
          <w:lang w:val="zh-CN"/>
        </w:rPr>
        <w:t>（三）人员概况。</w:t>
      </w:r>
    </w:p>
    <w:p>
      <w:pPr>
        <w:spacing w:line="560" w:lineRule="exact"/>
        <w:ind w:firstLine="640" w:firstLineChars="200"/>
        <w:rPr>
          <w:rFonts w:ascii="Times New Roman" w:hAnsi="Times New Roman" w:eastAsia="仿宋_GB2312" w:cs="Times New Roman"/>
          <w:sz w:val="32"/>
        </w:rPr>
      </w:pPr>
      <w:r>
        <w:rPr>
          <w:rFonts w:hint="default" w:ascii="Times New Roman" w:hAnsi="Times New Roman" w:eastAsia="仿宋" w:cs="Times New Roman"/>
          <w:sz w:val="32"/>
          <w:lang w:val="zh-CN"/>
        </w:rPr>
        <w:t>截至2024年末，西区司法局人员编制</w:t>
      </w:r>
      <w:r>
        <w:rPr>
          <w:rFonts w:hint="default" w:ascii="Times New Roman" w:hAnsi="Times New Roman" w:eastAsia="仿宋" w:cs="Times New Roman"/>
          <w:sz w:val="32"/>
        </w:rPr>
        <w:t>35名，其中：行政编制26个、参公编制4名、</w:t>
      </w:r>
      <w:r>
        <w:rPr>
          <w:rFonts w:hint="default" w:ascii="Times New Roman" w:hAnsi="Times New Roman" w:eastAsia="仿宋" w:cs="Times New Roman"/>
          <w:sz w:val="32"/>
          <w:lang w:val="zh-CN"/>
        </w:rPr>
        <w:t>事业编制</w:t>
      </w:r>
      <w:r>
        <w:rPr>
          <w:rFonts w:hint="default" w:ascii="Times New Roman" w:hAnsi="Times New Roman" w:eastAsia="仿宋" w:cs="Times New Roman"/>
          <w:sz w:val="32"/>
        </w:rPr>
        <w:t>4</w:t>
      </w:r>
      <w:r>
        <w:rPr>
          <w:rFonts w:hint="default" w:ascii="Times New Roman" w:hAnsi="Times New Roman" w:eastAsia="仿宋" w:cs="Times New Roman"/>
          <w:sz w:val="32"/>
          <w:lang w:val="zh-CN"/>
        </w:rPr>
        <w:t>个，实有人员</w:t>
      </w:r>
      <w:r>
        <w:rPr>
          <w:rFonts w:hint="default" w:ascii="Times New Roman" w:hAnsi="Times New Roman" w:eastAsia="仿宋" w:cs="Times New Roman"/>
          <w:sz w:val="32"/>
        </w:rPr>
        <w:t>31</w:t>
      </w:r>
      <w:r>
        <w:rPr>
          <w:rFonts w:hint="default" w:ascii="Times New Roman" w:hAnsi="Times New Roman" w:eastAsia="仿宋" w:cs="Times New Roman"/>
          <w:sz w:val="32"/>
          <w:lang w:val="zh-CN"/>
        </w:rPr>
        <w:t>人，其中在编人员</w:t>
      </w:r>
      <w:r>
        <w:rPr>
          <w:rFonts w:hint="default" w:ascii="Times New Roman" w:hAnsi="Times New Roman" w:eastAsia="仿宋" w:cs="Times New Roman"/>
          <w:sz w:val="32"/>
        </w:rPr>
        <w:t>30人，</w:t>
      </w:r>
      <w:r>
        <w:rPr>
          <w:rFonts w:hint="default" w:ascii="Times New Roman" w:hAnsi="Times New Roman" w:eastAsia="仿宋" w:cs="Times New Roman"/>
          <w:sz w:val="32"/>
          <w:lang w:val="zh-CN"/>
        </w:rPr>
        <w:t>聘用人员</w:t>
      </w:r>
      <w:r>
        <w:rPr>
          <w:rFonts w:hint="default" w:ascii="Times New Roman" w:hAnsi="Times New Roman" w:eastAsia="仿宋" w:cs="Times New Roman"/>
          <w:sz w:val="32"/>
        </w:rPr>
        <w:t>1人</w:t>
      </w:r>
      <w:r>
        <w:rPr>
          <w:rFonts w:hint="default" w:ascii="Times New Roman" w:hAnsi="Times New Roman" w:eastAsia="仿宋" w:cs="Times New Roman"/>
          <w:sz w:val="32"/>
          <w:lang w:val="zh-CN"/>
        </w:rPr>
        <w:t>。</w:t>
      </w:r>
    </w:p>
    <w:p>
      <w:pPr>
        <w:spacing w:line="560" w:lineRule="exact"/>
        <w:ind w:firstLine="640" w:firstLineChars="200"/>
        <w:rPr>
          <w:rFonts w:ascii="黑体" w:hAnsi="黑体" w:eastAsia="黑体" w:cs="黑体"/>
          <w:sz w:val="32"/>
        </w:rPr>
      </w:pPr>
      <w:r>
        <w:rPr>
          <w:rFonts w:hint="eastAsia" w:ascii="黑体" w:hAnsi="黑体" w:eastAsia="黑体" w:cs="黑体"/>
          <w:sz w:val="32"/>
        </w:rPr>
        <w:t>二、部门资金收支情况</w:t>
      </w:r>
    </w:p>
    <w:p>
      <w:pPr>
        <w:spacing w:line="560" w:lineRule="exact"/>
        <w:ind w:firstLine="640" w:firstLineChars="200"/>
        <w:rPr>
          <w:rFonts w:ascii="楷体_GB2312" w:hAnsi="楷体_GB2312" w:eastAsia="楷体_GB2312" w:cs="楷体_GB2312"/>
          <w:sz w:val="32"/>
          <w:lang w:val="zh-CN"/>
        </w:rPr>
      </w:pPr>
      <w:r>
        <w:rPr>
          <w:rFonts w:hint="eastAsia" w:ascii="楷体_GB2312" w:hAnsi="楷体_GB2312" w:eastAsia="楷体_GB2312" w:cs="楷体_GB2312"/>
          <w:sz w:val="32"/>
          <w:lang w:val="zh-CN"/>
        </w:rPr>
        <w:t>（一）收入情况。</w:t>
      </w:r>
    </w:p>
    <w:p>
      <w:pPr>
        <w:spacing w:line="560" w:lineRule="exact"/>
        <w:ind w:firstLine="640" w:firstLineChars="200"/>
        <w:rPr>
          <w:rFonts w:ascii="Times New Roman" w:hAnsi="Times New Roman" w:eastAsia="仿宋_GB2312" w:cs="Times New Roman"/>
          <w:sz w:val="32"/>
        </w:rPr>
      </w:pPr>
      <w:r>
        <w:rPr>
          <w:rFonts w:hint="default" w:ascii="Times New Roman" w:hAnsi="Times New Roman" w:eastAsia="仿宋" w:cs="Times New Roman"/>
          <w:sz w:val="32"/>
        </w:rPr>
        <w:t>西区司法局</w:t>
      </w:r>
      <w:r>
        <w:rPr>
          <w:rFonts w:hint="default" w:ascii="Times New Roman" w:hAnsi="Times New Roman" w:eastAsia="仿宋" w:cs="Times New Roman"/>
          <w:sz w:val="32"/>
          <w:lang w:val="zh-CN"/>
        </w:rPr>
        <w:t>202</w:t>
      </w:r>
      <w:r>
        <w:rPr>
          <w:rFonts w:hint="default" w:ascii="Times New Roman" w:hAnsi="Times New Roman" w:eastAsia="仿宋" w:cs="Times New Roman"/>
          <w:sz w:val="32"/>
        </w:rPr>
        <w:t>4</w:t>
      </w:r>
      <w:r>
        <w:rPr>
          <w:rFonts w:hint="default" w:ascii="Times New Roman" w:hAnsi="Times New Roman" w:eastAsia="仿宋" w:cs="Times New Roman"/>
          <w:sz w:val="32"/>
          <w:lang w:val="zh-CN"/>
        </w:rPr>
        <w:t>年全年预算收入</w:t>
      </w:r>
      <w:r>
        <w:rPr>
          <w:rFonts w:hint="default" w:ascii="Times New Roman" w:hAnsi="Times New Roman" w:eastAsia="仿宋" w:cs="Times New Roman"/>
          <w:sz w:val="32"/>
        </w:rPr>
        <w:t>989.46</w:t>
      </w:r>
      <w:r>
        <w:rPr>
          <w:rFonts w:hint="default" w:ascii="Times New Roman" w:hAnsi="Times New Roman" w:eastAsia="仿宋" w:cs="Times New Roman"/>
          <w:sz w:val="32"/>
          <w:lang w:val="zh-CN"/>
        </w:rPr>
        <w:t>万元，其中：一般公共预算拨款收入</w:t>
      </w:r>
      <w:r>
        <w:rPr>
          <w:rFonts w:hint="default" w:ascii="Times New Roman" w:hAnsi="Times New Roman" w:eastAsia="仿宋" w:cs="Times New Roman"/>
          <w:sz w:val="32"/>
        </w:rPr>
        <w:t>988.46</w:t>
      </w:r>
      <w:r>
        <w:rPr>
          <w:rFonts w:hint="default" w:ascii="Times New Roman" w:hAnsi="Times New Roman" w:eastAsia="仿宋" w:cs="Times New Roman"/>
          <w:sz w:val="32"/>
          <w:lang w:val="zh-CN"/>
        </w:rPr>
        <w:t>万元，占总收入</w:t>
      </w:r>
      <w:r>
        <w:rPr>
          <w:rFonts w:hint="default" w:ascii="Times New Roman" w:hAnsi="Times New Roman" w:eastAsia="仿宋" w:cs="Times New Roman"/>
          <w:sz w:val="32"/>
        </w:rPr>
        <w:t>99.9</w:t>
      </w:r>
      <w:r>
        <w:rPr>
          <w:rFonts w:hint="default" w:ascii="Times New Roman" w:hAnsi="Times New Roman" w:eastAsia="仿宋" w:cs="Times New Roman"/>
          <w:sz w:val="32"/>
          <w:lang w:val="zh-CN"/>
        </w:rPr>
        <w:t>%；政府性基金预算拨款</w:t>
      </w:r>
      <w:r>
        <w:rPr>
          <w:rFonts w:hint="eastAsia" w:eastAsia="仿宋" w:cs="Times New Roman"/>
          <w:sz w:val="32"/>
          <w:lang w:val="zh-CN"/>
        </w:rPr>
        <w:t>收入</w:t>
      </w:r>
      <w:r>
        <w:rPr>
          <w:rFonts w:hint="default" w:ascii="Times New Roman" w:hAnsi="Times New Roman" w:eastAsia="仿宋" w:cs="Times New Roman"/>
          <w:sz w:val="32"/>
        </w:rPr>
        <w:t>1</w:t>
      </w:r>
      <w:r>
        <w:rPr>
          <w:rFonts w:hint="default" w:ascii="Times New Roman" w:hAnsi="Times New Roman" w:eastAsia="仿宋" w:cs="Times New Roman"/>
          <w:sz w:val="32"/>
          <w:lang w:val="zh-CN"/>
        </w:rPr>
        <w:t>万元，占总收入</w:t>
      </w:r>
      <w:r>
        <w:rPr>
          <w:rFonts w:hint="default" w:ascii="Times New Roman" w:hAnsi="Times New Roman" w:eastAsia="仿宋" w:cs="Times New Roman"/>
          <w:sz w:val="32"/>
        </w:rPr>
        <w:t>0.1</w:t>
      </w:r>
      <w:r>
        <w:rPr>
          <w:rFonts w:hint="default" w:ascii="Times New Roman" w:hAnsi="Times New Roman" w:eastAsia="仿宋" w:cs="Times New Roman"/>
          <w:sz w:val="32"/>
          <w:lang w:val="zh-CN"/>
        </w:rPr>
        <w:t>%</w:t>
      </w:r>
      <w:r>
        <w:rPr>
          <w:rFonts w:hint="default" w:ascii="Times New Roman" w:hAnsi="Times New Roman" w:eastAsia="仿宋" w:cs="Times New Roman"/>
          <w:sz w:val="32"/>
        </w:rPr>
        <w:t>。</w:t>
      </w:r>
    </w:p>
    <w:p>
      <w:pPr>
        <w:spacing w:line="560" w:lineRule="exact"/>
        <w:ind w:firstLine="640" w:firstLineChars="200"/>
        <w:rPr>
          <w:rFonts w:ascii="楷体_GB2312" w:hAnsi="楷体_GB2312" w:eastAsia="楷体_GB2312" w:cs="楷体_GB2312"/>
          <w:sz w:val="32"/>
          <w:lang w:val="zh-CN"/>
        </w:rPr>
      </w:pPr>
      <w:r>
        <w:rPr>
          <w:rFonts w:ascii="楷体_GB2312" w:hAnsi="楷体_GB2312" w:eastAsia="楷体_GB2312" w:cs="楷体_GB2312"/>
          <w:sz w:val="32"/>
          <w:lang w:val="zh-CN"/>
        </w:rPr>
        <w:t>（二）支出情况。</w:t>
      </w:r>
    </w:p>
    <w:p>
      <w:pPr>
        <w:spacing w:line="560" w:lineRule="exact"/>
        <w:ind w:firstLine="640" w:firstLineChars="200"/>
        <w:rPr>
          <w:rFonts w:ascii="Times New Roman" w:hAnsi="Times New Roman" w:eastAsia="仿宋_GB2312" w:cs="Times New Roman"/>
          <w:sz w:val="32"/>
          <w:lang w:val="zh-CN"/>
        </w:rPr>
      </w:pPr>
      <w:r>
        <w:rPr>
          <w:rFonts w:hint="default" w:ascii="Times New Roman" w:hAnsi="Times New Roman" w:eastAsia="仿宋" w:cs="Times New Roman"/>
          <w:sz w:val="32"/>
          <w:lang w:val="zh-CN"/>
        </w:rPr>
        <w:t>202</w:t>
      </w:r>
      <w:r>
        <w:rPr>
          <w:rFonts w:hint="default" w:ascii="Times New Roman" w:hAnsi="Times New Roman" w:eastAsia="仿宋" w:cs="Times New Roman"/>
          <w:sz w:val="32"/>
        </w:rPr>
        <w:t>4</w:t>
      </w:r>
      <w:r>
        <w:rPr>
          <w:rFonts w:hint="default" w:ascii="Times New Roman" w:hAnsi="Times New Roman" w:eastAsia="仿宋" w:cs="Times New Roman"/>
          <w:sz w:val="32"/>
          <w:lang w:val="zh-CN"/>
        </w:rPr>
        <w:t>年财政资金支出</w:t>
      </w:r>
      <w:r>
        <w:rPr>
          <w:rFonts w:hint="default" w:ascii="Times New Roman" w:hAnsi="Times New Roman" w:eastAsia="仿宋" w:cs="Times New Roman"/>
          <w:sz w:val="32"/>
        </w:rPr>
        <w:t>791.87</w:t>
      </w:r>
      <w:r>
        <w:rPr>
          <w:rFonts w:hint="default" w:ascii="Times New Roman" w:hAnsi="Times New Roman" w:eastAsia="仿宋" w:cs="Times New Roman"/>
          <w:sz w:val="32"/>
          <w:lang w:val="zh-CN"/>
        </w:rPr>
        <w:t>万元，其中：基本支出</w:t>
      </w:r>
      <w:r>
        <w:rPr>
          <w:rFonts w:hint="default" w:ascii="Times New Roman" w:hAnsi="Times New Roman" w:eastAsia="仿宋" w:cs="Times New Roman"/>
          <w:sz w:val="32"/>
        </w:rPr>
        <w:t>689.04</w:t>
      </w:r>
      <w:r>
        <w:rPr>
          <w:rFonts w:hint="default" w:ascii="Times New Roman" w:hAnsi="Times New Roman" w:eastAsia="仿宋" w:cs="Times New Roman"/>
          <w:sz w:val="32"/>
          <w:lang w:val="zh-CN"/>
        </w:rPr>
        <w:t>万元，其中：人员经费</w:t>
      </w:r>
      <w:r>
        <w:rPr>
          <w:rFonts w:hint="default" w:ascii="Times New Roman" w:hAnsi="Times New Roman" w:eastAsia="仿宋" w:cs="Times New Roman"/>
          <w:sz w:val="32"/>
        </w:rPr>
        <w:t>641.62</w:t>
      </w:r>
      <w:r>
        <w:rPr>
          <w:rFonts w:hint="default" w:ascii="Times New Roman" w:hAnsi="Times New Roman" w:eastAsia="仿宋" w:cs="Times New Roman"/>
          <w:sz w:val="32"/>
          <w:lang w:val="zh-CN"/>
        </w:rPr>
        <w:t>万元，公用经费</w:t>
      </w:r>
      <w:r>
        <w:rPr>
          <w:rFonts w:hint="default" w:ascii="Times New Roman" w:hAnsi="Times New Roman" w:eastAsia="仿宋" w:cs="Times New Roman"/>
          <w:sz w:val="32"/>
        </w:rPr>
        <w:t>47.42</w:t>
      </w:r>
      <w:r>
        <w:rPr>
          <w:rFonts w:hint="default" w:ascii="Times New Roman" w:hAnsi="Times New Roman" w:eastAsia="仿宋" w:cs="Times New Roman"/>
          <w:sz w:val="32"/>
          <w:lang w:val="zh-CN"/>
        </w:rPr>
        <w:t>万元；项目经费支出</w:t>
      </w:r>
      <w:r>
        <w:rPr>
          <w:rFonts w:hint="default" w:ascii="Times New Roman" w:hAnsi="Times New Roman" w:eastAsia="仿宋" w:cs="Times New Roman"/>
          <w:sz w:val="32"/>
        </w:rPr>
        <w:t>102.83</w:t>
      </w:r>
      <w:r>
        <w:rPr>
          <w:rFonts w:hint="default" w:ascii="Times New Roman" w:hAnsi="Times New Roman" w:eastAsia="仿宋" w:cs="Times New Roman"/>
          <w:sz w:val="32"/>
          <w:lang w:val="zh-CN"/>
        </w:rPr>
        <w:t>万元。</w:t>
      </w:r>
    </w:p>
    <w:p>
      <w:pPr>
        <w:spacing w:line="560" w:lineRule="exact"/>
        <w:ind w:firstLine="640" w:firstLineChars="200"/>
        <w:rPr>
          <w:rFonts w:ascii="楷体_GB2312" w:hAnsi="楷体_GB2312" w:eastAsia="楷体_GB2312" w:cs="楷体_GB2312"/>
          <w:sz w:val="32"/>
          <w:lang w:val="zh-CN"/>
        </w:rPr>
      </w:pPr>
      <w:r>
        <w:rPr>
          <w:rFonts w:ascii="楷体_GB2312" w:hAnsi="楷体_GB2312" w:eastAsia="楷体_GB2312" w:cs="楷体_GB2312"/>
          <w:sz w:val="32"/>
          <w:lang w:val="zh-CN"/>
        </w:rPr>
        <w:t>（三）结余分配和结转结余情况。</w:t>
      </w:r>
    </w:p>
    <w:p>
      <w:pPr>
        <w:spacing w:line="560" w:lineRule="exact"/>
        <w:ind w:firstLine="640" w:firstLineChars="200"/>
        <w:rPr>
          <w:rFonts w:ascii="Times New Roman" w:hAnsi="Times New Roman" w:eastAsia="仿宋_GB2312" w:cs="Times New Roman"/>
          <w:sz w:val="32"/>
        </w:rPr>
      </w:pPr>
      <w:r>
        <w:rPr>
          <w:rFonts w:hint="default" w:ascii="Times New Roman" w:hAnsi="Times New Roman" w:eastAsia="仿宋" w:cs="Times New Roman"/>
          <w:sz w:val="32"/>
        </w:rPr>
        <w:t>西区司法局2024年决算报表无结转结余。</w:t>
      </w:r>
    </w:p>
    <w:p>
      <w:pPr>
        <w:spacing w:line="560" w:lineRule="exact"/>
        <w:ind w:firstLine="640" w:firstLineChars="200"/>
        <w:rPr>
          <w:rFonts w:ascii="黑体" w:hAnsi="黑体" w:eastAsia="黑体" w:cs="黑体"/>
          <w:sz w:val="32"/>
          <w:lang w:val="zh-CN"/>
        </w:rPr>
      </w:pPr>
      <w:r>
        <w:rPr>
          <w:rFonts w:hint="eastAsia" w:ascii="黑体" w:hAnsi="黑体" w:eastAsia="黑体" w:cs="黑体"/>
          <w:sz w:val="32"/>
          <w:lang w:val="zh-CN"/>
        </w:rPr>
        <w:t>三、部门预算绩效分析</w:t>
      </w:r>
    </w:p>
    <w:p>
      <w:pPr>
        <w:spacing w:line="560" w:lineRule="exact"/>
        <w:ind w:firstLine="640" w:firstLineChars="200"/>
        <w:rPr>
          <w:rFonts w:ascii="Times New Roman" w:hAnsi="Times New Roman" w:eastAsia="仿宋_GB2312" w:cs="Times New Roman"/>
          <w:sz w:val="32"/>
          <w:lang w:val="zh-CN"/>
        </w:rPr>
      </w:pPr>
      <w:r>
        <w:rPr>
          <w:rFonts w:hint="eastAsia" w:ascii="楷体_GB2312" w:hAnsi="楷体_GB2312" w:eastAsia="楷体_GB2312" w:cs="楷体_GB2312"/>
          <w:sz w:val="32"/>
          <w:lang w:val="zh-CN"/>
        </w:rPr>
        <w:t>（一）</w:t>
      </w:r>
      <w:r>
        <w:rPr>
          <w:rFonts w:hint="default" w:ascii="Times New Roman" w:hAnsi="Times New Roman" w:eastAsia="仿宋" w:cs="Times New Roman"/>
          <w:sz w:val="32"/>
          <w:lang w:val="zh-CN"/>
        </w:rPr>
        <w:t>部门预算总体绩效分析。根据部门预算绩效评价指标体系“总体绩效”涉及二、三级指标进行逐项绩效分析并评分，依次包括履职效能、预算管理、财务管理、资产管理、采购管理等情况。</w:t>
      </w:r>
    </w:p>
    <w:p>
      <w:pPr>
        <w:spacing w:line="560" w:lineRule="exact"/>
        <w:ind w:firstLine="643" w:firstLineChars="200"/>
        <w:rPr>
          <w:rFonts w:hint="default" w:ascii="Times New Roman" w:hAnsi="Times New Roman" w:eastAsia="仿宋" w:cs="Times New Roman"/>
          <w:sz w:val="32"/>
          <w:lang w:val="zh-CN"/>
        </w:rPr>
      </w:pPr>
      <w:r>
        <w:rPr>
          <w:rFonts w:hint="default" w:ascii="Times New Roman" w:hAnsi="Times New Roman" w:eastAsia="仿宋" w:cs="Times New Roman"/>
          <w:b/>
          <w:bCs/>
          <w:sz w:val="32"/>
        </w:rPr>
        <w:t>1.</w:t>
      </w:r>
      <w:r>
        <w:rPr>
          <w:rFonts w:hint="default" w:ascii="Times New Roman" w:hAnsi="Times New Roman" w:eastAsia="仿宋" w:cs="Times New Roman"/>
          <w:b/>
          <w:bCs/>
          <w:sz w:val="32"/>
          <w:lang w:val="zh-CN"/>
        </w:rPr>
        <w:t>履职效能。</w:t>
      </w:r>
      <w:r>
        <w:rPr>
          <w:rFonts w:hint="default" w:ascii="Times New Roman" w:hAnsi="Times New Roman" w:eastAsia="仿宋" w:cs="Times New Roman"/>
          <w:sz w:val="32"/>
          <w:lang w:val="zh-CN"/>
        </w:rPr>
        <w:t>部门整体绩效目标中选定3—5个核心职能目标，对职能目标完成效果情况绩效分析。</w:t>
      </w:r>
    </w:p>
    <w:p>
      <w:pPr>
        <w:spacing w:line="560" w:lineRule="exact"/>
        <w:ind w:firstLine="643" w:firstLineChars="200"/>
        <w:rPr>
          <w:rFonts w:hint="default" w:ascii="Times New Roman" w:hAnsi="Times New Roman" w:eastAsia="仿宋" w:cs="Times New Roman"/>
          <w:sz w:val="32"/>
        </w:rPr>
      </w:pPr>
      <w:r>
        <w:rPr>
          <w:rFonts w:hint="default" w:ascii="Times New Roman" w:hAnsi="Times New Roman" w:eastAsia="仿宋" w:cs="Times New Roman"/>
          <w:b/>
          <w:bCs/>
          <w:sz w:val="32"/>
          <w:lang w:val="zh-CN"/>
        </w:rPr>
        <w:t>突出科学统筹，法治西区建设全力推进。一是</w:t>
      </w:r>
      <w:r>
        <w:rPr>
          <w:rFonts w:hint="default" w:ascii="Times New Roman" w:hAnsi="Times New Roman" w:eastAsia="仿宋" w:cs="Times New Roman"/>
          <w:sz w:val="32"/>
          <w:lang w:val="zh-CN"/>
        </w:rPr>
        <w:t>依法治区工作取得新突破。印发《攀枝花市西区党政主要负责人履行推进法治建设第一责任人职责清单》，明确2024年区委常委会会前学法计划18个，推进区委常委会会前学法规范化开展。召开十一届区委全面依法治区委员会第四次会议。开展2023年度述法、法治考核工作，参加考核人数717人，其中合格646人，不合格14人，不确定等次56人。抓好全面推广应用“1+8”示范试点成果总结提升。制定《攀枝花市西区关于开展小区依法治理试点工作的实施方案》，召开部署会，明确部门单位职责清单。</w:t>
      </w:r>
      <w:r>
        <w:rPr>
          <w:rFonts w:hint="default" w:ascii="Times New Roman" w:hAnsi="Times New Roman" w:eastAsia="仿宋" w:cs="Times New Roman"/>
          <w:b/>
          <w:bCs/>
          <w:sz w:val="32"/>
          <w:lang w:val="zh-CN"/>
        </w:rPr>
        <w:t>二是</w:t>
      </w:r>
      <w:r>
        <w:rPr>
          <w:rFonts w:hint="default" w:ascii="Times New Roman" w:hAnsi="Times New Roman" w:eastAsia="仿宋" w:cs="Times New Roman"/>
          <w:sz w:val="32"/>
          <w:lang w:val="zh-CN"/>
        </w:rPr>
        <w:t>推动法治政府建设迈上新台阶。充分发挥法律顾问的作用，为区政府重大决策、重大协议等出具法律意见书50余份，参与合法性审查会审60余人次。对区委常委会、区政府常务会作出的重大决策执行跟踪督查，出台督查通报27期。审查行政规范性文件、合同、协议26件，出具合法性审查意见书26份，提出意见128条。加强“两审”衔接，组织全区法制审核人员参加合法性审查和培训。执行规范性文件清理“三统一”制度，清理10件涉企行政规范性文件均符合公平竞争原则，报备2024年新出台行政规范性文件7件。深化行政机关负责人出庭应诉制度，行政机关负责人出庭应诉率达100%。严格执行复议审理程序，将调解、和解贯穿案件始终，目前，共受理审结行政复议案件5件，其中纠错1件，调解结案3件。《建设高质量行政复议队伍探讨》荣获省司法厅“行政复议十佳征文”优秀奖。三是推进公正文明执法做实做深。与区检察院联合印发《关于加强行政检察与行政执法监督、行政复议协作配合工作办法（试行）》，打通部门资源整合渠道，以检察力量助力行政执法质效提升。扎实推进西区全面建立镇（街道）履行职责事项清单审核备案“三项清单”、镇（街道）综合执法体制改革。深化扩权赋能，以两批省级指导清单为依据，依法承接行政权力事项及动态调整部分事项清单，其中格里坪镇承接28项，清香坪街道承接32项，其余4个街道承接33项。建立行政执法监督与“12345”政务服务便民热线联动机制、行政执法监督专家人才库，组织395名行政执法人员线上培训。开展全区行政执法人员清理，注销执法证34本，新办（换证）53本。重大行政处罚案件备案17件，开展格里坪镇行政执法规范化建设试点镇，持续推行“一目录，五清单”监管，加大安全生产、食品药品领域监督，提升行政执法“温度”。</w:t>
      </w:r>
    </w:p>
    <w:p>
      <w:pPr>
        <w:spacing w:line="560" w:lineRule="exact"/>
        <w:ind w:firstLine="643" w:firstLineChars="200"/>
        <w:rPr>
          <w:rFonts w:hint="default" w:ascii="Times New Roman" w:hAnsi="Times New Roman" w:eastAsia="仿宋" w:cs="Times New Roman"/>
          <w:sz w:val="32"/>
          <w:lang w:val="zh-CN"/>
        </w:rPr>
      </w:pPr>
      <w:r>
        <w:rPr>
          <w:rFonts w:hint="default" w:ascii="Times New Roman" w:hAnsi="Times New Roman" w:eastAsia="仿宋" w:cs="Times New Roman"/>
          <w:b/>
          <w:bCs/>
          <w:sz w:val="32"/>
          <w:lang w:val="zh-CN"/>
        </w:rPr>
        <w:t>突出高效便民，法律服务实现提质增效。一是</w:t>
      </w:r>
      <w:r>
        <w:rPr>
          <w:rFonts w:hint="default" w:ascii="Times New Roman" w:hAnsi="Times New Roman" w:eastAsia="仿宋" w:cs="Times New Roman"/>
          <w:sz w:val="32"/>
          <w:lang w:val="zh-CN"/>
        </w:rPr>
        <w:t>优化法治化营商环境。依托园区涉企行政复议基层服务点开辟涉企行政复议“绿色通道”。建立涉企行政执法监督联系点1个，暂无外来企业投诉、涉法信访案件。开展企业管理人员法治素养试点工作，建立涉及合同、劳动、税务、环保等涉企案例库220条。覆盖基层设立行政复议服务点，开辟涉企行政复议窗口“延时办、错时办、上门办”机制，缩短复议案件审理时限。二是深化公共法律服务。全面推行法律援助“市域通办”，把针对残疾人、军人军属等特殊群体开通“绿色通道”纳入“攀枝花市特殊教育校家社协同育人共同体”成员，实行优先办理制。开通“一网通办+法律援助”网上受理“一站式”服务。升级社区公共法律服务工作室为西区共同富裕建设公共法律服务试点，送法治服务到家。目前，共受理法律援助案件192件、法律帮助案件149件、法律咨询数1528件，代书12个，资金拨付17.51万，收到群众感谢信1封。实行“证明材料清单制”、办理事项一次性告知制，推行“容缺+承诺”制，目前共办理继承、委托和声明等公证115件，接待电话及现场咨询约1332人次，收取公证费约7.8万元，扎实推行“十项”公证服务举措，涉及老年人公证70余件，提供上门服务4次、延时服务20余次。</w:t>
      </w:r>
      <w:r>
        <w:rPr>
          <w:rFonts w:hint="default" w:ascii="Times New Roman" w:hAnsi="Times New Roman" w:eastAsia="仿宋" w:cs="Times New Roman"/>
          <w:b/>
          <w:bCs/>
          <w:sz w:val="32"/>
          <w:lang w:val="zh-CN"/>
        </w:rPr>
        <w:t>三是</w:t>
      </w:r>
      <w:r>
        <w:rPr>
          <w:rFonts w:hint="default" w:ascii="Times New Roman" w:hAnsi="Times New Roman" w:eastAsia="仿宋" w:cs="Times New Roman"/>
          <w:sz w:val="32"/>
          <w:lang w:val="zh-CN"/>
        </w:rPr>
        <w:t>做好普法宣传。选树法律明白人典型案例，精心拍摄法律明白人微视频1期。制作《行政纠纷救星—如何申请行政复议》微视频。围绕西区“八五”普法规划明确“一月一主题”方案15项重点法治宣传内容，开展订单式进园区宣传5场次，专业普法进社区6场次、青少年基地普法宣传教育12次、“民法典宣传月”和“法治大宣讲”等主题普法42场、专题讲座6场次、宣传活动160场次，发放资料2万余册。创新开展“违法者普法讲法”4次，让违法者变身遵纪守法的倡导者和践行者。组织国家机关工作人员旁听庭审3场次，线上观看庭审2000余人次。积极争取省司法厅项目资金50万元，建设三线红色法治文化宣传教育基地。</w:t>
      </w:r>
    </w:p>
    <w:p>
      <w:pPr>
        <w:spacing w:line="560" w:lineRule="exact"/>
        <w:ind w:firstLine="643" w:firstLineChars="200"/>
        <w:rPr>
          <w:rFonts w:hint="default" w:ascii="Times New Roman" w:hAnsi="Times New Roman" w:eastAsia="仿宋" w:cs="Times New Roman"/>
          <w:sz w:val="32"/>
          <w:lang w:val="zh-CN"/>
        </w:rPr>
      </w:pPr>
      <w:r>
        <w:rPr>
          <w:rFonts w:hint="default" w:ascii="Times New Roman" w:hAnsi="Times New Roman" w:eastAsia="仿宋" w:cs="Times New Roman"/>
          <w:b/>
          <w:bCs/>
          <w:sz w:val="32"/>
          <w:lang w:val="zh-CN"/>
        </w:rPr>
        <w:t>突出稳定安全，守护社会安宁筑牢平安。一是</w:t>
      </w:r>
      <w:r>
        <w:rPr>
          <w:rFonts w:hint="default" w:ascii="Times New Roman" w:hAnsi="Times New Roman" w:eastAsia="仿宋" w:cs="Times New Roman"/>
          <w:sz w:val="32"/>
          <w:lang w:val="zh-CN"/>
        </w:rPr>
        <w:t>加强矛盾纠纷调解。制定《攀枝花市西区专职人民调解员队伍建设实施方案》，建立西区专职人民调解员工作体系，聘请3名具有丰富调解经验的专职人民调解员。推进镇（街道）专职人民调解员全覆盖，实现6个镇（街道）、26个村（社区）基层人民调解组织全覆盖，补充行业、专业专职人民调解员272名。完善培训机制，开展2场70余人专兼职人民调解员培训。依托“三说会堂”纠纷多元化解模式，深化“诉调对接”机制，化解诉前调解案件51件，拓展区“双中心”矛盾纠纷交办督办职能，化解各类矛盾纠纷1035件，调解成功率为99.5%。</w:t>
      </w:r>
      <w:r>
        <w:rPr>
          <w:rFonts w:hint="default" w:ascii="Times New Roman" w:hAnsi="Times New Roman" w:eastAsia="仿宋" w:cs="Times New Roman"/>
          <w:b/>
          <w:bCs/>
          <w:sz w:val="32"/>
          <w:lang w:val="zh-CN"/>
        </w:rPr>
        <w:t>二是</w:t>
      </w:r>
      <w:r>
        <w:rPr>
          <w:rFonts w:hint="default" w:ascii="Times New Roman" w:hAnsi="Times New Roman" w:eastAsia="仿宋" w:cs="Times New Roman"/>
          <w:sz w:val="32"/>
          <w:lang w:val="zh-CN"/>
        </w:rPr>
        <w:t>加强“两类人员”教育管理。与区检察院签订《关于加强社区矫正协作配合的实施意见》，成立全市首家社区矫正检察室，实施社区矫正检察工作“派驻+巡回”模式，开展联合督查3次，交叉评查1次，参与全市交叉评查2次。运用“智慧矫正中心”构建智能监管“电子围栏”，全天候实时抓拍预警，实现无缝跟踪监管。召开分析研判会10次，排查隐患4起并解决。接收社区矫正37人、开展审前社会调查评估33人、解除社区矫正50人，变更执行地迁出4人，现在册社区矫正93人。加强重点安置帮教对象管理，全面落实“必接必送”出狱衔接、信息核查、安置帮教对象人户分离“双列管”工作。接收刑满释放人员113人，现安置帮教对象593人。</w:t>
      </w:r>
    </w:p>
    <w:p>
      <w:pPr>
        <w:spacing w:line="560" w:lineRule="exact"/>
        <w:ind w:firstLine="643" w:firstLineChars="200"/>
        <w:rPr>
          <w:rFonts w:hint="default" w:ascii="Times New Roman" w:hAnsi="Times New Roman" w:eastAsia="仿宋" w:cs="Times New Roman"/>
          <w:sz w:val="32"/>
          <w:lang w:val="zh-CN"/>
        </w:rPr>
      </w:pPr>
      <w:r>
        <w:rPr>
          <w:rFonts w:hint="default" w:ascii="Times New Roman" w:hAnsi="Times New Roman" w:eastAsia="仿宋" w:cs="Times New Roman"/>
          <w:b/>
          <w:bCs/>
          <w:sz w:val="32"/>
          <w:lang w:val="zh-CN"/>
        </w:rPr>
        <w:t>突出党建引领，司法行政队伍实现思想淬炼。一是</w:t>
      </w:r>
      <w:r>
        <w:rPr>
          <w:rFonts w:hint="default" w:ascii="Times New Roman" w:hAnsi="Times New Roman" w:eastAsia="仿宋" w:cs="Times New Roman"/>
          <w:sz w:val="32"/>
          <w:lang w:val="zh-CN"/>
        </w:rPr>
        <w:t>在党的政治建设中筑牢根基。始终坚持把党的政治建设摆在首位，持续巩固主题教育成果，严格执行“第一议题”制度，通过领导班子“带头学”、主题党日“每月学”、专题党课“专题学”、红色基地“现场学”等深入学习贯彻习近平法治思想研究阐释，开展理论学习中心组学习6场、主题党日10次、领导干部讲党课3次、深入基层宣讲2次。坚持“一把手”带头，切实履行“第一责任人”职责，严格落实意识形态工作责任制。学习《中国共产党纪律处分条例》、观看警示教育片、参观廉洁教育基地、领导干部讲纪律党课、旁听职务犯罪庭审、通报违纪违法典型案例等用身边事教育身边人，先后紧扣“六项纪律”开展集中学习3次、专题学习研讨3次。加强年轻干部思想动态和工作状态分析研判、对公务员队伍状况定期分析、提醒谈话41人次。</w:t>
      </w:r>
      <w:r>
        <w:rPr>
          <w:rFonts w:hint="default" w:ascii="Times New Roman" w:hAnsi="Times New Roman" w:eastAsia="仿宋" w:cs="Times New Roman"/>
          <w:b/>
          <w:bCs/>
          <w:sz w:val="32"/>
          <w:lang w:val="zh-CN"/>
        </w:rPr>
        <w:t>二是</w:t>
      </w:r>
      <w:r>
        <w:rPr>
          <w:rFonts w:hint="default" w:ascii="Times New Roman" w:hAnsi="Times New Roman" w:eastAsia="仿宋" w:cs="Times New Roman"/>
          <w:sz w:val="32"/>
          <w:lang w:val="zh-CN"/>
        </w:rPr>
        <w:t>落实落细日常监督。通过召开警示教育大会、领导干部讲廉政党课、通报违法违纪典型案例、旁听职务犯罪庭审等形式引导干部职工知敬畏、存戒惧、守底线。严明廉洁过节纪律要求，坚决杜绝“节日腐败”，严格两个8小时时间段监督。深化公务员（参公人员）平时考核、季度德能勤绩评价监督管理，持之以恒正风肃纪、优化司法行政政治生态打造政治优、纪律严、素质高的司法行政尖兵。</w:t>
      </w:r>
      <w:r>
        <w:rPr>
          <w:rFonts w:hint="default" w:ascii="Times New Roman" w:hAnsi="Times New Roman" w:eastAsia="仿宋" w:cs="Times New Roman"/>
          <w:b/>
          <w:bCs/>
          <w:sz w:val="32"/>
          <w:lang w:val="zh-CN"/>
        </w:rPr>
        <w:t>三是</w:t>
      </w:r>
      <w:r>
        <w:rPr>
          <w:rFonts w:hint="default" w:ascii="Times New Roman" w:hAnsi="Times New Roman" w:eastAsia="仿宋" w:cs="Times New Roman"/>
          <w:sz w:val="32"/>
          <w:lang w:val="zh-CN"/>
        </w:rPr>
        <w:t>建立完善制度机制。坚持把建立和完善规章制度作为构建长效机制的关键环节，制定岗位风险防控工作手册，修订完善理论学习中心组学习制度以及请销假、财务管理等制度机制，形成用制度管理、按制度办事、靠制度管人的长效工作机制。</w:t>
      </w:r>
    </w:p>
    <w:p>
      <w:pPr>
        <w:spacing w:line="560" w:lineRule="exact"/>
        <w:ind w:firstLine="643" w:firstLineChars="200"/>
        <w:rPr>
          <w:rFonts w:hint="default" w:ascii="Times New Roman" w:hAnsi="Times New Roman" w:eastAsia="仿宋" w:cs="Times New Roman"/>
          <w:b/>
          <w:bCs/>
          <w:sz w:val="32"/>
          <w:lang w:val="zh-CN"/>
        </w:rPr>
      </w:pPr>
      <w:r>
        <w:rPr>
          <w:rFonts w:hint="default" w:ascii="Times New Roman" w:hAnsi="Times New Roman" w:eastAsia="仿宋" w:cs="Times New Roman"/>
          <w:b/>
          <w:bCs/>
          <w:sz w:val="32"/>
          <w:lang w:val="zh-CN"/>
        </w:rPr>
        <w:t>2.预算编制情况。</w:t>
      </w:r>
    </w:p>
    <w:p>
      <w:pPr>
        <w:spacing w:line="560" w:lineRule="exact"/>
        <w:ind w:firstLine="640" w:firstLineChars="200"/>
        <w:rPr>
          <w:rFonts w:hint="default" w:ascii="Times New Roman" w:hAnsi="Times New Roman" w:eastAsia="仿宋" w:cs="Times New Roman"/>
          <w:sz w:val="32"/>
          <w:lang w:val="zh-CN"/>
        </w:rPr>
      </w:pPr>
      <w:r>
        <w:rPr>
          <w:rFonts w:hint="default" w:ascii="Times New Roman" w:hAnsi="Times New Roman" w:eastAsia="仿宋" w:cs="Times New Roman"/>
          <w:sz w:val="32"/>
        </w:rPr>
        <w:t>2024年西区司法局严格按照西区财政局预算编制通知和有关要求，按时按质完成报送决算编制等工作，并按时提交部门预算编制草案，不存在应编、未编、错误列编，西区财政局根据预算编制草案，进行审核，批复2024年部门预算收入707.36万元，其中：工资福利支出601.84万元、日常公用支出58.75万元、对个人和家庭的补助支出14.77万元、项目支出32万元。</w:t>
      </w:r>
    </w:p>
    <w:p>
      <w:pPr>
        <w:spacing w:line="560" w:lineRule="exact"/>
        <w:ind w:firstLine="643" w:firstLineChars="200"/>
        <w:rPr>
          <w:rFonts w:hint="default" w:ascii="Times New Roman" w:hAnsi="Times New Roman" w:eastAsia="仿宋" w:cs="Times New Roman"/>
          <w:b/>
          <w:bCs/>
          <w:sz w:val="32"/>
          <w:lang w:val="zh-CN"/>
        </w:rPr>
      </w:pPr>
      <w:r>
        <w:rPr>
          <w:rFonts w:hint="default" w:ascii="Times New Roman" w:hAnsi="Times New Roman" w:eastAsia="仿宋" w:cs="Times New Roman"/>
          <w:b/>
          <w:bCs/>
          <w:sz w:val="32"/>
        </w:rPr>
        <w:t>3.</w:t>
      </w:r>
      <w:r>
        <w:rPr>
          <w:rFonts w:hint="default" w:ascii="Times New Roman" w:hAnsi="Times New Roman" w:eastAsia="仿宋" w:cs="Times New Roman"/>
          <w:b/>
          <w:bCs/>
          <w:sz w:val="32"/>
          <w:lang w:val="zh-CN"/>
        </w:rPr>
        <w:t>财务管理。</w:t>
      </w:r>
    </w:p>
    <w:p>
      <w:pPr>
        <w:spacing w:line="560" w:lineRule="exact"/>
        <w:ind w:firstLine="640" w:firstLineChars="200"/>
        <w:rPr>
          <w:rFonts w:hint="default" w:ascii="Times New Roman" w:hAnsi="Times New Roman" w:eastAsia="仿宋" w:cs="Times New Roman"/>
          <w:sz w:val="32"/>
          <w:lang w:val="zh-CN"/>
        </w:rPr>
      </w:pPr>
      <w:r>
        <w:rPr>
          <w:rFonts w:hint="default" w:ascii="Times New Roman" w:hAnsi="Times New Roman" w:eastAsia="仿宋" w:cs="Times New Roman"/>
          <w:sz w:val="32"/>
          <w:lang w:val="zh-CN"/>
        </w:rPr>
        <w:t>建立健全财务管理制度，涵盖预算管理、收支管理、资产管理等方面，制度执行严格，确保财务工作有章可循；财务岗位设置科学分工，明确岗位权责，做到不相容岗位相互分离，避免兼岗带来的风险；资金使用规范上，严格把控资金审批流程，确保每一笔资金都按照规定用途、标准和程序使用，杜绝挪用、滥用等违规行为，保障财务工作有序进行，维护财务安全与规范。</w:t>
      </w:r>
    </w:p>
    <w:p>
      <w:pPr>
        <w:spacing w:line="560" w:lineRule="exact"/>
        <w:ind w:firstLine="643" w:firstLineChars="200"/>
        <w:rPr>
          <w:rFonts w:hint="default" w:ascii="Times New Roman" w:hAnsi="Times New Roman" w:eastAsia="仿宋" w:cs="Times New Roman"/>
          <w:b/>
          <w:bCs/>
          <w:sz w:val="32"/>
          <w:lang w:val="zh-CN"/>
        </w:rPr>
      </w:pPr>
      <w:r>
        <w:rPr>
          <w:rFonts w:hint="default" w:ascii="Times New Roman" w:hAnsi="Times New Roman" w:eastAsia="仿宋" w:cs="Times New Roman"/>
          <w:b/>
          <w:bCs/>
          <w:sz w:val="32"/>
        </w:rPr>
        <w:t>4.</w:t>
      </w:r>
      <w:r>
        <w:rPr>
          <w:rFonts w:hint="default" w:ascii="Times New Roman" w:hAnsi="Times New Roman" w:eastAsia="仿宋" w:cs="Times New Roman"/>
          <w:b/>
          <w:bCs/>
          <w:sz w:val="32"/>
          <w:lang w:val="zh-CN"/>
        </w:rPr>
        <w:t>资产管理。</w:t>
      </w:r>
    </w:p>
    <w:p>
      <w:pPr>
        <w:spacing w:line="560" w:lineRule="exact"/>
        <w:ind w:firstLine="640" w:firstLineChars="200"/>
        <w:rPr>
          <w:rFonts w:hint="default" w:ascii="Times New Roman" w:hAnsi="Times New Roman" w:eastAsia="仿宋" w:cs="Times New Roman"/>
          <w:sz w:val="32"/>
          <w:lang w:val="zh-CN"/>
        </w:rPr>
      </w:pPr>
      <w:r>
        <w:rPr>
          <w:rFonts w:hint="default" w:ascii="Times New Roman" w:hAnsi="Times New Roman" w:eastAsia="仿宋" w:cs="Times New Roman"/>
          <w:sz w:val="32"/>
          <w:lang w:val="zh-CN"/>
        </w:rPr>
        <w:t>高度重视闲置资产管理，建立动态清查机制，定期梳理闲置资产明细，通过内部调剂、共享使用等方式，将闲置设备、办公用品等调配至需求科室。同时，在资产系统内对固定资产及状态及时进行更新，优化资源配置，显著提升资产利用率，有效避免资源浪费，为机关高效运转提供有力保障。</w:t>
      </w:r>
    </w:p>
    <w:p>
      <w:pPr>
        <w:spacing w:line="560" w:lineRule="exact"/>
        <w:ind w:firstLine="643" w:firstLineChars="200"/>
        <w:rPr>
          <w:rFonts w:hint="default" w:ascii="Times New Roman" w:hAnsi="Times New Roman" w:eastAsia="仿宋" w:cs="Times New Roman"/>
          <w:b/>
          <w:bCs/>
          <w:sz w:val="32"/>
          <w:lang w:val="zh-CN"/>
        </w:rPr>
      </w:pPr>
      <w:r>
        <w:rPr>
          <w:rFonts w:hint="default" w:ascii="Times New Roman" w:hAnsi="Times New Roman" w:eastAsia="仿宋" w:cs="Times New Roman"/>
          <w:b/>
          <w:bCs/>
          <w:sz w:val="32"/>
        </w:rPr>
        <w:t>5.</w:t>
      </w:r>
      <w:r>
        <w:rPr>
          <w:rFonts w:hint="default" w:ascii="Times New Roman" w:hAnsi="Times New Roman" w:eastAsia="仿宋" w:cs="Times New Roman"/>
          <w:b/>
          <w:bCs/>
          <w:sz w:val="32"/>
          <w:lang w:val="zh-CN"/>
        </w:rPr>
        <w:t>采购管理。</w:t>
      </w:r>
    </w:p>
    <w:p>
      <w:pPr>
        <w:spacing w:line="560" w:lineRule="exact"/>
        <w:ind w:firstLine="640" w:firstLineChars="200"/>
        <w:rPr>
          <w:rFonts w:hint="default" w:ascii="Times New Roman" w:hAnsi="Times New Roman" w:eastAsia="仿宋" w:cs="Times New Roman"/>
          <w:sz w:val="32"/>
          <w:lang w:val="zh-CN"/>
        </w:rPr>
      </w:pPr>
      <w:r>
        <w:rPr>
          <w:rFonts w:hint="default" w:ascii="Times New Roman" w:hAnsi="Times New Roman" w:eastAsia="仿宋" w:cs="Times New Roman"/>
          <w:sz w:val="32"/>
          <w:lang w:val="zh-CN"/>
        </w:rPr>
        <w:t>严格按照采购管理文件要求执行，采购前精准预算编制，结合实际需求科学规划；采购中坚持公开透明，严格执行采购程序；采购后加强验收与监督，确保物资质量达标，同时强化档案管理，保障采购全程留痕、规范有序。</w:t>
      </w:r>
    </w:p>
    <w:p>
      <w:pPr>
        <w:spacing w:line="560" w:lineRule="exact"/>
        <w:ind w:firstLine="640" w:firstLineChars="200"/>
        <w:rPr>
          <w:rFonts w:ascii="楷体_GB2312" w:hAnsi="楷体_GB2312" w:eastAsia="楷体_GB2312" w:cs="楷体_GB2312"/>
          <w:sz w:val="32"/>
          <w:lang w:val="zh-CN"/>
        </w:rPr>
      </w:pPr>
      <w:r>
        <w:rPr>
          <w:rFonts w:hint="eastAsia" w:ascii="楷体_GB2312" w:hAnsi="楷体_GB2312" w:eastAsia="楷体_GB2312" w:cs="楷体_GB2312"/>
          <w:sz w:val="32"/>
          <w:lang w:val="zh-CN"/>
        </w:rPr>
        <w:t>（二）部门预算项目绩效分析。</w:t>
      </w:r>
    </w:p>
    <w:p>
      <w:pPr>
        <w:spacing w:line="560" w:lineRule="exact"/>
        <w:ind w:firstLine="640" w:firstLineChars="200"/>
        <w:rPr>
          <w:rFonts w:hint="default" w:ascii="Times New Roman" w:hAnsi="Times New Roman" w:eastAsia="仿宋" w:cs="Times New Roman"/>
          <w:sz w:val="32"/>
          <w:lang w:val="zh-CN"/>
        </w:rPr>
      </w:pPr>
      <w:r>
        <w:rPr>
          <w:rFonts w:hint="default" w:ascii="Times New Roman" w:hAnsi="Times New Roman" w:eastAsia="仿宋" w:cs="Times New Roman"/>
          <w:sz w:val="32"/>
          <w:lang w:val="zh-CN"/>
        </w:rPr>
        <w:t>常年项目绩效分析。该类项目总数</w:t>
      </w:r>
      <w:r>
        <w:rPr>
          <w:rFonts w:hint="default" w:ascii="Times New Roman" w:hAnsi="Times New Roman" w:eastAsia="仿宋" w:cs="Times New Roman"/>
          <w:sz w:val="32"/>
        </w:rPr>
        <w:t>13</w:t>
      </w:r>
      <w:r>
        <w:rPr>
          <w:rFonts w:hint="default" w:ascii="Times New Roman" w:hAnsi="Times New Roman" w:eastAsia="仿宋" w:cs="Times New Roman"/>
          <w:sz w:val="32"/>
          <w:lang w:val="zh-CN"/>
        </w:rPr>
        <w:t>个，涉及预算总金额</w:t>
      </w:r>
      <w:r>
        <w:rPr>
          <w:rFonts w:hint="default" w:ascii="Times New Roman" w:hAnsi="Times New Roman" w:eastAsia="仿宋" w:cs="Times New Roman"/>
          <w:sz w:val="32"/>
        </w:rPr>
        <w:t>300.42</w:t>
      </w:r>
      <w:r>
        <w:rPr>
          <w:rFonts w:hint="default" w:ascii="Times New Roman" w:hAnsi="Times New Roman" w:eastAsia="仿宋" w:cs="Times New Roman"/>
          <w:sz w:val="32"/>
          <w:lang w:val="zh-CN"/>
        </w:rPr>
        <w:t>万元，1—12月预算执行总体进度为</w:t>
      </w:r>
      <w:r>
        <w:rPr>
          <w:rFonts w:hint="default" w:ascii="Times New Roman" w:hAnsi="Times New Roman" w:eastAsia="仿宋" w:cs="Times New Roman"/>
          <w:sz w:val="32"/>
        </w:rPr>
        <w:t>34.23</w:t>
      </w:r>
      <w:r>
        <w:rPr>
          <w:rFonts w:hint="default" w:ascii="Times New Roman" w:hAnsi="Times New Roman" w:eastAsia="仿宋" w:cs="Times New Roman"/>
          <w:sz w:val="32"/>
          <w:lang w:val="zh-CN"/>
        </w:rPr>
        <w:t>%，其中：预算结余率大于10%的项目共计</w:t>
      </w:r>
      <w:r>
        <w:rPr>
          <w:rFonts w:hint="default" w:ascii="Times New Roman" w:hAnsi="Times New Roman" w:eastAsia="仿宋" w:cs="Times New Roman"/>
          <w:sz w:val="32"/>
        </w:rPr>
        <w:t>1</w:t>
      </w:r>
      <w:r>
        <w:rPr>
          <w:rFonts w:hint="default" w:ascii="Times New Roman" w:hAnsi="Times New Roman" w:eastAsia="仿宋" w:cs="Times New Roman"/>
          <w:sz w:val="32"/>
          <w:lang w:val="zh-CN"/>
        </w:rPr>
        <w:t>个。</w:t>
      </w:r>
    </w:p>
    <w:p>
      <w:pPr>
        <w:spacing w:line="560" w:lineRule="exact"/>
        <w:ind w:firstLine="640" w:firstLineChars="200"/>
        <w:rPr>
          <w:rFonts w:hint="default" w:ascii="Times New Roman" w:hAnsi="Times New Roman" w:eastAsia="仿宋" w:cs="Times New Roman"/>
          <w:sz w:val="32"/>
          <w:lang w:val="zh-CN"/>
        </w:rPr>
      </w:pPr>
      <w:r>
        <w:rPr>
          <w:rFonts w:hint="default" w:ascii="Times New Roman" w:hAnsi="Times New Roman" w:eastAsia="仿宋" w:cs="Times New Roman"/>
          <w:sz w:val="32"/>
          <w:lang w:val="zh-CN"/>
        </w:rPr>
        <w:t>阶段（含一次性）项目绩效分析。该类项目总数</w:t>
      </w:r>
      <w:r>
        <w:rPr>
          <w:rFonts w:hint="default" w:ascii="Times New Roman" w:hAnsi="Times New Roman" w:eastAsia="仿宋" w:cs="Times New Roman"/>
          <w:sz w:val="32"/>
        </w:rPr>
        <w:t>13</w:t>
      </w:r>
      <w:r>
        <w:rPr>
          <w:rFonts w:hint="default" w:ascii="Times New Roman" w:hAnsi="Times New Roman" w:eastAsia="仿宋" w:cs="Times New Roman"/>
          <w:sz w:val="32"/>
          <w:lang w:val="zh-CN"/>
        </w:rPr>
        <w:t>个，涉及预算总金额</w:t>
      </w:r>
      <w:r>
        <w:rPr>
          <w:rFonts w:hint="default" w:ascii="Times New Roman" w:hAnsi="Times New Roman" w:eastAsia="仿宋" w:cs="Times New Roman"/>
          <w:sz w:val="32"/>
        </w:rPr>
        <w:t>300.42</w:t>
      </w:r>
      <w:r>
        <w:rPr>
          <w:rFonts w:hint="default" w:ascii="Times New Roman" w:hAnsi="Times New Roman" w:eastAsia="仿宋" w:cs="Times New Roman"/>
          <w:sz w:val="32"/>
          <w:lang w:val="zh-CN"/>
        </w:rPr>
        <w:t>万元，1—12月预算执行总体进度为</w:t>
      </w:r>
      <w:r>
        <w:rPr>
          <w:rFonts w:hint="default" w:ascii="Times New Roman" w:hAnsi="Times New Roman" w:eastAsia="仿宋" w:cs="Times New Roman"/>
          <w:sz w:val="32"/>
        </w:rPr>
        <w:t>34.23</w:t>
      </w:r>
      <w:r>
        <w:rPr>
          <w:rFonts w:hint="default" w:ascii="Times New Roman" w:hAnsi="Times New Roman" w:eastAsia="仿宋" w:cs="Times New Roman"/>
          <w:sz w:val="32"/>
          <w:lang w:val="zh-CN"/>
        </w:rPr>
        <w:t>%，其中：预算结余率大于10%的项目共计</w:t>
      </w:r>
      <w:r>
        <w:rPr>
          <w:rFonts w:hint="default" w:ascii="Times New Roman" w:hAnsi="Times New Roman" w:eastAsia="仿宋" w:cs="Times New Roman"/>
          <w:sz w:val="32"/>
        </w:rPr>
        <w:t>1</w:t>
      </w:r>
      <w:r>
        <w:rPr>
          <w:rFonts w:hint="default" w:ascii="Times New Roman" w:hAnsi="Times New Roman" w:eastAsia="仿宋" w:cs="Times New Roman"/>
          <w:sz w:val="32"/>
          <w:lang w:val="zh-CN"/>
        </w:rPr>
        <w:t>个。</w:t>
      </w:r>
    </w:p>
    <w:p>
      <w:pPr>
        <w:spacing w:line="560" w:lineRule="exact"/>
        <w:ind w:firstLine="643" w:firstLineChars="200"/>
        <w:rPr>
          <w:rFonts w:hint="default" w:ascii="Times New Roman" w:hAnsi="Times New Roman" w:eastAsia="仿宋" w:cs="Times New Roman"/>
          <w:b/>
          <w:bCs/>
          <w:sz w:val="32"/>
          <w:lang w:val="zh-CN"/>
        </w:rPr>
      </w:pPr>
      <w:r>
        <w:rPr>
          <w:rFonts w:hint="default" w:ascii="Times New Roman" w:hAnsi="Times New Roman" w:eastAsia="仿宋" w:cs="Times New Roman"/>
          <w:b/>
          <w:bCs/>
          <w:sz w:val="32"/>
        </w:rPr>
        <w:t>1.</w:t>
      </w:r>
      <w:r>
        <w:rPr>
          <w:rFonts w:hint="default" w:ascii="Times New Roman" w:hAnsi="Times New Roman" w:eastAsia="仿宋" w:cs="Times New Roman"/>
          <w:b/>
          <w:bCs/>
          <w:sz w:val="32"/>
          <w:lang w:val="zh-CN"/>
        </w:rPr>
        <w:t>项目决策。</w:t>
      </w:r>
    </w:p>
    <w:p>
      <w:pPr>
        <w:spacing w:line="560" w:lineRule="exact"/>
        <w:ind w:firstLine="640" w:firstLineChars="200"/>
        <w:rPr>
          <w:rFonts w:hint="default" w:ascii="Times New Roman" w:hAnsi="Times New Roman" w:eastAsia="仿宋" w:cs="Times New Roman"/>
          <w:sz w:val="32"/>
          <w:lang w:val="zh-CN"/>
        </w:rPr>
      </w:pPr>
      <w:r>
        <w:rPr>
          <w:rFonts w:hint="default" w:ascii="Times New Roman" w:hAnsi="Times New Roman" w:eastAsia="仿宋" w:cs="Times New Roman"/>
          <w:sz w:val="32"/>
          <w:lang w:val="zh-CN"/>
        </w:rPr>
        <w:t>以202</w:t>
      </w:r>
      <w:r>
        <w:rPr>
          <w:rFonts w:hint="default" w:ascii="Times New Roman" w:hAnsi="Times New Roman" w:eastAsia="仿宋" w:cs="Times New Roman"/>
          <w:sz w:val="32"/>
        </w:rPr>
        <w:t>4</w:t>
      </w:r>
      <w:r>
        <w:rPr>
          <w:rFonts w:hint="default" w:ascii="Times New Roman" w:hAnsi="Times New Roman" w:eastAsia="仿宋" w:cs="Times New Roman"/>
          <w:sz w:val="32"/>
          <w:lang w:val="zh-CN"/>
        </w:rPr>
        <w:t>工作安排为参考，以202</w:t>
      </w:r>
      <w:r>
        <w:rPr>
          <w:rFonts w:hint="default" w:ascii="Times New Roman" w:hAnsi="Times New Roman" w:eastAsia="仿宋" w:cs="Times New Roman"/>
          <w:sz w:val="32"/>
        </w:rPr>
        <w:t>4</w:t>
      </w:r>
      <w:r>
        <w:rPr>
          <w:rFonts w:hint="default" w:ascii="Times New Roman" w:hAnsi="Times New Roman" w:eastAsia="仿宋" w:cs="Times New Roman"/>
          <w:sz w:val="32"/>
          <w:lang w:val="zh-CN"/>
        </w:rPr>
        <w:t>年工作计划为依据，预算安排共计</w:t>
      </w:r>
      <w:r>
        <w:rPr>
          <w:rFonts w:hint="default" w:ascii="Times New Roman" w:hAnsi="Times New Roman" w:eastAsia="仿宋" w:cs="Times New Roman"/>
          <w:sz w:val="32"/>
        </w:rPr>
        <w:t>989.46</w:t>
      </w:r>
      <w:r>
        <w:rPr>
          <w:rFonts w:hint="default" w:ascii="Times New Roman" w:hAnsi="Times New Roman" w:eastAsia="仿宋" w:cs="Times New Roman"/>
          <w:sz w:val="32"/>
          <w:lang w:val="zh-CN"/>
        </w:rPr>
        <w:t>万元，以不断提高服务对象满意度，及时发现工作存在的问题，提升工作服务质量，提高政策知晓率。投入成本与预期产出及效果相匹配，成本测算依据充分。同时在支出过程中，严格履行政府采购程序，合理控制成本，确保资金投入与支出比例合理。当年实际支出</w:t>
      </w:r>
      <w:r>
        <w:rPr>
          <w:rFonts w:hint="default" w:ascii="Times New Roman" w:hAnsi="Times New Roman" w:eastAsia="仿宋" w:cs="Times New Roman"/>
          <w:sz w:val="32"/>
        </w:rPr>
        <w:t>791.87</w:t>
      </w:r>
      <w:r>
        <w:rPr>
          <w:rFonts w:hint="default" w:ascii="Times New Roman" w:hAnsi="Times New Roman" w:eastAsia="仿宋" w:cs="Times New Roman"/>
          <w:sz w:val="32"/>
          <w:lang w:val="zh-CN"/>
        </w:rPr>
        <w:t>万元，执行率</w:t>
      </w:r>
      <w:r>
        <w:rPr>
          <w:rFonts w:hint="default" w:ascii="Times New Roman" w:hAnsi="Times New Roman" w:eastAsia="仿宋" w:cs="Times New Roman"/>
          <w:sz w:val="32"/>
        </w:rPr>
        <w:t>80.03</w:t>
      </w:r>
      <w:r>
        <w:rPr>
          <w:rFonts w:hint="default" w:ascii="Times New Roman" w:hAnsi="Times New Roman" w:eastAsia="仿宋" w:cs="Times New Roman"/>
          <w:sz w:val="32"/>
          <w:lang w:val="zh-CN"/>
        </w:rPr>
        <w:t>%。</w:t>
      </w:r>
    </w:p>
    <w:p>
      <w:pPr>
        <w:spacing w:line="560" w:lineRule="exact"/>
        <w:ind w:firstLine="643" w:firstLineChars="200"/>
        <w:rPr>
          <w:rFonts w:hint="default" w:ascii="Times New Roman" w:hAnsi="Times New Roman" w:eastAsia="仿宋" w:cs="Times New Roman"/>
          <w:b/>
          <w:bCs/>
          <w:sz w:val="32"/>
          <w:lang w:val="zh-CN"/>
        </w:rPr>
      </w:pPr>
      <w:r>
        <w:rPr>
          <w:rFonts w:hint="default" w:ascii="Times New Roman" w:hAnsi="Times New Roman" w:eastAsia="仿宋" w:cs="Times New Roman"/>
          <w:b/>
          <w:bCs/>
          <w:sz w:val="32"/>
          <w:lang w:val="zh-CN"/>
        </w:rPr>
        <w:t>2.项目执行。</w:t>
      </w:r>
    </w:p>
    <w:p>
      <w:pPr>
        <w:spacing w:line="560" w:lineRule="exact"/>
        <w:ind w:firstLine="640" w:firstLineChars="200"/>
        <w:rPr>
          <w:rFonts w:hint="default" w:ascii="Times New Roman" w:hAnsi="Times New Roman" w:eastAsia="仿宋" w:cs="Times New Roman"/>
          <w:sz w:val="32"/>
          <w:lang w:val="zh-CN"/>
        </w:rPr>
      </w:pPr>
      <w:r>
        <w:rPr>
          <w:rFonts w:hint="default" w:ascii="Times New Roman" w:hAnsi="Times New Roman" w:eastAsia="仿宋" w:cs="Times New Roman"/>
          <w:sz w:val="32"/>
          <w:lang w:val="zh-CN"/>
        </w:rPr>
        <w:t>项目实施期限为202</w:t>
      </w:r>
      <w:r>
        <w:rPr>
          <w:rFonts w:hint="default" w:ascii="Times New Roman" w:hAnsi="Times New Roman" w:eastAsia="仿宋" w:cs="Times New Roman"/>
          <w:sz w:val="32"/>
        </w:rPr>
        <w:t>4</w:t>
      </w:r>
      <w:r>
        <w:rPr>
          <w:rFonts w:hint="default" w:ascii="Times New Roman" w:hAnsi="Times New Roman" w:eastAsia="仿宋" w:cs="Times New Roman"/>
          <w:sz w:val="32"/>
          <w:lang w:val="zh-CN"/>
        </w:rPr>
        <w:t>年1月至12月，由</w:t>
      </w:r>
      <w:r>
        <w:rPr>
          <w:rFonts w:hint="default" w:ascii="Times New Roman" w:hAnsi="Times New Roman" w:eastAsia="仿宋" w:cs="Times New Roman"/>
          <w:sz w:val="32"/>
        </w:rPr>
        <w:t>司法局</w:t>
      </w:r>
      <w:r>
        <w:rPr>
          <w:rFonts w:hint="default" w:ascii="Times New Roman" w:hAnsi="Times New Roman" w:eastAsia="仿宋" w:cs="Times New Roman"/>
          <w:sz w:val="32"/>
          <w:lang w:val="zh-CN"/>
        </w:rPr>
        <w:t>申报，西区财政局审核批复，主要用于保障</w:t>
      </w:r>
      <w:r>
        <w:rPr>
          <w:rFonts w:hint="default" w:ascii="Times New Roman" w:hAnsi="Times New Roman" w:eastAsia="仿宋" w:cs="Times New Roman"/>
          <w:sz w:val="32"/>
        </w:rPr>
        <w:t>安置帮教项目经费</w:t>
      </w:r>
      <w:r>
        <w:rPr>
          <w:rFonts w:hint="default" w:ascii="Times New Roman" w:hAnsi="Times New Roman" w:eastAsia="仿宋" w:cs="Times New Roman"/>
          <w:sz w:val="32"/>
          <w:lang w:val="zh-CN"/>
        </w:rPr>
        <w:t>、</w:t>
      </w:r>
      <w:r>
        <w:rPr>
          <w:rFonts w:hint="default" w:ascii="Times New Roman" w:hAnsi="Times New Roman" w:eastAsia="仿宋" w:cs="Times New Roman"/>
          <w:sz w:val="32"/>
        </w:rPr>
        <w:t>人民调解专项经费</w:t>
      </w:r>
      <w:r>
        <w:rPr>
          <w:rFonts w:hint="default" w:ascii="Times New Roman" w:hAnsi="Times New Roman" w:eastAsia="仿宋" w:cs="Times New Roman"/>
          <w:sz w:val="32"/>
          <w:lang w:val="zh-CN"/>
        </w:rPr>
        <w:t>、</w:t>
      </w:r>
      <w:r>
        <w:rPr>
          <w:rFonts w:hint="default" w:ascii="Times New Roman" w:hAnsi="Times New Roman" w:eastAsia="仿宋" w:cs="Times New Roman"/>
          <w:sz w:val="32"/>
        </w:rPr>
        <w:t>法律援助经费、中央政法转移支付业务办案费等项目</w:t>
      </w:r>
      <w:r>
        <w:rPr>
          <w:rFonts w:hint="default" w:ascii="Times New Roman" w:hAnsi="Times New Roman" w:eastAsia="仿宋" w:cs="Times New Roman"/>
          <w:sz w:val="32"/>
          <w:lang w:val="zh-CN"/>
        </w:rPr>
        <w:t>各项工作开展，加强项目实施过程中的监督审核，建立健全财政专项资金的公开机制、评审机制、跟踪检查机制，确保财政资金安全高效使用。</w:t>
      </w:r>
    </w:p>
    <w:p>
      <w:pPr>
        <w:spacing w:line="560" w:lineRule="exact"/>
        <w:ind w:firstLine="643" w:firstLineChars="200"/>
        <w:rPr>
          <w:rFonts w:hint="default" w:ascii="Times New Roman" w:hAnsi="Times New Roman" w:eastAsia="仿宋" w:cs="Times New Roman"/>
          <w:b/>
          <w:bCs/>
          <w:sz w:val="32"/>
          <w:lang w:val="zh-CN"/>
        </w:rPr>
      </w:pPr>
      <w:r>
        <w:rPr>
          <w:rFonts w:hint="default" w:ascii="Times New Roman" w:hAnsi="Times New Roman" w:eastAsia="仿宋" w:cs="Times New Roman"/>
          <w:b/>
          <w:bCs/>
          <w:sz w:val="32"/>
          <w:lang w:val="zh-CN"/>
        </w:rPr>
        <w:t>3.目标实现。</w:t>
      </w:r>
    </w:p>
    <w:p>
      <w:pPr>
        <w:spacing w:line="560" w:lineRule="exact"/>
        <w:ind w:firstLine="640" w:firstLineChars="200"/>
        <w:rPr>
          <w:rFonts w:hint="default" w:ascii="Times New Roman" w:hAnsi="Times New Roman" w:eastAsia="仿宋" w:cs="Times New Roman"/>
          <w:sz w:val="32"/>
          <w:lang w:val="zh-CN"/>
        </w:rPr>
      </w:pPr>
      <w:r>
        <w:rPr>
          <w:rFonts w:hint="default" w:ascii="Times New Roman" w:hAnsi="Times New Roman" w:eastAsia="仿宋" w:cs="Times New Roman"/>
          <w:sz w:val="32"/>
        </w:rPr>
        <w:t>2024年西区司法</w:t>
      </w:r>
      <w:r>
        <w:rPr>
          <w:rFonts w:hint="default" w:ascii="Times New Roman" w:hAnsi="Times New Roman" w:eastAsia="仿宋" w:cs="Times New Roman"/>
          <w:sz w:val="32"/>
          <w:lang w:val="zh-CN"/>
        </w:rPr>
        <w:t>局预算资金</w:t>
      </w:r>
      <w:r>
        <w:rPr>
          <w:rFonts w:hint="default" w:ascii="Times New Roman" w:hAnsi="Times New Roman" w:eastAsia="仿宋" w:cs="Times New Roman"/>
          <w:sz w:val="32"/>
        </w:rPr>
        <w:t>989.46</w:t>
      </w:r>
      <w:r>
        <w:rPr>
          <w:rFonts w:hint="default" w:ascii="Times New Roman" w:hAnsi="Times New Roman" w:eastAsia="仿宋" w:cs="Times New Roman"/>
          <w:sz w:val="32"/>
          <w:lang w:val="zh-CN"/>
        </w:rPr>
        <w:t>万元由区财政局纳入一体化管理平台统一管理，专款专用，资金拨付执行审批程序，使用规范，入账手续齐全。</w:t>
      </w:r>
    </w:p>
    <w:p>
      <w:pPr>
        <w:spacing w:line="560" w:lineRule="exact"/>
        <w:ind w:firstLine="643" w:firstLineChars="200"/>
        <w:rPr>
          <w:rFonts w:hint="default" w:ascii="Times New Roman" w:hAnsi="Times New Roman" w:eastAsia="仿宋" w:cs="Times New Roman"/>
          <w:b/>
          <w:bCs/>
          <w:sz w:val="32"/>
        </w:rPr>
      </w:pPr>
      <w:r>
        <w:rPr>
          <w:rFonts w:hint="default" w:ascii="Times New Roman" w:hAnsi="Times New Roman" w:eastAsia="仿宋" w:cs="Times New Roman"/>
          <w:b/>
          <w:bCs/>
          <w:sz w:val="32"/>
        </w:rPr>
        <w:t>1.1项目的经济效益分析。</w:t>
      </w:r>
    </w:p>
    <w:p>
      <w:pPr>
        <w:spacing w:line="560" w:lineRule="exact"/>
        <w:ind w:firstLine="640" w:firstLineChars="200"/>
        <w:rPr>
          <w:rFonts w:hint="default" w:ascii="Times New Roman" w:hAnsi="Times New Roman" w:eastAsia="仿宋" w:cs="Times New Roman"/>
          <w:sz w:val="32"/>
        </w:rPr>
      </w:pPr>
      <w:r>
        <w:rPr>
          <w:rFonts w:hint="default" w:ascii="Times New Roman" w:hAnsi="Times New Roman" w:eastAsia="仿宋" w:cs="Times New Roman"/>
          <w:sz w:val="32"/>
        </w:rPr>
        <w:t>专项工作经费的预算符合国家财经法规和财务管理制度以及有关资金管理办法的规定，资金的拨付报帐有完整的审批程序和手续，资金使用符合项目预算批复，项目开展不超预算成本。严格执行项目管理制度，同时财务人员定期或不定期对资金使用、管理情况进行自查和检查，做到财务会计资料信息真实、及时、完整，资金的拨付有完整的审批程序和手续，各项制度执行落实较好，资金使用较为安全规范。项目开展控制在预算范围内。</w:t>
      </w:r>
    </w:p>
    <w:p>
      <w:pPr>
        <w:spacing w:line="560" w:lineRule="exact"/>
        <w:ind w:firstLine="643" w:firstLineChars="200"/>
        <w:rPr>
          <w:rFonts w:hint="default" w:ascii="Times New Roman" w:hAnsi="Times New Roman" w:eastAsia="仿宋" w:cs="Times New Roman"/>
          <w:b/>
          <w:bCs/>
          <w:sz w:val="32"/>
        </w:rPr>
      </w:pPr>
      <w:r>
        <w:rPr>
          <w:rFonts w:hint="default" w:ascii="Times New Roman" w:hAnsi="Times New Roman" w:eastAsia="仿宋" w:cs="Times New Roman"/>
          <w:b/>
          <w:bCs/>
          <w:sz w:val="32"/>
        </w:rPr>
        <w:t>1.2项目的社会效益分析。</w:t>
      </w:r>
    </w:p>
    <w:p>
      <w:pPr>
        <w:spacing w:line="560" w:lineRule="exact"/>
        <w:ind w:firstLine="640" w:firstLineChars="200"/>
        <w:rPr>
          <w:rFonts w:hint="default" w:ascii="Times New Roman" w:hAnsi="Times New Roman" w:eastAsia="仿宋" w:cs="Times New Roman"/>
          <w:sz w:val="32"/>
        </w:rPr>
      </w:pPr>
      <w:r>
        <w:rPr>
          <w:rFonts w:hint="default" w:ascii="Times New Roman" w:hAnsi="Times New Roman" w:eastAsia="仿宋" w:cs="Times New Roman"/>
          <w:sz w:val="32"/>
        </w:rPr>
        <w:t>促进地方经济发展、促进社会进步、带动就业、提高人民生活水平，顺利完成工作任务，达到预期目标。</w:t>
      </w:r>
    </w:p>
    <w:p>
      <w:pPr>
        <w:spacing w:line="560" w:lineRule="exact"/>
        <w:ind w:firstLine="643" w:firstLineChars="200"/>
        <w:rPr>
          <w:rFonts w:hint="default" w:ascii="Times New Roman" w:hAnsi="Times New Roman" w:eastAsia="仿宋" w:cs="Times New Roman"/>
          <w:b/>
          <w:bCs/>
          <w:sz w:val="32"/>
        </w:rPr>
      </w:pPr>
      <w:r>
        <w:rPr>
          <w:rFonts w:hint="default" w:ascii="Times New Roman" w:hAnsi="Times New Roman" w:eastAsia="仿宋" w:cs="Times New Roman"/>
          <w:b/>
          <w:bCs/>
          <w:sz w:val="32"/>
        </w:rPr>
        <w:t>1.3项目的可持续性分析。</w:t>
      </w:r>
    </w:p>
    <w:p>
      <w:pPr>
        <w:spacing w:line="560" w:lineRule="exact"/>
        <w:ind w:firstLine="640" w:firstLineChars="200"/>
        <w:rPr>
          <w:rFonts w:ascii="Times New Roman" w:hAnsi="Times New Roman" w:eastAsia="仿宋_GB2312" w:cs="Times New Roman"/>
          <w:sz w:val="32"/>
        </w:rPr>
      </w:pPr>
      <w:r>
        <w:rPr>
          <w:rFonts w:hint="default" w:ascii="Times New Roman" w:hAnsi="Times New Roman" w:eastAsia="仿宋" w:cs="Times New Roman"/>
          <w:sz w:val="32"/>
        </w:rPr>
        <w:t>2024年度较好地完成了年初制定的工作目标任务，各个项目有序开展，整体支出平稳，较好地实现了社会效益和可持续效益目标。</w:t>
      </w:r>
    </w:p>
    <w:p>
      <w:pPr>
        <w:spacing w:line="560" w:lineRule="exact"/>
        <w:ind w:firstLine="640" w:firstLineChars="200"/>
        <w:rPr>
          <w:rFonts w:ascii="楷体_GB2312" w:hAnsi="楷体_GB2312" w:eastAsia="楷体_GB2312" w:cs="楷体_GB2312"/>
          <w:sz w:val="32"/>
        </w:rPr>
      </w:pPr>
      <w:r>
        <w:rPr>
          <w:rFonts w:hint="eastAsia" w:ascii="楷体_GB2312" w:hAnsi="楷体_GB2312" w:eastAsia="楷体_GB2312" w:cs="楷体_GB2312"/>
          <w:sz w:val="32"/>
          <w:lang w:val="zh-CN"/>
        </w:rPr>
        <w:t>（三）绩效结果应用情况。</w:t>
      </w:r>
    </w:p>
    <w:p>
      <w:pPr>
        <w:spacing w:line="560" w:lineRule="exact"/>
        <w:ind w:firstLine="640" w:firstLineChars="200"/>
        <w:rPr>
          <w:rFonts w:ascii="Times New Roman" w:hAnsi="Times New Roman" w:eastAsia="仿宋_GB2312" w:cs="Times New Roman"/>
          <w:sz w:val="32"/>
        </w:rPr>
      </w:pPr>
      <w:r>
        <w:rPr>
          <w:rFonts w:hint="default" w:ascii="Times New Roman" w:hAnsi="Times New Roman" w:eastAsia="仿宋" w:cs="Times New Roman"/>
          <w:sz w:val="32"/>
          <w:lang w:val="zh-CN"/>
        </w:rPr>
        <w:t>本单位所有开支均按照财管管理制度执行，资金的使用严格把关，机关的日常工作运行基本得到保障。绩效评价对全年工作目标起到积极的促进作用。强调部门目标的层层分解与传递以明确岗位职责提高执行力，为明年的工作开展及实施奠定坚实的基础。我单位将绩效自评结果运用到下一年工作的统筹安排、项目资金划拨及按照工作任务的重要性来明确资金使用上，以提高工作效率保质保量完成区委区政府交办的各项工作任务。在绩效自评工作完成后将结果放在攀枝花市西区人民政府网站政务公开栏目中公开公示。</w:t>
      </w:r>
    </w:p>
    <w:p>
      <w:pPr>
        <w:spacing w:line="560" w:lineRule="exact"/>
        <w:ind w:firstLine="640" w:firstLineChars="200"/>
        <w:rPr>
          <w:rFonts w:ascii="黑体" w:hAnsi="黑体" w:eastAsia="黑体" w:cs="黑体"/>
          <w:sz w:val="32"/>
        </w:rPr>
      </w:pPr>
      <w:r>
        <w:rPr>
          <w:rFonts w:hint="eastAsia" w:ascii="黑体" w:hAnsi="黑体" w:eastAsia="黑体" w:cs="黑体"/>
          <w:sz w:val="32"/>
        </w:rPr>
        <w:t>四、评价结论及建议</w:t>
      </w:r>
    </w:p>
    <w:p>
      <w:pPr>
        <w:spacing w:line="560" w:lineRule="exact"/>
        <w:ind w:firstLine="640" w:firstLineChars="200"/>
        <w:rPr>
          <w:rFonts w:ascii="楷体_GB2312" w:hAnsi="楷体_GB2312" w:eastAsia="楷体_GB2312" w:cs="楷体_GB2312"/>
          <w:sz w:val="32"/>
        </w:rPr>
      </w:pPr>
      <w:r>
        <w:rPr>
          <w:rFonts w:hint="eastAsia" w:ascii="楷体_GB2312" w:hAnsi="楷体_GB2312" w:eastAsia="楷体_GB2312" w:cs="楷体_GB2312"/>
          <w:sz w:val="32"/>
          <w:lang w:val="zh-CN"/>
        </w:rPr>
        <w:t>（一）评价结论。</w:t>
      </w:r>
    </w:p>
    <w:p>
      <w:pPr>
        <w:spacing w:line="560" w:lineRule="exact"/>
        <w:ind w:firstLine="640" w:firstLineChars="200"/>
        <w:rPr>
          <w:rFonts w:hint="default" w:ascii="Times New Roman" w:hAnsi="Times New Roman" w:eastAsia="仿宋" w:cs="Times New Roman"/>
          <w:sz w:val="32"/>
        </w:rPr>
      </w:pPr>
      <w:r>
        <w:rPr>
          <w:rFonts w:hint="default" w:ascii="Times New Roman" w:hAnsi="Times New Roman" w:eastAsia="仿宋" w:cs="Times New Roman"/>
          <w:sz w:val="32"/>
        </w:rPr>
        <w:t>2024年西区司法局整体支出绩效自评较科学准确，真实地反映了本单位财政收支情况，较好完成年初绩效目标任务，自评优秀。评价得分97分,其中总体绩效62分，项目绩效35分。</w:t>
      </w:r>
    </w:p>
    <w:p>
      <w:pPr>
        <w:spacing w:line="560" w:lineRule="exact"/>
        <w:ind w:firstLine="640" w:firstLineChars="200"/>
        <w:rPr>
          <w:rFonts w:ascii="Times New Roman" w:hAnsi="Times New Roman" w:eastAsia="仿宋_GB2312" w:cs="Times New Roman"/>
          <w:sz w:val="32"/>
        </w:rPr>
      </w:pPr>
      <w:r>
        <w:rPr>
          <w:rFonts w:ascii="楷体_GB2312" w:hAnsi="楷体_GB2312" w:eastAsia="楷体_GB2312" w:cs="楷体_GB2312"/>
          <w:sz w:val="32"/>
          <w:lang w:val="zh-CN"/>
        </w:rPr>
        <w:t>（二）存在问题。</w:t>
      </w:r>
      <w:r>
        <w:rPr>
          <w:rFonts w:ascii="楷体_GB2312" w:hAnsi="楷体_GB2312" w:eastAsia="楷体_GB2312" w:cs="楷体_GB2312"/>
          <w:sz w:val="32"/>
        </w:rPr>
        <w:t xml:space="preserve">  </w:t>
      </w:r>
      <w:r>
        <w:rPr>
          <w:rFonts w:ascii="Times New Roman" w:hAnsi="Times New Roman" w:eastAsia="仿宋_GB2312" w:cs="Times New Roman"/>
          <w:sz w:val="32"/>
        </w:rPr>
        <w:t xml:space="preserve">  </w:t>
      </w:r>
    </w:p>
    <w:p>
      <w:pPr>
        <w:spacing w:line="560" w:lineRule="exact"/>
        <w:ind w:firstLine="640" w:firstLineChars="200"/>
        <w:rPr>
          <w:rFonts w:hint="default" w:ascii="Times New Roman" w:hAnsi="Times New Roman" w:eastAsia="仿宋" w:cs="Times New Roman"/>
          <w:sz w:val="32"/>
        </w:rPr>
      </w:pPr>
      <w:r>
        <w:rPr>
          <w:rFonts w:hint="default" w:ascii="Times New Roman" w:hAnsi="Times New Roman" w:eastAsia="仿宋" w:cs="Times New Roman"/>
          <w:sz w:val="32"/>
        </w:rPr>
        <w:t>一是在资金安排和使用上仍有不可预见性：如在预算执行中，有时会因临时新增重要的工作任务或者人员增加发生新的费用，而年初预算时很难精确测算相关支出，导致预算执行中需要追加经费；二是因为个别专项工作需按照上级部门安排部署开展，本年度无法完成，导致项目资金结转下年。</w:t>
      </w:r>
    </w:p>
    <w:p>
      <w:pPr>
        <w:spacing w:line="560" w:lineRule="exact"/>
        <w:ind w:firstLine="640" w:firstLineChars="200"/>
        <w:rPr>
          <w:rFonts w:ascii="楷体_GB2312" w:hAnsi="楷体_GB2312" w:eastAsia="楷体_GB2312" w:cs="楷体_GB2312"/>
          <w:sz w:val="32"/>
        </w:rPr>
      </w:pPr>
      <w:r>
        <w:rPr>
          <w:rFonts w:ascii="楷体_GB2312" w:hAnsi="楷体_GB2312" w:eastAsia="楷体_GB2312" w:cs="楷体_GB2312"/>
          <w:sz w:val="32"/>
          <w:lang w:val="zh-CN"/>
        </w:rPr>
        <w:t>（三）改进建议。</w:t>
      </w:r>
    </w:p>
    <w:p>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 w:cs="Times New Roman"/>
          <w:color w:val="000000"/>
          <w:kern w:val="0"/>
          <w:sz w:val="32"/>
          <w:szCs w:val="32"/>
          <w:highlight w:val="none"/>
          <w:shd w:val="clear" w:color="auto" w:fill="FFFFFF"/>
        </w:rPr>
      </w:pPr>
      <w:r>
        <w:rPr>
          <w:rFonts w:hint="default" w:ascii="Times New Roman" w:hAnsi="Times New Roman" w:eastAsia="仿宋" w:cs="Times New Roman"/>
          <w:sz w:val="32"/>
          <w:szCs w:val="32"/>
        </w:rPr>
        <w:t>进一步完善和加强单位内部财务管理制度，加强预算编制的精准性及预算项目的可实施性，加强资金使用动态管理，确保资金使用效益最大化。</w:t>
      </w:r>
    </w:p>
    <w:p>
      <w:pPr>
        <w:pStyle w:val="8"/>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eastAsia="仿宋_GB2312" w:cs="Times New Roman"/>
          <w:kern w:val="2"/>
          <w:sz w:val="32"/>
          <w:szCs w:val="32"/>
          <w:u w:val="none"/>
          <w:lang w:val="zh-CN" w:eastAsia="zh-CN" w:bidi="ar"/>
        </w:rPr>
      </w:pPr>
    </w:p>
    <w:p>
      <w:pPr>
        <w:pStyle w:val="8"/>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r>
        <w:rPr>
          <w:rFonts w:hint="eastAsia" w:ascii="Times New Roman" w:hAnsi="Times New Roman" w:eastAsia="仿宋_GB2312" w:cs="Times New Roman"/>
          <w:kern w:val="2"/>
          <w:sz w:val="32"/>
          <w:szCs w:val="32"/>
          <w:u w:val="none"/>
          <w:lang w:val="zh-CN" w:eastAsia="zh-CN" w:bidi="ar"/>
        </w:rPr>
        <w:t>附表：</w:t>
      </w:r>
      <w:r>
        <w:rPr>
          <w:rFonts w:hint="eastAsia" w:ascii="Times New Roman" w:hAnsi="Times New Roman" w:eastAsia="仿宋_GB2312" w:cs="Times New Roman"/>
          <w:kern w:val="2"/>
          <w:sz w:val="32"/>
          <w:szCs w:val="32"/>
          <w:u w:val="none"/>
          <w:lang w:val="en-US" w:eastAsia="zh-CN" w:bidi="ar"/>
        </w:rPr>
        <w:t>部门预算项目支出绩效自评表（2024年度）</w:t>
      </w:r>
    </w:p>
    <w:p>
      <w:pPr>
        <w:pStyle w:val="8"/>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sz w:val="32"/>
          <w:szCs w:val="32"/>
          <w:highlight w:val="yellow"/>
          <w:lang w:val="zh-CN" w:eastAsia="zh-CN"/>
        </w:rPr>
      </w:pPr>
    </w:p>
    <w:p>
      <w:pPr>
        <w:pStyle w:val="6"/>
        <w:rPr>
          <w:rFonts w:hint="eastAsia" w:ascii="Times New Roman" w:hAnsi="Times New Roman" w:cs="宋体"/>
          <w:color w:val="FF0000"/>
          <w:kern w:val="0"/>
          <w:sz w:val="32"/>
          <w:szCs w:val="32"/>
          <w:highlight w:val="yellow"/>
          <w:shd w:val="clear" w:color="auto" w:fill="FFFFFF"/>
          <w:lang w:val="zh-CN"/>
        </w:rPr>
      </w:pPr>
    </w:p>
    <w:p>
      <w:pPr>
        <w:rPr>
          <w:rFonts w:hint="eastAsia" w:ascii="Times New Roman" w:hAnsi="Times New Roman" w:eastAsia="黑体" w:cs="黑体"/>
          <w:color w:val="auto"/>
          <w:kern w:val="0"/>
          <w:sz w:val="32"/>
          <w:szCs w:val="32"/>
          <w:highlight w:val="none"/>
          <w:shd w:val="clear" w:color="auto" w:fill="FFFFFF"/>
          <w:lang w:val="zh-CN"/>
        </w:rPr>
      </w:pPr>
      <w:r>
        <w:rPr>
          <w:rFonts w:hint="eastAsia" w:ascii="Times New Roman" w:hAnsi="Times New Roman" w:eastAsia="黑体" w:cs="黑体"/>
          <w:color w:val="auto"/>
          <w:kern w:val="0"/>
          <w:sz w:val="32"/>
          <w:szCs w:val="32"/>
          <w:highlight w:val="none"/>
          <w:shd w:val="clear" w:color="auto" w:fill="FFFFFF"/>
          <w:lang w:val="zh-CN"/>
        </w:rPr>
        <w:br w:type="page"/>
      </w:r>
    </w:p>
    <w:p>
      <w:pPr>
        <w:pStyle w:val="6"/>
        <w:rPr>
          <w:rFonts w:hint="eastAsia"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kern w:val="0"/>
          <w:sz w:val="32"/>
          <w:szCs w:val="32"/>
          <w:highlight w:val="none"/>
          <w:shd w:val="clear" w:color="auto" w:fill="FFFFFF"/>
          <w:lang w:val="zh-CN"/>
        </w:rPr>
        <w:t>附件</w:t>
      </w:r>
      <w:r>
        <w:rPr>
          <w:rFonts w:hint="eastAsia" w:ascii="Times New Roman" w:hAnsi="Times New Roman" w:eastAsia="黑体" w:cs="黑体"/>
          <w:color w:val="auto"/>
          <w:kern w:val="0"/>
          <w:sz w:val="32"/>
          <w:szCs w:val="32"/>
          <w:highlight w:val="none"/>
          <w:shd w:val="clear" w:color="auto" w:fill="FFFFFF"/>
          <w:lang w:val="en-US" w:eastAsia="zh-CN"/>
        </w:rPr>
        <w:t>2</w:t>
      </w:r>
    </w:p>
    <w:p>
      <w:pPr>
        <w:pStyle w:val="35"/>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Times New Roman" w:hAnsi="Times New Roman" w:eastAsia="方正小标宋简体" w:cs="方正小标宋简体"/>
          <w:color w:val="auto"/>
          <w:kern w:val="2"/>
          <w:sz w:val="44"/>
          <w:szCs w:val="44"/>
          <w:highlight w:val="none"/>
          <w:lang w:val="en-US" w:eastAsia="zh-CN"/>
        </w:rPr>
      </w:pPr>
    </w:p>
    <w:p>
      <w:pPr>
        <w:pStyle w:val="35"/>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Times New Roman" w:hAnsi="Times New Roman" w:eastAsia="方正小标宋简体" w:cs="方正小标宋简体"/>
          <w:color w:val="auto"/>
          <w:kern w:val="2"/>
          <w:sz w:val="44"/>
          <w:szCs w:val="44"/>
          <w:highlight w:val="none"/>
          <w:lang w:val="en-US" w:eastAsia="zh-CN"/>
        </w:rPr>
      </w:pPr>
      <w:r>
        <w:rPr>
          <w:rFonts w:hint="eastAsia" w:ascii="Times New Roman" w:hAnsi="Times New Roman" w:eastAsia="方正小标宋简体" w:cs="方正小标宋简体"/>
          <w:color w:val="auto"/>
          <w:kern w:val="2"/>
          <w:sz w:val="44"/>
          <w:szCs w:val="44"/>
          <w:highlight w:val="none"/>
          <w:lang w:val="en-US" w:eastAsia="zh-CN"/>
        </w:rPr>
        <w:t>政法转移支付专项预算项目绩效评价报告</w:t>
      </w:r>
    </w:p>
    <w:p>
      <w:pPr>
        <w:pStyle w:val="35"/>
        <w:keepNext w:val="0"/>
        <w:keepLines w:val="0"/>
        <w:pageBreakBefore w:val="0"/>
        <w:widowControl w:val="0"/>
        <w:kinsoku/>
        <w:wordWrap/>
        <w:overflowPunct/>
        <w:topLinePunct w:val="0"/>
        <w:autoSpaceDE/>
        <w:autoSpaceDN/>
        <w:bidi w:val="0"/>
        <w:spacing w:line="578" w:lineRule="exact"/>
        <w:ind w:left="0" w:leftChars="0" w:firstLine="440" w:firstLineChars="100"/>
        <w:jc w:val="center"/>
        <w:textAlignment w:val="auto"/>
        <w:rPr>
          <w:rFonts w:hint="default" w:ascii="方正小标宋简体" w:hAnsi="方正小标宋简体" w:eastAsia="方正小标宋简体" w:cs="方正小标宋简体"/>
          <w:color w:val="auto"/>
          <w:kern w:val="2"/>
          <w:sz w:val="44"/>
          <w:szCs w:val="44"/>
          <w:highlight w:val="none"/>
          <w:lang w:val="en-US" w:eastAsia="zh-CN"/>
        </w:rPr>
      </w:pPr>
    </w:p>
    <w:p>
      <w:pPr>
        <w:adjustRightInd w:val="0"/>
        <w:snapToGrid w:val="0"/>
        <w:spacing w:line="360" w:lineRule="auto"/>
        <w:ind w:firstLine="640" w:firstLineChars="200"/>
        <w:rPr>
          <w:rFonts w:ascii="Times New Roman" w:hAnsi="Times New Roman" w:eastAsia="黑体" w:cs="Times New Roman"/>
          <w:sz w:val="32"/>
          <w:szCs w:val="32"/>
          <w:lang w:val="zh-CN"/>
        </w:rPr>
      </w:pPr>
      <w:r>
        <w:rPr>
          <w:rFonts w:ascii="Times New Roman" w:hAnsi="Times New Roman" w:eastAsia="黑体" w:cs="Times New Roman"/>
          <w:sz w:val="32"/>
          <w:szCs w:val="32"/>
        </w:rPr>
        <w:t>一、</w:t>
      </w:r>
      <w:r>
        <w:rPr>
          <w:rFonts w:ascii="Times New Roman" w:hAnsi="Times New Roman" w:eastAsia="黑体" w:cs="Times New Roman"/>
          <w:sz w:val="32"/>
          <w:szCs w:val="32"/>
          <w:lang w:val="zh-CN"/>
        </w:rPr>
        <w:t>项目概况</w:t>
      </w:r>
    </w:p>
    <w:p>
      <w:pPr>
        <w:adjustRightInd w:val="0"/>
        <w:snapToGrid w:val="0"/>
        <w:spacing w:line="360" w:lineRule="auto"/>
        <w:ind w:firstLine="643" w:firstLineChars="200"/>
        <w:rPr>
          <w:rFonts w:ascii="Times New Roman" w:hAnsi="Times New Roman" w:eastAsia="楷体_GB2312" w:cs="Times New Roman"/>
          <w:b/>
          <w:sz w:val="32"/>
          <w:szCs w:val="32"/>
          <w:lang w:val="zh-CN"/>
        </w:rPr>
      </w:pPr>
      <w:r>
        <w:rPr>
          <w:rFonts w:ascii="Times New Roman" w:hAnsi="Times New Roman" w:eastAsia="楷体_GB2312" w:cs="Times New Roman"/>
          <w:b/>
          <w:sz w:val="32"/>
          <w:szCs w:val="32"/>
          <w:lang w:val="zh-CN"/>
        </w:rPr>
        <w:t>（一）项目基本情况。</w:t>
      </w:r>
    </w:p>
    <w:p>
      <w:pPr>
        <w:adjustRightInd w:val="0"/>
        <w:snapToGrid w:val="0"/>
        <w:spacing w:line="360" w:lineRule="auto"/>
        <w:ind w:firstLine="640" w:firstLineChars="200"/>
        <w:rPr>
          <w:rFonts w:hint="default" w:ascii="Times New Roman" w:hAnsi="Times New Roman" w:eastAsia="仿宋" w:cs="Times New Roman"/>
          <w:sz w:val="32"/>
          <w:szCs w:val="32"/>
          <w:lang w:val="zh-CN"/>
        </w:rPr>
      </w:pPr>
      <w:r>
        <w:rPr>
          <w:rFonts w:hint="default" w:ascii="Times New Roman" w:hAnsi="Times New Roman" w:eastAsia="仿宋" w:cs="Times New Roman"/>
          <w:sz w:val="32"/>
          <w:szCs w:val="32"/>
          <w:lang w:val="zh-CN"/>
        </w:rPr>
        <w:t>1.说明项目主管部门（单位）在该项目管理中的职能。</w:t>
      </w:r>
    </w:p>
    <w:p>
      <w:pPr>
        <w:adjustRightInd w:val="0"/>
        <w:snapToGrid w:val="0"/>
        <w:spacing w:line="360" w:lineRule="auto"/>
        <w:ind w:firstLine="640" w:firstLineChars="200"/>
        <w:rPr>
          <w:rFonts w:hint="default" w:ascii="Times New Roman" w:hAnsi="Times New Roman" w:eastAsia="仿宋" w:cs="Times New Roman"/>
          <w:sz w:val="32"/>
          <w:szCs w:val="32"/>
          <w:lang w:val="zh-CN"/>
        </w:rPr>
      </w:pPr>
      <w:r>
        <w:rPr>
          <w:rFonts w:hint="default" w:ascii="Times New Roman" w:hAnsi="Times New Roman" w:eastAsia="仿宋" w:cs="Times New Roman"/>
          <w:sz w:val="32"/>
          <w:szCs w:val="32"/>
          <w:lang w:val="zh-CN"/>
        </w:rPr>
        <w:t>近年来，在省厅、市局和区委区政府的坚强领导下，我局积极运用中央转移支付资金，充分发挥司法行政职能优势，保障社区矫正、法律援助、人民调解、法治宣传等日常业务工作的开展，支持局机关和司法所完善设备，完成规范化建设，加强法律援助工作，有效维护社会弱势群体的合法权益，预防纠纷，减少诉讼，维护社会稳定，为我区大局稳定和经济稳步发展创造了良好的法治环境。</w:t>
      </w:r>
    </w:p>
    <w:p>
      <w:pPr>
        <w:adjustRightInd w:val="0"/>
        <w:snapToGrid w:val="0"/>
        <w:spacing w:line="360" w:lineRule="auto"/>
        <w:ind w:firstLine="640" w:firstLineChars="200"/>
        <w:rPr>
          <w:rFonts w:hint="default" w:ascii="Times New Roman" w:hAnsi="Times New Roman" w:eastAsia="仿宋" w:cs="Times New Roman"/>
          <w:sz w:val="32"/>
          <w:szCs w:val="32"/>
          <w:lang w:val="zh-CN"/>
        </w:rPr>
      </w:pPr>
      <w:r>
        <w:rPr>
          <w:rFonts w:hint="default" w:ascii="Times New Roman" w:hAnsi="Times New Roman" w:eastAsia="仿宋" w:cs="Times New Roman"/>
          <w:sz w:val="32"/>
          <w:szCs w:val="32"/>
          <w:lang w:val="zh-CN"/>
        </w:rPr>
        <w:t>2.项目立项、资金申报的依据。</w:t>
      </w:r>
    </w:p>
    <w:p>
      <w:pPr>
        <w:adjustRightInd w:val="0"/>
        <w:snapToGrid w:val="0"/>
        <w:spacing w:line="360" w:lineRule="auto"/>
        <w:ind w:firstLine="640" w:firstLineChars="200"/>
        <w:rPr>
          <w:rFonts w:hint="default" w:ascii="Times New Roman" w:hAnsi="Times New Roman" w:eastAsia="仿宋" w:cs="Times New Roman"/>
          <w:sz w:val="32"/>
          <w:szCs w:val="32"/>
          <w:lang w:val="zh-CN"/>
        </w:rPr>
      </w:pPr>
      <w:r>
        <w:rPr>
          <w:rFonts w:hint="default" w:ascii="Times New Roman" w:hAnsi="Times New Roman" w:eastAsia="仿宋" w:cs="Times New Roman"/>
          <w:sz w:val="32"/>
          <w:szCs w:val="32"/>
        </w:rPr>
        <w:t>该项目的设立依据充分，符合政策文件有关要求，立项程序合规，目标设定切实可行，经费安排与工作相适应，资金用途明确。</w:t>
      </w:r>
    </w:p>
    <w:p>
      <w:pPr>
        <w:adjustRightInd w:val="0"/>
        <w:snapToGrid w:val="0"/>
        <w:spacing w:line="360" w:lineRule="auto"/>
        <w:ind w:firstLine="640" w:firstLineChars="200"/>
        <w:rPr>
          <w:rFonts w:hint="default" w:ascii="Times New Roman" w:hAnsi="Times New Roman" w:eastAsia="仿宋" w:cs="Times New Roman"/>
          <w:sz w:val="32"/>
          <w:szCs w:val="32"/>
          <w:lang w:val="zh-CN"/>
        </w:rPr>
      </w:pPr>
      <w:r>
        <w:rPr>
          <w:rFonts w:hint="default" w:ascii="Times New Roman" w:hAnsi="Times New Roman" w:eastAsia="仿宋" w:cs="Times New Roman"/>
          <w:sz w:val="32"/>
          <w:szCs w:val="32"/>
          <w:lang w:val="zh-CN"/>
        </w:rPr>
        <w:t>3.资金管理办法制定情况，资金支持具体项目的条件、范围与支持方式概况。</w:t>
      </w:r>
    </w:p>
    <w:p>
      <w:pPr>
        <w:adjustRightInd w:val="0"/>
        <w:snapToGrid w:val="0"/>
        <w:spacing w:line="360" w:lineRule="auto"/>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lang w:val="zh-CN"/>
        </w:rPr>
        <w:t>本项目资金收支，严格执行“收支两条线”管理，按照预算资金管理办法，坚持“量入为出和专款专用”原则，主要用于支付</w:t>
      </w:r>
      <w:r>
        <w:rPr>
          <w:rFonts w:hint="default" w:ascii="Times New Roman" w:hAnsi="Times New Roman" w:eastAsia="仿宋" w:cs="Times New Roman"/>
          <w:sz w:val="32"/>
          <w:szCs w:val="32"/>
        </w:rPr>
        <w:t>政法部门开展业务工作所必需的基本手段和条件的装备及办案所需经费</w:t>
      </w:r>
      <w:r>
        <w:rPr>
          <w:rFonts w:hint="default" w:ascii="Times New Roman" w:hAnsi="Times New Roman" w:eastAsia="仿宋" w:cs="Times New Roman"/>
          <w:sz w:val="32"/>
          <w:szCs w:val="32"/>
          <w:lang w:val="zh-CN"/>
        </w:rPr>
        <w:t>。区财政部门根据项目进度，及时拨付专项资金，达到项目资金设立目的，及时足额支付了相关费用，保障了</w:t>
      </w:r>
      <w:r>
        <w:rPr>
          <w:rFonts w:hint="default" w:ascii="Times New Roman" w:hAnsi="Times New Roman" w:eastAsia="仿宋" w:cs="Times New Roman"/>
          <w:sz w:val="32"/>
          <w:szCs w:val="32"/>
        </w:rPr>
        <w:t>司法行政工作协调发展，推动本单位年度工作目标和重点工作任务的实现和完成</w:t>
      </w:r>
      <w:r>
        <w:rPr>
          <w:rFonts w:hint="default" w:ascii="Times New Roman" w:hAnsi="Times New Roman" w:eastAsia="仿宋" w:cs="Times New Roman"/>
          <w:sz w:val="32"/>
          <w:szCs w:val="32"/>
          <w:lang w:val="zh-CN"/>
        </w:rPr>
        <w:t>。</w:t>
      </w:r>
    </w:p>
    <w:p>
      <w:pPr>
        <w:adjustRightInd w:val="0"/>
        <w:snapToGrid w:val="0"/>
        <w:spacing w:line="360" w:lineRule="auto"/>
        <w:ind w:firstLine="640" w:firstLineChars="200"/>
        <w:rPr>
          <w:rFonts w:hint="default" w:ascii="Times New Roman" w:hAnsi="Times New Roman" w:eastAsia="仿宋" w:cs="Times New Roman"/>
          <w:sz w:val="32"/>
          <w:szCs w:val="32"/>
          <w:lang w:val="zh-CN"/>
        </w:rPr>
      </w:pPr>
      <w:r>
        <w:rPr>
          <w:rFonts w:hint="default" w:ascii="Times New Roman" w:hAnsi="Times New Roman" w:eastAsia="仿宋" w:cs="Times New Roman"/>
          <w:sz w:val="32"/>
          <w:szCs w:val="32"/>
          <w:lang w:val="zh-CN"/>
        </w:rPr>
        <w:t>4.资金分配的原则及考虑因素。</w:t>
      </w:r>
    </w:p>
    <w:p>
      <w:pPr>
        <w:adjustRightInd w:val="0"/>
        <w:snapToGrid w:val="0"/>
        <w:spacing w:line="360" w:lineRule="auto"/>
        <w:ind w:firstLine="640" w:firstLineChars="200"/>
        <w:rPr>
          <w:rFonts w:hint="default" w:ascii="Times New Roman" w:hAnsi="Times New Roman" w:eastAsia="仿宋" w:cs="Times New Roman"/>
          <w:b/>
          <w:sz w:val="32"/>
          <w:szCs w:val="32"/>
        </w:rPr>
      </w:pPr>
      <w:r>
        <w:rPr>
          <w:rFonts w:hint="default" w:ascii="Times New Roman" w:hAnsi="Times New Roman" w:eastAsia="仿宋" w:cs="Times New Roman"/>
          <w:sz w:val="32"/>
          <w:szCs w:val="32"/>
          <w:lang w:val="zh-CN"/>
        </w:rPr>
        <w:t>严格执行专项资金专款专用，按照资金分配文件所规定的执行范围使用支付资金。本年度下达项目资金</w:t>
      </w:r>
      <w:r>
        <w:rPr>
          <w:rFonts w:hint="default" w:ascii="Times New Roman" w:hAnsi="Times New Roman" w:eastAsia="仿宋" w:cs="Times New Roman"/>
          <w:sz w:val="32"/>
          <w:szCs w:val="32"/>
        </w:rPr>
        <w:t>307.27万元。</w:t>
      </w:r>
    </w:p>
    <w:p>
      <w:pPr>
        <w:adjustRightInd w:val="0"/>
        <w:snapToGrid w:val="0"/>
        <w:spacing w:line="360" w:lineRule="auto"/>
        <w:ind w:firstLine="643" w:firstLineChars="200"/>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lang w:val="zh-CN"/>
        </w:rPr>
        <w:t>（二）项目绩效目标。</w:t>
      </w:r>
    </w:p>
    <w:p>
      <w:pPr>
        <w:adjustRightInd w:val="0"/>
        <w:snapToGrid w:val="0"/>
        <w:spacing w:line="360" w:lineRule="auto"/>
        <w:ind w:firstLine="640" w:firstLineChars="200"/>
        <w:rPr>
          <w:rFonts w:hint="default" w:ascii="Times New Roman" w:hAnsi="Times New Roman" w:eastAsia="仿宋" w:cs="Times New Roman"/>
          <w:sz w:val="32"/>
          <w:szCs w:val="32"/>
          <w:lang w:val="zh-CN"/>
        </w:rPr>
      </w:pPr>
      <w:r>
        <w:rPr>
          <w:rFonts w:hint="default" w:ascii="Times New Roman" w:hAnsi="Times New Roman" w:eastAsia="仿宋" w:cs="Times New Roman"/>
          <w:sz w:val="32"/>
          <w:szCs w:val="32"/>
          <w:lang w:val="zh-CN"/>
        </w:rPr>
        <w:t>1.项目主要内容。</w:t>
      </w:r>
    </w:p>
    <w:p>
      <w:pPr>
        <w:adjustRightInd w:val="0"/>
        <w:snapToGrid w:val="0"/>
        <w:spacing w:line="360" w:lineRule="auto"/>
        <w:ind w:firstLine="640" w:firstLineChars="200"/>
        <w:rPr>
          <w:rFonts w:hint="default" w:ascii="Times New Roman" w:hAnsi="Times New Roman" w:eastAsia="仿宋" w:cs="Times New Roman"/>
          <w:sz w:val="32"/>
          <w:szCs w:val="32"/>
          <w:lang w:val="zh-CN"/>
        </w:rPr>
      </w:pPr>
      <w:r>
        <w:rPr>
          <w:rFonts w:hint="default" w:ascii="Times New Roman" w:hAnsi="Times New Roman" w:eastAsia="仿宋" w:cs="Times New Roman"/>
          <w:sz w:val="32"/>
          <w:szCs w:val="32"/>
          <w:lang w:val="zh-CN"/>
        </w:rPr>
        <w:t>主要用于公共法律服务平台建设，法律援助、社区矫正等办案经费。</w:t>
      </w:r>
    </w:p>
    <w:p>
      <w:pPr>
        <w:adjustRightInd w:val="0"/>
        <w:snapToGrid w:val="0"/>
        <w:spacing w:line="360" w:lineRule="auto"/>
        <w:ind w:firstLine="640" w:firstLineChars="200"/>
        <w:rPr>
          <w:rFonts w:hint="default" w:ascii="Times New Roman" w:hAnsi="Times New Roman" w:eastAsia="仿宋" w:cs="Times New Roman"/>
          <w:sz w:val="32"/>
          <w:szCs w:val="32"/>
          <w:lang w:val="zh-CN"/>
        </w:rPr>
      </w:pPr>
      <w:r>
        <w:rPr>
          <w:rFonts w:hint="default" w:ascii="Times New Roman" w:hAnsi="Times New Roman" w:eastAsia="仿宋" w:cs="Times New Roman"/>
          <w:sz w:val="32"/>
          <w:szCs w:val="32"/>
          <w:lang w:val="zh-CN"/>
        </w:rPr>
        <w:t>2.项目应实现的具体绩效目标，包括目标的量化、细化情况以及项目实施进度计划等。</w:t>
      </w:r>
    </w:p>
    <w:p>
      <w:pPr>
        <w:adjustRightInd w:val="0"/>
        <w:snapToGrid w:val="0"/>
        <w:spacing w:line="360" w:lineRule="auto"/>
        <w:ind w:firstLine="640" w:firstLineChars="200"/>
        <w:rPr>
          <w:rFonts w:hint="default" w:ascii="Times New Roman" w:hAnsi="Times New Roman" w:eastAsia="仿宋" w:cs="Times New Roman"/>
          <w:sz w:val="32"/>
          <w:szCs w:val="32"/>
          <w:lang w:val="zh-CN"/>
        </w:rPr>
      </w:pPr>
      <w:r>
        <w:rPr>
          <w:rFonts w:hint="default" w:ascii="Times New Roman" w:hAnsi="Times New Roman" w:eastAsia="仿宋" w:cs="Times New Roman"/>
          <w:sz w:val="32"/>
          <w:szCs w:val="32"/>
          <w:lang w:val="zh-CN"/>
        </w:rPr>
        <w:t>主要用于社区矫正、人民调解、法律援助、法制宣传、依法治理、国家统一职业资格考试等业务工作。</w:t>
      </w:r>
    </w:p>
    <w:p>
      <w:pPr>
        <w:adjustRightInd w:val="0"/>
        <w:snapToGrid w:val="0"/>
        <w:spacing w:line="360" w:lineRule="auto"/>
        <w:ind w:firstLine="640" w:firstLineChars="200"/>
        <w:rPr>
          <w:rFonts w:hint="default" w:ascii="Times New Roman" w:hAnsi="Times New Roman" w:eastAsia="仿宋" w:cs="Times New Roman"/>
          <w:sz w:val="32"/>
          <w:szCs w:val="32"/>
          <w:lang w:val="zh-CN"/>
        </w:rPr>
      </w:pPr>
      <w:r>
        <w:rPr>
          <w:rFonts w:hint="default" w:ascii="Times New Roman" w:hAnsi="Times New Roman" w:eastAsia="仿宋" w:cs="Times New Roman"/>
          <w:sz w:val="32"/>
          <w:szCs w:val="32"/>
          <w:lang w:val="zh-CN"/>
        </w:rPr>
        <w:t>3.分析评价申报内容是否与实际相符，申报目标是否合理可行。</w:t>
      </w:r>
    </w:p>
    <w:p>
      <w:pPr>
        <w:adjustRightInd w:val="0"/>
        <w:snapToGrid w:val="0"/>
        <w:spacing w:line="360" w:lineRule="auto"/>
        <w:ind w:firstLine="640" w:firstLineChars="200"/>
        <w:rPr>
          <w:rFonts w:ascii="Times New Roman" w:hAnsi="Times New Roman" w:eastAsia="楷体_GB2312" w:cs="Times New Roman"/>
          <w:b/>
          <w:sz w:val="32"/>
          <w:szCs w:val="32"/>
          <w:lang w:val="zh-CN"/>
        </w:rPr>
      </w:pPr>
      <w:r>
        <w:rPr>
          <w:rFonts w:hint="default" w:ascii="Times New Roman" w:hAnsi="Times New Roman" w:eastAsia="仿宋" w:cs="Times New Roman"/>
          <w:sz w:val="32"/>
          <w:szCs w:val="32"/>
        </w:rPr>
        <w:t>该项目的设立依据充分，符合政策文件有关要求，立项程序合规，目标设定切实可行，经费安排与工作相适应，资金用途明确。</w:t>
      </w:r>
    </w:p>
    <w:p>
      <w:pPr>
        <w:adjustRightInd w:val="0"/>
        <w:snapToGrid w:val="0"/>
        <w:spacing w:line="360" w:lineRule="auto"/>
        <w:ind w:firstLine="643" w:firstLineChars="200"/>
        <w:rPr>
          <w:rFonts w:ascii="Times New Roman" w:hAnsi="Times New Roman" w:eastAsia="楷体_GB2312" w:cs="Times New Roman"/>
          <w:b/>
          <w:sz w:val="32"/>
          <w:szCs w:val="32"/>
          <w:lang w:val="zh-CN"/>
        </w:rPr>
      </w:pPr>
      <w:r>
        <w:rPr>
          <w:rFonts w:ascii="Times New Roman" w:hAnsi="Times New Roman" w:eastAsia="楷体_GB2312" w:cs="Times New Roman"/>
          <w:b/>
          <w:sz w:val="32"/>
          <w:szCs w:val="32"/>
          <w:lang w:val="zh-CN"/>
        </w:rPr>
        <w:t>（三）项目自评步骤及方法。</w:t>
      </w:r>
    </w:p>
    <w:p>
      <w:pPr>
        <w:adjustRightInd w:val="0"/>
        <w:snapToGrid w:val="0"/>
        <w:spacing w:line="360" w:lineRule="auto"/>
        <w:ind w:firstLine="640" w:firstLineChars="200"/>
        <w:rPr>
          <w:rFonts w:hint="default" w:ascii="Times New Roman" w:hAnsi="Times New Roman" w:eastAsia="仿宋" w:cs="Times New Roman"/>
          <w:sz w:val="32"/>
          <w:szCs w:val="32"/>
          <w:lang w:val="zh-CN"/>
        </w:rPr>
      </w:pPr>
      <w:r>
        <w:rPr>
          <w:rFonts w:hint="default" w:ascii="Times New Roman" w:hAnsi="Times New Roman" w:eastAsia="仿宋" w:cs="Times New Roman"/>
          <w:sz w:val="32"/>
          <w:szCs w:val="32"/>
        </w:rPr>
        <w:t>一是组建评价工作小组</w:t>
      </w:r>
      <w:r>
        <w:rPr>
          <w:rFonts w:hint="default" w:ascii="Times New Roman" w:hAnsi="Times New Roman" w:eastAsia="仿宋" w:cs="Times New Roman"/>
          <w:sz w:val="32"/>
          <w:szCs w:val="32"/>
          <w:lang w:val="zh-CN"/>
        </w:rPr>
        <w:t>。二是制定项目评价工作方案。了解项目基本情况。三是现场勘察，听取项目汇报、收集项目资料，了解绩效目标设立、完成情况以及项目效益实现情况。四是资料信息汇总、评价分析。</w:t>
      </w:r>
    </w:p>
    <w:p>
      <w:pPr>
        <w:adjustRightInd w:val="0"/>
        <w:snapToGrid w:val="0"/>
        <w:spacing w:line="360" w:lineRule="auto"/>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二、项目资金申报及使用情况</w:t>
      </w:r>
    </w:p>
    <w:p>
      <w:pPr>
        <w:adjustRightInd w:val="0"/>
        <w:snapToGrid w:val="0"/>
        <w:spacing w:line="360" w:lineRule="auto"/>
        <w:ind w:firstLine="643" w:firstLineChars="200"/>
        <w:rPr>
          <w:rFonts w:ascii="Times New Roman" w:hAnsi="Times New Roman" w:eastAsia="楷体_GB2312" w:cs="Times New Roman"/>
          <w:b/>
          <w:sz w:val="32"/>
          <w:szCs w:val="32"/>
          <w:lang w:val="zh-CN"/>
        </w:rPr>
      </w:pPr>
      <w:r>
        <w:rPr>
          <w:rFonts w:ascii="Times New Roman" w:hAnsi="Times New Roman" w:eastAsia="楷体_GB2312" w:cs="Times New Roman"/>
          <w:b/>
          <w:sz w:val="32"/>
          <w:szCs w:val="32"/>
          <w:lang w:val="zh-CN"/>
        </w:rPr>
        <w:t>（一）项目资金申报及批复情况。</w:t>
      </w:r>
    </w:p>
    <w:p>
      <w:pPr>
        <w:adjustRightInd w:val="0"/>
        <w:snapToGrid w:val="0"/>
        <w:spacing w:line="360" w:lineRule="auto"/>
        <w:ind w:firstLine="640" w:firstLineChars="200"/>
        <w:rPr>
          <w:rFonts w:hint="default" w:ascii="Times New Roman" w:hAnsi="Times New Roman" w:eastAsia="仿宋" w:cs="Times New Roman"/>
          <w:sz w:val="32"/>
          <w:szCs w:val="32"/>
          <w:lang w:val="zh-CN"/>
        </w:rPr>
      </w:pPr>
      <w:r>
        <w:rPr>
          <w:rFonts w:hint="default" w:ascii="Times New Roman" w:hAnsi="Times New Roman" w:eastAsia="仿宋" w:cs="Times New Roman"/>
          <w:sz w:val="32"/>
          <w:szCs w:val="32"/>
          <w:lang w:val="zh-CN"/>
        </w:rPr>
        <w:t>本项目申报预算资金</w:t>
      </w:r>
      <w:r>
        <w:rPr>
          <w:rFonts w:hint="default" w:ascii="Times New Roman" w:hAnsi="Times New Roman" w:eastAsia="仿宋" w:cs="Times New Roman"/>
          <w:sz w:val="32"/>
          <w:szCs w:val="32"/>
        </w:rPr>
        <w:t>307.27</w:t>
      </w:r>
      <w:r>
        <w:rPr>
          <w:rFonts w:hint="default" w:ascii="Times New Roman" w:hAnsi="Times New Roman" w:eastAsia="仿宋" w:cs="Times New Roman"/>
          <w:sz w:val="32"/>
          <w:szCs w:val="32"/>
          <w:lang w:val="zh-CN"/>
        </w:rPr>
        <w:t>万元，通过财政局批复政法</w:t>
      </w:r>
      <w:r>
        <w:rPr>
          <w:rFonts w:hint="default" w:ascii="Times New Roman" w:hAnsi="Times New Roman" w:eastAsia="仿宋" w:cs="Times New Roman"/>
          <w:sz w:val="32"/>
          <w:szCs w:val="32"/>
        </w:rPr>
        <w:t>转移支付</w:t>
      </w:r>
      <w:r>
        <w:rPr>
          <w:rFonts w:hint="default" w:ascii="Times New Roman" w:hAnsi="Times New Roman" w:eastAsia="仿宋" w:cs="Times New Roman"/>
          <w:sz w:val="32"/>
          <w:szCs w:val="32"/>
          <w:lang w:val="zh-CN"/>
        </w:rPr>
        <w:t>项目经费</w:t>
      </w:r>
      <w:r>
        <w:rPr>
          <w:rFonts w:hint="default" w:ascii="Times New Roman" w:hAnsi="Times New Roman" w:eastAsia="仿宋" w:cs="Times New Roman"/>
          <w:sz w:val="32"/>
          <w:szCs w:val="32"/>
        </w:rPr>
        <w:t>307.27</w:t>
      </w:r>
      <w:r>
        <w:rPr>
          <w:rFonts w:hint="default" w:ascii="Times New Roman" w:hAnsi="Times New Roman" w:eastAsia="仿宋" w:cs="Times New Roman"/>
          <w:sz w:val="32"/>
          <w:szCs w:val="32"/>
          <w:lang w:val="zh-CN"/>
        </w:rPr>
        <w:t>万元。</w:t>
      </w:r>
    </w:p>
    <w:p>
      <w:pPr>
        <w:adjustRightInd w:val="0"/>
        <w:snapToGrid w:val="0"/>
        <w:spacing w:line="360" w:lineRule="auto"/>
        <w:ind w:firstLine="643" w:firstLineChars="200"/>
        <w:rPr>
          <w:rFonts w:ascii="Times New Roman" w:hAnsi="Times New Roman" w:eastAsia="仿宋_GB2312" w:cs="Times New Roman"/>
          <w:sz w:val="32"/>
          <w:szCs w:val="32"/>
          <w:lang w:val="zh-CN"/>
        </w:rPr>
      </w:pPr>
      <w:r>
        <w:rPr>
          <w:rFonts w:ascii="Times New Roman" w:hAnsi="Times New Roman" w:eastAsia="楷体_GB2312" w:cs="Times New Roman"/>
          <w:b/>
          <w:sz w:val="32"/>
          <w:szCs w:val="32"/>
          <w:lang w:val="zh-CN"/>
        </w:rPr>
        <w:t>（二）资金计划、到位及使用情况（可用表格形式反映）。</w:t>
      </w:r>
    </w:p>
    <w:p>
      <w:pPr>
        <w:adjustRightInd w:val="0"/>
        <w:snapToGrid w:val="0"/>
        <w:spacing w:line="360" w:lineRule="auto"/>
        <w:ind w:firstLine="640" w:firstLineChars="200"/>
        <w:rPr>
          <w:rFonts w:hint="default" w:ascii="Times New Roman" w:hAnsi="Times New Roman" w:eastAsia="仿宋" w:cs="Times New Roman"/>
          <w:sz w:val="32"/>
          <w:szCs w:val="32"/>
          <w:lang w:val="zh-CN"/>
        </w:rPr>
      </w:pPr>
      <w:r>
        <w:rPr>
          <w:rFonts w:hint="default" w:ascii="Times New Roman" w:hAnsi="Times New Roman" w:eastAsia="仿宋" w:cs="Times New Roman"/>
          <w:sz w:val="32"/>
          <w:szCs w:val="32"/>
          <w:lang w:val="zh-CN"/>
        </w:rPr>
        <w:t>1.资金计划。</w:t>
      </w:r>
    </w:p>
    <w:p>
      <w:pPr>
        <w:adjustRightInd w:val="0"/>
        <w:snapToGrid w:val="0"/>
        <w:spacing w:line="360" w:lineRule="auto"/>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西区司法局根据工作安排申请政法转移支付</w:t>
      </w:r>
      <w:r>
        <w:rPr>
          <w:rFonts w:hint="default" w:ascii="Times New Roman" w:hAnsi="Times New Roman" w:eastAsia="仿宋" w:cs="Times New Roman"/>
          <w:sz w:val="32"/>
          <w:szCs w:val="32"/>
          <w:lang w:val="zh-CN"/>
        </w:rPr>
        <w:t>项目资金</w:t>
      </w:r>
      <w:r>
        <w:rPr>
          <w:rFonts w:hint="default" w:ascii="Times New Roman" w:hAnsi="Times New Roman" w:eastAsia="仿宋" w:cs="Times New Roman"/>
          <w:sz w:val="32"/>
          <w:szCs w:val="32"/>
        </w:rPr>
        <w:t>307.27万元。收到下达的项目资金307.27万元，到位率100%。</w:t>
      </w:r>
    </w:p>
    <w:p>
      <w:pPr>
        <w:adjustRightInd w:val="0"/>
        <w:snapToGrid w:val="0"/>
        <w:spacing w:line="360" w:lineRule="auto"/>
        <w:ind w:firstLine="640" w:firstLineChars="200"/>
        <w:rPr>
          <w:rFonts w:hint="default" w:ascii="Times New Roman" w:hAnsi="Times New Roman" w:eastAsia="仿宋" w:cs="Times New Roman"/>
          <w:sz w:val="32"/>
          <w:szCs w:val="32"/>
          <w:lang w:val="zh-CN"/>
        </w:rPr>
      </w:pPr>
      <w:r>
        <w:rPr>
          <w:rFonts w:hint="default" w:ascii="Times New Roman" w:hAnsi="Times New Roman" w:eastAsia="仿宋" w:cs="Times New Roman"/>
          <w:sz w:val="32"/>
          <w:szCs w:val="32"/>
          <w:lang w:val="zh-CN"/>
        </w:rPr>
        <w:t>2.资金到位。</w:t>
      </w:r>
    </w:p>
    <w:p>
      <w:pPr>
        <w:adjustRightInd w:val="0"/>
        <w:snapToGrid w:val="0"/>
        <w:spacing w:line="360" w:lineRule="auto"/>
        <w:ind w:firstLine="640" w:firstLineChars="200"/>
        <w:rPr>
          <w:rFonts w:hint="default" w:ascii="Times New Roman" w:hAnsi="Times New Roman" w:eastAsia="仿宋" w:cs="Times New Roman"/>
          <w:sz w:val="32"/>
          <w:szCs w:val="32"/>
          <w:lang w:val="zh-CN"/>
        </w:rPr>
      </w:pPr>
      <w:r>
        <w:rPr>
          <w:rFonts w:hint="default" w:ascii="Times New Roman" w:hAnsi="Times New Roman" w:eastAsia="仿宋" w:cs="Times New Roman"/>
          <w:sz w:val="32"/>
          <w:szCs w:val="32"/>
        </w:rPr>
        <w:t>2024年实际到位资金307.27万元，其中：中央资金170.27万元、省级资金137万元，</w:t>
      </w:r>
      <w:r>
        <w:rPr>
          <w:rFonts w:hint="default" w:ascii="Times New Roman" w:hAnsi="Times New Roman" w:eastAsia="仿宋" w:cs="Times New Roman"/>
          <w:sz w:val="32"/>
          <w:szCs w:val="32"/>
          <w:lang w:val="zh-CN"/>
        </w:rPr>
        <w:t>资金到位及时，为项目实施提供了有力的资金保障。</w:t>
      </w:r>
    </w:p>
    <w:p>
      <w:pPr>
        <w:adjustRightInd w:val="0"/>
        <w:snapToGrid w:val="0"/>
        <w:spacing w:line="360" w:lineRule="auto"/>
        <w:ind w:firstLine="640" w:firstLineChars="200"/>
        <w:rPr>
          <w:rFonts w:hint="default" w:ascii="Times New Roman" w:hAnsi="Times New Roman" w:eastAsia="仿宋" w:cs="Times New Roman"/>
          <w:sz w:val="32"/>
          <w:szCs w:val="32"/>
          <w:lang w:val="zh-CN"/>
        </w:rPr>
      </w:pPr>
      <w:r>
        <w:rPr>
          <w:rFonts w:hint="default" w:ascii="Times New Roman" w:hAnsi="Times New Roman" w:eastAsia="仿宋" w:cs="Times New Roman"/>
          <w:sz w:val="32"/>
          <w:szCs w:val="32"/>
          <w:lang w:val="zh-CN"/>
        </w:rPr>
        <w:t>3.资金使用。</w:t>
      </w:r>
    </w:p>
    <w:p>
      <w:pPr>
        <w:adjustRightInd w:val="0"/>
        <w:snapToGrid w:val="0"/>
        <w:spacing w:line="360" w:lineRule="auto"/>
        <w:ind w:firstLine="640" w:firstLineChars="200"/>
        <w:rPr>
          <w:rFonts w:ascii="Times New Roman" w:hAnsi="Times New Roman" w:eastAsia="楷体_GB2312" w:cs="Times New Roman"/>
          <w:b/>
          <w:sz w:val="32"/>
          <w:szCs w:val="32"/>
        </w:rPr>
      </w:pPr>
      <w:r>
        <w:rPr>
          <w:rFonts w:hint="default" w:ascii="Times New Roman" w:hAnsi="Times New Roman" w:eastAsia="仿宋" w:cs="Times New Roman"/>
          <w:sz w:val="32"/>
          <w:szCs w:val="32"/>
        </w:rPr>
        <w:t>截止评价时点，2024年共支出81.48万元，在资金使用方面，我局严格按照预算和计划执行，确保了资金的合理使用。各项支出均符合相关规定，未发现挪用、浪费等现象。</w:t>
      </w:r>
    </w:p>
    <w:p>
      <w:pPr>
        <w:adjustRightInd w:val="0"/>
        <w:snapToGrid w:val="0"/>
        <w:spacing w:line="360" w:lineRule="auto"/>
        <w:ind w:firstLine="643" w:firstLineChars="200"/>
        <w:rPr>
          <w:rFonts w:ascii="Times New Roman" w:hAnsi="Times New Roman" w:eastAsia="楷体_GB2312" w:cs="Times New Roman"/>
          <w:b/>
          <w:sz w:val="32"/>
          <w:szCs w:val="32"/>
          <w:lang w:val="zh-CN"/>
        </w:rPr>
      </w:pPr>
      <w:r>
        <w:rPr>
          <w:rFonts w:ascii="Times New Roman" w:hAnsi="Times New Roman" w:eastAsia="楷体_GB2312" w:cs="Times New Roman"/>
          <w:b/>
          <w:sz w:val="32"/>
          <w:szCs w:val="32"/>
          <w:lang w:val="zh-CN"/>
        </w:rPr>
        <w:t>（三）项目财务管理情况。</w:t>
      </w:r>
    </w:p>
    <w:p>
      <w:pPr>
        <w:adjustRightInd w:val="0"/>
        <w:snapToGrid w:val="0"/>
        <w:spacing w:line="360" w:lineRule="auto"/>
        <w:ind w:firstLine="640" w:firstLineChars="200"/>
        <w:rPr>
          <w:rFonts w:hint="default" w:ascii="Times New Roman" w:hAnsi="Times New Roman" w:eastAsia="仿宋" w:cs="Times New Roman"/>
          <w:sz w:val="32"/>
          <w:szCs w:val="32"/>
          <w:lang w:val="zh-CN"/>
        </w:rPr>
      </w:pPr>
      <w:r>
        <w:rPr>
          <w:rFonts w:hint="default" w:ascii="Times New Roman" w:hAnsi="Times New Roman" w:eastAsia="仿宋" w:cs="Times New Roman"/>
          <w:sz w:val="32"/>
          <w:szCs w:val="32"/>
          <w:lang w:val="zh-CN"/>
        </w:rPr>
        <w:t>依据国家法令法规进行管理，项目实行的政府采购程序符合国家政府采购政策和要求。及时按程序和要求进行。按合同约定的条款，经财务审核，分管副局长和局长签字后拨付款项。项目</w:t>
      </w:r>
      <w:r>
        <w:rPr>
          <w:rFonts w:hint="default" w:ascii="Times New Roman" w:hAnsi="Times New Roman" w:eastAsia="仿宋" w:cs="Times New Roman"/>
          <w:sz w:val="32"/>
          <w:szCs w:val="32"/>
        </w:rPr>
        <w:t>资金均通过预算管理一体化系统支出</w:t>
      </w:r>
      <w:r>
        <w:rPr>
          <w:rFonts w:hint="default" w:ascii="Times New Roman" w:hAnsi="Times New Roman" w:eastAsia="仿宋" w:cs="Times New Roman"/>
          <w:sz w:val="32"/>
          <w:szCs w:val="32"/>
          <w:lang w:val="zh-CN"/>
        </w:rPr>
        <w:t>，建立财务会审制度，严格按支出标准和范围执行，确保专款专用，并按规定计入固定资产会计账和实物。</w:t>
      </w:r>
    </w:p>
    <w:p>
      <w:pPr>
        <w:adjustRightInd w:val="0"/>
        <w:snapToGrid w:val="0"/>
        <w:spacing w:line="360" w:lineRule="auto"/>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三、项目实施及管理情况</w:t>
      </w:r>
    </w:p>
    <w:p>
      <w:pPr>
        <w:adjustRightInd w:val="0"/>
        <w:snapToGrid w:val="0"/>
        <w:spacing w:line="360" w:lineRule="auto"/>
        <w:ind w:firstLine="640" w:firstLineChars="200"/>
        <w:rPr>
          <w:rFonts w:ascii="Times New Roman" w:hAnsi="Times New Roman" w:eastAsia="仿宋_GB2312" w:cs="Times New Roman"/>
          <w:sz w:val="32"/>
          <w:szCs w:val="32"/>
          <w:lang w:val="zh-CN"/>
        </w:rPr>
      </w:pPr>
      <w:r>
        <w:rPr>
          <w:rFonts w:hint="default" w:ascii="Times New Roman" w:hAnsi="Times New Roman" w:eastAsia="仿宋" w:cs="Times New Roman"/>
          <w:sz w:val="32"/>
          <w:szCs w:val="32"/>
          <w:lang w:val="zh-CN"/>
        </w:rPr>
        <w:t>结合项目组织实施管理办法，重点围绕以下内容进行分析评价，并对自评中发现的问题分析说明。</w:t>
      </w:r>
    </w:p>
    <w:p>
      <w:pPr>
        <w:adjustRightInd w:val="0"/>
        <w:snapToGrid w:val="0"/>
        <w:spacing w:line="360" w:lineRule="auto"/>
        <w:ind w:firstLine="643" w:firstLineChars="200"/>
        <w:rPr>
          <w:rFonts w:ascii="Times New Roman" w:hAnsi="Times New Roman" w:eastAsia="楷体_GB2312" w:cs="Times New Roman"/>
          <w:b/>
          <w:sz w:val="32"/>
          <w:szCs w:val="32"/>
          <w:lang w:val="zh-CN"/>
        </w:rPr>
      </w:pPr>
      <w:r>
        <w:rPr>
          <w:rFonts w:ascii="Times New Roman" w:hAnsi="Times New Roman" w:eastAsia="楷体_GB2312" w:cs="Times New Roman"/>
          <w:b/>
          <w:sz w:val="32"/>
          <w:szCs w:val="32"/>
          <w:lang w:val="zh-CN"/>
        </w:rPr>
        <w:t>（一）项目组织架构及实施流程。</w:t>
      </w:r>
    </w:p>
    <w:p>
      <w:pPr>
        <w:adjustRightInd w:val="0"/>
        <w:snapToGrid w:val="0"/>
        <w:spacing w:line="360" w:lineRule="auto"/>
        <w:ind w:firstLine="640" w:firstLineChars="200"/>
        <w:rPr>
          <w:rFonts w:hint="default" w:ascii="Times New Roman" w:hAnsi="Times New Roman" w:eastAsia="仿宋" w:cs="Times New Roman"/>
          <w:b/>
          <w:sz w:val="32"/>
          <w:szCs w:val="32"/>
          <w:lang w:val="zh-CN"/>
        </w:rPr>
      </w:pPr>
      <w:r>
        <w:rPr>
          <w:rFonts w:hint="default" w:ascii="Times New Roman" w:hAnsi="Times New Roman" w:eastAsia="仿宋" w:cs="Times New Roman"/>
          <w:sz w:val="32"/>
          <w:szCs w:val="32"/>
          <w:lang w:val="zh-CN"/>
        </w:rPr>
        <w:t>拟定相关资金管理办法，做到资金使用“专款专用”的原则。严格按照财务管理制度进行管理、使用经费。与此同时，我局按照相关文件要求，实行拟定项目经费资金使用计划，制定月考核、年度考核等制度，</w:t>
      </w:r>
      <w:r>
        <w:rPr>
          <w:rFonts w:hint="default" w:ascii="Times New Roman" w:hAnsi="Times New Roman" w:eastAsia="仿宋" w:cs="Times New Roman"/>
          <w:sz w:val="32"/>
          <w:szCs w:val="32"/>
        </w:rPr>
        <w:t>进行工作质量评价以</w:t>
      </w:r>
      <w:r>
        <w:rPr>
          <w:rFonts w:hint="default" w:ascii="Times New Roman" w:hAnsi="Times New Roman" w:eastAsia="仿宋" w:cs="Times New Roman"/>
          <w:sz w:val="32"/>
          <w:szCs w:val="32"/>
          <w:lang w:val="zh-CN"/>
        </w:rPr>
        <w:t>加强资金使用效率。</w:t>
      </w:r>
    </w:p>
    <w:p>
      <w:pPr>
        <w:adjustRightInd w:val="0"/>
        <w:snapToGrid w:val="0"/>
        <w:spacing w:line="360" w:lineRule="auto"/>
        <w:ind w:firstLine="643" w:firstLineChars="200"/>
        <w:rPr>
          <w:rFonts w:ascii="Times New Roman" w:hAnsi="Times New Roman" w:eastAsia="仿宋_GB2312" w:cs="Times New Roman"/>
          <w:sz w:val="32"/>
          <w:szCs w:val="32"/>
          <w:lang w:val="zh-CN"/>
        </w:rPr>
      </w:pPr>
      <w:r>
        <w:rPr>
          <w:rFonts w:ascii="Times New Roman" w:hAnsi="Times New Roman" w:eastAsia="楷体_GB2312" w:cs="Times New Roman"/>
          <w:b/>
          <w:sz w:val="32"/>
          <w:szCs w:val="32"/>
          <w:lang w:val="zh-CN"/>
        </w:rPr>
        <w:t>（二）项目管理情况。</w:t>
      </w:r>
    </w:p>
    <w:p>
      <w:pPr>
        <w:adjustRightInd w:val="0"/>
        <w:snapToGrid w:val="0"/>
        <w:spacing w:line="360" w:lineRule="auto"/>
        <w:ind w:firstLine="640" w:firstLineChars="200"/>
        <w:rPr>
          <w:rFonts w:hint="default" w:ascii="Times New Roman" w:hAnsi="Times New Roman" w:eastAsia="仿宋" w:cs="Times New Roman"/>
          <w:b/>
          <w:sz w:val="32"/>
          <w:szCs w:val="32"/>
          <w:lang w:val="zh-CN"/>
        </w:rPr>
      </w:pPr>
      <w:r>
        <w:rPr>
          <w:rFonts w:hint="default" w:ascii="Times New Roman" w:hAnsi="Times New Roman" w:eastAsia="仿宋" w:cs="Times New Roman"/>
          <w:bCs/>
          <w:sz w:val="32"/>
          <w:szCs w:val="32"/>
          <w:lang w:val="zh-CN"/>
        </w:rPr>
        <w:t>制定了严格的资金管理制度，明确资金使用范围、审批程序和监管要求。资金实行专款专用，专账核算，确保资金安全、规范、高效使用。定期对资金使用情况进行监督检查，未发现截留、挪用、虚报冒领等违规行为。</w:t>
      </w:r>
    </w:p>
    <w:p>
      <w:pPr>
        <w:adjustRightInd w:val="0"/>
        <w:snapToGrid w:val="0"/>
        <w:spacing w:line="360" w:lineRule="auto"/>
        <w:ind w:firstLine="643" w:firstLineChars="200"/>
        <w:rPr>
          <w:rFonts w:ascii="Times New Roman" w:hAnsi="Times New Roman" w:eastAsia="仿宋_GB2312" w:cs="Times New Roman"/>
          <w:sz w:val="32"/>
          <w:szCs w:val="32"/>
          <w:lang w:val="zh-CN"/>
        </w:rPr>
      </w:pPr>
      <w:r>
        <w:rPr>
          <w:rFonts w:ascii="Times New Roman" w:hAnsi="Times New Roman" w:eastAsia="楷体_GB2312" w:cs="Times New Roman"/>
          <w:b/>
          <w:sz w:val="32"/>
          <w:szCs w:val="32"/>
          <w:lang w:val="zh-CN"/>
        </w:rPr>
        <w:t>（三）项目监管情况。</w:t>
      </w:r>
    </w:p>
    <w:p>
      <w:pPr>
        <w:adjustRightInd w:val="0"/>
        <w:snapToGrid w:val="0"/>
        <w:spacing w:line="360" w:lineRule="auto"/>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lang w:val="zh-CN"/>
        </w:rPr>
        <w:t>严格按照专项资金管理办法规定的范围和标准使用资金。将资金预算监督管理工作规范化、制度化，明确监督管理目标，落实管理责任，通过自查、抽查等方式接受监督，强化专项资金预算监督，确保资金支出使用合法依规，公开透明。</w:t>
      </w:r>
    </w:p>
    <w:p>
      <w:pPr>
        <w:adjustRightInd w:val="0"/>
        <w:snapToGrid w:val="0"/>
        <w:spacing w:line="360" w:lineRule="auto"/>
        <w:ind w:firstLine="640" w:firstLineChars="200"/>
        <w:rPr>
          <w:rFonts w:ascii="Times New Roman" w:hAnsi="Times New Roman" w:eastAsia="仿宋_GB2312" w:cs="Times New Roman"/>
          <w:sz w:val="32"/>
          <w:szCs w:val="32"/>
          <w:lang w:val="zh-CN"/>
        </w:rPr>
      </w:pPr>
      <w:r>
        <w:rPr>
          <w:rFonts w:ascii="Times New Roman" w:hAnsi="Times New Roman" w:eastAsia="黑体" w:cs="Times New Roman"/>
          <w:sz w:val="32"/>
          <w:szCs w:val="32"/>
        </w:rPr>
        <w:t>四、项目绩效情况</w:t>
      </w:r>
      <w:r>
        <w:rPr>
          <w:rFonts w:ascii="Times New Roman" w:hAnsi="Times New Roman" w:eastAsia="仿宋_GB2312" w:cs="Times New Roman"/>
          <w:sz w:val="32"/>
          <w:szCs w:val="32"/>
          <w:lang w:val="zh-CN"/>
        </w:rPr>
        <w:tab/>
      </w:r>
    </w:p>
    <w:p>
      <w:pPr>
        <w:adjustRightInd w:val="0"/>
        <w:snapToGrid w:val="0"/>
        <w:spacing w:line="360" w:lineRule="auto"/>
        <w:ind w:firstLine="643" w:firstLineChars="200"/>
        <w:rPr>
          <w:rFonts w:ascii="Times New Roman" w:hAnsi="Times New Roman" w:eastAsia="楷体_GB2312" w:cs="Times New Roman"/>
          <w:b/>
          <w:sz w:val="32"/>
          <w:szCs w:val="32"/>
          <w:lang w:val="zh-CN"/>
        </w:rPr>
      </w:pPr>
      <w:r>
        <w:rPr>
          <w:rFonts w:ascii="Times New Roman" w:hAnsi="Times New Roman" w:eastAsia="楷体_GB2312" w:cs="Times New Roman"/>
          <w:b/>
          <w:sz w:val="32"/>
          <w:szCs w:val="32"/>
          <w:lang w:val="zh-CN"/>
        </w:rPr>
        <w:t>（一）项目完成情况。</w:t>
      </w:r>
    </w:p>
    <w:p>
      <w:pPr>
        <w:adjustRightInd w:val="0"/>
        <w:snapToGrid w:val="0"/>
        <w:spacing w:line="360" w:lineRule="auto"/>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lang w:val="zh-CN"/>
        </w:rPr>
        <w:t>共受理法律援助案件192件、法律帮助案件149件、法律咨询数1528件，代书12个，资金拨付17.51万，收到群众感谢信1封。实行“证明材料清单制”、办理事项一次性告知制，推行“容缺+承诺”制，目前共办理继承、委托和声明等公证115件，接待电话及现场咨询约1332人次，收取公证费约7.8万元，扎实推行“十项”公证服务举措，涉及老年人公证70余件，提供上门服务4次、延时服务20余次。</w:t>
      </w:r>
    </w:p>
    <w:p>
      <w:pPr>
        <w:adjustRightInd w:val="0"/>
        <w:snapToGrid w:val="0"/>
        <w:spacing w:line="360" w:lineRule="auto"/>
        <w:ind w:firstLine="643" w:firstLineChars="200"/>
        <w:rPr>
          <w:rFonts w:ascii="Times New Roman" w:hAnsi="Times New Roman" w:eastAsia="楷体_GB2312" w:cs="Times New Roman"/>
          <w:b/>
          <w:sz w:val="32"/>
          <w:szCs w:val="32"/>
          <w:lang w:val="zh-CN"/>
        </w:rPr>
      </w:pPr>
      <w:r>
        <w:rPr>
          <w:rFonts w:ascii="Times New Roman" w:hAnsi="Times New Roman" w:eastAsia="楷体_GB2312" w:cs="Times New Roman"/>
          <w:b/>
          <w:sz w:val="32"/>
          <w:szCs w:val="32"/>
          <w:lang w:val="zh-CN"/>
        </w:rPr>
        <w:t>（二）项目效益情况。</w:t>
      </w:r>
    </w:p>
    <w:p>
      <w:pPr>
        <w:adjustRightInd w:val="0"/>
        <w:snapToGrid w:val="0"/>
        <w:spacing w:line="360" w:lineRule="auto"/>
        <w:ind w:firstLine="640" w:firstLineChars="200"/>
        <w:rPr>
          <w:rFonts w:hint="default" w:ascii="Times New Roman" w:hAnsi="Times New Roman" w:eastAsia="仿宋" w:cs="Times New Roman"/>
          <w:sz w:val="32"/>
          <w:szCs w:val="32"/>
          <w:lang w:val="zh-CN"/>
        </w:rPr>
      </w:pPr>
      <w:r>
        <w:rPr>
          <w:rFonts w:hint="default" w:ascii="Times New Roman" w:hAnsi="Times New Roman" w:eastAsia="仿宋" w:cs="Times New Roman"/>
          <w:sz w:val="32"/>
          <w:szCs w:val="32"/>
          <w:lang w:val="zh-CN"/>
        </w:rPr>
        <w:t>项目按照确定的绩效目标，结合年度工作计划，具体实施分阶段开展落实，克服困难，较好地完成了年初设定的工作任务，实现了既定的目标，取得了良好的效果，达到了预期的目的，经济效益和社会效益均实现了双赢。</w:t>
      </w:r>
    </w:p>
    <w:p>
      <w:pPr>
        <w:adjustRightInd w:val="0"/>
        <w:snapToGrid w:val="0"/>
        <w:spacing w:line="360" w:lineRule="auto"/>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五、评价结论及建议</w:t>
      </w:r>
    </w:p>
    <w:p>
      <w:pPr>
        <w:adjustRightInd w:val="0"/>
        <w:snapToGrid w:val="0"/>
        <w:spacing w:line="360" w:lineRule="auto"/>
        <w:ind w:firstLine="643" w:firstLineChars="200"/>
        <w:rPr>
          <w:rFonts w:ascii="Times New Roman" w:hAnsi="Times New Roman" w:eastAsia="楷体_GB2312" w:cs="Times New Roman"/>
          <w:b/>
          <w:sz w:val="32"/>
          <w:szCs w:val="32"/>
          <w:lang w:val="zh-CN"/>
        </w:rPr>
      </w:pPr>
      <w:r>
        <w:rPr>
          <w:rFonts w:ascii="Times New Roman" w:hAnsi="Times New Roman" w:eastAsia="楷体_GB2312" w:cs="Times New Roman"/>
          <w:b/>
          <w:sz w:val="32"/>
          <w:szCs w:val="32"/>
          <w:lang w:val="zh-CN"/>
        </w:rPr>
        <w:t>（一）评价结论。</w:t>
      </w:r>
    </w:p>
    <w:p>
      <w:pPr>
        <w:adjustRightInd w:val="0"/>
        <w:snapToGrid w:val="0"/>
        <w:spacing w:line="360" w:lineRule="auto"/>
        <w:ind w:firstLine="640" w:firstLineChars="200"/>
        <w:rPr>
          <w:rFonts w:hint="default" w:ascii="Times New Roman" w:hAnsi="Times New Roman" w:eastAsia="仿宋" w:cs="Times New Roman"/>
          <w:sz w:val="32"/>
          <w:szCs w:val="32"/>
          <w:bdr w:val="single" w:color="auto" w:sz="4" w:space="0"/>
          <w:lang w:val="zh-CN"/>
        </w:rPr>
      </w:pPr>
      <w:r>
        <w:rPr>
          <w:rFonts w:hint="default" w:ascii="Times New Roman" w:hAnsi="Times New Roman" w:eastAsia="仿宋" w:cs="Times New Roman"/>
          <w:sz w:val="32"/>
          <w:szCs w:val="32"/>
        </w:rPr>
        <w:t>逐步提升干部群众的法治意识；将社区矫正、人民调解、法治宣传工作与扫黑除恶工作相结合，全力保障社会稳定；法律援助案件受理率100%，为经济困难群众或特殊案件当事人提供优质法律援助服务；持续推进矛盾纠纷排查化解，进一步从源头上预防和减少社会矛盾发生，有效促进社会和谐稳定</w:t>
      </w:r>
      <w:r>
        <w:rPr>
          <w:rFonts w:hint="default" w:ascii="Times New Roman" w:hAnsi="Times New Roman" w:eastAsia="仿宋" w:cs="Times New Roman"/>
          <w:sz w:val="32"/>
          <w:szCs w:val="32"/>
          <w:lang w:val="zh-CN"/>
        </w:rPr>
        <w:t>。</w:t>
      </w:r>
    </w:p>
    <w:p>
      <w:pPr>
        <w:adjustRightInd w:val="0"/>
        <w:snapToGrid w:val="0"/>
        <w:spacing w:line="360" w:lineRule="auto"/>
        <w:ind w:firstLine="643" w:firstLineChars="200"/>
        <w:rPr>
          <w:rFonts w:ascii="Times New Roman" w:hAnsi="Times New Roman" w:eastAsia="楷体_GB2312" w:cs="Times New Roman"/>
          <w:b/>
          <w:sz w:val="32"/>
          <w:szCs w:val="32"/>
          <w:lang w:val="zh-CN"/>
        </w:rPr>
      </w:pPr>
      <w:r>
        <w:rPr>
          <w:rFonts w:ascii="Times New Roman" w:hAnsi="Times New Roman" w:eastAsia="楷体_GB2312" w:cs="Times New Roman"/>
          <w:b/>
          <w:sz w:val="32"/>
          <w:szCs w:val="32"/>
          <w:lang w:val="zh-CN"/>
        </w:rPr>
        <w:t>（二）存在的问题。</w:t>
      </w:r>
    </w:p>
    <w:p>
      <w:pPr>
        <w:adjustRightInd w:val="0"/>
        <w:snapToGrid w:val="0"/>
        <w:spacing w:line="360" w:lineRule="auto"/>
        <w:ind w:firstLine="640" w:firstLineChars="200"/>
        <w:rPr>
          <w:rFonts w:ascii="Times New Roman" w:hAnsi="Times New Roman" w:eastAsia="楷体_GB2312" w:cs="Times New Roman"/>
          <w:b/>
          <w:sz w:val="32"/>
          <w:szCs w:val="32"/>
          <w:lang w:val="zh-CN"/>
        </w:rPr>
      </w:pPr>
      <w:r>
        <w:rPr>
          <w:rFonts w:hint="default" w:ascii="Times New Roman" w:hAnsi="Times New Roman" w:eastAsia="仿宋" w:cs="Times New Roman"/>
          <w:sz w:val="32"/>
          <w:szCs w:val="32"/>
          <w:lang w:val="zh-CN"/>
        </w:rPr>
        <w:t>在严格执行上级精神的前提下，针对本单位工作实际情况，进一步完善和细化管理制度，确保财务收支合法合规和财产安全，年度各项工作顺利开展，工作效率得以提高。但是还存在绩效管理基础薄弱，缺乏预算绩效管理专业人员等问题。下一步我局在区财政局的指导下将积极探索建立适合本单位实际的绩效运行监控管理机制，定期汇总分析，对绩效目标运行情况跟踪管理，促进绩效目标的顺利实现。</w:t>
      </w:r>
      <w:r>
        <w:rPr>
          <w:rFonts w:ascii="Times New Roman" w:hAnsi="Times New Roman" w:eastAsia="仿宋_GB2312" w:cs="Times New Roman"/>
          <w:sz w:val="32"/>
          <w:szCs w:val="32"/>
          <w:lang w:val="zh-CN"/>
        </w:rPr>
        <w:tab/>
      </w:r>
    </w:p>
    <w:p>
      <w:pPr>
        <w:adjustRightInd w:val="0"/>
        <w:snapToGrid w:val="0"/>
        <w:spacing w:line="360" w:lineRule="auto"/>
        <w:ind w:firstLine="643" w:firstLineChars="200"/>
        <w:rPr>
          <w:rFonts w:ascii="Times New Roman" w:hAnsi="Times New Roman" w:eastAsia="楷体_GB2312" w:cs="Times New Roman"/>
          <w:b/>
          <w:sz w:val="32"/>
          <w:szCs w:val="32"/>
          <w:lang w:val="zh-CN"/>
        </w:rPr>
      </w:pPr>
      <w:r>
        <w:rPr>
          <w:rFonts w:ascii="Times New Roman" w:hAnsi="Times New Roman" w:eastAsia="楷体_GB2312" w:cs="Times New Roman"/>
          <w:b/>
          <w:sz w:val="32"/>
          <w:szCs w:val="32"/>
          <w:lang w:val="zh-CN"/>
        </w:rPr>
        <w:t>（三）相关建议。</w:t>
      </w:r>
    </w:p>
    <w:p>
      <w:pPr>
        <w:adjustRightInd w:val="0"/>
        <w:snapToGrid w:val="0"/>
        <w:spacing w:line="360" w:lineRule="auto"/>
        <w:ind w:firstLine="960" w:firstLineChars="300"/>
        <w:rPr>
          <w:rFonts w:ascii="Times New Roman" w:hAnsi="Times New Roman" w:eastAsia="仿宋_GB2312" w:cs="Times New Roman"/>
          <w:sz w:val="32"/>
          <w:szCs w:val="32"/>
          <w:lang w:val="zh-CN"/>
        </w:rPr>
      </w:pPr>
      <w:r>
        <w:rPr>
          <w:rFonts w:hint="eastAsia" w:ascii="仿宋" w:hAnsi="仿宋" w:eastAsia="仿宋" w:cs="仿宋"/>
          <w:sz w:val="32"/>
          <w:szCs w:val="32"/>
          <w:lang w:val="zh-CN"/>
        </w:rPr>
        <w:t>无。</w:t>
      </w:r>
    </w:p>
    <w:p>
      <w:pPr>
        <w:pStyle w:val="35"/>
        <w:keepNext w:val="0"/>
        <w:keepLines w:val="0"/>
        <w:pageBreakBefore w:val="0"/>
        <w:widowControl w:val="0"/>
        <w:kinsoku/>
        <w:wordWrap/>
        <w:overflowPunct/>
        <w:topLinePunct w:val="0"/>
        <w:autoSpaceDE/>
        <w:autoSpaceDN/>
        <w:bidi w:val="0"/>
        <w:spacing w:line="578" w:lineRule="exact"/>
        <w:ind w:left="0" w:leftChars="0" w:firstLine="440" w:firstLineChars="100"/>
        <w:jc w:val="center"/>
        <w:textAlignment w:val="auto"/>
        <w:rPr>
          <w:rFonts w:hint="default" w:ascii="方正小标宋简体" w:hAnsi="方正小标宋简体" w:eastAsia="方正小标宋简体" w:cs="方正小标宋简体"/>
          <w:color w:val="auto"/>
          <w:kern w:val="2"/>
          <w:sz w:val="44"/>
          <w:szCs w:val="44"/>
          <w:highlight w:val="none"/>
          <w:lang w:val="en-US" w:eastAsia="zh-CN"/>
        </w:rPr>
      </w:pPr>
    </w:p>
    <w:p>
      <w:pPr>
        <w:keepNext w:val="0"/>
        <w:keepLines w:val="0"/>
        <w:pageBreakBefore w:val="0"/>
        <w:widowControl w:val="0"/>
        <w:kinsoku/>
        <w:wordWrap/>
        <w:overflowPunct/>
        <w:topLinePunct w:val="0"/>
        <w:autoSpaceDE/>
        <w:autoSpaceDN/>
        <w:bidi w:val="0"/>
        <w:spacing w:line="578" w:lineRule="exact"/>
        <w:ind w:firstLine="640"/>
        <w:jc w:val="center"/>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bookmarkStart w:id="49" w:name="_Toc15396618"/>
      <w:r>
        <w:rPr>
          <w:rFonts w:hint="eastAsia" w:ascii="Times New Roman" w:hAnsi="Times New Roman" w:eastAsia="仿宋_GB2312" w:cs="仿宋_GB2312"/>
          <w:b w:val="0"/>
          <w:bCs w:val="0"/>
          <w:kern w:val="0"/>
          <w:position w:val="0"/>
          <w:sz w:val="32"/>
          <w:szCs w:val="32"/>
          <w:highlight w:val="none"/>
          <w:lang w:val="en-US" w:eastAsia="zh-CN" w:bidi="ar-SA"/>
        </w:rPr>
        <w:br w:type="page"/>
      </w:r>
    </w:p>
    <w:p>
      <w:pPr>
        <w:widowControl/>
        <w:jc w:val="center"/>
        <w:rPr>
          <w:rFonts w:hint="eastAsia" w:ascii="Times New Roman" w:hAnsi="Times New Roman" w:eastAsia="仿宋"/>
          <w:b w:val="0"/>
          <w:color w:val="auto"/>
          <w:highlight w:val="none"/>
        </w:rPr>
      </w:pPr>
      <w:r>
        <w:rPr>
          <w:rFonts w:hint="eastAsia" w:ascii="Times New Roman" w:hAnsi="Times New Roman" w:eastAsia="黑体"/>
          <w:color w:val="auto"/>
          <w:sz w:val="44"/>
          <w:szCs w:val="44"/>
          <w:highlight w:val="none"/>
        </w:rPr>
        <w:t>第</w:t>
      </w:r>
      <w:r>
        <w:rPr>
          <w:rStyle w:val="29"/>
          <w:rFonts w:hint="eastAsia" w:ascii="Times New Roman" w:hAnsi="Times New Roman" w:eastAsia="黑体"/>
          <w:b w:val="0"/>
          <w:color w:val="auto"/>
          <w:highlight w:val="none"/>
        </w:rPr>
        <w:t>五部分 附表</w:t>
      </w:r>
      <w:bookmarkEnd w:id="47"/>
      <w:bookmarkEnd w:id="49"/>
      <w:bookmarkStart w:id="50" w:name="_Toc15396619"/>
    </w:p>
    <w:p>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bookmarkEnd w:id="50"/>
    </w:p>
    <w:p>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1" w:name="_Toc15396620"/>
      <w:r>
        <w:rPr>
          <w:rFonts w:hint="eastAsia" w:ascii="Times New Roman" w:hAnsi="Times New Roman" w:eastAsia="仿宋_GB2312" w:cs="仿宋_GB2312"/>
          <w:color w:val="auto"/>
          <w:sz w:val="32"/>
          <w:szCs w:val="32"/>
          <w:highlight w:val="none"/>
        </w:rPr>
        <w:t>二、收入决算表</w:t>
      </w:r>
      <w:bookmarkEnd w:id="51"/>
    </w:p>
    <w:p>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2" w:name="_Toc15396621"/>
      <w:r>
        <w:rPr>
          <w:rFonts w:hint="eastAsia" w:ascii="Times New Roman" w:hAnsi="Times New Roman" w:eastAsia="仿宋_GB2312" w:cs="仿宋_GB2312"/>
          <w:color w:val="auto"/>
          <w:sz w:val="32"/>
          <w:szCs w:val="32"/>
          <w:highlight w:val="none"/>
        </w:rPr>
        <w:t>三、支出决算表</w:t>
      </w:r>
      <w:bookmarkEnd w:id="52"/>
    </w:p>
    <w:p>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3" w:name="_Toc15396622"/>
      <w:r>
        <w:rPr>
          <w:rFonts w:hint="eastAsia" w:ascii="Times New Roman" w:hAnsi="Times New Roman" w:eastAsia="仿宋_GB2312" w:cs="仿宋_GB2312"/>
          <w:color w:val="auto"/>
          <w:sz w:val="32"/>
          <w:szCs w:val="32"/>
          <w:highlight w:val="none"/>
        </w:rPr>
        <w:t>四、财政拨款收入支出决算总表</w:t>
      </w:r>
      <w:bookmarkEnd w:id="53"/>
    </w:p>
    <w:p>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4" w:name="_Toc15396623"/>
      <w:r>
        <w:rPr>
          <w:rFonts w:hint="eastAsia" w:ascii="Times New Roman" w:hAnsi="Times New Roman" w:eastAsia="仿宋_GB2312" w:cs="仿宋_GB2312"/>
          <w:color w:val="auto"/>
          <w:sz w:val="32"/>
          <w:szCs w:val="32"/>
          <w:highlight w:val="none"/>
        </w:rPr>
        <w:t>五、财政拨款支出决算明细表</w:t>
      </w:r>
      <w:bookmarkEnd w:id="54"/>
      <w:bookmarkStart w:id="55" w:name="_Toc15396624"/>
    </w:p>
    <w:p>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bookmarkEnd w:id="55"/>
    </w:p>
    <w:p>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6" w:name="_Toc15396625"/>
      <w:r>
        <w:rPr>
          <w:rFonts w:hint="eastAsia" w:ascii="Times New Roman" w:hAnsi="Times New Roman" w:eastAsia="仿宋_GB2312" w:cs="仿宋_GB2312"/>
          <w:color w:val="auto"/>
          <w:sz w:val="32"/>
          <w:szCs w:val="32"/>
          <w:highlight w:val="none"/>
        </w:rPr>
        <w:t>七、一般公共预算财政拨款支出决算明细表</w:t>
      </w:r>
      <w:bookmarkEnd w:id="56"/>
    </w:p>
    <w:p>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7" w:name="_Toc15396626"/>
      <w:r>
        <w:rPr>
          <w:rFonts w:hint="eastAsia" w:ascii="Times New Roman" w:hAnsi="Times New Roman" w:eastAsia="仿宋_GB2312" w:cs="仿宋_GB2312"/>
          <w:color w:val="auto"/>
          <w:sz w:val="32"/>
          <w:szCs w:val="32"/>
          <w:highlight w:val="none"/>
        </w:rPr>
        <w:t>八、一般公共预算财政拨款基本支出决算表</w:t>
      </w:r>
      <w:bookmarkEnd w:id="57"/>
    </w:p>
    <w:p>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8" w:name="_Toc15396627"/>
      <w:r>
        <w:rPr>
          <w:rFonts w:hint="eastAsia" w:ascii="Times New Roman" w:hAnsi="Times New Roman" w:eastAsia="仿宋_GB2312" w:cs="仿宋_GB2312"/>
          <w:color w:val="auto"/>
          <w:sz w:val="32"/>
          <w:szCs w:val="32"/>
          <w:highlight w:val="none"/>
        </w:rPr>
        <w:t>九、一般公共预算财政拨款项目支出决算表</w:t>
      </w:r>
      <w:bookmarkEnd w:id="58"/>
    </w:p>
    <w:p>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9" w:name="_Toc15396628"/>
      <w:r>
        <w:rPr>
          <w:rFonts w:hint="eastAsia" w:ascii="Times New Roman" w:hAnsi="Times New Roman" w:eastAsia="仿宋_GB2312" w:cs="仿宋_GB2312"/>
          <w:color w:val="auto"/>
          <w:sz w:val="32"/>
          <w:szCs w:val="32"/>
          <w:highlight w:val="none"/>
        </w:rPr>
        <w:t>十、</w:t>
      </w:r>
      <w:bookmarkEnd w:id="59"/>
      <w:r>
        <w:rPr>
          <w:rFonts w:hint="eastAsia" w:ascii="Times New Roman" w:hAnsi="Times New Roman" w:eastAsia="仿宋_GB2312" w:cs="仿宋_GB2312"/>
          <w:color w:val="auto"/>
          <w:sz w:val="32"/>
          <w:szCs w:val="32"/>
          <w:highlight w:val="none"/>
        </w:rPr>
        <w:t>政府性基金预算财政拨款收入支出决算表</w:t>
      </w:r>
    </w:p>
    <w:p>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0" w:name="_Toc15396629"/>
      <w:r>
        <w:rPr>
          <w:rFonts w:hint="eastAsia" w:ascii="Times New Roman" w:hAnsi="Times New Roman" w:eastAsia="仿宋_GB2312" w:cs="仿宋_GB2312"/>
          <w:color w:val="auto"/>
          <w:sz w:val="32"/>
          <w:szCs w:val="32"/>
          <w:highlight w:val="none"/>
        </w:rPr>
        <w:t>十一、</w:t>
      </w:r>
      <w:bookmarkEnd w:id="60"/>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p>
    <w:p>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1" w:name="_Toc15396630"/>
      <w:r>
        <w:rPr>
          <w:rFonts w:hint="eastAsia" w:ascii="Times New Roman" w:hAnsi="Times New Roman" w:eastAsia="仿宋_GB2312" w:cs="仿宋_GB2312"/>
          <w:color w:val="auto"/>
          <w:sz w:val="32"/>
          <w:szCs w:val="32"/>
          <w:highlight w:val="none"/>
        </w:rPr>
        <w:t>十二、</w:t>
      </w:r>
      <w:bookmarkEnd w:id="61"/>
      <w:r>
        <w:rPr>
          <w:rFonts w:hint="eastAsia" w:ascii="Times New Roman" w:hAnsi="Times New Roman" w:eastAsia="仿宋_GB2312" w:cs="仿宋_GB2312"/>
          <w:color w:val="auto"/>
          <w:sz w:val="32"/>
          <w:szCs w:val="32"/>
          <w:highlight w:val="none"/>
          <w:lang w:eastAsia="zh-CN"/>
        </w:rPr>
        <w:t>国有资本经营预算财政拨款支出决算表</w:t>
      </w:r>
    </w:p>
    <w:p>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eastAsia="zh-CN"/>
        </w:rPr>
      </w:pPr>
      <w:bookmarkStart w:id="62" w:name="_Toc15396631"/>
      <w:r>
        <w:rPr>
          <w:rFonts w:hint="eastAsia" w:ascii="Times New Roman" w:hAnsi="Times New Roman" w:eastAsia="仿宋_GB2312" w:cs="仿宋_GB2312"/>
          <w:color w:val="auto"/>
          <w:sz w:val="32"/>
          <w:szCs w:val="32"/>
          <w:highlight w:val="none"/>
        </w:rPr>
        <w:t>十三、</w:t>
      </w:r>
      <w:bookmarkEnd w:id="62"/>
      <w:r>
        <w:rPr>
          <w:rFonts w:hint="eastAsia" w:ascii="Times New Roman" w:hAnsi="Times New Roman" w:eastAsia="仿宋_GB2312" w:cs="仿宋_GB2312"/>
          <w:color w:val="auto"/>
          <w:sz w:val="32"/>
          <w:szCs w:val="32"/>
          <w:highlight w:val="none"/>
          <w:lang w:eastAsia="zh-CN"/>
        </w:rPr>
        <w:t>财政拨款“三公”经费支出决算表</w:t>
      </w:r>
    </w:p>
    <w:p>
      <w:pPr>
        <w:rPr>
          <w:rFonts w:hint="eastAsia" w:ascii="Times New Roman" w:hAnsi="Times New Roman"/>
          <w:lang w:eastAsia="zh-CN"/>
        </w:rPr>
      </w:pPr>
    </w:p>
    <w:sectPr>
      <w:footerReference r:id="rId6" w:type="first"/>
      <w:footerReference r:id="rId5" w:type="default"/>
      <w:pgSz w:w="11906" w:h="16838"/>
      <w:pgMar w:top="1440" w:right="1800" w:bottom="1440" w:left="1800" w:header="851" w:footer="992" w:gutter="0"/>
      <w:pgNumType w:fmt="decimal"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
    <w:altName w:val="Segoe Print"/>
    <w:panose1 w:val="00000000000000000000"/>
    <w:charset w:val="00"/>
    <w:family w:val="roman"/>
    <w:pitch w:val="default"/>
    <w:sig w:usb0="00000000" w:usb1="00000000" w:usb2="00000000" w:usb3="00000000" w:csb0="0000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o7Kn4UAgAAFQQAAA4AAABkcnMvZTJvRG9jLnhtbK1Ty47TMBTdI/EP&#10;lvc0aUe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CjsqfhQCAAAVBAAADgAAAAAAAAAB&#10;ACAAAAAfAQAAZHJzL2Uyb0RvYy54bWxQSwUGAAAAAAYABgBZAQAApQUAAAAA&#10;">
              <v:fill on="f" focussize="0,0"/>
              <v:stroke on="f" weight="0.5pt"/>
              <v:imagedata o:title=""/>
              <o:lock v:ext="edit" aspectratio="f"/>
              <v:textbox inset="0mm,0mm,0mm,0mm" style="mso-fit-shape-to-text:t;">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Fonts w:hint="eastAsia" w:eastAsia="宋体"/>
        <w:lang w:val="en-US"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doX50UAgAAFQQAAA4AAABkcnMvZTJvRG9jLnhtbK1Ty47TMBTdI/EP&#10;lvc0aYFRVT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B2hfnRQCAAAVBAAADgAAAAAAAAAB&#10;ACAAAAAfAQAAZHJzL2Uyb0RvYy54bWxQSwUGAAAAAAYABgBZAQAApQUAAAAA&#10;">
              <v:fill on="f" focussize="0,0"/>
              <v:stroke on="f" weight="0.5pt"/>
              <v:imagedata o:title=""/>
              <o:lock v:ext="edit" aspectratio="f"/>
              <v:textbox inset="0mm,0mm,0mm,0mm" style="mso-fit-shape-to-text:t;">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8E55102"/>
    <w:multiLevelType w:val="singleLevel"/>
    <w:tmpl w:val="88E55102"/>
    <w:lvl w:ilvl="0" w:tentative="0">
      <w:start w:val="1"/>
      <w:numFmt w:val="chineseCounting"/>
      <w:suff w:val="nothing"/>
      <w:lvlText w:val="%1、"/>
      <w:lvlJc w:val="left"/>
      <w:rPr>
        <w:rFonts w:hint="eastAsia"/>
      </w:rPr>
    </w:lvl>
  </w:abstractNum>
  <w:abstractNum w:abstractNumId="1">
    <w:nsid w:val="B6FAF69E"/>
    <w:multiLevelType w:val="singleLevel"/>
    <w:tmpl w:val="B6FAF69E"/>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2D6E7B"/>
    <w:rsid w:val="015975B8"/>
    <w:rsid w:val="02642716"/>
    <w:rsid w:val="02FEBE30"/>
    <w:rsid w:val="04916F1E"/>
    <w:rsid w:val="059B500E"/>
    <w:rsid w:val="061E35DE"/>
    <w:rsid w:val="066E0107"/>
    <w:rsid w:val="07546722"/>
    <w:rsid w:val="07996F6E"/>
    <w:rsid w:val="07DFD8BA"/>
    <w:rsid w:val="0890315B"/>
    <w:rsid w:val="08F658AC"/>
    <w:rsid w:val="092801DC"/>
    <w:rsid w:val="09867E8F"/>
    <w:rsid w:val="09CB0D9C"/>
    <w:rsid w:val="0A2032A3"/>
    <w:rsid w:val="0CA8290A"/>
    <w:rsid w:val="0D35B1ED"/>
    <w:rsid w:val="0D4202FC"/>
    <w:rsid w:val="0DCA3ABE"/>
    <w:rsid w:val="0E254B6B"/>
    <w:rsid w:val="0F98263C"/>
    <w:rsid w:val="101860EC"/>
    <w:rsid w:val="101F47CC"/>
    <w:rsid w:val="10C055FF"/>
    <w:rsid w:val="11694EBD"/>
    <w:rsid w:val="11772AA4"/>
    <w:rsid w:val="118107EC"/>
    <w:rsid w:val="11963B2F"/>
    <w:rsid w:val="12E24EE2"/>
    <w:rsid w:val="131A3568"/>
    <w:rsid w:val="13D50BC4"/>
    <w:rsid w:val="14B17F78"/>
    <w:rsid w:val="155A0AC9"/>
    <w:rsid w:val="165E0673"/>
    <w:rsid w:val="16B831D5"/>
    <w:rsid w:val="16BB723D"/>
    <w:rsid w:val="17E50567"/>
    <w:rsid w:val="17F26078"/>
    <w:rsid w:val="186504BB"/>
    <w:rsid w:val="19637EB0"/>
    <w:rsid w:val="19A445FC"/>
    <w:rsid w:val="1BE8440E"/>
    <w:rsid w:val="1C0A619D"/>
    <w:rsid w:val="1D155CEE"/>
    <w:rsid w:val="1D1638FE"/>
    <w:rsid w:val="1E312DEB"/>
    <w:rsid w:val="1E740ACF"/>
    <w:rsid w:val="1FF35744"/>
    <w:rsid w:val="1FF6BC77"/>
    <w:rsid w:val="2186353C"/>
    <w:rsid w:val="21E16340"/>
    <w:rsid w:val="23860B96"/>
    <w:rsid w:val="240371BF"/>
    <w:rsid w:val="244F3473"/>
    <w:rsid w:val="24994305"/>
    <w:rsid w:val="24C97D99"/>
    <w:rsid w:val="25A718F0"/>
    <w:rsid w:val="25BB59F6"/>
    <w:rsid w:val="260F557C"/>
    <w:rsid w:val="26970054"/>
    <w:rsid w:val="27A571ED"/>
    <w:rsid w:val="281408E2"/>
    <w:rsid w:val="29FD04D3"/>
    <w:rsid w:val="2B446D55"/>
    <w:rsid w:val="2B603F14"/>
    <w:rsid w:val="2BB4204E"/>
    <w:rsid w:val="2BFF7BC6"/>
    <w:rsid w:val="2C8A61B5"/>
    <w:rsid w:val="2DB65757"/>
    <w:rsid w:val="2DF04E50"/>
    <w:rsid w:val="2E586DFA"/>
    <w:rsid w:val="2F040D46"/>
    <w:rsid w:val="2F6B035B"/>
    <w:rsid w:val="2FAE5751"/>
    <w:rsid w:val="2FB1A395"/>
    <w:rsid w:val="2FD9A7D8"/>
    <w:rsid w:val="2FDBF714"/>
    <w:rsid w:val="30AB6865"/>
    <w:rsid w:val="319F7F4E"/>
    <w:rsid w:val="323F00AB"/>
    <w:rsid w:val="32BD1EF1"/>
    <w:rsid w:val="3304709D"/>
    <w:rsid w:val="33A773CB"/>
    <w:rsid w:val="33AB1B06"/>
    <w:rsid w:val="34434B8D"/>
    <w:rsid w:val="34807441"/>
    <w:rsid w:val="349D6851"/>
    <w:rsid w:val="36AA5135"/>
    <w:rsid w:val="36BE0DA7"/>
    <w:rsid w:val="376B6AA6"/>
    <w:rsid w:val="376D39B2"/>
    <w:rsid w:val="37CB6764"/>
    <w:rsid w:val="37E16F03"/>
    <w:rsid w:val="37F53A3B"/>
    <w:rsid w:val="385C5FFA"/>
    <w:rsid w:val="389B6C89"/>
    <w:rsid w:val="38D469F0"/>
    <w:rsid w:val="39627CCD"/>
    <w:rsid w:val="397BAF1F"/>
    <w:rsid w:val="3AB79AF3"/>
    <w:rsid w:val="3AE834C0"/>
    <w:rsid w:val="3B7EF35A"/>
    <w:rsid w:val="3B9FDB6C"/>
    <w:rsid w:val="3BF5BC2F"/>
    <w:rsid w:val="3C7F23F3"/>
    <w:rsid w:val="3CEBA265"/>
    <w:rsid w:val="3D98207C"/>
    <w:rsid w:val="3DEE7CF3"/>
    <w:rsid w:val="3E740A63"/>
    <w:rsid w:val="3E78745D"/>
    <w:rsid w:val="3E8A2EF4"/>
    <w:rsid w:val="3EE17838"/>
    <w:rsid w:val="3F55381A"/>
    <w:rsid w:val="3F7F7599"/>
    <w:rsid w:val="3FF4CAE0"/>
    <w:rsid w:val="3FF7B227"/>
    <w:rsid w:val="41E672C7"/>
    <w:rsid w:val="434A0610"/>
    <w:rsid w:val="434D16CE"/>
    <w:rsid w:val="43D35576"/>
    <w:rsid w:val="443B6752"/>
    <w:rsid w:val="44CF407E"/>
    <w:rsid w:val="44E268DA"/>
    <w:rsid w:val="44F95855"/>
    <w:rsid w:val="450D13D7"/>
    <w:rsid w:val="4524789C"/>
    <w:rsid w:val="45506656"/>
    <w:rsid w:val="45EA1C36"/>
    <w:rsid w:val="47264136"/>
    <w:rsid w:val="48307BD7"/>
    <w:rsid w:val="486A6C7A"/>
    <w:rsid w:val="492F630B"/>
    <w:rsid w:val="4A627F82"/>
    <w:rsid w:val="4B0E749A"/>
    <w:rsid w:val="4B2477C4"/>
    <w:rsid w:val="4B4F25DA"/>
    <w:rsid w:val="4BE068DB"/>
    <w:rsid w:val="4D577224"/>
    <w:rsid w:val="4DBF1CEB"/>
    <w:rsid w:val="4DF0007C"/>
    <w:rsid w:val="4EAB630A"/>
    <w:rsid w:val="4ECE2238"/>
    <w:rsid w:val="4F833267"/>
    <w:rsid w:val="4FE9BD67"/>
    <w:rsid w:val="4FFB052F"/>
    <w:rsid w:val="51AF0D1B"/>
    <w:rsid w:val="526A389D"/>
    <w:rsid w:val="537E6D0A"/>
    <w:rsid w:val="53F74C96"/>
    <w:rsid w:val="543047A1"/>
    <w:rsid w:val="55170BA8"/>
    <w:rsid w:val="553218C9"/>
    <w:rsid w:val="567E1AA5"/>
    <w:rsid w:val="56A70A8A"/>
    <w:rsid w:val="56E47B74"/>
    <w:rsid w:val="57175D52"/>
    <w:rsid w:val="57BD3DD4"/>
    <w:rsid w:val="5A2F75BE"/>
    <w:rsid w:val="5AF92295"/>
    <w:rsid w:val="5B250254"/>
    <w:rsid w:val="5BDD79E6"/>
    <w:rsid w:val="5BF561CA"/>
    <w:rsid w:val="5BFF5DFC"/>
    <w:rsid w:val="5CD71FC4"/>
    <w:rsid w:val="5D1F11B5"/>
    <w:rsid w:val="5D695134"/>
    <w:rsid w:val="5DAE1B18"/>
    <w:rsid w:val="5DE7D9E5"/>
    <w:rsid w:val="5ECEC941"/>
    <w:rsid w:val="5EF5428C"/>
    <w:rsid w:val="5FBF9FF3"/>
    <w:rsid w:val="5FC976F7"/>
    <w:rsid w:val="5FCD4E2C"/>
    <w:rsid w:val="5FEF394A"/>
    <w:rsid w:val="5FF67715"/>
    <w:rsid w:val="605E6486"/>
    <w:rsid w:val="611968EF"/>
    <w:rsid w:val="61C417BC"/>
    <w:rsid w:val="62BF3928"/>
    <w:rsid w:val="63B3701E"/>
    <w:rsid w:val="64101815"/>
    <w:rsid w:val="647F5392"/>
    <w:rsid w:val="649A0A61"/>
    <w:rsid w:val="65E66580"/>
    <w:rsid w:val="664B1D71"/>
    <w:rsid w:val="664B4E8E"/>
    <w:rsid w:val="664F3A47"/>
    <w:rsid w:val="668C49F2"/>
    <w:rsid w:val="67277B67"/>
    <w:rsid w:val="67AA3209"/>
    <w:rsid w:val="69780377"/>
    <w:rsid w:val="698D0931"/>
    <w:rsid w:val="6A7FE5F3"/>
    <w:rsid w:val="6B053271"/>
    <w:rsid w:val="6BDD78B3"/>
    <w:rsid w:val="6C4A05C8"/>
    <w:rsid w:val="6C8742B8"/>
    <w:rsid w:val="6DBF5E93"/>
    <w:rsid w:val="6DFF077E"/>
    <w:rsid w:val="6E714EF0"/>
    <w:rsid w:val="6E7E3605"/>
    <w:rsid w:val="6E7FDCC7"/>
    <w:rsid w:val="6ED6A62E"/>
    <w:rsid w:val="6EE00B15"/>
    <w:rsid w:val="6F6FB3EB"/>
    <w:rsid w:val="6F8731EA"/>
    <w:rsid w:val="6F9A180D"/>
    <w:rsid w:val="6FCE6052"/>
    <w:rsid w:val="6FD57C00"/>
    <w:rsid w:val="6FEFFFD8"/>
    <w:rsid w:val="6FF5CC65"/>
    <w:rsid w:val="6FFB47EC"/>
    <w:rsid w:val="6FFF034A"/>
    <w:rsid w:val="70484440"/>
    <w:rsid w:val="70E867B4"/>
    <w:rsid w:val="712A28F1"/>
    <w:rsid w:val="715C0E4B"/>
    <w:rsid w:val="71992E7C"/>
    <w:rsid w:val="72233669"/>
    <w:rsid w:val="72734D90"/>
    <w:rsid w:val="73160E6D"/>
    <w:rsid w:val="7332FE48"/>
    <w:rsid w:val="73AB61DA"/>
    <w:rsid w:val="73AD73D5"/>
    <w:rsid w:val="73B6EB34"/>
    <w:rsid w:val="73FA497D"/>
    <w:rsid w:val="744731E5"/>
    <w:rsid w:val="74BBD01D"/>
    <w:rsid w:val="74ED5379"/>
    <w:rsid w:val="75DEEEC2"/>
    <w:rsid w:val="75E32345"/>
    <w:rsid w:val="7667663F"/>
    <w:rsid w:val="76E3355F"/>
    <w:rsid w:val="76FF5125"/>
    <w:rsid w:val="77452A35"/>
    <w:rsid w:val="776F6FFA"/>
    <w:rsid w:val="778769C8"/>
    <w:rsid w:val="77A75DCA"/>
    <w:rsid w:val="77DC22F5"/>
    <w:rsid w:val="783E271A"/>
    <w:rsid w:val="78616DE9"/>
    <w:rsid w:val="7873588A"/>
    <w:rsid w:val="78E875D7"/>
    <w:rsid w:val="79086DAD"/>
    <w:rsid w:val="79695A73"/>
    <w:rsid w:val="79D7FD79"/>
    <w:rsid w:val="79EE5BA4"/>
    <w:rsid w:val="7A894339"/>
    <w:rsid w:val="7AD284E8"/>
    <w:rsid w:val="7AFF7572"/>
    <w:rsid w:val="7B6C7DFB"/>
    <w:rsid w:val="7BBFBED0"/>
    <w:rsid w:val="7BC3E394"/>
    <w:rsid w:val="7C1F3737"/>
    <w:rsid w:val="7CBFC87B"/>
    <w:rsid w:val="7CFE0F48"/>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8">
    <w:name w:val="Default Paragraph Font"/>
    <w:unhideWhenUsed/>
    <w:qFormat/>
    <w:uiPriority w:val="1"/>
  </w:style>
  <w:style w:type="table" w:default="1" w:styleId="17">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6">
    <w:name w:val="Body Text"/>
    <w:basedOn w:val="1"/>
    <w:link w:val="27"/>
    <w:qFormat/>
    <w:uiPriority w:val="99"/>
    <w:pPr>
      <w:spacing w:beforeLines="30"/>
    </w:pPr>
    <w:rPr>
      <w:rFonts w:ascii="仿宋_GB2312" w:eastAsia="仿宋_GB2312"/>
      <w:kern w:val="0"/>
      <w:sz w:val="30"/>
    </w:rPr>
  </w:style>
  <w:style w:type="paragraph" w:styleId="7">
    <w:name w:val="Body Text Indent"/>
    <w:basedOn w:val="1"/>
    <w:next w:val="8"/>
    <w:qFormat/>
    <w:uiPriority w:val="0"/>
    <w:pPr>
      <w:spacing w:after="120"/>
      <w:ind w:leftChars="200"/>
    </w:pPr>
    <w:rPr>
      <w:rFonts w:ascii="仿宋_GB2312"/>
      <w:szCs w:val="32"/>
    </w:rPr>
  </w:style>
  <w:style w:type="paragraph" w:styleId="8">
    <w:name w:val="Body Text First Indent 2"/>
    <w:basedOn w:val="7"/>
    <w:unhideWhenUsed/>
    <w:qFormat/>
    <w:uiPriority w:val="99"/>
    <w:pPr>
      <w:ind w:firstLine="420" w:firstLineChars="200"/>
    </w:p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2"/>
    <w:semiHidden/>
    <w:unhideWhenUsed/>
    <w:qFormat/>
    <w:uiPriority w:val="99"/>
    <w:rPr>
      <w:sz w:val="18"/>
      <w:szCs w:val="18"/>
    </w:rPr>
  </w:style>
  <w:style w:type="paragraph" w:styleId="11">
    <w:name w:val="footer"/>
    <w:basedOn w:val="1"/>
    <w:link w:val="25"/>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3"/>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footnote text"/>
    <w:basedOn w:val="1"/>
    <w:next w:val="8"/>
    <w:semiHidden/>
    <w:qFormat/>
    <w:uiPriority w:val="0"/>
    <w:pPr>
      <w:snapToGrid w:val="0"/>
      <w:jc w:val="left"/>
    </w:pPr>
    <w:rPr>
      <w:sz w:val="18"/>
      <w:szCs w:val="18"/>
    </w:rPr>
  </w:style>
  <w:style w:type="paragraph" w:styleId="15">
    <w:name w:val="toc 2"/>
    <w:basedOn w:val="1"/>
    <w:next w:val="1"/>
    <w:unhideWhenUsed/>
    <w:qFormat/>
    <w:uiPriority w:val="39"/>
    <w:pPr>
      <w:tabs>
        <w:tab w:val="right" w:leader="dot" w:pos="8296"/>
      </w:tabs>
      <w:ind w:left="420" w:leftChars="200"/>
    </w:pPr>
  </w:style>
  <w:style w:type="paragraph" w:styleId="16">
    <w:name w:val="Normal (Web)"/>
    <w:basedOn w:val="1"/>
    <w:uiPriority w:val="0"/>
    <w:pPr>
      <w:spacing w:before="100" w:beforeAutospacing="1" w:after="100" w:afterAutospacing="1"/>
      <w:ind w:left="0" w:right="0"/>
      <w:jc w:val="left"/>
    </w:pPr>
    <w:rPr>
      <w:kern w:val="0"/>
      <w:sz w:val="24"/>
      <w:lang w:val="en-US" w:eastAsia="zh-CN" w:bidi="ar"/>
    </w:rPr>
  </w:style>
  <w:style w:type="character" w:styleId="19">
    <w:name w:val="Strong"/>
    <w:basedOn w:val="18"/>
    <w:qFormat/>
    <w:uiPriority w:val="99"/>
    <w:rPr>
      <w:b/>
    </w:rPr>
  </w:style>
  <w:style w:type="character" w:styleId="20">
    <w:name w:val="Hyperlink"/>
    <w:basedOn w:val="18"/>
    <w:unhideWhenUsed/>
    <w:qFormat/>
    <w:uiPriority w:val="99"/>
    <w:rPr>
      <w:color w:val="0000FF" w:themeColor="hyperlink"/>
      <w:u w:val="single"/>
      <w14:textFill>
        <w14:solidFill>
          <w14:schemeClr w14:val="hlink"/>
        </w14:solidFill>
      </w14:textFill>
    </w:rPr>
  </w:style>
  <w:style w:type="paragraph" w:customStyle="1" w:styleId="21">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2">
    <w:name w:val="Header Char"/>
    <w:basedOn w:val="18"/>
    <w:semiHidden/>
    <w:qFormat/>
    <w:uiPriority w:val="99"/>
    <w:rPr>
      <w:rFonts w:ascii="Times New Roman" w:hAnsi="Times New Roman"/>
      <w:sz w:val="18"/>
      <w:szCs w:val="18"/>
    </w:rPr>
  </w:style>
  <w:style w:type="character" w:customStyle="1" w:styleId="23">
    <w:name w:val="页眉 Char"/>
    <w:link w:val="12"/>
    <w:semiHidden/>
    <w:qFormat/>
    <w:locked/>
    <w:uiPriority w:val="99"/>
    <w:rPr>
      <w:sz w:val="18"/>
    </w:rPr>
  </w:style>
  <w:style w:type="character" w:customStyle="1" w:styleId="24">
    <w:name w:val="Footer Char"/>
    <w:basedOn w:val="18"/>
    <w:semiHidden/>
    <w:qFormat/>
    <w:uiPriority w:val="99"/>
    <w:rPr>
      <w:rFonts w:ascii="Times New Roman" w:hAnsi="Times New Roman"/>
      <w:sz w:val="18"/>
      <w:szCs w:val="18"/>
    </w:rPr>
  </w:style>
  <w:style w:type="character" w:customStyle="1" w:styleId="25">
    <w:name w:val="页脚 Char"/>
    <w:link w:val="11"/>
    <w:qFormat/>
    <w:locked/>
    <w:uiPriority w:val="99"/>
    <w:rPr>
      <w:sz w:val="18"/>
    </w:rPr>
  </w:style>
  <w:style w:type="character" w:customStyle="1" w:styleId="26">
    <w:name w:val="Body Text Char"/>
    <w:basedOn w:val="18"/>
    <w:semiHidden/>
    <w:qFormat/>
    <w:uiPriority w:val="99"/>
    <w:rPr>
      <w:rFonts w:ascii="Times New Roman" w:hAnsi="Times New Roman"/>
      <w:szCs w:val="24"/>
    </w:rPr>
  </w:style>
  <w:style w:type="character" w:customStyle="1" w:styleId="27">
    <w:name w:val="正文文本 Char"/>
    <w:link w:val="6"/>
    <w:qFormat/>
    <w:locked/>
    <w:uiPriority w:val="99"/>
    <w:rPr>
      <w:rFonts w:ascii="仿宋_GB2312" w:hAnsi="Times New Roman" w:eastAsia="仿宋_GB2312"/>
      <w:sz w:val="24"/>
    </w:rPr>
  </w:style>
  <w:style w:type="paragraph" w:styleId="28">
    <w:name w:val="List Paragraph"/>
    <w:basedOn w:val="1"/>
    <w:qFormat/>
    <w:uiPriority w:val="34"/>
    <w:pPr>
      <w:ind w:firstLine="420" w:firstLineChars="200"/>
    </w:pPr>
  </w:style>
  <w:style w:type="character" w:customStyle="1" w:styleId="29">
    <w:name w:val="标题 1 Char"/>
    <w:basedOn w:val="18"/>
    <w:link w:val="3"/>
    <w:qFormat/>
    <w:uiPriority w:val="9"/>
    <w:rPr>
      <w:rFonts w:ascii="Times New Roman" w:hAnsi="Times New Roman"/>
      <w:b/>
      <w:bCs/>
      <w:kern w:val="44"/>
      <w:sz w:val="44"/>
      <w:szCs w:val="44"/>
    </w:rPr>
  </w:style>
  <w:style w:type="character" w:customStyle="1" w:styleId="30">
    <w:name w:val="标题 2 Char"/>
    <w:basedOn w:val="18"/>
    <w:link w:val="4"/>
    <w:qFormat/>
    <w:uiPriority w:val="9"/>
    <w:rPr>
      <w:rFonts w:asciiTheme="majorHAnsi" w:hAnsiTheme="majorHAnsi" w:eastAsiaTheme="majorEastAsia" w:cstheme="majorBidi"/>
      <w:b/>
      <w:bCs/>
      <w:kern w:val="2"/>
      <w:sz w:val="32"/>
      <w:szCs w:val="32"/>
    </w:rPr>
  </w:style>
  <w:style w:type="paragraph" w:customStyle="1" w:styleId="31">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Char"/>
    <w:basedOn w:val="18"/>
    <w:link w:val="10"/>
    <w:semiHidden/>
    <w:qFormat/>
    <w:uiPriority w:val="99"/>
    <w:rPr>
      <w:rFonts w:ascii="Times New Roman" w:hAnsi="Times New Roman"/>
      <w:kern w:val="2"/>
      <w:sz w:val="18"/>
      <w:szCs w:val="18"/>
    </w:rPr>
  </w:style>
  <w:style w:type="character" w:customStyle="1" w:styleId="33">
    <w:name w:val="标题 3 Char"/>
    <w:basedOn w:val="18"/>
    <w:link w:val="5"/>
    <w:qFormat/>
    <w:uiPriority w:val="9"/>
    <w:rPr>
      <w:rFonts w:ascii="Times New Roman" w:hAnsi="Times New Roman"/>
      <w:b/>
      <w:bCs/>
      <w:kern w:val="2"/>
      <w:sz w:val="32"/>
      <w:szCs w:val="32"/>
    </w:rPr>
  </w:style>
  <w:style w:type="paragraph" w:customStyle="1" w:styleId="34">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5">
    <w:name w:val="四号正文"/>
    <w:basedOn w:val="1"/>
    <w:qFormat/>
    <w:uiPriority w:val="0"/>
    <w:pPr>
      <w:spacing w:line="360" w:lineRule="auto"/>
    </w:pPr>
    <w:rPr>
      <w:rFonts w:ascii="??" w:hAnsi="??" w:eastAsia="宋体"/>
      <w:color w:val="000000"/>
      <w:kern w:val="0"/>
      <w:sz w:val="28"/>
      <w:szCs w:val="21"/>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chart" Target="charts/chart7.xml"/><Relationship Id="rId13" Type="http://schemas.openxmlformats.org/officeDocument/2006/relationships/chart" Target="charts/chart6.xml"/><Relationship Id="rId12" Type="http://schemas.openxmlformats.org/officeDocument/2006/relationships/chart" Target="charts/chart5.xml"/><Relationship Id="rId11" Type="http://schemas.openxmlformats.org/officeDocument/2006/relationships/chart" Target="charts/chart4.xml"/><Relationship Id="rId10" Type="http://schemas.openxmlformats.org/officeDocument/2006/relationships/chart" Target="charts/chart3.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24037;&#20316;&#31807;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2025&#24180;&#20250;&#35745;\6.&#20915;&#31639;&#20844;&#24320;\2023&#24180;&#20915;&#31639;&#20844;&#24320;\2023&#24180;&#24230;&#25856;&#26525;&#33457;&#24066;&#35199;&#21306;&#21496;&#27861;&#23616;&#37096;&#38376;&#20915;&#31639;&#20844;&#24320;&#25253;&#34920;.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2025&#24180;&#20250;&#35745;\6.&#20915;&#31639;&#20844;&#24320;\2023&#24180;&#20915;&#31639;&#20844;&#24320;\2023&#24180;&#24230;&#25856;&#26525;&#33457;&#24066;&#35199;&#21306;&#21496;&#27861;&#23616;&#37096;&#38376;&#20915;&#31639;&#20844;&#24320;&#25253;&#34920;.xls"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24037;&#20316;&#31807;1"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24037;&#20316;&#31807;1"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24037;&#20316;&#31807;1"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24037;&#20316;&#31807;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收、支决算总计变动情况图</a:t>
            </a:r>
          </a:p>
        </c:rich>
      </c:tx>
      <c:layout/>
      <c:overlay val="0"/>
      <c:spPr>
        <a:noFill/>
        <a:ln>
          <a:noFill/>
        </a:ln>
        <a:effectLst/>
      </c:spPr>
    </c:title>
    <c:autoTitleDeleted val="0"/>
    <c:plotArea>
      <c:layout/>
      <c:barChart>
        <c:barDir val="col"/>
        <c:grouping val="clustered"/>
        <c:varyColors val="0"/>
        <c:ser>
          <c:idx val="0"/>
          <c:order val="0"/>
          <c:tx>
            <c:strRef>
              <c:f>[工作簿1]Sheet1!$C$7</c:f>
              <c:strCache>
                <c:ptCount val="1"/>
                <c:pt idx="0">
                  <c:v>2023年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[工作簿1]Sheet1!$D$6:$E$6</c:f>
              <c:strCache>
                <c:ptCount val="2"/>
                <c:pt idx="0">
                  <c:v>收入</c:v>
                </c:pt>
                <c:pt idx="1">
                  <c:v>支出</c:v>
                </c:pt>
              </c:strCache>
            </c:strRef>
          </c:cat>
          <c:val>
            <c:numRef>
              <c:f>[工作簿1]Sheet1!$D$7:$E$7</c:f>
              <c:numCache>
                <c:formatCode>General</c:formatCode>
                <c:ptCount val="2"/>
                <c:pt idx="0">
                  <c:v>865.97</c:v>
                </c:pt>
                <c:pt idx="1">
                  <c:v>865.97</c:v>
                </c:pt>
              </c:numCache>
            </c:numRef>
          </c:val>
        </c:ser>
        <c:ser>
          <c:idx val="1"/>
          <c:order val="1"/>
          <c:tx>
            <c:strRef>
              <c:f>[工作簿1]Sheet1!$C$8</c:f>
              <c:strCache>
                <c:ptCount val="1"/>
                <c:pt idx="0">
                  <c:v>2024年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[工作簿1]Sheet1!$D$6:$E$6</c:f>
              <c:strCache>
                <c:ptCount val="2"/>
                <c:pt idx="0">
                  <c:v>收入</c:v>
                </c:pt>
                <c:pt idx="1">
                  <c:v>支出</c:v>
                </c:pt>
              </c:strCache>
            </c:strRef>
          </c:cat>
          <c:val>
            <c:numRef>
              <c:f>[工作簿1]Sheet1!$D$8:$E$8</c:f>
              <c:numCache>
                <c:formatCode>General</c:formatCode>
                <c:ptCount val="2"/>
                <c:pt idx="0">
                  <c:v>791.87</c:v>
                </c:pt>
                <c:pt idx="1">
                  <c:v>791.87</c:v>
                </c:pt>
              </c:numCache>
            </c:numRef>
          </c:val>
        </c:ser>
        <c:dLbls>
          <c:showLegendKey val="0"/>
          <c:showVal val="1"/>
          <c:showCatName val="0"/>
          <c:showSerName val="0"/>
          <c:showPercent val="0"/>
          <c:showBubbleSize val="0"/>
        </c:dLbls>
        <c:gapWidth val="219"/>
        <c:overlap val="-27"/>
        <c:axId val="940670955"/>
        <c:axId val="645156549"/>
      </c:barChart>
      <c:catAx>
        <c:axId val="940670955"/>
        <c:scaling>
          <c:orientation val="minMax"/>
        </c:scaling>
        <c:delete val="1"/>
        <c:axPos val="b"/>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45156549"/>
        <c:crosses val="autoZero"/>
        <c:auto val="1"/>
        <c:lblAlgn val="ctr"/>
        <c:lblOffset val="100"/>
        <c:noMultiLvlLbl val="0"/>
      </c:catAx>
      <c:valAx>
        <c:axId val="645156549"/>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40670955"/>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800" b="1" i="0" u="none" strike="noStrike" kern="1200" baseline="0">
                <a:solidFill>
                  <a:schemeClr val="tx1"/>
                </a:solidFill>
                <a:latin typeface="+mn-lt"/>
                <a:ea typeface="+mn-ea"/>
                <a:cs typeface="+mn-cs"/>
              </a:defRPr>
            </a:pPr>
            <a:r>
              <a:t>收入决算结构图</a:t>
            </a:r>
          </a:p>
        </c:rich>
      </c:tx>
      <c:layout/>
      <c:overlay val="0"/>
    </c:title>
    <c:autoTitleDeleted val="0"/>
    <c:plotArea>
      <c:layout>
        <c:manualLayout>
          <c:layoutTarget val="inner"/>
          <c:xMode val="edge"/>
          <c:yMode val="edge"/>
          <c:x val="0.316928963566794"/>
          <c:y val="0.228673780487805"/>
          <c:w val="0.366142072866412"/>
          <c:h val="0.559166666666667"/>
        </c:manualLayout>
      </c:layout>
      <c:pieChart>
        <c:varyColors val="1"/>
        <c:ser>
          <c:idx val="0"/>
          <c:order val="0"/>
          <c:spPr>
            <a:ln w="15875" cap="flat">
              <a:solidFill>
                <a:schemeClr val="lt1"/>
              </a:solidFill>
              <a:miter lim="800000"/>
            </a:ln>
            <a:sp3d contourW="15875"/>
          </c:spPr>
          <c:explosion val="0"/>
          <c:dPt>
            <c:idx val="0"/>
            <c:bubble3D val="0"/>
            <c:explosion val="0"/>
            <c:spPr>
              <a:solidFill>
                <a:schemeClr val="accent1"/>
              </a:solidFill>
              <a:ln w="15875" cap="flat">
                <a:solidFill>
                  <a:schemeClr val="lt1"/>
                </a:solidFill>
                <a:miter lim="800000"/>
              </a:ln>
              <a:effectLst/>
              <a:sp3d contourW="15875"/>
            </c:spPr>
          </c:dPt>
          <c:dPt>
            <c:idx val="1"/>
            <c:bubble3D val="0"/>
            <c:explosion val="0"/>
            <c:spPr>
              <a:solidFill>
                <a:schemeClr val="accent2"/>
              </a:solidFill>
              <a:ln w="15875" cap="flat" cmpd="sng">
                <a:solidFill>
                  <a:schemeClr val="accent2"/>
                </a:solidFill>
                <a:prstDash val="solid"/>
                <a:miter lim="800000"/>
              </a:ln>
              <a:effectLst/>
              <a:sp3d contourW="15875"/>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[2023年度攀枝花市西区司法局部门决算公开报表.xls]Sheet1!$B$11:$B$12</c:f>
              <c:strCache>
                <c:ptCount val="2"/>
                <c:pt idx="0">
                  <c:v>一般公共预算财政拨款收入</c:v>
                </c:pt>
                <c:pt idx="1">
                  <c:v>政府性基金预算财政拨款收入</c:v>
                </c:pt>
              </c:strCache>
            </c:strRef>
          </c:cat>
          <c:val>
            <c:numRef>
              <c:f>[2023年度攀枝花市西区司法局部门决算公开报表.xls]Sheet1!$C$11:$C$12</c:f>
              <c:numCache>
                <c:formatCode>0.00%</c:formatCode>
                <c:ptCount val="2"/>
                <c:pt idx="0">
                  <c:v>0.9987</c:v>
                </c:pt>
                <c:pt idx="1">
                  <c:v>0.0012</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支出决算结构图</a:t>
            </a:r>
            <a:endParaRPr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autoTitleDeleted val="0"/>
    <c:plotArea>
      <c:layout/>
      <c:pieChart>
        <c:varyColors val="1"/>
        <c:ser>
          <c:idx val="0"/>
          <c:order val="0"/>
          <c:spPr>
            <a:ln w="15875">
              <a:solidFill>
                <a:schemeClr val="lt1"/>
              </a:solidFill>
              <a:miter lim="800000"/>
            </a:ln>
            <a:sp3d contourW="15875"/>
          </c:spPr>
          <c:explosion val="0"/>
          <c:dPt>
            <c:idx val="0"/>
            <c:bubble3D val="0"/>
            <c:explosion val="0"/>
            <c:spPr>
              <a:solidFill>
                <a:schemeClr val="accent1"/>
              </a:solidFill>
              <a:ln w="15875">
                <a:solidFill>
                  <a:schemeClr val="lt1"/>
                </a:solidFill>
                <a:miter lim="800000"/>
              </a:ln>
              <a:effectLst/>
              <a:sp3d contourW="15875"/>
            </c:spPr>
          </c:dPt>
          <c:dPt>
            <c:idx val="1"/>
            <c:bubble3D val="0"/>
            <c:explosion val="0"/>
            <c:spPr>
              <a:solidFill>
                <a:schemeClr val="accent2"/>
              </a:solidFill>
              <a:effectLst/>
              <a:sp3d contourW="15875"/>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Sheet1!$B$11:$B$12</c:f>
              <c:strCache>
                <c:ptCount val="2"/>
                <c:pt idx="0">
                  <c:v>基本支出</c:v>
                </c:pt>
                <c:pt idx="1">
                  <c:v>项目支出</c:v>
                </c:pt>
              </c:strCache>
            </c:strRef>
          </c:cat>
          <c:val>
            <c:numRef>
              <c:f>Sheet1!$C$11:$C$12</c:f>
              <c:numCache>
                <c:formatCode>0.00%</c:formatCode>
                <c:ptCount val="2"/>
                <c:pt idx="0">
                  <c:v>0.8701</c:v>
                </c:pt>
                <c:pt idx="1">
                  <c:v>0.1298</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财政拨款收、支决算总计变动情况图</a:t>
            </a:r>
          </a:p>
        </c:rich>
      </c:tx>
      <c:layout/>
      <c:overlay val="0"/>
      <c:spPr>
        <a:noFill/>
        <a:ln>
          <a:noFill/>
        </a:ln>
        <a:effectLst/>
      </c:spPr>
    </c:title>
    <c:autoTitleDeleted val="0"/>
    <c:plotArea>
      <c:layout/>
      <c:barChart>
        <c:barDir val="col"/>
        <c:grouping val="clustered"/>
        <c:varyColors val="0"/>
        <c:ser>
          <c:idx val="0"/>
          <c:order val="0"/>
          <c:tx>
            <c:strRef>
              <c:f>[工作簿1]Sheet1!$C$7</c:f>
              <c:strCache>
                <c:ptCount val="1"/>
                <c:pt idx="0">
                  <c:v>2023年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[工作簿1]Sheet1!$D$6:$E$6</c:f>
              <c:strCache>
                <c:ptCount val="2"/>
                <c:pt idx="0">
                  <c:v>收入</c:v>
                </c:pt>
                <c:pt idx="1">
                  <c:v>支出</c:v>
                </c:pt>
              </c:strCache>
            </c:strRef>
          </c:cat>
          <c:val>
            <c:numRef>
              <c:f>[工作簿1]Sheet1!$D$7:$E$7</c:f>
              <c:numCache>
                <c:formatCode>General</c:formatCode>
                <c:ptCount val="2"/>
                <c:pt idx="0">
                  <c:v>865.97</c:v>
                </c:pt>
                <c:pt idx="1">
                  <c:v>865.97</c:v>
                </c:pt>
              </c:numCache>
            </c:numRef>
          </c:val>
        </c:ser>
        <c:ser>
          <c:idx val="1"/>
          <c:order val="1"/>
          <c:tx>
            <c:strRef>
              <c:f>[工作簿1]Sheet1!$C$8</c:f>
              <c:strCache>
                <c:ptCount val="1"/>
                <c:pt idx="0">
                  <c:v>2024年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[工作簿1]Sheet1!$D$6:$E$6</c:f>
              <c:strCache>
                <c:ptCount val="2"/>
                <c:pt idx="0">
                  <c:v>收入</c:v>
                </c:pt>
                <c:pt idx="1">
                  <c:v>支出</c:v>
                </c:pt>
              </c:strCache>
            </c:strRef>
          </c:cat>
          <c:val>
            <c:numRef>
              <c:f>[工作簿1]Sheet1!$D$8:$E$8</c:f>
              <c:numCache>
                <c:formatCode>General</c:formatCode>
                <c:ptCount val="2"/>
                <c:pt idx="0">
                  <c:v>791.87</c:v>
                </c:pt>
                <c:pt idx="1">
                  <c:v>791.87</c:v>
                </c:pt>
              </c:numCache>
            </c:numRef>
          </c:val>
        </c:ser>
        <c:dLbls>
          <c:showLegendKey val="0"/>
          <c:showVal val="1"/>
          <c:showCatName val="0"/>
          <c:showSerName val="0"/>
          <c:showPercent val="0"/>
          <c:showBubbleSize val="0"/>
        </c:dLbls>
        <c:gapWidth val="219"/>
        <c:overlap val="-27"/>
        <c:axId val="940670955"/>
        <c:axId val="645156549"/>
      </c:barChart>
      <c:catAx>
        <c:axId val="940670955"/>
        <c:scaling>
          <c:orientation val="minMax"/>
        </c:scaling>
        <c:delete val="1"/>
        <c:axPos val="b"/>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45156549"/>
        <c:crosses val="autoZero"/>
        <c:auto val="1"/>
        <c:lblAlgn val="ctr"/>
        <c:lblOffset val="100"/>
        <c:noMultiLvlLbl val="0"/>
      </c:catAx>
      <c:valAx>
        <c:axId val="645156549"/>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40670955"/>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一般公共预算财政拨款支出决算变动情况</a:t>
            </a:r>
          </a:p>
        </c:rich>
      </c:tx>
      <c:layout/>
      <c:overlay val="0"/>
      <c:spPr>
        <a:noFill/>
        <a:ln>
          <a:noFill/>
        </a:ln>
        <a:effectLst/>
      </c:spPr>
    </c:title>
    <c:autoTitleDeleted val="0"/>
    <c:plotArea>
      <c:layout/>
      <c:barChart>
        <c:barDir val="col"/>
        <c:grouping val="clustered"/>
        <c:varyColors val="0"/>
        <c:ser>
          <c:idx val="0"/>
          <c:order val="0"/>
          <c:tx>
            <c:strRef>
              <c:f>[工作簿1]Sheet1!$D$17</c:f>
              <c:strCache>
                <c:ptCount val="1"/>
                <c:pt idx="0">
                  <c:v>收入</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[工作簿1]Sheet1!$C$18:$C$19</c:f>
              <c:strCache>
                <c:ptCount val="2"/>
                <c:pt idx="0">
                  <c:v>2023年</c:v>
                </c:pt>
                <c:pt idx="1">
                  <c:v>2024年</c:v>
                </c:pt>
              </c:strCache>
            </c:strRef>
          </c:cat>
          <c:val>
            <c:numRef>
              <c:f>[工作簿1]Sheet1!$D$18:$D$19</c:f>
              <c:numCache>
                <c:formatCode>General</c:formatCode>
                <c:ptCount val="2"/>
                <c:pt idx="0">
                  <c:v>845.42</c:v>
                </c:pt>
                <c:pt idx="1">
                  <c:v>790.87</c:v>
                </c:pt>
              </c:numCache>
            </c:numRef>
          </c:val>
        </c:ser>
        <c:dLbls>
          <c:showLegendKey val="0"/>
          <c:showVal val="1"/>
          <c:showCatName val="0"/>
          <c:showSerName val="0"/>
          <c:showPercent val="0"/>
          <c:showBubbleSize val="0"/>
        </c:dLbls>
        <c:gapWidth val="219"/>
        <c:overlap val="-27"/>
        <c:axId val="767337794"/>
        <c:axId val="498136900"/>
      </c:barChart>
      <c:catAx>
        <c:axId val="767337794"/>
        <c:scaling>
          <c:orientation val="minMax"/>
        </c:scaling>
        <c:delete val="1"/>
        <c:axPos val="b"/>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98136900"/>
        <c:crosses val="autoZero"/>
        <c:auto val="1"/>
        <c:lblAlgn val="ctr"/>
        <c:lblOffset val="100"/>
        <c:noMultiLvlLbl val="0"/>
      </c:catAx>
      <c:valAx>
        <c:axId val="498136900"/>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6733779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一般公共预算财政拨款支出决算结构</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[工作簿1]Sheet1!$C$42:$C$45</c:f>
              <c:strCache>
                <c:ptCount val="4"/>
                <c:pt idx="0">
                  <c:v>公共安全支出</c:v>
                </c:pt>
                <c:pt idx="1">
                  <c:v>社会保障和就业支出</c:v>
                </c:pt>
                <c:pt idx="2">
                  <c:v>卫生健康支出</c:v>
                </c:pt>
                <c:pt idx="3">
                  <c:v>住房保障支出</c:v>
                </c:pt>
              </c:strCache>
            </c:strRef>
          </c:cat>
          <c:val>
            <c:numRef>
              <c:f>[工作簿1]Sheet1!$D$42:$D$45</c:f>
              <c:numCache>
                <c:formatCode>General</c:formatCode>
                <c:ptCount val="4"/>
                <c:pt idx="0">
                  <c:v>613.17</c:v>
                </c:pt>
                <c:pt idx="1">
                  <c:v>69.33</c:v>
                </c:pt>
                <c:pt idx="2">
                  <c:v>59.82</c:v>
                </c:pt>
                <c:pt idx="3">
                  <c:v>48.54</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a:t>
            </a:r>
            <a:r>
              <a:rPr altLang="en-US"/>
              <a:t>三公</a:t>
            </a:r>
            <a:r>
              <a:rPr lang="en-US" altLang="zh-CN"/>
              <a:t>”</a:t>
            </a:r>
            <a:r>
              <a:rPr altLang="en-US"/>
              <a:t>经费财政拨款支出结构</a:t>
            </a:r>
            <a:endParaRPr altLang="en-US"/>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[工作簿1]Sheet1!$C$42:$C$45</c:f>
              <c:strCache>
                <c:ptCount val="4"/>
                <c:pt idx="0">
                  <c:v>因公出国（境）费支出</c:v>
                </c:pt>
                <c:pt idx="1">
                  <c:v>公务用车购置及运行维护费支出</c:v>
                </c:pt>
                <c:pt idx="2">
                  <c:v>公务接待费支出</c:v>
                </c:pt>
              </c:strCache>
            </c:strRef>
          </c:cat>
          <c:val>
            <c:numRef>
              <c:f>[工作簿1]Sheet1!$D$42:$D$45</c:f>
              <c:numCache>
                <c:formatCode>General</c:formatCode>
                <c:ptCount val="4"/>
                <c:pt idx="0">
                  <c:v>0</c:v>
                </c:pt>
                <c:pt idx="1">
                  <c:v>1.16</c:v>
                </c:pt>
                <c:pt idx="2">
                  <c:v>0.08</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23</Pages>
  <Words>1299</Words>
  <Characters>7410</Characters>
  <Lines>61</Lines>
  <Paragraphs>17</Paragraphs>
  <TotalTime>212</TotalTime>
  <ScaleCrop>false</ScaleCrop>
  <LinksUpToDate>false</LinksUpToDate>
  <CharactersWithSpaces>8692</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吉佐鲁洗</cp:lastModifiedBy>
  <cp:lastPrinted>2025-08-06T17:34:00Z</cp:lastPrinted>
  <dcterms:modified xsi:type="dcterms:W3CDTF">2025-10-31T01:48:44Z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04787F2533EB45DC91BCDE4AB213247F</vt:lpwstr>
  </property>
</Properties>
</file>