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193"/>
      <w:bookmarkStart w:id="2" w:name="_Toc15377425"/>
      <w:bookmarkStart w:id="3" w:name="_Toc15396475"/>
      <w:bookmarkStart w:id="4" w:name="_Toc15378441"/>
      <w:bookmarkStart w:id="5" w:name="_Toc15306267"/>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2024年度四川省</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0" w:lineRule="atLeast"/>
        <w:jc w:val="left"/>
        <w:textAlignment w:val="auto"/>
        <w:outlineLvl w:val="0"/>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ab/>
      </w:r>
      <w:r>
        <w:rPr>
          <w:rFonts w:hint="eastAsia" w:ascii="方正小标宋简体" w:hAnsi="方正小标宋简体" w:eastAsia="方正小标宋简体" w:cs="方正小标宋简体"/>
          <w:color w:val="auto"/>
          <w:kern w:val="2"/>
          <w:sz w:val="44"/>
          <w:szCs w:val="44"/>
          <w:highlight w:val="none"/>
          <w:lang w:val="en-US" w:eastAsia="zh-CN" w:bidi="ar-SA"/>
        </w:rPr>
        <w:t>攀枝花市西区司法局单位决算</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5659"/>
        </w:tabs>
        <w:bidi w:val="0"/>
        <w:jc w:val="left"/>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pPr>
    </w:p>
    <w:p>
      <w:pPr>
        <w:pStyle w:val="8"/>
        <w:ind w:left="0" w:leftChars="0" w:firstLine="0" w:firstLineChars="0"/>
        <w:rPr>
          <w:rFonts w:hint="eastAsia"/>
          <w:lang w:val="en-US" w:eastAsia="zh-C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p>
      <w:pPr>
        <w:bidi w:val="0"/>
        <w:jc w:val="center"/>
        <w:rPr>
          <w:rFonts w:hint="eastAsia" w:ascii="Times New Roman" w:hAnsi="Times New Roman" w:eastAsia="黑体"/>
          <w:color w:val="auto"/>
          <w:sz w:val="48"/>
          <w:szCs w:val="48"/>
          <w:highlight w:val="none"/>
        </w:rPr>
      </w:pPr>
    </w:p>
    <w:p>
      <w:pPr>
        <w:bidi w:val="0"/>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jc w:val="center"/>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31</w:t>
      </w:r>
      <w:bookmarkStart w:id="63" w:name="_GoBack"/>
      <w:bookmarkEnd w:id="63"/>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3"/>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pPr>
        <w:pStyle w:val="15"/>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................................................................................................3</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................................................................................................4</w:t>
      </w:r>
    </w:p>
    <w:p>
      <w:pPr>
        <w:pStyle w:val="13"/>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rPr>
        <w:t>部门决算情况说明</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.................................................................6</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.................................................................................6</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.................................................................................7</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..................................................7</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..........................................8</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................................11</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........................................11</w:t>
      </w:r>
    </w:p>
    <w:p>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....................................................13</w:t>
      </w:r>
    </w:p>
    <w:p>
      <w:pPr>
        <w:pStyle w:val="15"/>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........................14</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20"/>
          <w:rFonts w:hint="eastAsia" w:ascii="宋体" w:hAnsi="宋体" w:eastAsia="宋体" w:cs="宋体"/>
          <w:color w:val="auto"/>
          <w:sz w:val="24"/>
          <w:highlight w:val="none"/>
          <w:u w:val="none"/>
          <w:lang w:eastAsia="zh-CN"/>
        </w:rPr>
        <w:t>十</w:t>
      </w:r>
      <w:r>
        <w:rPr>
          <w:rStyle w:val="20"/>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................................14</w:t>
      </w:r>
    </w:p>
    <w:p>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...............................................16</w:t>
      </w:r>
    </w:p>
    <w:p>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...................................................21</w:t>
      </w:r>
    </w:p>
    <w:p>
      <w:pPr>
        <w:pStyle w:val="13"/>
        <w:adjustRightInd w:val="0"/>
        <w:snapToGrid w:val="0"/>
        <w:spacing w:before="0" w:line="440" w:lineRule="exact"/>
        <w:ind w:left="480" w:hanging="480" w:hangingChars="200"/>
        <w:jc w:val="left"/>
        <w:rPr>
          <w:rFonts w:hint="default"/>
          <w:color w:val="auto"/>
          <w:sz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...................................................22</w:t>
      </w:r>
    </w:p>
    <w:p>
      <w:pPr>
        <w:pStyle w:val="15"/>
        <w:bidi w:val="0"/>
        <w:rPr>
          <w:rFonts w:hint="eastAsia"/>
          <w:color w:val="auto"/>
          <w:highlight w:val="none"/>
        </w:rPr>
      </w:pPr>
      <w:r>
        <w:rPr>
          <w:rFonts w:hint="eastAsia"/>
          <w:sz w:val="24"/>
          <w:szCs w:val="24"/>
        </w:rPr>
        <w:t>一</w:t>
      </w:r>
      <w:r>
        <w:rPr>
          <w:rFonts w:hint="eastAsia"/>
        </w:rPr>
        <w:t>、收入支出决算总表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pPr>
        <w:pStyle w:val="15"/>
        <w:adjustRightInd w:val="0"/>
        <w:snapToGrid w:val="0"/>
        <w:spacing w:line="440" w:lineRule="exact"/>
        <w:jc w:val="left"/>
        <w:rPr>
          <w:rFonts w:hint="eastAsia"/>
          <w:color w:val="auto"/>
          <w:sz w:val="24"/>
          <w:highlight w:val="none"/>
          <w:lang w:val="en-US" w:eastAsia="zh-CN"/>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pPr>
        <w:pStyle w:val="15"/>
        <w:adjustRightInd w:val="0"/>
        <w:snapToGrid w:val="0"/>
        <w:spacing w:line="440" w:lineRule="exact"/>
        <w:jc w:val="left"/>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宋体" w:cs="Times New Roman"/>
          <w:color w:val="auto"/>
          <w:kern w:val="2"/>
          <w:sz w:val="24"/>
          <w:szCs w:val="24"/>
          <w:highlight w:val="none"/>
          <w:lang w:val="en-US" w:eastAsia="zh-CN" w:bidi="ar-SA"/>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pPr>
        <w:pStyle w:val="3"/>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eastAsia="zh-CN"/>
        </w:rPr>
        <w:t>单位</w:t>
      </w:r>
      <w:r>
        <w:rPr>
          <w:rStyle w:val="29"/>
          <w:rFonts w:hint="eastAsia" w:ascii="Times New Roman" w:hAnsi="Times New Roman" w:eastAsia="方正小标宋简体" w:cs="方正小标宋简体"/>
          <w:b w:val="0"/>
          <w:bCs w:val="0"/>
          <w:color w:val="auto"/>
          <w:highlight w:val="none"/>
        </w:rPr>
        <w:t>概况</w:t>
      </w:r>
      <w:bookmarkEnd w:id="6"/>
      <w:bookmarkEnd w:id="7"/>
    </w:p>
    <w:p>
      <w:pPr>
        <w:widowControl/>
        <w:jc w:val="left"/>
        <w:rPr>
          <w:rFonts w:ascii="Times New Roman" w:hAnsi="Times New Roman" w:eastAsia="黑体"/>
          <w:color w:val="auto"/>
          <w:sz w:val="32"/>
          <w:szCs w:val="32"/>
          <w:highlight w:val="none"/>
        </w:rPr>
      </w:pPr>
    </w:p>
    <w:p>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主要职责</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1.承担全面依法治国、依法治省、依法治市、依法治区重大问题的政策研究，协调有关方面提出全面依法治区规划建议，负责有关重大决策部署督察工作。</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2.负责区政府规范性文件、重大行政决策发布前的合法性审查。承办区政府规范性文件的报送备案工作。负责区政府各部门规范性文件报送区政府的备案审查工作。组织开展规范性文件清理。</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3.承担统筹推进法治政府建设的责任。指导监督区政府各部门依法行政工作。负责综合协调、监督检查行政执法，承担推进行政执法体系改革有关工作，推进严格规范公正文明执法。指导监督全区行政复议、行政应诉和行政赔偿工作，承办向区政府申请的行政复议、行政赔偿案件，代理区政府行政应诉案件。</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4.承担统筹规划法治社会建设的责任。负责拟订法治宣传教育规划，组织实施普法宣传工作，组织对外法治宣传。推动人民参与和促进法治建设。指导依法治理和法治创建工作。指导调解工作。负责并指导人民监督员的选任管理工作。指导人民陪审员选任工作。指导监督司法所建设和管理工作。负责职责范围内的安全生产工作。</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5.指导管理全区社区矫正工作。会同有关部门开展刑满释放人员帮教安置工作。</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6.负责拟订全区公共法律服务体系建设规划并指导实施，统筹和布局全区城乡、区域法律服务资源。指导监督律师、法律援助、公证和基层法律服务工作。</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7.负责本单位财务、装备、设施、场所等保障工作。指导监督所属事业单位的计划财务工作。负责所属事业单位内部审计工作。</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8.规划、协调、指导法治人才队伍建设相关工作，负责本单位队伍建设。</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00"/>
        <w:jc w:val="both"/>
        <w:rPr>
          <w:rFonts w:hint="eastAsia" w:ascii="仿宋" w:hAnsi="仿宋" w:eastAsia="仿宋" w:cs="Times New Roman"/>
          <w:color w:val="auto"/>
          <w:kern w:val="2"/>
          <w:sz w:val="32"/>
          <w:szCs w:val="32"/>
          <w:highlight w:val="none"/>
          <w:lang w:val="en-US" w:eastAsia="zh-CN" w:bidi="ar-SA"/>
        </w:rPr>
      </w:pPr>
      <w:r>
        <w:rPr>
          <w:rFonts w:hint="default" w:ascii="仿宋" w:hAnsi="仿宋" w:eastAsia="仿宋" w:cs="Times New Roman"/>
          <w:color w:val="auto"/>
          <w:kern w:val="2"/>
          <w:sz w:val="32"/>
          <w:szCs w:val="32"/>
          <w:highlight w:val="none"/>
          <w:lang w:val="en-US" w:eastAsia="zh-CN" w:bidi="ar-SA"/>
        </w:rPr>
        <w:t>9.负责本单位行政审批工作。负责全区外来企业投诉处理和民营企业法律服务工作。</w:t>
      </w:r>
    </w:p>
    <w:p>
      <w:pPr>
        <w:numPr>
          <w:ilvl w:val="0"/>
          <w:numId w:val="0"/>
        </w:numPr>
        <w:ind w:firstLine="640" w:firstLineChars="200"/>
        <w:rPr>
          <w:rFonts w:hint="eastAsia"/>
          <w:lang w:eastAsia="zh-CN"/>
        </w:rPr>
      </w:pPr>
      <w:r>
        <w:rPr>
          <w:rFonts w:hint="default" w:ascii="仿宋" w:hAnsi="仿宋" w:eastAsia="仿宋" w:cs="Times New Roman"/>
          <w:color w:val="auto"/>
          <w:kern w:val="2"/>
          <w:sz w:val="32"/>
          <w:szCs w:val="32"/>
          <w:highlight w:val="none"/>
          <w:lang w:val="en-US" w:eastAsia="zh-CN" w:bidi="ar-SA"/>
        </w:rPr>
        <w:t>10.完成区委、区政府交办的其他任务。</w:t>
      </w:r>
    </w:p>
    <w:p>
      <w:pPr>
        <w:pStyle w:val="4"/>
        <w:rPr>
          <w:rStyle w:val="30"/>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8"/>
      <w:bookmarkEnd w:id="9"/>
    </w:p>
    <w:p>
      <w:pPr>
        <w:ind w:firstLine="800" w:firstLineChars="25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攀枝花市西区司法局下属二级</w:t>
      </w:r>
      <w:r>
        <w:rPr>
          <w:rFonts w:hint="default" w:ascii="Times New Roman" w:hAnsi="Times New Roman" w:eastAsia="仿宋" w:cs="Times New Roman"/>
          <w:color w:val="auto"/>
          <w:sz w:val="32"/>
          <w:szCs w:val="32"/>
          <w:highlight w:val="none"/>
          <w:lang w:eastAsia="zh-CN"/>
        </w:rPr>
        <w:t>预算</w:t>
      </w:r>
      <w:r>
        <w:rPr>
          <w:rFonts w:hint="default" w:ascii="Times New Roman" w:hAnsi="Times New Roman" w:eastAsia="仿宋" w:cs="Times New Roman"/>
          <w:color w:val="auto"/>
          <w:sz w:val="32"/>
          <w:szCs w:val="32"/>
          <w:highlight w:val="none"/>
        </w:rPr>
        <w:t>单位</w:t>
      </w: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个，其中行政单位</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个，参照公务员法管理的事业单位</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个，其他事业单位</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个。</w:t>
      </w:r>
    </w:p>
    <w:p>
      <w:pPr>
        <w:pStyle w:val="6"/>
        <w:adjustRightInd w:val="0"/>
        <w:snapToGrid w:val="0"/>
        <w:spacing w:before="93" w:line="600" w:lineRule="exact"/>
        <w:ind w:firstLine="672" w:firstLineChars="21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纳入</w:t>
      </w:r>
      <w:r>
        <w:rPr>
          <w:rFonts w:hint="default" w:ascii="Times New Roman" w:hAnsi="Times New Roman" w:eastAsia="仿宋" w:cs="Times New Roman"/>
          <w:sz w:val="32"/>
          <w:szCs w:val="32"/>
        </w:rPr>
        <w:t>攀枝花市西区司法局</w:t>
      </w:r>
      <w:r>
        <w:rPr>
          <w:rFonts w:hint="default" w:ascii="Times New Roman" w:hAnsi="Times New Roman" w:eastAsia="仿宋" w:cs="Times New Roman"/>
          <w:color w:val="auto"/>
          <w:sz w:val="32"/>
          <w:szCs w:val="32"/>
          <w:highlight w:val="none"/>
          <w:lang w:eastAsia="zh-CN"/>
        </w:rPr>
        <w:t>2024年度</w:t>
      </w:r>
      <w:r>
        <w:rPr>
          <w:rFonts w:hint="default" w:ascii="Times New Roman" w:hAnsi="Times New Roman" w:eastAsia="仿宋" w:cs="Times New Roman"/>
          <w:color w:val="auto"/>
          <w:sz w:val="32"/>
          <w:szCs w:val="32"/>
          <w:highlight w:val="none"/>
        </w:rPr>
        <w:t>部门决算编制范围的二级预算单位包括：</w:t>
      </w:r>
    </w:p>
    <w:p>
      <w:pPr>
        <w:pStyle w:val="16"/>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93" w:beforeAutospacing="0" w:after="0" w:afterAutospacing="0" w:line="0" w:lineRule="atLeast"/>
        <w:ind w:firstLine="640" w:firstLineChars="200"/>
        <w:jc w:val="both"/>
        <w:rPr>
          <w:rFonts w:hint="default" w:ascii="Times New Roman" w:hAnsi="Times New Roman" w:eastAsia="仿宋" w:cs="Times New Roman"/>
          <w:sz w:val="32"/>
          <w:szCs w:val="32"/>
        </w:rPr>
      </w:pPr>
      <w:bookmarkStart w:id="10" w:name="_Toc19091"/>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西区法律援助中心</w:t>
      </w:r>
      <w:bookmarkEnd w:id="10"/>
    </w:p>
    <w:p>
      <w:pPr>
        <w:pStyle w:val="6"/>
        <w:adjustRightInd w:val="0"/>
        <w:snapToGrid w:val="0"/>
        <w:spacing w:before="93" w:line="600" w:lineRule="exact"/>
        <w:ind w:firstLine="640" w:firstLineChars="200"/>
        <w:rPr>
          <w:rFonts w:hint="eastAsia" w:ascii="Times New Roman" w:hAnsi="Times New Roman" w:eastAsia="仿宋_GB2312" w:cs="仿宋_GB2312"/>
          <w:color w:val="auto"/>
          <w:sz w:val="32"/>
          <w:szCs w:val="32"/>
          <w:highlight w:val="none"/>
        </w:rPr>
      </w:pPr>
      <w:bookmarkStart w:id="11" w:name="_Toc17537"/>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四川省攀枝花市玉泉公证处</w:t>
      </w:r>
      <w:bookmarkEnd w:id="11"/>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pPr>
        <w:rPr>
          <w:rFonts w:ascii="Times New Roman" w:hAnsi="Times New Roman"/>
          <w:color w:val="auto"/>
          <w:highlight w:val="none"/>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4"/>
      <w:bookmarkEnd w:id="1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2024年度收入</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总计</w:t>
      </w:r>
      <w:r>
        <w:rPr>
          <w:rFonts w:hint="default" w:ascii="Times New Roman" w:hAnsi="Times New Roman" w:eastAsia="仿宋" w:cs="Times New Roman"/>
          <w:color w:val="auto"/>
          <w:sz w:val="32"/>
          <w:szCs w:val="32"/>
          <w:highlight w:val="none"/>
          <w:lang w:eastAsia="zh-CN"/>
        </w:rPr>
        <w:t>均为</w:t>
      </w:r>
      <w:r>
        <w:rPr>
          <w:rFonts w:hint="default" w:ascii="Times New Roman" w:hAnsi="Times New Roman" w:eastAsia="仿宋" w:cs="Times New Roman"/>
          <w:sz w:val="32"/>
          <w:szCs w:val="32"/>
        </w:rPr>
        <w:t>791.87</w:t>
      </w:r>
      <w:r>
        <w:rPr>
          <w:rFonts w:hint="default" w:ascii="Times New Roman" w:hAnsi="Times New Roman" w:eastAsia="仿宋" w:cs="Times New Roman"/>
          <w:color w:val="auto"/>
          <w:sz w:val="32"/>
          <w:szCs w:val="32"/>
          <w:highlight w:val="none"/>
        </w:rPr>
        <w:t>万元。与</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w:t>
      </w:r>
      <w:r>
        <w:rPr>
          <w:rFonts w:hint="default" w:ascii="Times New Roman" w:hAnsi="Times New Roman" w:eastAsia="仿宋" w:cs="Times New Roman"/>
          <w:color w:val="auto"/>
          <w:sz w:val="32"/>
          <w:szCs w:val="32"/>
          <w:highlight w:val="none"/>
          <w:lang w:eastAsia="zh-CN"/>
        </w:rPr>
        <w:t>收入</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总计各减少</w:t>
      </w:r>
      <w:r>
        <w:rPr>
          <w:rFonts w:hint="default" w:ascii="Times New Roman" w:hAnsi="Times New Roman" w:eastAsia="仿宋" w:cs="Times New Roman"/>
          <w:color w:val="auto"/>
          <w:sz w:val="32"/>
          <w:szCs w:val="32"/>
          <w:highlight w:val="none"/>
          <w:lang w:val="en-US" w:eastAsia="zh-CN"/>
        </w:rPr>
        <w:t>74.1</w:t>
      </w:r>
      <w:r>
        <w:rPr>
          <w:rFonts w:hint="default" w:ascii="Times New Roman" w:hAnsi="Times New Roman" w:eastAsia="仿宋" w:cs="Times New Roman"/>
          <w:color w:val="auto"/>
          <w:sz w:val="32"/>
          <w:szCs w:val="32"/>
          <w:highlight w:val="none"/>
        </w:rPr>
        <w:t>万元，下降</w:t>
      </w:r>
      <w:r>
        <w:rPr>
          <w:rFonts w:hint="default" w:ascii="Times New Roman" w:hAnsi="Times New Roman" w:eastAsia="仿宋" w:cs="Times New Roman"/>
          <w:color w:val="auto"/>
          <w:sz w:val="32"/>
          <w:szCs w:val="32"/>
          <w:highlight w:val="none"/>
          <w:lang w:val="en-US" w:eastAsia="zh-CN"/>
        </w:rPr>
        <w:t>8.6</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eastAsia="zh-CN"/>
        </w:rPr>
        <w:t>项目经费减少</w:t>
      </w:r>
      <w:r>
        <w:rPr>
          <w:rFonts w:hint="eastAsia" w:ascii="Times New Roman" w:hAnsi="Times New Roman" w:eastAsia="仿宋"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572000" cy="2743200"/>
            <wp:effectExtent l="4445" t="4445" r="10795" b="1079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6"/>
      <w:bookmarkEnd w:id="17"/>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lang w:val="en-US" w:eastAsia="zh-CN"/>
        </w:rPr>
      </w:pPr>
      <w:r>
        <w:rPr>
          <w:rFonts w:hint="default" w:ascii="Times New Roman" w:hAnsi="Times New Roman" w:eastAsia="仿宋" w:cs="Times New Roman"/>
          <w:color w:val="auto"/>
          <w:sz w:val="32"/>
          <w:szCs w:val="32"/>
          <w:highlight w:val="none"/>
          <w:lang w:eastAsia="zh-CN"/>
        </w:rPr>
        <w:t>2024年度本年收入合计</w:t>
      </w:r>
      <w:r>
        <w:rPr>
          <w:rFonts w:hint="default" w:ascii="Times New Roman" w:hAnsi="Times New Roman" w:eastAsia="仿宋" w:cs="Times New Roman"/>
          <w:sz w:val="32"/>
          <w:szCs w:val="32"/>
        </w:rPr>
        <w:t>791.87万元，其中：一般公共预算财政拨款收入790.87</w:t>
      </w:r>
      <w:r>
        <w:rPr>
          <w:rFonts w:hint="default" w:ascii="Times New Roman" w:hAnsi="Times New Roman" w:eastAsia="仿宋" w:cs="Times New Roman"/>
          <w:color w:val="auto"/>
          <w:sz w:val="32"/>
          <w:szCs w:val="32"/>
          <w:highlight w:val="none"/>
          <w:lang w:eastAsia="zh-CN"/>
        </w:rPr>
        <w:t>万元，占</w:t>
      </w:r>
      <w:r>
        <w:rPr>
          <w:rFonts w:hint="default" w:ascii="Times New Roman" w:hAnsi="Times New Roman" w:eastAsia="仿宋" w:cs="Times New Roman"/>
          <w:sz w:val="32"/>
          <w:szCs w:val="32"/>
        </w:rPr>
        <w:t>99.87</w:t>
      </w:r>
      <w:r>
        <w:rPr>
          <w:rFonts w:hint="default" w:ascii="Times New Roman" w:hAnsi="Times New Roman" w:eastAsia="仿宋" w:cs="Times New Roman"/>
          <w:color w:val="auto"/>
          <w:sz w:val="32"/>
          <w:szCs w:val="32"/>
          <w:highlight w:val="none"/>
          <w:lang w:eastAsia="zh-CN"/>
        </w:rPr>
        <w:t>%；政府性基金预算财政拨收入</w:t>
      </w:r>
      <w:r>
        <w:rPr>
          <w:rFonts w:hint="default" w:ascii="Times New Roman" w:hAnsi="Times New Roman" w:eastAsia="仿宋" w:cs="Times New Roman"/>
          <w:sz w:val="32"/>
          <w:szCs w:val="32"/>
        </w:rPr>
        <w:t>1</w:t>
      </w:r>
      <w:r>
        <w:rPr>
          <w:rFonts w:hint="default" w:ascii="Times New Roman" w:hAnsi="Times New Roman" w:eastAsia="仿宋" w:cs="Times New Roman"/>
          <w:color w:val="auto"/>
          <w:sz w:val="32"/>
          <w:szCs w:val="32"/>
          <w:highlight w:val="none"/>
          <w:lang w:eastAsia="zh-CN"/>
        </w:rPr>
        <w:t>万元，占</w:t>
      </w:r>
      <w:r>
        <w:rPr>
          <w:rFonts w:hint="default" w:ascii="Times New Roman" w:hAnsi="Times New Roman" w:eastAsia="仿宋" w:cs="Times New Roman"/>
          <w:sz w:val="32"/>
          <w:szCs w:val="32"/>
        </w:rPr>
        <w:t>0.12%</w:t>
      </w:r>
      <w:r>
        <w:rPr>
          <w:rFonts w:hint="default" w:ascii="Times New Roman" w:hAnsi="Times New Roman" w:eastAsia="仿宋" w:cs="Times New Roman"/>
          <w:sz w:val="32"/>
          <w:szCs w:val="32"/>
          <w:lang w:eastAsia="zh-CN"/>
        </w:rPr>
        <w:t>。</w:t>
      </w:r>
    </w:p>
    <w:p>
      <w:pPr>
        <w:numPr>
          <w:ilvl w:val="0"/>
          <w:numId w:val="0"/>
        </w:numPr>
        <w:tabs>
          <w:tab w:val="left" w:pos="343"/>
          <w:tab w:val="center" w:pos="4213"/>
        </w:tabs>
        <w:ind w:leftChars="0"/>
        <w:jc w:val="left"/>
        <w:rPr>
          <w:rFonts w:hint="eastAsia" w:ascii="Times New Roman" w:hAnsi="Times New Roman" w:eastAsia="仿宋_GB2312" w:cs="仿宋_GB2312"/>
          <w:color w:val="auto"/>
          <w:sz w:val="32"/>
          <w:szCs w:val="32"/>
          <w:highlight w:val="none"/>
          <w:lang w:eastAsia="zh-CN"/>
        </w:rPr>
      </w:pPr>
      <w:r>
        <w:rPr>
          <w:rFonts w:hint="eastAsia"/>
          <w:lang w:eastAsia="zh-CN"/>
        </w:rPr>
        <w:tab/>
      </w:r>
      <w:r>
        <w:rPr>
          <w:rFonts w:hint="eastAsia"/>
          <w:lang w:eastAsia="zh-CN"/>
        </w:rPr>
        <w:tab/>
      </w:r>
      <w:r>
        <w:drawing>
          <wp:inline distT="0" distB="0" distL="114300" distR="114300">
            <wp:extent cx="3816985" cy="2499360"/>
            <wp:effectExtent l="4445" t="4445" r="19050" b="10795"/>
            <wp:docPr id="103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8" w:name="_Toc15377207"/>
      <w:bookmarkStart w:id="1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8"/>
      <w:bookmarkEnd w:id="19"/>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2024年度本年支出合计</w:t>
      </w:r>
      <w:r>
        <w:rPr>
          <w:rFonts w:hint="default" w:ascii="Times New Roman" w:hAnsi="Times New Roman" w:eastAsia="仿宋" w:cs="Times New Roman"/>
          <w:sz w:val="32"/>
          <w:szCs w:val="32"/>
        </w:rPr>
        <w:t>791.87</w:t>
      </w:r>
      <w:r>
        <w:rPr>
          <w:rFonts w:hint="default" w:ascii="Times New Roman" w:hAnsi="Times New Roman" w:eastAsia="仿宋" w:cs="Times New Roman"/>
          <w:color w:val="auto"/>
          <w:sz w:val="32"/>
          <w:szCs w:val="32"/>
          <w:highlight w:val="none"/>
          <w:lang w:eastAsia="zh-CN"/>
        </w:rPr>
        <w:t>万元，其中：基本支出</w:t>
      </w:r>
      <w:r>
        <w:rPr>
          <w:rFonts w:hint="default" w:ascii="Times New Roman" w:hAnsi="Times New Roman" w:eastAsia="仿宋" w:cs="Times New Roman"/>
          <w:sz w:val="32"/>
          <w:szCs w:val="32"/>
        </w:rPr>
        <w:t>689.04</w:t>
      </w:r>
      <w:r>
        <w:rPr>
          <w:rFonts w:hint="default" w:ascii="Times New Roman" w:hAnsi="Times New Roman" w:eastAsia="仿宋" w:cs="Times New Roman"/>
          <w:color w:val="auto"/>
          <w:sz w:val="32"/>
          <w:szCs w:val="32"/>
          <w:highlight w:val="none"/>
          <w:lang w:eastAsia="zh-CN"/>
        </w:rPr>
        <w:t>万元，占</w:t>
      </w:r>
      <w:r>
        <w:rPr>
          <w:rFonts w:hint="default" w:ascii="Times New Roman" w:hAnsi="Times New Roman" w:eastAsia="仿宋" w:cs="Times New Roman"/>
          <w:sz w:val="32"/>
          <w:szCs w:val="32"/>
        </w:rPr>
        <w:t>87.01</w:t>
      </w:r>
      <w:r>
        <w:rPr>
          <w:rFonts w:hint="default" w:ascii="Times New Roman" w:hAnsi="Times New Roman" w:eastAsia="仿宋" w:cs="Times New Roman"/>
          <w:color w:val="auto"/>
          <w:sz w:val="32"/>
          <w:szCs w:val="32"/>
          <w:highlight w:val="none"/>
          <w:lang w:eastAsia="zh-CN"/>
        </w:rPr>
        <w:t>%；项目支出</w:t>
      </w:r>
      <w:r>
        <w:rPr>
          <w:rFonts w:hint="default" w:ascii="Times New Roman" w:hAnsi="Times New Roman" w:eastAsia="仿宋" w:cs="Times New Roman"/>
          <w:sz w:val="32"/>
          <w:szCs w:val="32"/>
        </w:rPr>
        <w:t>102.83</w:t>
      </w:r>
      <w:r>
        <w:rPr>
          <w:rFonts w:hint="default" w:ascii="Times New Roman" w:hAnsi="Times New Roman" w:eastAsia="仿宋" w:cs="Times New Roman"/>
          <w:color w:val="auto"/>
          <w:sz w:val="32"/>
          <w:szCs w:val="32"/>
          <w:highlight w:val="none"/>
          <w:lang w:eastAsia="zh-CN"/>
        </w:rPr>
        <w:t>万元，占</w:t>
      </w:r>
      <w:r>
        <w:rPr>
          <w:rFonts w:hint="default" w:ascii="Times New Roman" w:hAnsi="Times New Roman" w:eastAsia="仿宋" w:cs="Times New Roman"/>
          <w:sz w:val="32"/>
          <w:szCs w:val="32"/>
        </w:rPr>
        <w:t>12.98</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eastAsia="zh-CN"/>
        </w:rPr>
        <w:t>。</w:t>
      </w:r>
    </w:p>
    <w:p>
      <w:pPr>
        <w:ind w:firstLine="525" w:firstLineChars="250"/>
      </w:pP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244975" cy="2446020"/>
            <wp:effectExtent l="4445" t="4445" r="17780" b="18415"/>
            <wp:docPr id="3"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30"/>
          <w:rFonts w:ascii="Times New Roman" w:hAnsi="Times New Roman" w:eastAsia="黑体"/>
          <w:b w:val="0"/>
          <w:color w:val="auto"/>
          <w:highlight w:val="none"/>
        </w:rPr>
      </w:pPr>
      <w:bookmarkStart w:id="20" w:name="_Toc15377208"/>
      <w:bookmarkStart w:id="21"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0"/>
      <w:bookmarkEnd w:id="21"/>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2024年度财政拨款收入、支出总计均为</w:t>
      </w:r>
      <w:r>
        <w:rPr>
          <w:rFonts w:hint="default" w:ascii="Times New Roman" w:hAnsi="Times New Roman" w:eastAsia="仿宋" w:cs="Times New Roman"/>
          <w:sz w:val="32"/>
          <w:szCs w:val="32"/>
        </w:rPr>
        <w:t>791.87</w:t>
      </w:r>
      <w:r>
        <w:rPr>
          <w:rFonts w:hint="default" w:ascii="Times New Roman" w:hAnsi="Times New Roman" w:eastAsia="仿宋" w:cs="Times New Roman"/>
          <w:color w:val="auto"/>
          <w:kern w:val="2"/>
          <w:sz w:val="32"/>
          <w:szCs w:val="32"/>
          <w:highlight w:val="none"/>
          <w:lang w:val="en-US" w:eastAsia="zh-CN" w:bidi="ar-SA"/>
        </w:rPr>
        <w:t>万元。与2023年度相比，财政拨款收入总计、支出总计各减少74.1万元，下降8.6%。主要变动原因是项目经费减少。</w:t>
      </w:r>
    </w:p>
    <w:p>
      <w:pPr>
        <w:spacing w:line="600" w:lineRule="exact"/>
        <w:ind w:firstLine="640"/>
      </w:pPr>
      <w:r>
        <w:drawing>
          <wp:anchor distT="0" distB="0" distL="114300" distR="114300" simplePos="0" relativeHeight="251658240" behindDoc="1" locked="0" layoutInCell="1" allowOverlap="1">
            <wp:simplePos x="0" y="0"/>
            <wp:positionH relativeFrom="column">
              <wp:posOffset>568325</wp:posOffset>
            </wp:positionH>
            <wp:positionV relativeFrom="paragraph">
              <wp:posOffset>149225</wp:posOffset>
            </wp:positionV>
            <wp:extent cx="4572000" cy="2743200"/>
            <wp:effectExtent l="4445" t="4445" r="10795" b="10795"/>
            <wp:wrapTight wrapText="bothSides">
              <wp:wrapPolygon>
                <wp:start x="-21" y="-35"/>
                <wp:lineTo x="-21" y="21565"/>
                <wp:lineTo x="21579" y="21565"/>
                <wp:lineTo x="21579" y="-35"/>
                <wp:lineTo x="-21" y="-3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outlineLvl w:val="1"/>
        <w:rPr>
          <w:rFonts w:hint="eastAsia" w:ascii="Times New Roman" w:hAnsi="Times New Roman" w:eastAsia="黑体"/>
          <w:color w:val="auto"/>
          <w:sz w:val="32"/>
          <w:szCs w:val="32"/>
          <w:highlight w:val="none"/>
        </w:rPr>
      </w:pPr>
      <w:bookmarkStart w:id="22" w:name="_Toc15396607"/>
      <w:bookmarkStart w:id="23" w:name="_Toc15377209"/>
    </w:p>
    <w:p>
      <w:pPr>
        <w:spacing w:line="600" w:lineRule="exact"/>
        <w:ind w:firstLine="640" w:firstLineChars="200"/>
        <w:outlineLvl w:val="1"/>
        <w:rPr>
          <w:rFonts w:hint="eastAsia" w:ascii="Times New Roman" w:hAnsi="Times New Roman" w:eastAsia="黑体"/>
          <w:color w:val="auto"/>
          <w:sz w:val="32"/>
          <w:szCs w:val="32"/>
          <w:highlight w:val="none"/>
        </w:rPr>
      </w:pPr>
    </w:p>
    <w:p>
      <w:pPr>
        <w:spacing w:line="600" w:lineRule="exact"/>
        <w:ind w:firstLine="640" w:firstLineChars="200"/>
        <w:outlineLvl w:val="1"/>
        <w:rPr>
          <w:rFonts w:hint="eastAsia" w:ascii="Times New Roman" w:hAnsi="Times New Roman" w:eastAsia="黑体"/>
          <w:color w:val="auto"/>
          <w:sz w:val="32"/>
          <w:szCs w:val="32"/>
          <w:highlight w:val="none"/>
        </w:rPr>
      </w:pPr>
    </w:p>
    <w:p>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2"/>
      <w:bookmarkEnd w:id="2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2024年度一般公共预算财政拨款支出</w:t>
      </w:r>
      <w:r>
        <w:rPr>
          <w:rFonts w:hint="default" w:ascii="Times New Roman" w:hAnsi="Times New Roman" w:eastAsia="仿宋" w:cs="Times New Roman"/>
          <w:sz w:val="32"/>
          <w:szCs w:val="32"/>
        </w:rPr>
        <w:t>790.87</w:t>
      </w:r>
      <w:r>
        <w:rPr>
          <w:rFonts w:hint="default" w:ascii="Times New Roman" w:hAnsi="Times New Roman" w:eastAsia="仿宋" w:cs="Times New Roman"/>
          <w:color w:val="auto"/>
          <w:kern w:val="2"/>
          <w:sz w:val="32"/>
          <w:szCs w:val="32"/>
          <w:highlight w:val="none"/>
          <w:lang w:val="en-US" w:eastAsia="zh-CN" w:bidi="ar-SA"/>
        </w:rPr>
        <w:t>万元，占本年支出合计的</w:t>
      </w:r>
      <w:r>
        <w:rPr>
          <w:rFonts w:hint="default" w:ascii="Times New Roman" w:hAnsi="Times New Roman" w:eastAsia="仿宋" w:cs="Times New Roman"/>
          <w:sz w:val="32"/>
          <w:szCs w:val="32"/>
        </w:rPr>
        <w:t>99.87</w:t>
      </w:r>
      <w:r>
        <w:rPr>
          <w:rFonts w:hint="default" w:ascii="Times New Roman" w:hAnsi="Times New Roman" w:eastAsia="仿宋" w:cs="Times New Roman"/>
          <w:color w:val="auto"/>
          <w:kern w:val="2"/>
          <w:sz w:val="32"/>
          <w:szCs w:val="32"/>
          <w:highlight w:val="none"/>
          <w:lang w:val="en-US" w:eastAsia="zh-CN" w:bidi="ar-SA"/>
        </w:rPr>
        <w:t>%。与2023年度相比，一般公共预算财政拨款支出减少54.55万元，下降6.5%。主要变动原因是项目经费减少。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jc w:val="center"/>
        <w:rPr>
          <w:rFonts w:hint="eastAsia"/>
          <w:lang w:val="en-US" w:eastAsia="zh-CN"/>
        </w:rPr>
      </w:pPr>
      <w:r>
        <w:drawing>
          <wp:inline distT="0" distB="0" distL="114300" distR="114300">
            <wp:extent cx="4572000" cy="2743200"/>
            <wp:effectExtent l="4445" t="4445" r="10795" b="10795"/>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pPr>
        <w:spacing w:line="600" w:lineRule="exact"/>
        <w:ind w:firstLine="640"/>
        <w:rPr>
          <w:rFonts w:hint="eastAsia"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2024年度一般公共预算财政拨款支出</w:t>
      </w:r>
      <w:r>
        <w:rPr>
          <w:rFonts w:hint="default" w:ascii="Times New Roman" w:hAnsi="Times New Roman" w:eastAsia="仿宋" w:cs="Times New Roman"/>
          <w:sz w:val="32"/>
          <w:szCs w:val="32"/>
        </w:rPr>
        <w:t>790.87</w:t>
      </w:r>
      <w:r>
        <w:rPr>
          <w:rFonts w:hint="default" w:ascii="Times New Roman" w:hAnsi="Times New Roman" w:eastAsia="仿宋" w:cs="Times New Roman"/>
          <w:color w:val="auto"/>
          <w:kern w:val="2"/>
          <w:sz w:val="32"/>
          <w:szCs w:val="32"/>
          <w:highlight w:val="none"/>
          <w:lang w:val="en-US" w:eastAsia="zh-CN" w:bidi="ar-SA"/>
        </w:rPr>
        <w:t>万元，主要用于以下方面：</w:t>
      </w:r>
      <w:r>
        <w:rPr>
          <w:rFonts w:hint="default" w:ascii="Times New Roman" w:hAnsi="Times New Roman" w:eastAsia="仿宋" w:cs="Times New Roman"/>
          <w:b/>
          <w:color w:val="auto"/>
          <w:sz w:val="32"/>
          <w:szCs w:val="32"/>
          <w:highlight w:val="none"/>
        </w:rPr>
        <w:t>公共安全支出</w:t>
      </w:r>
      <w:r>
        <w:rPr>
          <w:rFonts w:hint="default" w:ascii="Times New Roman" w:hAnsi="Times New Roman" w:eastAsia="仿宋" w:cs="Times New Roman"/>
          <w:b/>
          <w:color w:val="auto"/>
          <w:sz w:val="32"/>
          <w:szCs w:val="32"/>
          <w:highlight w:val="none"/>
          <w:lang w:val="en-US" w:eastAsia="zh-CN"/>
        </w:rPr>
        <w:t>613.17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77</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b/>
          <w:bCs/>
          <w:color w:val="auto"/>
          <w:sz w:val="32"/>
          <w:szCs w:val="32"/>
          <w:highlight w:val="none"/>
          <w:lang w:val="en-US" w:eastAsia="zh-CN"/>
        </w:rPr>
        <w:t>69.33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b/>
          <w:bCs/>
          <w:color w:val="auto"/>
          <w:sz w:val="32"/>
          <w:szCs w:val="32"/>
          <w:highlight w:val="none"/>
          <w:lang w:val="en-US" w:eastAsia="zh-CN"/>
        </w:rPr>
        <w:t>59.82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 w:cs="Times New Roman"/>
          <w:b/>
          <w:bCs/>
          <w:color w:val="auto"/>
          <w:sz w:val="32"/>
          <w:szCs w:val="32"/>
          <w:highlight w:val="none"/>
          <w:lang w:val="en-US" w:eastAsia="zh-CN"/>
        </w:rPr>
        <w:t>48.54</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jc w:val="center"/>
        <w:rPr>
          <w:rFonts w:hint="eastAsia"/>
          <w:lang w:val="en-US" w:eastAsia="zh-CN"/>
        </w:rPr>
      </w:pPr>
      <w:r>
        <w:drawing>
          <wp:inline distT="0" distB="0" distL="114300" distR="114300">
            <wp:extent cx="4572000" cy="2743200"/>
            <wp:effectExtent l="4445" t="4445" r="10795" b="1079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bookmarkStart w:id="27" w:name="_Toc15377444"/>
      <w:bookmarkStart w:id="28" w:name="_Toc15378460"/>
      <w:bookmarkStart w:id="29" w:name="_Toc15377213"/>
      <w:r>
        <w:rPr>
          <w:rFonts w:hint="default" w:ascii="Times New Roman" w:hAnsi="Times New Roman" w:eastAsia="仿宋"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 w:cs="Times New Roman"/>
          <w:sz w:val="32"/>
          <w:szCs w:val="32"/>
        </w:rPr>
        <w:t>790.87</w:t>
      </w:r>
      <w:r>
        <w:rPr>
          <w:rFonts w:hint="default" w:ascii="Times New Roman" w:hAnsi="Times New Roman" w:eastAsia="仿宋" w:cs="Times New Roman"/>
          <w:color w:val="auto"/>
          <w:kern w:val="2"/>
          <w:sz w:val="32"/>
          <w:szCs w:val="32"/>
          <w:highlight w:val="none"/>
          <w:lang w:val="en-US" w:eastAsia="zh-CN" w:bidi="ar-SA"/>
        </w:rPr>
        <w:t>，完成预算100%。其中：</w:t>
      </w:r>
      <w:bookmarkEnd w:id="27"/>
      <w:bookmarkEnd w:id="28"/>
      <w:bookmarkEnd w:id="29"/>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rPr>
        <w:t>1.公共安全支出（类）司法（款）行政运行（项）: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473.77</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Style w:val="19"/>
          <w:rFonts w:hint="default" w:ascii="Times New Roman" w:hAnsi="Times New Roman" w:eastAsia="仿宋" w:cs="Times New Roman"/>
          <w:b w:val="0"/>
          <w:bCs/>
          <w:color w:val="auto"/>
          <w:sz w:val="32"/>
          <w:szCs w:val="32"/>
          <w:highlight w:val="none"/>
        </w:rPr>
      </w:pPr>
      <w:r>
        <w:rPr>
          <w:rStyle w:val="19"/>
          <w:rFonts w:hint="default" w:ascii="Times New Roman" w:hAnsi="Times New Roman" w:eastAsia="仿宋" w:cs="Times New Roman"/>
          <w:bCs/>
          <w:color w:val="auto"/>
          <w:sz w:val="32"/>
          <w:szCs w:val="32"/>
          <w:highlight w:val="none"/>
        </w:rPr>
        <w:t>2.公共安全支出（类）司法（款）</w:t>
      </w:r>
      <w:r>
        <w:rPr>
          <w:rStyle w:val="19"/>
          <w:rFonts w:hint="default" w:ascii="Times New Roman" w:hAnsi="Times New Roman" w:eastAsia="仿宋" w:cs="Times New Roman"/>
          <w:bCs/>
          <w:color w:val="auto"/>
          <w:sz w:val="32"/>
          <w:szCs w:val="32"/>
          <w:highlight w:val="none"/>
          <w:lang w:eastAsia="zh-CN"/>
        </w:rPr>
        <w:t>基层司法业务</w:t>
      </w:r>
      <w:r>
        <w:rPr>
          <w:rStyle w:val="19"/>
          <w:rFonts w:hint="default" w:ascii="Times New Roman" w:hAnsi="Times New Roman" w:eastAsia="仿宋" w:cs="Times New Roman"/>
          <w:bCs/>
          <w:color w:val="auto"/>
          <w:sz w:val="32"/>
          <w:szCs w:val="32"/>
          <w:highlight w:val="none"/>
        </w:rPr>
        <w:t>（项）: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3.51</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pStyle w:val="2"/>
        <w:ind w:firstLine="643" w:firstLineChars="200"/>
        <w:rPr>
          <w:rStyle w:val="19"/>
          <w:rFonts w:hint="default" w:ascii="Times New Roman" w:hAnsi="Times New Roman" w:eastAsia="仿宋" w:cs="Times New Roman"/>
          <w:b w:val="0"/>
          <w:bCs/>
          <w:color w:val="auto"/>
          <w:sz w:val="32"/>
          <w:szCs w:val="32"/>
          <w:highlight w:val="none"/>
          <w:lang w:eastAsia="zh-CN"/>
        </w:rPr>
      </w:pPr>
      <w:r>
        <w:rPr>
          <w:rStyle w:val="19"/>
          <w:rFonts w:hint="default" w:ascii="Times New Roman" w:hAnsi="Times New Roman" w:eastAsia="仿宋" w:cs="Times New Roman"/>
          <w:bCs/>
          <w:color w:val="auto"/>
          <w:sz w:val="32"/>
          <w:szCs w:val="32"/>
          <w:highlight w:val="none"/>
        </w:rPr>
        <w:t>2.公共安全支出（类）司法（款）</w:t>
      </w:r>
      <w:r>
        <w:rPr>
          <w:rStyle w:val="19"/>
          <w:rFonts w:hint="default" w:ascii="Times New Roman" w:hAnsi="Times New Roman" w:eastAsia="仿宋" w:cs="Times New Roman"/>
          <w:bCs/>
          <w:color w:val="auto"/>
          <w:sz w:val="32"/>
          <w:szCs w:val="32"/>
          <w:highlight w:val="none"/>
          <w:lang w:eastAsia="zh-CN"/>
        </w:rPr>
        <w:t>普法宣传</w:t>
      </w:r>
      <w:r>
        <w:rPr>
          <w:rStyle w:val="19"/>
          <w:rFonts w:hint="default" w:ascii="Times New Roman" w:hAnsi="Times New Roman" w:eastAsia="仿宋" w:cs="Times New Roman"/>
          <w:bCs/>
          <w:color w:val="auto"/>
          <w:sz w:val="32"/>
          <w:szCs w:val="32"/>
          <w:highlight w:val="none"/>
        </w:rPr>
        <w:t>（项）: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1.85</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r>
        <w:rPr>
          <w:rStyle w:val="19"/>
          <w:rFonts w:hint="default" w:ascii="Times New Roman" w:hAnsi="Times New Roman" w:eastAsia="仿宋" w:cs="Times New Roman"/>
          <w:b w:val="0"/>
          <w:bCs/>
          <w:color w:val="auto"/>
          <w:sz w:val="32"/>
          <w:szCs w:val="32"/>
          <w:highlight w:val="none"/>
          <w:lang w:eastAsia="zh-CN"/>
        </w:rPr>
        <w:t>。</w:t>
      </w:r>
    </w:p>
    <w:p>
      <w:pPr>
        <w:pStyle w:val="2"/>
        <w:ind w:firstLine="643" w:firstLineChars="200"/>
        <w:rPr>
          <w:rStyle w:val="19"/>
          <w:rFonts w:hint="default" w:ascii="Times New Roman" w:hAnsi="Times New Roman" w:eastAsia="仿宋" w:cs="Times New Roman"/>
          <w:b w:val="0"/>
          <w:bCs/>
          <w:color w:val="auto"/>
          <w:sz w:val="32"/>
          <w:szCs w:val="32"/>
          <w:highlight w:val="none"/>
          <w:lang w:val="en-US" w:eastAsia="zh-CN"/>
        </w:rPr>
      </w:pPr>
      <w:r>
        <w:rPr>
          <w:rStyle w:val="19"/>
          <w:rFonts w:hint="default" w:ascii="Times New Roman" w:hAnsi="Times New Roman" w:eastAsia="仿宋" w:cs="Times New Roman"/>
          <w:bCs/>
          <w:color w:val="auto"/>
          <w:sz w:val="32"/>
          <w:szCs w:val="32"/>
          <w:highlight w:val="none"/>
        </w:rPr>
        <w:t>2.公共安全支出（类）司法（款）</w:t>
      </w:r>
      <w:r>
        <w:rPr>
          <w:rStyle w:val="19"/>
          <w:rFonts w:hint="default" w:ascii="Times New Roman" w:hAnsi="Times New Roman" w:eastAsia="仿宋" w:cs="Times New Roman"/>
          <w:bCs/>
          <w:color w:val="auto"/>
          <w:sz w:val="32"/>
          <w:szCs w:val="32"/>
          <w:highlight w:val="none"/>
          <w:lang w:eastAsia="zh-CN"/>
        </w:rPr>
        <w:t>律师管理</w:t>
      </w:r>
      <w:r>
        <w:rPr>
          <w:rStyle w:val="19"/>
          <w:rFonts w:hint="default" w:ascii="Times New Roman" w:hAnsi="Times New Roman" w:eastAsia="仿宋" w:cs="Times New Roman"/>
          <w:bCs/>
          <w:color w:val="auto"/>
          <w:sz w:val="32"/>
          <w:szCs w:val="32"/>
          <w:highlight w:val="none"/>
        </w:rPr>
        <w:t>（项）: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4</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r>
        <w:rPr>
          <w:rStyle w:val="19"/>
          <w:rFonts w:hint="default" w:ascii="Times New Roman" w:hAnsi="Times New Roman" w:eastAsia="仿宋" w:cs="Times New Roman"/>
          <w:b w:val="0"/>
          <w:bCs/>
          <w:color w:val="auto"/>
          <w:sz w:val="32"/>
          <w:szCs w:val="32"/>
          <w:highlight w:val="none"/>
          <w:lang w:val="en-US" w:eastAsia="zh-CN"/>
        </w:rPr>
        <w:t>.</w:t>
      </w:r>
    </w:p>
    <w:p>
      <w:pPr>
        <w:pStyle w:val="2"/>
        <w:ind w:firstLine="643" w:firstLineChars="200"/>
        <w:rPr>
          <w:rStyle w:val="19"/>
          <w:rFonts w:hint="default" w:ascii="Times New Roman" w:hAnsi="Times New Roman" w:eastAsia="仿宋" w:cs="Times New Roman"/>
          <w:b w:val="0"/>
          <w:bCs/>
          <w:color w:val="auto"/>
          <w:sz w:val="32"/>
          <w:szCs w:val="32"/>
          <w:highlight w:val="none"/>
          <w:lang w:eastAsia="zh-CN"/>
        </w:rPr>
      </w:pPr>
      <w:r>
        <w:rPr>
          <w:rStyle w:val="19"/>
          <w:rFonts w:hint="default" w:ascii="Times New Roman" w:hAnsi="Times New Roman" w:eastAsia="仿宋" w:cs="Times New Roman"/>
          <w:bCs/>
          <w:color w:val="auto"/>
          <w:sz w:val="32"/>
          <w:szCs w:val="32"/>
          <w:highlight w:val="none"/>
        </w:rPr>
        <w:t>2.公共安全支出（类）司法（款）</w:t>
      </w:r>
      <w:r>
        <w:rPr>
          <w:rStyle w:val="19"/>
          <w:rFonts w:hint="default" w:ascii="Times New Roman" w:hAnsi="Times New Roman" w:eastAsia="仿宋" w:cs="Times New Roman"/>
          <w:bCs/>
          <w:color w:val="auto"/>
          <w:sz w:val="32"/>
          <w:szCs w:val="32"/>
          <w:highlight w:val="none"/>
          <w:lang w:eastAsia="zh-CN"/>
        </w:rPr>
        <w:t>公共法律服务</w:t>
      </w:r>
      <w:r>
        <w:rPr>
          <w:rStyle w:val="19"/>
          <w:rFonts w:hint="default" w:ascii="Times New Roman" w:hAnsi="Times New Roman" w:eastAsia="仿宋" w:cs="Times New Roman"/>
          <w:bCs/>
          <w:color w:val="auto"/>
          <w:sz w:val="32"/>
          <w:szCs w:val="32"/>
          <w:highlight w:val="none"/>
        </w:rPr>
        <w:t>（项）: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2</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r>
        <w:rPr>
          <w:rStyle w:val="19"/>
          <w:rFonts w:hint="default" w:ascii="Times New Roman" w:hAnsi="Times New Roman" w:eastAsia="仿宋" w:cs="Times New Roman"/>
          <w:b w:val="0"/>
          <w:bCs/>
          <w:color w:val="auto"/>
          <w:sz w:val="32"/>
          <w:szCs w:val="32"/>
          <w:highlight w:val="none"/>
          <w:lang w:eastAsia="zh-CN"/>
        </w:rPr>
        <w:t>。</w:t>
      </w:r>
    </w:p>
    <w:p>
      <w:pPr>
        <w:spacing w:line="600" w:lineRule="exact"/>
        <w:ind w:firstLine="643" w:firstLineChars="200"/>
        <w:rPr>
          <w:rStyle w:val="19"/>
          <w:rFonts w:hint="default" w:ascii="Times New Roman" w:hAnsi="Times New Roman" w:eastAsia="仿宋" w:cs="Times New Roman"/>
          <w:b w:val="0"/>
          <w:bCs/>
          <w:color w:val="auto"/>
          <w:sz w:val="32"/>
          <w:szCs w:val="32"/>
          <w:highlight w:val="none"/>
        </w:rPr>
      </w:pPr>
      <w:r>
        <w:rPr>
          <w:rStyle w:val="19"/>
          <w:rFonts w:hint="default" w:ascii="Times New Roman" w:hAnsi="Times New Roman" w:eastAsia="仿宋" w:cs="Times New Roman"/>
          <w:bCs/>
          <w:color w:val="auto"/>
          <w:sz w:val="32"/>
          <w:szCs w:val="32"/>
          <w:highlight w:val="none"/>
        </w:rPr>
        <w:t>3.公共安全支出（类）司法（款）社区矫正（项）: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1.73</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pStyle w:val="2"/>
        <w:ind w:firstLine="643" w:firstLineChars="200"/>
        <w:rPr>
          <w:rFonts w:hint="default" w:ascii="Times New Roman" w:hAnsi="Times New Roman" w:eastAsia="仿宋" w:cs="Times New Roman"/>
          <w:sz w:val="32"/>
          <w:szCs w:val="32"/>
        </w:rPr>
      </w:pPr>
      <w:r>
        <w:rPr>
          <w:rStyle w:val="19"/>
          <w:rFonts w:hint="default" w:ascii="Times New Roman" w:hAnsi="Times New Roman" w:eastAsia="仿宋" w:cs="Times New Roman"/>
          <w:bCs/>
          <w:color w:val="auto"/>
          <w:sz w:val="32"/>
          <w:szCs w:val="32"/>
          <w:highlight w:val="none"/>
        </w:rPr>
        <w:t>2.公共安全支出（类）司法（款）</w:t>
      </w:r>
      <w:r>
        <w:rPr>
          <w:rStyle w:val="19"/>
          <w:rFonts w:hint="default" w:ascii="Times New Roman" w:hAnsi="Times New Roman" w:eastAsia="仿宋" w:cs="Times New Roman"/>
          <w:bCs/>
          <w:color w:val="auto"/>
          <w:sz w:val="32"/>
          <w:szCs w:val="32"/>
          <w:highlight w:val="none"/>
          <w:lang w:eastAsia="zh-CN"/>
        </w:rPr>
        <w:t>法治建设</w:t>
      </w:r>
      <w:r>
        <w:rPr>
          <w:rStyle w:val="19"/>
          <w:rFonts w:hint="default" w:ascii="Times New Roman" w:hAnsi="Times New Roman" w:eastAsia="仿宋" w:cs="Times New Roman"/>
          <w:bCs/>
          <w:color w:val="auto"/>
          <w:sz w:val="32"/>
          <w:szCs w:val="32"/>
          <w:highlight w:val="none"/>
        </w:rPr>
        <w:t>（项）: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2.80</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r>
        <w:rPr>
          <w:rStyle w:val="19"/>
          <w:rFonts w:hint="default" w:ascii="Times New Roman" w:hAnsi="Times New Roman" w:eastAsia="仿宋" w:cs="Times New Roman"/>
          <w:b w:val="0"/>
          <w:bCs/>
          <w:color w:val="auto"/>
          <w:sz w:val="32"/>
          <w:szCs w:val="32"/>
          <w:highlight w:val="none"/>
          <w:lang w:eastAsia="zh-CN"/>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rPr>
        <w:t>4.公共安全支出（类）司法（款）事业运行（项）: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37.58</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rPr>
        <w:t>5.公共安全支出（类）司法（款）其他司法支出（项）: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71.80</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rPr>
        <w:t>6.公共安全支出（类）其他公共安全支出（款）其他公共安全支出（项）: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14.14</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7</w:t>
      </w:r>
      <w:r>
        <w:rPr>
          <w:rStyle w:val="19"/>
          <w:rFonts w:hint="default" w:ascii="Times New Roman" w:hAnsi="Times New Roman" w:eastAsia="仿宋" w:cs="Times New Roman"/>
          <w:bCs/>
          <w:color w:val="auto"/>
          <w:sz w:val="32"/>
          <w:szCs w:val="32"/>
          <w:highlight w:val="none"/>
        </w:rPr>
        <w:t>.社会保障和就业支出（类）行政事业单位养老支出（款）行政单位离退休（项）: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13.10</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8</w:t>
      </w:r>
      <w:r>
        <w:rPr>
          <w:rStyle w:val="19"/>
          <w:rFonts w:hint="default" w:ascii="Times New Roman" w:hAnsi="Times New Roman" w:eastAsia="仿宋" w:cs="Times New Roman"/>
          <w:bCs/>
          <w:color w:val="auto"/>
          <w:sz w:val="32"/>
          <w:szCs w:val="32"/>
          <w:highlight w:val="none"/>
        </w:rPr>
        <w:t>.社会保障和就业支出（类）行政事业单位养老支出（款）机关事业单位基本养老保险缴费支出（项）: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56.22</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10</w:t>
      </w:r>
      <w:r>
        <w:rPr>
          <w:rStyle w:val="19"/>
          <w:rFonts w:hint="default" w:ascii="Times New Roman" w:hAnsi="Times New Roman" w:eastAsia="仿宋" w:cs="Times New Roman"/>
          <w:bCs/>
          <w:color w:val="auto"/>
          <w:sz w:val="32"/>
          <w:szCs w:val="32"/>
          <w:highlight w:val="none"/>
        </w:rPr>
        <w:t>.卫生健康支出（类）行政事业单位医疗（款）行政单位医疗（项）: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31.17</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11</w:t>
      </w:r>
      <w:r>
        <w:rPr>
          <w:rStyle w:val="19"/>
          <w:rFonts w:hint="default" w:ascii="Times New Roman" w:hAnsi="Times New Roman" w:eastAsia="仿宋" w:cs="Times New Roman"/>
          <w:bCs/>
          <w:color w:val="auto"/>
          <w:sz w:val="32"/>
          <w:szCs w:val="32"/>
          <w:highlight w:val="none"/>
        </w:rPr>
        <w:t>.卫生健康支出（类）行政事业单位医疗（款）事业单位医疗（项）: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2.63</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12</w:t>
      </w:r>
      <w:r>
        <w:rPr>
          <w:rStyle w:val="19"/>
          <w:rFonts w:hint="default" w:ascii="Times New Roman" w:hAnsi="Times New Roman" w:eastAsia="仿宋" w:cs="Times New Roman"/>
          <w:bCs/>
          <w:color w:val="auto"/>
          <w:sz w:val="32"/>
          <w:szCs w:val="32"/>
          <w:highlight w:val="none"/>
        </w:rPr>
        <w:t>.卫生健康支出（类）行政事业单位医疗（款）公务员医疗补助（项）: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24.36</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3" w:firstLineChars="200"/>
        <w:rPr>
          <w:rFonts w:hint="default" w:ascii="Times New Roman" w:hAnsi="Times New Roman" w:eastAsia="仿宋" w:cs="Times New Roman"/>
          <w:b/>
          <w:color w:val="auto"/>
          <w:sz w:val="32"/>
          <w:szCs w:val="32"/>
          <w:highlight w:val="none"/>
        </w:rPr>
      </w:pPr>
      <w:r>
        <w:rPr>
          <w:rStyle w:val="19"/>
          <w:rFonts w:hint="default" w:ascii="Times New Roman" w:hAnsi="Times New Roman" w:eastAsia="仿宋" w:cs="Times New Roman"/>
          <w:bCs/>
          <w:color w:val="auto"/>
          <w:sz w:val="32"/>
          <w:szCs w:val="32"/>
          <w:highlight w:val="none"/>
          <w:lang w:val="en-US" w:eastAsia="zh-CN"/>
        </w:rPr>
        <w:t>13</w:t>
      </w:r>
      <w:r>
        <w:rPr>
          <w:rStyle w:val="19"/>
          <w:rFonts w:hint="default" w:ascii="Times New Roman" w:hAnsi="Times New Roman" w:eastAsia="仿宋" w:cs="Times New Roman"/>
          <w:bCs/>
          <w:color w:val="auto"/>
          <w:sz w:val="32"/>
          <w:szCs w:val="32"/>
          <w:highlight w:val="none"/>
        </w:rPr>
        <w:t>.卫生健康支出（类）行政事业单位医疗（款）其他行政事业单位医疗支出（项）: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1.66</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Style w:val="19"/>
          <w:rFonts w:hint="default" w:ascii="Times New Roman" w:hAnsi="Times New Roman" w:eastAsia="仿宋" w:cs="Times New Roman"/>
          <w:bCs/>
          <w:color w:val="auto"/>
          <w:sz w:val="32"/>
          <w:szCs w:val="32"/>
          <w:highlight w:val="none"/>
          <w:lang w:val="en-US" w:eastAsia="zh-CN"/>
        </w:rPr>
        <w:t>14</w:t>
      </w:r>
      <w:r>
        <w:rPr>
          <w:rStyle w:val="19"/>
          <w:rFonts w:hint="default" w:ascii="Times New Roman" w:hAnsi="Times New Roman" w:eastAsia="仿宋" w:cs="Times New Roman"/>
          <w:bCs/>
          <w:color w:val="auto"/>
          <w:sz w:val="32"/>
          <w:szCs w:val="32"/>
          <w:highlight w:val="none"/>
        </w:rPr>
        <w:t>.住房保障支出（类）住房改革支出（款）住房公积金（项）:</w:t>
      </w:r>
      <w:r>
        <w:rPr>
          <w:rStyle w:val="19"/>
          <w:rFonts w:hint="default" w:ascii="Times New Roman" w:hAnsi="Times New Roman" w:eastAsia="仿宋" w:cs="Times New Roman"/>
          <w:b w:val="0"/>
          <w:bCs/>
          <w:color w:val="auto"/>
          <w:sz w:val="32"/>
          <w:szCs w:val="32"/>
          <w:highlight w:val="none"/>
        </w:rPr>
        <w:t>支出决算为</w:t>
      </w:r>
      <w:r>
        <w:rPr>
          <w:rStyle w:val="19"/>
          <w:rFonts w:hint="default" w:ascii="Times New Roman" w:hAnsi="Times New Roman" w:eastAsia="仿宋" w:cs="Times New Roman"/>
          <w:b w:val="0"/>
          <w:bCs/>
          <w:color w:val="auto"/>
          <w:sz w:val="32"/>
          <w:szCs w:val="32"/>
          <w:highlight w:val="none"/>
          <w:lang w:val="en-US" w:eastAsia="zh-CN"/>
        </w:rPr>
        <w:t>48.54</w:t>
      </w:r>
      <w:r>
        <w:rPr>
          <w:rStyle w:val="19"/>
          <w:rFonts w:hint="default" w:ascii="Times New Roman" w:hAnsi="Times New Roman" w:eastAsia="仿宋" w:cs="Times New Roman"/>
          <w:b w:val="0"/>
          <w:bCs/>
          <w:color w:val="auto"/>
          <w:sz w:val="32"/>
          <w:szCs w:val="32"/>
          <w:highlight w:val="none"/>
        </w:rPr>
        <w:t>万元，完成预算</w:t>
      </w:r>
      <w:r>
        <w:rPr>
          <w:rStyle w:val="19"/>
          <w:rFonts w:hint="default" w:ascii="Times New Roman" w:hAnsi="Times New Roman" w:eastAsia="仿宋" w:cs="Times New Roman"/>
          <w:b w:val="0"/>
          <w:bCs/>
          <w:color w:val="auto"/>
          <w:sz w:val="32"/>
          <w:szCs w:val="32"/>
          <w:highlight w:val="none"/>
          <w:lang w:val="en-US" w:eastAsia="zh-CN"/>
        </w:rPr>
        <w:t>100</w:t>
      </w:r>
      <w:r>
        <w:rPr>
          <w:rStyle w:val="19"/>
          <w:rFonts w:hint="default" w:ascii="Times New Roman" w:hAnsi="Times New Roman" w:eastAsia="仿宋" w:cs="Times New Roman"/>
          <w:b w:val="0"/>
          <w:bCs/>
          <w:color w:val="auto"/>
          <w:sz w:val="32"/>
          <w:szCs w:val="32"/>
          <w:highlight w:val="none"/>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tabs>
          <w:tab w:val="right" w:pos="8306"/>
        </w:tabs>
        <w:spacing w:line="600" w:lineRule="exact"/>
        <w:ind w:firstLine="640"/>
        <w:outlineLvl w:val="1"/>
        <w:rPr>
          <w:rStyle w:val="30"/>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0"/>
      <w:bookmarkEnd w:id="31"/>
      <w:r>
        <w:rPr>
          <w:rStyle w:val="30"/>
          <w:rFonts w:ascii="Times New Roman" w:hAnsi="Times New Roman" w:eastAsia="黑体"/>
          <w:b w:val="0"/>
          <w:color w:val="auto"/>
          <w:highlight w:val="none"/>
        </w:rPr>
        <w:tab/>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 w:cs="Times New Roman"/>
          <w:sz w:val="32"/>
          <w:szCs w:val="32"/>
        </w:rPr>
        <w:t>689.04</w:t>
      </w:r>
      <w:r>
        <w:rPr>
          <w:rFonts w:hint="default" w:ascii="Times New Roman" w:hAnsi="Times New Roman" w:eastAsia="仿宋" w:cs="Times New Roman"/>
          <w:color w:val="auto"/>
          <w:kern w:val="2"/>
          <w:sz w:val="32"/>
          <w:szCs w:val="32"/>
          <w:highlight w:val="none"/>
          <w:lang w:val="en-US" w:eastAsia="zh-CN" w:bidi="ar-SA"/>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人员经费641.62万元，主要包括：基本工资、津贴补贴、奖金、绩效工资、机关事业单位基本养老保险缴费、职工基本医疗保险缴费、公务员医疗补助缴费、其他社会保障缴费、住房公积金、其他工资福利支出、生活补助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公用经费47.42万元，主要包括：办公费、差旅费、公务接待费、工会经费、福利费、公务用车运行维护费、其他交通费用、其他商品和服务支出等。</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outlineLvl w:val="1"/>
        <w:rPr>
          <w:rStyle w:val="30"/>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2"/>
      <w:bookmarkEnd w:id="33"/>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 w:cs="Times New Roman"/>
          <w:sz w:val="32"/>
          <w:szCs w:val="32"/>
        </w:rPr>
        <w:t>1.23</w:t>
      </w:r>
      <w:r>
        <w:rPr>
          <w:rFonts w:hint="default" w:ascii="Times New Roman" w:hAnsi="Times New Roman" w:eastAsia="仿宋" w:cs="Times New Roman"/>
          <w:color w:val="auto"/>
          <w:kern w:val="2"/>
          <w:sz w:val="32"/>
          <w:szCs w:val="32"/>
          <w:highlight w:val="none"/>
          <w:lang w:val="en-US" w:eastAsia="zh-CN" w:bidi="ar-SA"/>
        </w:rPr>
        <w:t>万元，完成预算</w:t>
      </w:r>
      <w:r>
        <w:rPr>
          <w:rFonts w:hint="default" w:ascii="Times New Roman" w:hAnsi="Times New Roman" w:eastAsia="仿宋" w:cs="Times New Roman"/>
          <w:sz w:val="32"/>
          <w:szCs w:val="32"/>
        </w:rPr>
        <w:t>100</w:t>
      </w:r>
      <w:r>
        <w:rPr>
          <w:rFonts w:hint="default" w:ascii="Times New Roman" w:hAnsi="Times New Roman" w:eastAsia="仿宋" w:cs="Times New Roman"/>
          <w:color w:val="auto"/>
          <w:kern w:val="2"/>
          <w:sz w:val="32"/>
          <w:szCs w:val="32"/>
          <w:highlight w:val="none"/>
          <w:lang w:val="en-US" w:eastAsia="zh-CN" w:bidi="ar-SA"/>
        </w:rPr>
        <w:t>%，较上年减少0.15万元，下降11%。决算数小于预算数的主要原因是</w:t>
      </w:r>
      <w:r>
        <w:rPr>
          <w:rFonts w:hint="default" w:ascii="Times New Roman" w:hAnsi="Times New Roman" w:eastAsia="仿宋" w:cs="Times New Roman"/>
          <w:color w:val="auto"/>
          <w:sz w:val="32"/>
          <w:szCs w:val="32"/>
          <w:highlight w:val="none"/>
          <w:lang w:eastAsia="zh-CN"/>
        </w:rPr>
        <w:t>厉行节约，减少支出。</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 w:cs="Times New Roman"/>
          <w:sz w:val="32"/>
          <w:szCs w:val="32"/>
        </w:rPr>
        <w:t>1.16</w:t>
      </w:r>
      <w:r>
        <w:rPr>
          <w:rFonts w:hint="default" w:ascii="Times New Roman" w:hAnsi="Times New Roman" w:eastAsia="仿宋" w:cs="Times New Roman"/>
          <w:color w:val="auto"/>
          <w:kern w:val="2"/>
          <w:sz w:val="32"/>
          <w:szCs w:val="32"/>
          <w:highlight w:val="none"/>
          <w:lang w:val="en-US" w:eastAsia="zh-CN" w:bidi="ar-SA"/>
        </w:rPr>
        <w:t>万元，占94%；公务接待费支出决算</w:t>
      </w:r>
      <w:r>
        <w:rPr>
          <w:rFonts w:hint="default" w:ascii="Times New Roman" w:hAnsi="Times New Roman" w:eastAsia="仿宋" w:cs="Times New Roman"/>
          <w:sz w:val="32"/>
          <w:szCs w:val="32"/>
        </w:rPr>
        <w:t>0.08</w:t>
      </w:r>
      <w:r>
        <w:rPr>
          <w:rFonts w:hint="default" w:ascii="Times New Roman" w:hAnsi="Times New Roman" w:eastAsia="仿宋" w:cs="Times New Roman"/>
          <w:color w:val="auto"/>
          <w:kern w:val="2"/>
          <w:sz w:val="32"/>
          <w:szCs w:val="32"/>
          <w:highlight w:val="none"/>
          <w:lang w:val="en-US" w:eastAsia="zh-CN" w:bidi="ar-SA"/>
        </w:rPr>
        <w:t>万元，占6%。具体情况如下：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1" locked="0" layoutInCell="1" allowOverlap="1">
            <wp:simplePos x="0" y="0"/>
            <wp:positionH relativeFrom="column">
              <wp:posOffset>342265</wp:posOffset>
            </wp:positionH>
            <wp:positionV relativeFrom="paragraph">
              <wp:posOffset>233045</wp:posOffset>
            </wp:positionV>
            <wp:extent cx="4572000" cy="3078480"/>
            <wp:effectExtent l="4445" t="4445" r="10795" b="10795"/>
            <wp:wrapTight wrapText="bothSides">
              <wp:wrapPolygon>
                <wp:start x="-21" y="-31"/>
                <wp:lineTo x="-21" y="21569"/>
                <wp:lineTo x="21579" y="21569"/>
                <wp:lineTo x="21579" y="-31"/>
                <wp:lineTo x="-21" y="-31"/>
              </wp:wrapPolygon>
            </wp:wrapTight>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numPr>
          <w:ilvl w:val="0"/>
          <w:numId w:val="2"/>
        </w:num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因公出国（境）经费支出0万元，完成预算0%。</w:t>
      </w:r>
      <w:r>
        <w:rPr>
          <w:rFonts w:hint="default" w:ascii="Times New Roman" w:hAnsi="Times New Roman" w:eastAsia="仿宋" w:cs="Times New Roman"/>
          <w:color w:val="auto"/>
          <w:kern w:val="2"/>
          <w:sz w:val="32"/>
          <w:szCs w:val="32"/>
          <w:highlight w:val="none"/>
          <w:lang w:val="en-US" w:eastAsia="zh-CN" w:bidi="ar-SA"/>
        </w:rPr>
        <w:t>全年安排因公出国（境）团组</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次，出国（境）</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人。因公出国（境）支出决算</w:t>
      </w:r>
      <w:r>
        <w:rPr>
          <w:rFonts w:hint="eastAsia" w:eastAsia="仿宋" w:cs="Times New Roman"/>
          <w:color w:val="auto"/>
          <w:kern w:val="2"/>
          <w:sz w:val="32"/>
          <w:szCs w:val="32"/>
          <w:highlight w:val="none"/>
          <w:lang w:val="en-US" w:eastAsia="zh-CN" w:bidi="ar-SA"/>
        </w:rPr>
        <w:t>跟</w:t>
      </w:r>
      <w:r>
        <w:rPr>
          <w:rFonts w:hint="default" w:ascii="Times New Roman" w:hAnsi="Times New Roman" w:eastAsia="仿宋" w:cs="Times New Roman"/>
          <w:color w:val="auto"/>
          <w:kern w:val="2"/>
          <w:sz w:val="32"/>
          <w:szCs w:val="32"/>
          <w:highlight w:val="none"/>
          <w:lang w:val="en-US" w:eastAsia="zh-CN" w:bidi="ar-SA"/>
        </w:rPr>
        <w:t>2023年持平。</w:t>
      </w:r>
    </w:p>
    <w:p>
      <w:pPr>
        <w:numPr>
          <w:ilvl w:val="0"/>
          <w:numId w:val="0"/>
        </w:numPr>
        <w:spacing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开支内容包括：无</w:t>
      </w:r>
    </w:p>
    <w:p>
      <w:pPr>
        <w:numPr>
          <w:ilvl w:val="0"/>
          <w:numId w:val="2"/>
        </w:numPr>
        <w:spacing w:line="600" w:lineRule="exact"/>
        <w:ind w:left="0" w:leftChars="0" w:firstLine="640" w:firstLineChars="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公务用车购置及运行维护费支出1.16万元，完成预算100%。</w:t>
      </w:r>
      <w:r>
        <w:rPr>
          <w:rFonts w:hint="default" w:ascii="Times New Roman" w:hAnsi="Times New Roman" w:eastAsia="仿宋" w:cs="Times New Roman"/>
          <w:color w:val="auto"/>
          <w:kern w:val="2"/>
          <w:sz w:val="32"/>
          <w:szCs w:val="32"/>
          <w:highlight w:val="none"/>
          <w:lang w:val="en-US" w:eastAsia="zh-CN" w:bidi="ar-SA"/>
        </w:rPr>
        <w:t>公务用车购置及运行维护费支出决算比2023年度增加0.08万元，增长7%。主要原因是公务用车运行维护费增加。</w:t>
      </w:r>
    </w:p>
    <w:p>
      <w:pPr>
        <w:numPr>
          <w:ilvl w:val="0"/>
          <w:numId w:val="0"/>
        </w:numPr>
        <w:spacing w:line="600" w:lineRule="exact"/>
        <w:ind w:firstLine="640" w:firstLineChars="20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其中：公务用车购置支出</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万元。全年按规定更新购置公务用车0辆，其中：轿车0辆、金额0万元，越野车0辆、金额0万元，载客汽车0辆、金额0万元。截至2024年12月31日，单位共有公务用车1辆，其中：轿车1辆、越野车0辆、载客汽车0辆。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公务用车运行维护费支出</w:t>
      </w:r>
      <w:r>
        <w:rPr>
          <w:rFonts w:hint="default" w:ascii="Times New Roman" w:hAnsi="Times New Roman" w:eastAsia="仿宋" w:cs="Times New Roman"/>
          <w:sz w:val="32"/>
          <w:szCs w:val="32"/>
        </w:rPr>
        <w:t>1.16</w:t>
      </w:r>
      <w:r>
        <w:rPr>
          <w:rFonts w:hint="default" w:ascii="Times New Roman" w:hAnsi="Times New Roman" w:eastAsia="仿宋" w:cs="Times New Roman"/>
          <w:color w:val="auto"/>
          <w:kern w:val="2"/>
          <w:sz w:val="32"/>
          <w:szCs w:val="32"/>
          <w:highlight w:val="none"/>
          <w:lang w:val="en-US" w:eastAsia="zh-CN" w:bidi="ar-SA"/>
        </w:rPr>
        <w:t>万元。主要用于监督检查、办案时公务用车燃料费、维修费、过路过桥费、保险费等支出。</w:t>
      </w:r>
    </w:p>
    <w:p>
      <w:pPr>
        <w:numPr>
          <w:ilvl w:val="0"/>
          <w:numId w:val="2"/>
        </w:numPr>
        <w:spacing w:line="600" w:lineRule="exact"/>
        <w:ind w:left="0" w:leftChars="0" w:firstLine="640" w:firstLineChars="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b/>
          <w:bCs/>
          <w:color w:val="auto"/>
          <w:kern w:val="2"/>
          <w:sz w:val="32"/>
          <w:szCs w:val="32"/>
          <w:highlight w:val="none"/>
          <w:lang w:val="en-US" w:eastAsia="zh-CN" w:bidi="ar-SA"/>
        </w:rPr>
        <w:t>公务接待费支出0.08万元，完成预算100%。</w:t>
      </w:r>
      <w:r>
        <w:rPr>
          <w:rFonts w:hint="default" w:ascii="Times New Roman" w:hAnsi="Times New Roman" w:eastAsia="仿宋" w:cs="Times New Roman"/>
          <w:color w:val="auto"/>
          <w:kern w:val="2"/>
          <w:sz w:val="32"/>
          <w:szCs w:val="32"/>
          <w:highlight w:val="none"/>
          <w:lang w:val="en-US" w:eastAsia="zh-CN" w:bidi="ar-SA"/>
        </w:rPr>
        <w:t>公务接待费支出决算比2023年度减少0.22万元，下降73%。主要原因是减少</w:t>
      </w:r>
      <w:r>
        <w:rPr>
          <w:rFonts w:hint="default" w:ascii="Times New Roman" w:hAnsi="Times New Roman" w:eastAsia="仿宋" w:cs="Times New Roman"/>
          <w:color w:val="auto"/>
          <w:sz w:val="32"/>
          <w:szCs w:val="32"/>
          <w:highlight w:val="none"/>
          <w:lang w:eastAsia="zh-CN"/>
        </w:rPr>
        <w:t>了考察、调研公务接待。</w:t>
      </w:r>
      <w:r>
        <w:rPr>
          <w:rFonts w:hint="default" w:ascii="Times New Roman" w:hAnsi="Times New Roman" w:eastAsia="仿宋" w:cs="Times New Roman"/>
          <w:color w:val="auto"/>
          <w:kern w:val="2"/>
          <w:sz w:val="32"/>
          <w:szCs w:val="32"/>
          <w:highlight w:val="none"/>
          <w:lang w:val="en-US" w:eastAsia="zh-CN" w:bidi="ar-SA"/>
        </w:rPr>
        <w:t>其中：</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国内公务接待支出</w:t>
      </w:r>
      <w:r>
        <w:rPr>
          <w:rFonts w:hint="default" w:ascii="Times New Roman" w:hAnsi="Times New Roman" w:eastAsia="仿宋" w:cs="Times New Roman"/>
          <w:sz w:val="32"/>
          <w:szCs w:val="32"/>
        </w:rPr>
        <w:t>0.08</w:t>
      </w:r>
      <w:r>
        <w:rPr>
          <w:rFonts w:hint="default" w:ascii="Times New Roman" w:hAnsi="Times New Roman" w:eastAsia="仿宋" w:cs="Times New Roman"/>
          <w:color w:val="auto"/>
          <w:kern w:val="2"/>
          <w:sz w:val="32"/>
          <w:szCs w:val="32"/>
          <w:highlight w:val="none"/>
          <w:lang w:val="en-US" w:eastAsia="zh-CN" w:bidi="ar-SA"/>
        </w:rPr>
        <w:t>万元，主要用于督导检查</w:t>
      </w:r>
      <w:r>
        <w:rPr>
          <w:rFonts w:hint="default" w:ascii="Times New Roman" w:hAnsi="Times New Roman" w:eastAsia="仿宋" w:cs="Times New Roman"/>
          <w:color w:val="000000"/>
          <w:sz w:val="32"/>
          <w:szCs w:val="32"/>
        </w:rPr>
        <w:t>公务活动开支的用餐费</w:t>
      </w:r>
      <w:r>
        <w:rPr>
          <w:rFonts w:hint="default" w:ascii="Times New Roman" w:hAnsi="Times New Roman" w:eastAsia="仿宋" w:cs="Times New Roman"/>
          <w:color w:val="auto"/>
          <w:kern w:val="2"/>
          <w:sz w:val="32"/>
          <w:szCs w:val="32"/>
          <w:highlight w:val="none"/>
          <w:lang w:val="en-US" w:eastAsia="zh-CN" w:bidi="ar-SA"/>
        </w:rPr>
        <w:t>。国内公务接待</w:t>
      </w:r>
      <w:r>
        <w:rPr>
          <w:rFonts w:hint="default" w:ascii="Times New Roman" w:hAnsi="Times New Roman" w:eastAsia="仿宋" w:cs="Times New Roman"/>
          <w:sz w:val="32"/>
          <w:szCs w:val="32"/>
        </w:rPr>
        <w:t>1</w:t>
      </w:r>
      <w:r>
        <w:rPr>
          <w:rFonts w:hint="default" w:ascii="Times New Roman" w:hAnsi="Times New Roman" w:eastAsia="仿宋" w:cs="Times New Roman"/>
          <w:color w:val="auto"/>
          <w:kern w:val="2"/>
          <w:sz w:val="32"/>
          <w:szCs w:val="32"/>
          <w:highlight w:val="none"/>
          <w:lang w:val="en-US" w:eastAsia="zh-CN" w:bidi="ar-SA"/>
        </w:rPr>
        <w:t>批次，</w:t>
      </w:r>
      <w:r>
        <w:rPr>
          <w:rFonts w:hint="default" w:ascii="Times New Roman" w:hAnsi="Times New Roman" w:eastAsia="仿宋" w:cs="Times New Roman"/>
          <w:sz w:val="32"/>
          <w:szCs w:val="32"/>
        </w:rPr>
        <w:t>6</w:t>
      </w:r>
      <w:r>
        <w:rPr>
          <w:rFonts w:hint="default" w:ascii="Times New Roman" w:hAnsi="Times New Roman" w:eastAsia="仿宋" w:cs="Times New Roman"/>
          <w:color w:val="auto"/>
          <w:kern w:val="2"/>
          <w:sz w:val="32"/>
          <w:szCs w:val="32"/>
          <w:highlight w:val="none"/>
          <w:lang w:val="en-US" w:eastAsia="zh-CN" w:bidi="ar-SA"/>
        </w:rPr>
        <w:t>人次（不包括陪同人员），共计支出0.08万元，具体内容包括：上级开展社区矫正安全隐患专项排查整治督导检查。</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外事接待支出</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万元，共计支出0万元。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6"/>
      <w:bookmarkEnd w:id="37"/>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 w:cs="Times New Roman"/>
          <w:sz w:val="32"/>
          <w:szCs w:val="32"/>
        </w:rPr>
        <w:t>1</w:t>
      </w:r>
      <w:r>
        <w:rPr>
          <w:rFonts w:hint="default" w:ascii="Times New Roman" w:hAnsi="Times New Roman" w:eastAsia="仿宋" w:cs="Times New Roman"/>
          <w:color w:val="auto"/>
          <w:kern w:val="2"/>
          <w:sz w:val="32"/>
          <w:szCs w:val="32"/>
          <w:highlight w:val="none"/>
          <w:lang w:val="en-US" w:eastAsia="zh-CN" w:bidi="ar-SA"/>
        </w:rPr>
        <w:t>万元，占本年支出合计的</w:t>
      </w:r>
      <w:r>
        <w:rPr>
          <w:rFonts w:hint="default" w:ascii="Times New Roman" w:hAnsi="Times New Roman" w:eastAsia="仿宋" w:cs="Times New Roman"/>
          <w:sz w:val="32"/>
          <w:szCs w:val="32"/>
        </w:rPr>
        <w:t>0.12</w:t>
      </w:r>
      <w:r>
        <w:rPr>
          <w:rFonts w:hint="default" w:ascii="Times New Roman" w:hAnsi="Times New Roman" w:eastAsia="仿宋" w:cs="Times New Roman"/>
          <w:color w:val="auto"/>
          <w:kern w:val="2"/>
          <w:sz w:val="32"/>
          <w:szCs w:val="32"/>
          <w:highlight w:val="none"/>
          <w:lang w:val="en-US" w:eastAsia="zh-CN" w:bidi="ar-SA"/>
        </w:rPr>
        <w:t>%。与2023年度相比，政府性基金预算财政拨款支出减少19.55万元，下降95%。主要变动原因是项目支出减少。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8" w:name="_Toc15396611"/>
      <w:bookmarkStart w:id="39"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年</w:t>
      </w:r>
      <w:r>
        <w:rPr>
          <w:rFonts w:hint="default" w:ascii="Times New Roman" w:hAnsi="Times New Roman" w:eastAsia="仿宋" w:cs="Times New Roman"/>
          <w:color w:val="auto"/>
          <w:kern w:val="2"/>
          <w:sz w:val="32"/>
          <w:szCs w:val="32"/>
          <w:highlight w:val="none"/>
          <w:lang w:val="en-US" w:eastAsia="zh-CN" w:bidi="ar-SA"/>
        </w:rPr>
        <w:t>度国有资本经营预算财政拨款支出</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万元，占本年支出合计的</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%。与2023年度相比，</w:t>
      </w:r>
      <w:r>
        <w:rPr>
          <w:rFonts w:hint="eastAsia" w:eastAsia="仿宋" w:cs="Times New Roman"/>
          <w:color w:val="auto"/>
          <w:kern w:val="2"/>
          <w:sz w:val="32"/>
          <w:szCs w:val="32"/>
          <w:highlight w:val="none"/>
          <w:lang w:val="en-US" w:eastAsia="zh-CN" w:bidi="ar-SA"/>
        </w:rPr>
        <w:t>无变化。</w:t>
      </w:r>
    </w:p>
    <w:p>
      <w:pPr>
        <w:pStyle w:val="2"/>
        <w:rPr>
          <w:rFonts w:hint="eastAsia"/>
          <w:lang w:val="en-US" w:eastAsia="zh-CN"/>
        </w:rPr>
      </w:pPr>
    </w:p>
    <w:p>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0" w:name="_Toc15396612"/>
      <w:bookmarkStart w:id="41"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0"/>
      <w:bookmarkEnd w:id="41"/>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pPr>
        <w:tabs>
          <w:tab w:val="left" w:pos="1050"/>
        </w:tabs>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w:t>
      </w:r>
      <w:r>
        <w:rPr>
          <w:rFonts w:hint="default" w:ascii="Times New Roman" w:hAnsi="Times New Roman" w:eastAsia="仿宋" w:cs="Times New Roman"/>
          <w:sz w:val="32"/>
          <w:szCs w:val="32"/>
        </w:rPr>
        <w:t>攀枝花市西区司法局</w:t>
      </w:r>
      <w:r>
        <w:rPr>
          <w:rFonts w:hint="default" w:ascii="Times New Roman" w:hAnsi="Times New Roman" w:eastAsia="仿宋" w:cs="Times New Roman"/>
          <w:color w:val="auto"/>
          <w:kern w:val="2"/>
          <w:sz w:val="32"/>
          <w:szCs w:val="32"/>
          <w:highlight w:val="none"/>
          <w:lang w:val="en-US" w:eastAsia="zh-CN" w:bidi="ar-SA"/>
        </w:rPr>
        <w:t>机关运行经费支出</w:t>
      </w:r>
      <w:r>
        <w:rPr>
          <w:rFonts w:hint="default" w:ascii="Times New Roman" w:hAnsi="Times New Roman" w:eastAsia="仿宋" w:cs="Times New Roman"/>
          <w:sz w:val="32"/>
          <w:szCs w:val="32"/>
        </w:rPr>
        <w:t>47.42</w:t>
      </w:r>
      <w:r>
        <w:rPr>
          <w:rFonts w:hint="default" w:ascii="Times New Roman" w:hAnsi="Times New Roman" w:eastAsia="仿宋" w:cs="Times New Roman"/>
          <w:color w:val="auto"/>
          <w:kern w:val="2"/>
          <w:sz w:val="32"/>
          <w:szCs w:val="32"/>
          <w:highlight w:val="none"/>
          <w:lang w:val="en-US" w:eastAsia="zh-CN" w:bidi="ar-SA"/>
        </w:rPr>
        <w:t>万元，比2023年度减少2.27万元，下降5%。主要原因是</w:t>
      </w:r>
      <w:r>
        <w:rPr>
          <w:rFonts w:hint="eastAsia" w:eastAsia="仿宋" w:cs="Times New Roman"/>
          <w:color w:val="auto"/>
          <w:kern w:val="2"/>
          <w:sz w:val="32"/>
          <w:szCs w:val="32"/>
          <w:highlight w:val="none"/>
          <w:lang w:val="en-US" w:eastAsia="zh-CN" w:bidi="ar-SA"/>
        </w:rPr>
        <w:t>厉行勤俭节约，减少了支出。</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2024年度，</w:t>
      </w:r>
      <w:r>
        <w:rPr>
          <w:rFonts w:hint="default" w:ascii="Times New Roman" w:hAnsi="Times New Roman" w:eastAsia="仿宋" w:cs="Times New Roman"/>
          <w:sz w:val="32"/>
          <w:szCs w:val="32"/>
        </w:rPr>
        <w:t>攀枝花市西区司法局</w:t>
      </w:r>
      <w:r>
        <w:rPr>
          <w:rFonts w:hint="default" w:ascii="Times New Roman" w:hAnsi="Times New Roman" w:eastAsia="仿宋" w:cs="Times New Roman"/>
          <w:color w:val="auto"/>
          <w:kern w:val="2"/>
          <w:sz w:val="32"/>
          <w:szCs w:val="32"/>
          <w:highlight w:val="none"/>
          <w:lang w:val="en-US" w:eastAsia="zh-CN" w:bidi="ar-SA"/>
        </w:rPr>
        <w:t>政府采购支出总额</w:t>
      </w:r>
      <w:r>
        <w:rPr>
          <w:rFonts w:hint="default" w:ascii="Times New Roman" w:hAnsi="Times New Roman" w:eastAsia="仿宋" w:cs="Times New Roman"/>
          <w:sz w:val="32"/>
          <w:szCs w:val="32"/>
        </w:rPr>
        <w:t>96.4</w:t>
      </w:r>
      <w:r>
        <w:rPr>
          <w:rFonts w:hint="default" w:ascii="Times New Roman" w:hAnsi="Times New Roman" w:eastAsia="仿宋" w:cs="Times New Roman"/>
          <w:color w:val="auto"/>
          <w:kern w:val="2"/>
          <w:sz w:val="32"/>
          <w:szCs w:val="32"/>
          <w:highlight w:val="none"/>
          <w:lang w:val="en-US" w:eastAsia="zh-CN" w:bidi="ar-SA"/>
        </w:rPr>
        <w:t>万元，其中：政府采购货物支出</w:t>
      </w:r>
      <w:r>
        <w:rPr>
          <w:rFonts w:hint="default" w:ascii="Times New Roman" w:hAnsi="Times New Roman" w:eastAsia="仿宋" w:cs="Times New Roman"/>
          <w:sz w:val="32"/>
          <w:szCs w:val="32"/>
        </w:rPr>
        <w:t>6.46</w:t>
      </w:r>
      <w:r>
        <w:rPr>
          <w:rFonts w:hint="default" w:ascii="Times New Roman" w:hAnsi="Times New Roman" w:eastAsia="仿宋" w:cs="Times New Roman"/>
          <w:color w:val="auto"/>
          <w:kern w:val="2"/>
          <w:sz w:val="32"/>
          <w:szCs w:val="32"/>
          <w:highlight w:val="none"/>
          <w:lang w:val="en-US" w:eastAsia="zh-CN" w:bidi="ar-SA"/>
        </w:rPr>
        <w:t>万元、政府采购工程支出</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万元、政府采购服务支出</w:t>
      </w:r>
      <w:r>
        <w:rPr>
          <w:rFonts w:hint="default" w:ascii="Times New Roman" w:hAnsi="Times New Roman" w:eastAsia="仿宋" w:cs="Times New Roman"/>
          <w:sz w:val="32"/>
          <w:szCs w:val="32"/>
        </w:rPr>
        <w:t>89.94</w:t>
      </w:r>
      <w:r>
        <w:rPr>
          <w:rFonts w:hint="default" w:ascii="Times New Roman" w:hAnsi="Times New Roman" w:eastAsia="仿宋" w:cs="Times New Roman"/>
          <w:color w:val="auto"/>
          <w:kern w:val="2"/>
          <w:sz w:val="32"/>
          <w:szCs w:val="32"/>
          <w:highlight w:val="none"/>
          <w:lang w:val="en-US" w:eastAsia="zh-CN" w:bidi="ar-SA"/>
        </w:rPr>
        <w:t>万元。主要用于</w:t>
      </w:r>
      <w:r>
        <w:rPr>
          <w:rFonts w:hint="eastAsia" w:ascii="Times New Roman" w:hAnsi="Times New Roman" w:eastAsia="仿宋" w:cs="Times New Roman"/>
          <w:color w:val="auto"/>
          <w:kern w:val="2"/>
          <w:sz w:val="32"/>
          <w:szCs w:val="32"/>
          <w:highlight w:val="none"/>
          <w:lang w:val="en-US" w:eastAsia="zh-CN" w:bidi="ar-SA"/>
        </w:rPr>
        <w:t>社区矫正、法律援助等工作</w:t>
      </w:r>
      <w:r>
        <w:rPr>
          <w:rFonts w:hint="default" w:ascii="Times New Roman" w:hAnsi="Times New Roman" w:eastAsia="仿宋" w:cs="Times New Roman"/>
          <w:color w:val="auto"/>
          <w:kern w:val="2"/>
          <w:sz w:val="32"/>
          <w:szCs w:val="32"/>
          <w:highlight w:val="none"/>
          <w:lang w:val="en-US" w:eastAsia="zh-CN" w:bidi="ar-SA"/>
        </w:rPr>
        <w:t>。授予中小企业合同金额</w:t>
      </w:r>
      <w:r>
        <w:rPr>
          <w:rFonts w:hint="default" w:ascii="Times New Roman" w:hAnsi="Times New Roman" w:eastAsia="仿宋" w:cs="Times New Roman"/>
          <w:sz w:val="32"/>
          <w:szCs w:val="32"/>
        </w:rPr>
        <w:t>6.46</w:t>
      </w:r>
      <w:r>
        <w:rPr>
          <w:rFonts w:hint="default" w:ascii="Times New Roman" w:hAnsi="Times New Roman" w:eastAsia="仿宋" w:cs="Times New Roman"/>
          <w:color w:val="auto"/>
          <w:kern w:val="2"/>
          <w:sz w:val="32"/>
          <w:szCs w:val="32"/>
          <w:highlight w:val="none"/>
          <w:lang w:val="en-US" w:eastAsia="zh-CN" w:bidi="ar-SA"/>
        </w:rPr>
        <w:t>万元，占政府采购支出总额的</w:t>
      </w:r>
      <w:r>
        <w:rPr>
          <w:rFonts w:hint="default" w:ascii="Times New Roman" w:hAnsi="Times New Roman" w:eastAsia="仿宋" w:cs="Times New Roman"/>
          <w:sz w:val="32"/>
          <w:szCs w:val="32"/>
        </w:rPr>
        <w:t>6.69</w:t>
      </w:r>
      <w:r>
        <w:rPr>
          <w:rFonts w:hint="default" w:ascii="Times New Roman" w:hAnsi="Times New Roman" w:eastAsia="仿宋" w:cs="Times New Roman"/>
          <w:color w:val="auto"/>
          <w:kern w:val="2"/>
          <w:sz w:val="32"/>
          <w:szCs w:val="32"/>
          <w:highlight w:val="none"/>
          <w:lang w:val="en-US" w:eastAsia="zh-CN" w:bidi="ar-SA"/>
        </w:rPr>
        <w:t>%，其中：授予小微企业合同金额</w:t>
      </w:r>
      <w:r>
        <w:rPr>
          <w:rFonts w:hint="default" w:ascii="Times New Roman" w:hAnsi="Times New Roman" w:eastAsia="仿宋" w:cs="Times New Roman"/>
          <w:sz w:val="32"/>
          <w:szCs w:val="32"/>
        </w:rPr>
        <w:t>6.46</w:t>
      </w:r>
      <w:r>
        <w:rPr>
          <w:rFonts w:hint="default" w:ascii="Times New Roman" w:hAnsi="Times New Roman" w:eastAsia="仿宋" w:cs="Times New Roman"/>
          <w:color w:val="auto"/>
          <w:kern w:val="2"/>
          <w:sz w:val="32"/>
          <w:szCs w:val="32"/>
          <w:highlight w:val="none"/>
          <w:lang w:val="en-US" w:eastAsia="zh-CN" w:bidi="ar-SA"/>
        </w:rPr>
        <w:t>万元，占政府采购支出总额的</w:t>
      </w:r>
      <w:r>
        <w:rPr>
          <w:rFonts w:hint="default" w:ascii="Times New Roman" w:hAnsi="Times New Roman" w:eastAsia="仿宋" w:cs="Times New Roman"/>
          <w:sz w:val="32"/>
          <w:szCs w:val="32"/>
        </w:rPr>
        <w:t>6.69</w:t>
      </w:r>
      <w:r>
        <w:rPr>
          <w:rFonts w:hint="default" w:ascii="Times New Roman" w:hAnsi="Times New Roman" w:eastAsia="仿宋" w:cs="Times New Roman"/>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截至2024年12月31日，</w:t>
      </w:r>
      <w:r>
        <w:rPr>
          <w:rFonts w:hint="default" w:ascii="Times New Roman" w:hAnsi="Times New Roman" w:eastAsia="仿宋" w:cs="Times New Roman"/>
          <w:sz w:val="32"/>
          <w:szCs w:val="32"/>
        </w:rPr>
        <w:t>攀枝花市西区司法局</w:t>
      </w:r>
      <w:r>
        <w:rPr>
          <w:rFonts w:hint="default" w:ascii="Times New Roman" w:hAnsi="Times New Roman" w:eastAsia="仿宋" w:cs="Times New Roman"/>
          <w:color w:val="auto"/>
          <w:kern w:val="2"/>
          <w:sz w:val="32"/>
          <w:szCs w:val="32"/>
          <w:highlight w:val="none"/>
          <w:lang w:val="en-US" w:eastAsia="zh-CN" w:bidi="ar-SA"/>
        </w:rPr>
        <w:t>共有车辆</w:t>
      </w:r>
      <w:r>
        <w:rPr>
          <w:rFonts w:hint="default" w:ascii="Times New Roman" w:hAnsi="Times New Roman" w:eastAsia="仿宋" w:cs="Times New Roman"/>
          <w:sz w:val="32"/>
          <w:szCs w:val="32"/>
        </w:rPr>
        <w:t>1</w:t>
      </w:r>
      <w:r>
        <w:rPr>
          <w:rFonts w:hint="default" w:ascii="Times New Roman" w:hAnsi="Times New Roman" w:eastAsia="仿宋" w:cs="Times New Roman"/>
          <w:color w:val="auto"/>
          <w:kern w:val="2"/>
          <w:sz w:val="32"/>
          <w:szCs w:val="32"/>
          <w:highlight w:val="none"/>
          <w:lang w:val="en-US" w:eastAsia="zh-CN" w:bidi="ar-SA"/>
        </w:rPr>
        <w:t>辆，其中：主要负责人用车</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辆、机要通信用车</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辆、应急保障用车1辆。单价100万元（含）以上设备（不含车辆）</w:t>
      </w:r>
      <w:r>
        <w:rPr>
          <w:rFonts w:hint="default" w:ascii="Times New Roman" w:hAnsi="Times New Roman" w:eastAsia="仿宋" w:cs="Times New Roman"/>
          <w:sz w:val="32"/>
          <w:szCs w:val="32"/>
        </w:rPr>
        <w:t>0</w:t>
      </w:r>
      <w:r>
        <w:rPr>
          <w:rFonts w:hint="default" w:ascii="Times New Roman" w:hAnsi="Times New Roman" w:eastAsia="仿宋" w:cs="Times New Roman"/>
          <w:color w:val="auto"/>
          <w:kern w:val="2"/>
          <w:sz w:val="32"/>
          <w:szCs w:val="32"/>
          <w:highlight w:val="none"/>
          <w:lang w:val="en-US" w:eastAsia="zh-CN" w:bidi="ar-SA"/>
        </w:rPr>
        <w:t>台（套）。</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根据预算绩效管理要求，本部门在2024年度预算编制阶段，组织对</w:t>
      </w:r>
      <w:r>
        <w:rPr>
          <w:rFonts w:hint="default" w:ascii="Times New Roman" w:hAnsi="Times New Roman" w:eastAsia="仿宋" w:cs="Times New Roman"/>
          <w:color w:val="auto"/>
          <w:sz w:val="32"/>
          <w:szCs w:val="32"/>
          <w:highlight w:val="none"/>
          <w:lang w:eastAsia="zh-CN"/>
        </w:rPr>
        <w:t>政法</w:t>
      </w:r>
      <w:r>
        <w:rPr>
          <w:rFonts w:hint="default" w:ascii="Times New Roman" w:hAnsi="Times New Roman" w:eastAsia="仿宋" w:cs="Times New Roman"/>
          <w:color w:val="auto"/>
          <w:sz w:val="32"/>
          <w:szCs w:val="32"/>
          <w:highlight w:val="none"/>
        </w:rPr>
        <w:t>转移支付资金项目</w:t>
      </w:r>
      <w:r>
        <w:rPr>
          <w:rFonts w:hint="default" w:ascii="Times New Roman" w:hAnsi="Times New Roman" w:eastAsia="仿宋" w:cs="Times New Roman"/>
          <w:color w:val="auto"/>
          <w:sz w:val="32"/>
          <w:szCs w:val="32"/>
          <w:highlight w:val="none"/>
          <w:lang w:eastAsia="zh-CN"/>
        </w:rPr>
        <w:t>、安置帮教经费</w:t>
      </w:r>
      <w:r>
        <w:rPr>
          <w:rFonts w:hint="default" w:ascii="Times New Roman" w:hAnsi="Times New Roman" w:eastAsia="仿宋" w:cs="Times New Roman"/>
          <w:color w:val="auto"/>
          <w:sz w:val="32"/>
          <w:szCs w:val="32"/>
          <w:highlight w:val="none"/>
          <w:lang w:val="en-US" w:eastAsia="zh-CN"/>
        </w:rPr>
        <w:t>等1个项目开展了预算事前绩效评估，对1个项目编制了绩效目标，预算执行过程中，选取1个项目开</w:t>
      </w:r>
      <w:r>
        <w:rPr>
          <w:rFonts w:hint="default" w:ascii="Times New Roman" w:hAnsi="Times New Roman" w:eastAsia="仿宋" w:cs="Times New Roman"/>
          <w:color w:val="auto"/>
          <w:kern w:val="2"/>
          <w:sz w:val="32"/>
          <w:szCs w:val="32"/>
          <w:highlight w:val="none"/>
          <w:lang w:val="en-US" w:eastAsia="zh-CN" w:bidi="ar-SA"/>
        </w:rPr>
        <w:t>展绩效监控。</w:t>
      </w:r>
    </w:p>
    <w:p>
      <w:pPr>
        <w:adjustRightInd w:val="0"/>
        <w:snapToGrid w:val="0"/>
        <w:spacing w:line="360" w:lineRule="auto"/>
        <w:ind w:firstLine="640" w:firstLineChars="200"/>
        <w:rPr>
          <w:rFonts w:hint="default" w:ascii="Times New Roman" w:hAnsi="Times New Roman" w:eastAsia="仿宋" w:cs="Times New Roman"/>
          <w:b/>
          <w:bCs/>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组织对2024年度一般公共预算、政府性基金预算全面开展绩效自评，形成</w:t>
      </w:r>
      <w:r>
        <w:rPr>
          <w:rFonts w:hint="default" w:ascii="Times New Roman" w:hAnsi="Times New Roman" w:eastAsia="仿宋" w:cs="Times New Roman"/>
          <w:color w:val="auto"/>
          <w:sz w:val="32"/>
          <w:szCs w:val="32"/>
          <w:highlight w:val="none"/>
          <w:lang w:val="en-US" w:eastAsia="zh-CN"/>
        </w:rPr>
        <w:t>西区司法局</w:t>
      </w:r>
      <w:r>
        <w:rPr>
          <w:rFonts w:hint="default" w:ascii="Times New Roman" w:hAnsi="Times New Roman" w:eastAsia="仿宋" w:cs="Times New Roman"/>
          <w:color w:val="auto"/>
          <w:kern w:val="2"/>
          <w:sz w:val="32"/>
          <w:szCs w:val="32"/>
          <w:highlight w:val="none"/>
          <w:lang w:val="en-US" w:eastAsia="zh-CN" w:bidi="ar-SA"/>
        </w:rPr>
        <w:t>整体（含部门预算项目）绩效自评报告、</w:t>
      </w:r>
      <w:r>
        <w:rPr>
          <w:rFonts w:hint="default" w:ascii="Times New Roman" w:hAnsi="Times New Roman" w:eastAsia="仿宋" w:cs="Times New Roman"/>
          <w:color w:val="auto"/>
          <w:sz w:val="32"/>
          <w:szCs w:val="32"/>
          <w:highlight w:val="none"/>
          <w:lang w:eastAsia="zh-CN"/>
        </w:rPr>
        <w:t>政法</w:t>
      </w:r>
      <w:r>
        <w:rPr>
          <w:rFonts w:hint="default" w:ascii="Times New Roman" w:hAnsi="Times New Roman" w:eastAsia="仿宋" w:cs="Times New Roman"/>
          <w:color w:val="auto"/>
          <w:sz w:val="32"/>
          <w:szCs w:val="32"/>
          <w:highlight w:val="none"/>
        </w:rPr>
        <w:t>转移支付资金</w:t>
      </w:r>
      <w:r>
        <w:rPr>
          <w:rFonts w:hint="default" w:ascii="Times New Roman" w:hAnsi="Times New Roman" w:eastAsia="仿宋" w:cs="Times New Roman"/>
          <w:color w:val="auto"/>
          <w:sz w:val="32"/>
          <w:szCs w:val="32"/>
          <w:highlight w:val="none"/>
          <w:lang w:eastAsia="zh-CN"/>
        </w:rPr>
        <w:t>专项预算项目</w:t>
      </w:r>
      <w:r>
        <w:rPr>
          <w:rFonts w:hint="default" w:ascii="Times New Roman" w:hAnsi="Times New Roman" w:eastAsia="仿宋" w:cs="Times New Roman"/>
          <w:color w:val="auto"/>
          <w:sz w:val="32"/>
          <w:szCs w:val="32"/>
          <w:highlight w:val="none"/>
          <w:lang w:val="en-US" w:eastAsia="zh-CN"/>
        </w:rPr>
        <w:t>绩效</w:t>
      </w:r>
      <w:r>
        <w:rPr>
          <w:rFonts w:hint="default" w:ascii="Times New Roman" w:hAnsi="Times New Roman" w:eastAsia="仿宋" w:cs="Times New Roman"/>
          <w:color w:val="auto"/>
          <w:kern w:val="2"/>
          <w:sz w:val="32"/>
          <w:szCs w:val="32"/>
          <w:highlight w:val="none"/>
          <w:lang w:val="en-US" w:eastAsia="zh-CN" w:bidi="ar-SA"/>
        </w:rPr>
        <w:t>自评报告，其中，</w:t>
      </w:r>
      <w:r>
        <w:rPr>
          <w:rFonts w:hint="default" w:ascii="Times New Roman" w:hAnsi="Times New Roman" w:eastAsia="仿宋" w:cs="Times New Roman"/>
          <w:color w:val="auto"/>
          <w:sz w:val="32"/>
          <w:szCs w:val="32"/>
          <w:highlight w:val="none"/>
          <w:lang w:val="en-US" w:eastAsia="zh-CN"/>
        </w:rPr>
        <w:t>西区司法局</w:t>
      </w:r>
      <w:r>
        <w:rPr>
          <w:rFonts w:hint="default" w:ascii="Times New Roman" w:hAnsi="Times New Roman" w:eastAsia="仿宋" w:cs="Times New Roman"/>
          <w:color w:val="auto"/>
          <w:kern w:val="2"/>
          <w:sz w:val="32"/>
          <w:szCs w:val="32"/>
          <w:highlight w:val="none"/>
          <w:lang w:val="en-US" w:eastAsia="zh-CN" w:bidi="ar-SA"/>
        </w:rPr>
        <w:t>部门整体绩效自评得分为97分，绩效自评综述：</w:t>
      </w:r>
      <w:r>
        <w:rPr>
          <w:rFonts w:hint="default" w:ascii="Times New Roman" w:hAnsi="Times New Roman" w:eastAsia="仿宋" w:cs="Times New Roman"/>
          <w:color w:val="auto"/>
          <w:sz w:val="32"/>
          <w:szCs w:val="32"/>
          <w:highlight w:val="none"/>
          <w:lang w:val="en-US" w:eastAsia="zh-CN"/>
        </w:rPr>
        <w:t>2024年度较好地完成了年初制定的工作目标任务，各个项目有序开展，整体支出平稳，较好地实现了社会效益和可持续效益目标，通过自评，财政部门能够清晰完整地了解我局在预决算执行过程的问题</w:t>
      </w:r>
      <w:r>
        <w:rPr>
          <w:rFonts w:hint="default"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sz w:val="32"/>
          <w:szCs w:val="32"/>
          <w:highlight w:val="none"/>
          <w:lang w:val="en-US" w:eastAsia="zh-CN"/>
        </w:rPr>
        <w:t>政法转移支付</w:t>
      </w:r>
      <w:r>
        <w:rPr>
          <w:rFonts w:hint="default" w:ascii="Times New Roman" w:hAnsi="Times New Roman" w:eastAsia="仿宋" w:cs="Times New Roman"/>
          <w:color w:val="auto"/>
          <w:sz w:val="32"/>
          <w:szCs w:val="32"/>
          <w:highlight w:val="none"/>
          <w:lang w:eastAsia="zh-CN"/>
        </w:rPr>
        <w:t>专项预</w:t>
      </w:r>
      <w:r>
        <w:rPr>
          <w:rFonts w:hint="default" w:ascii="Times New Roman" w:hAnsi="Times New Roman" w:eastAsia="仿宋" w:cs="Times New Roman"/>
          <w:color w:val="auto"/>
          <w:sz w:val="32"/>
          <w:szCs w:val="32"/>
          <w:highlight w:val="none"/>
          <w:lang w:val="en-US" w:eastAsia="zh-CN"/>
        </w:rPr>
        <w:t>算项目绩效自评得</w:t>
      </w:r>
      <w:r>
        <w:rPr>
          <w:rFonts w:hint="default" w:ascii="Times New Roman" w:hAnsi="Times New Roman" w:eastAsia="仿宋" w:cs="Times New Roman"/>
          <w:color w:val="auto"/>
          <w:kern w:val="2"/>
          <w:sz w:val="32"/>
          <w:szCs w:val="32"/>
          <w:highlight w:val="none"/>
          <w:lang w:val="en-US" w:eastAsia="zh-CN" w:bidi="ar-SA"/>
        </w:rPr>
        <w:t>分为97分，绩效自评综述：</w:t>
      </w:r>
      <w:r>
        <w:rPr>
          <w:rFonts w:hint="default" w:ascii="Times New Roman" w:hAnsi="Times New Roman" w:eastAsia="仿宋" w:cs="Times New Roman"/>
          <w:color w:val="auto"/>
          <w:sz w:val="32"/>
          <w:szCs w:val="32"/>
          <w:highlight w:val="none"/>
          <w:lang w:val="zh-CN" w:eastAsia="zh-CN"/>
        </w:rPr>
        <w:t>按照确定的绩效目标，结合年度工作计划，具体实施分阶段开展落实，克服困难，较好地完成了年初设定的工作任务，实现了既定的目标，取得了良好的效果，达到了预期的目的，经济效益和社会效益均实现了双赢。</w:t>
      </w:r>
      <w:r>
        <w:rPr>
          <w:rFonts w:hint="default" w:ascii="Times New Roman" w:hAnsi="Times New Roman" w:eastAsia="仿宋" w:cs="Times New Roman"/>
          <w:color w:val="auto"/>
          <w:kern w:val="2"/>
          <w:sz w:val="32"/>
          <w:szCs w:val="32"/>
          <w:highlight w:val="none"/>
          <w:lang w:val="en-US" w:eastAsia="zh-CN" w:bidi="ar-SA"/>
        </w:rPr>
        <w:t>绩效自评报告详见附件。</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both"/>
        <w:outlineLvl w:val="0"/>
        <w:rPr>
          <w:rFonts w:hint="eastAsia" w:ascii="Times New Roman" w:hAnsi="Times New Roman" w:eastAsia="黑体"/>
          <w:color w:val="auto"/>
          <w:sz w:val="44"/>
          <w:szCs w:val="44"/>
          <w:highlight w:val="none"/>
        </w:rPr>
      </w:pPr>
      <w:bookmarkStart w:id="45" w:name="_Toc15396613"/>
      <w:bookmarkStart w:id="46" w:name="_Toc15377225"/>
    </w:p>
    <w:p>
      <w:pPr>
        <w:numPr>
          <w:ilvl w:val="0"/>
          <w:numId w:val="0"/>
        </w:numPr>
        <w:spacing w:line="600" w:lineRule="exact"/>
        <w:jc w:val="both"/>
        <w:outlineLvl w:val="0"/>
        <w:rPr>
          <w:rFonts w:hint="eastAsia" w:ascii="Times New Roman" w:hAnsi="Times New Roman" w:eastAsia="黑体"/>
          <w:color w:val="auto"/>
          <w:sz w:val="44"/>
          <w:szCs w:val="44"/>
          <w:highlight w:val="none"/>
        </w:rPr>
      </w:pPr>
    </w:p>
    <w:p>
      <w:pPr>
        <w:numPr>
          <w:ilvl w:val="0"/>
          <w:numId w:val="0"/>
        </w:numPr>
        <w:spacing w:line="600" w:lineRule="exact"/>
        <w:jc w:val="both"/>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pPr>
        <w:spacing w:line="600" w:lineRule="exact"/>
        <w:jc w:val="left"/>
        <w:rPr>
          <w:rFonts w:ascii="Times New Roman" w:hAnsi="Times New Roman"/>
          <w:b/>
          <w:color w:val="auto"/>
          <w:sz w:val="44"/>
          <w:szCs w:val="44"/>
          <w:highlight w:val="none"/>
        </w:rPr>
      </w:pP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1.财政拨款收入：指单位从同级财政部门取得的财政预算资金。</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4.其他收入：指单位取得的除上述收入以外的各项收入。 </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6.年初结转和结余：指以前年度尚未完成、结转到本年按有关规定继续使用的资金。 </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2"/>
          <w:sz w:val="32"/>
          <w:szCs w:val="32"/>
          <w:highlight w:val="none"/>
          <w:lang w:val="en-US" w:eastAsia="zh-CN" w:bidi="ar-SA"/>
        </w:rPr>
        <w:t>9.</w:t>
      </w:r>
      <w:r>
        <w:rPr>
          <w:rFonts w:hint="default" w:ascii="Times New Roman" w:hAnsi="Times New Roman" w:eastAsia="仿宋" w:cs="Times New Roman"/>
          <w:color w:val="auto"/>
          <w:sz w:val="32"/>
          <w:szCs w:val="32"/>
          <w:highlight w:val="none"/>
        </w:rPr>
        <w:t>公共安全支出（类）司法（款）行政运行（项）：指</w:t>
      </w:r>
      <w:r>
        <w:rPr>
          <w:rFonts w:hint="default" w:ascii="Times New Roman" w:hAnsi="Times New Roman" w:eastAsia="仿宋" w:cs="Times New Roman"/>
          <w:color w:val="000000"/>
          <w:sz w:val="32"/>
          <w:szCs w:val="32"/>
        </w:rPr>
        <w:t>行政单位（包括实行公务员管理的事业单位）的基本支出</w:t>
      </w:r>
      <w:r>
        <w:rPr>
          <w:rFonts w:hint="default" w:ascii="Times New Roman" w:hAnsi="Times New Roman" w:eastAsia="仿宋" w:cs="Times New Roman"/>
          <w:color w:val="auto"/>
          <w:sz w:val="32"/>
          <w:szCs w:val="32"/>
          <w:highlight w:val="none"/>
        </w:rPr>
        <w:t>。</w:t>
      </w:r>
    </w:p>
    <w:p>
      <w:pPr>
        <w:spacing w:line="600" w:lineRule="exact"/>
        <w:ind w:firstLine="64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kern w:val="2"/>
          <w:sz w:val="32"/>
          <w:szCs w:val="32"/>
          <w:highlight w:val="none"/>
          <w:lang w:val="en-US" w:eastAsia="zh-CN" w:bidi="ar-SA"/>
        </w:rPr>
        <w:t>10.</w:t>
      </w:r>
      <w:r>
        <w:rPr>
          <w:rFonts w:hint="default" w:ascii="Times New Roman" w:hAnsi="Times New Roman" w:eastAsia="仿宋" w:cs="Times New Roman"/>
          <w:color w:val="auto"/>
          <w:sz w:val="32"/>
          <w:szCs w:val="32"/>
          <w:highlight w:val="none"/>
        </w:rPr>
        <w:t>公共安全支出（类）司法（款）基层司法业务（项）</w:t>
      </w:r>
      <w:r>
        <w:rPr>
          <w:rFonts w:hint="default" w:ascii="Times New Roman" w:hAnsi="Times New Roman" w:eastAsia="仿宋" w:cs="Times New Roman"/>
          <w:color w:val="auto"/>
          <w:sz w:val="32"/>
          <w:szCs w:val="32"/>
          <w:highlight w:val="none"/>
          <w:lang w:eastAsia="zh-CN"/>
        </w:rPr>
        <w:t>：指反映各级司法行政部门用于基层业务的支出。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11.公共安全支出（类）司法（款）普法宣传（项）：指反映各级司法行政部门用于组织各种媒体的宣传、普法装备与设施、宣传资料、对外宣传、法制作品的审读评审等方面的支出。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12.公共安全支出（类）司法（款）律师管理（项）：指反映司法行政部门用于律师管理和法律顾问的相关支出。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13.公共安全支出（类）司法（款）公共法律服务（项）：指反映司法行政部门用于法律援助、司法鉴定、公证、仲裁等公共法律服务工作的相关支出。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14.公共安全支出（类）司法（款）社区矫正（项）：指反映司法行政部门用于社区矫正的相关支出。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15.公共安全支出（类）司法（款）法治建设（项）：指反映全面依法治国相关工作和行政立法、执法监督、行政复议等方面的支出。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16.公共安全支出（类）司法（款）事业运行（项）：指反映事业单位的基本支出，不包括行政单位（包括实行公务员管理的事业单位）后勤服务中心、医务室等附属事业单位。</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17.公共安全支出（类）司法（款）其他司法支出（项）：指反映除上述项目以外其他用于司法方面的支出。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18.公共安全支出（类）其他公共安全支出（款）其他公共安全支出（项）：指反映除上述项目以外其他用于司法方面的支出。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19.社会保障和就业支出（类）行政事业单位养老支出（款）行政单位离退休（项）：指行政单位（包括实行公务员管理的事业单位）开支的离退休支出。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20.社会保障和就业支出（类）行政事业单位养老支出（款）机关事业单位基本养老保险缴费支出（项）：指机关事业单位实施养老保险制度有单位缴纳的基本养老保险费支出。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21.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22.卫生健康支出（类）行政事业单位医疗（款）事业单位医疗（项）：指反映财政部门安排的事业单位基本医疗保险缴费经费，未参加医疗保险的事业单位的公费医疗经费，按国家规定享受离休人员待遇的医疗经费。</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23.卫生健康支出（类）行政事业单位医疗（款）公务员医疗补助（项）：指反映财政部门安排的公务员医疗补助经费。</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24.卫生健康支出（类）行政事业单位医疗（款）其他行政事业单位医疗支出（项）：指反映除上述项目以外的其他用于行政事业单位医疗方面的支出。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25.城乡社区支出（类）国有土地使用权出让收入安排的支出（款）土地开发支出（项）：指反映新疆生产建设兵团和地方政府用于前期土地开发性支出以及前期土地开发相关的费用支出。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26.住房保障支出（类）住房改革支出（款）住房公积金（项）：指行政事业单位按人力资源和社会保障部、财政部规定的基本工资和津贴补贴以及规定比例为职工缴纳的住房公积金。</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27.基本支出：指为保障机构正常运转、完成日常工作任务而发生的人员支出和公用支出。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 xml:space="preserve">28.项目支出：指在基本支出之外为完成特定行政任务和事业发展目标所发生的支出。 </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29.经营支出：指事业单位在专业业务活动及其辅助活动之外开展非独立核算经营活动发生的支出。</w:t>
      </w:r>
    </w:p>
    <w:p>
      <w:pPr>
        <w:spacing w:line="600" w:lineRule="exact"/>
        <w:ind w:firstLine="64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hint="default" w:ascii="Times New Roman" w:hAnsi="Times New Roman" w:eastAsia="方正小标宋简体" w:cs="Times New Roman"/>
          <w:b w:val="0"/>
          <w:bCs/>
          <w:sz w:val="44"/>
          <w:szCs w:val="44"/>
          <w:highlight w:val="none"/>
          <w:shd w:val="clear" w:color="auto" w:fill="FFFFFF"/>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6"/>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rPr>
        <w:br w:type="page"/>
      </w: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7"/>
      <w:bookmarkEnd w:id="49"/>
      <w:bookmarkStart w:id="50"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55102"/>
    <w:multiLevelType w:val="singleLevel"/>
    <w:tmpl w:val="88E55102"/>
    <w:lvl w:ilvl="0" w:tentative="0">
      <w:start w:val="1"/>
      <w:numFmt w:val="chineseCounting"/>
      <w:suff w:val="nothing"/>
      <w:lvlText w:val="%1、"/>
      <w:lvlJc w:val="left"/>
      <w:rPr>
        <w:rFonts w:hint="eastAsia"/>
      </w:rPr>
    </w:lvl>
  </w:abstractNum>
  <w:abstractNum w:abstractNumId="1">
    <w:nsid w:val="B6FAF69E"/>
    <w:multiLevelType w:val="singleLevel"/>
    <w:tmpl w:val="B6FAF69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7AE"/>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642716"/>
    <w:rsid w:val="02FEBE30"/>
    <w:rsid w:val="04916F1E"/>
    <w:rsid w:val="059B500E"/>
    <w:rsid w:val="061E35DE"/>
    <w:rsid w:val="066E0107"/>
    <w:rsid w:val="07546722"/>
    <w:rsid w:val="07996F6E"/>
    <w:rsid w:val="07DFD8BA"/>
    <w:rsid w:val="087772CE"/>
    <w:rsid w:val="0890315B"/>
    <w:rsid w:val="08F658AC"/>
    <w:rsid w:val="092801DC"/>
    <w:rsid w:val="09867E8F"/>
    <w:rsid w:val="09CB0D9C"/>
    <w:rsid w:val="0A2032A3"/>
    <w:rsid w:val="0CA8290A"/>
    <w:rsid w:val="0D35B1ED"/>
    <w:rsid w:val="0D4202FC"/>
    <w:rsid w:val="0DCA3ABE"/>
    <w:rsid w:val="0E254B6B"/>
    <w:rsid w:val="0F98263C"/>
    <w:rsid w:val="101860EC"/>
    <w:rsid w:val="101F47CC"/>
    <w:rsid w:val="10C055FF"/>
    <w:rsid w:val="11694EBD"/>
    <w:rsid w:val="11772AA4"/>
    <w:rsid w:val="118107EC"/>
    <w:rsid w:val="11963B2F"/>
    <w:rsid w:val="12E24EE2"/>
    <w:rsid w:val="131A3568"/>
    <w:rsid w:val="13D50BC4"/>
    <w:rsid w:val="14B17F78"/>
    <w:rsid w:val="155A0AC9"/>
    <w:rsid w:val="165E0673"/>
    <w:rsid w:val="16B831D5"/>
    <w:rsid w:val="16BB723D"/>
    <w:rsid w:val="17E50567"/>
    <w:rsid w:val="17F26078"/>
    <w:rsid w:val="186504BB"/>
    <w:rsid w:val="19637EB0"/>
    <w:rsid w:val="19A445FC"/>
    <w:rsid w:val="1B7302CD"/>
    <w:rsid w:val="1BE8440E"/>
    <w:rsid w:val="1C0A619D"/>
    <w:rsid w:val="1D155CEE"/>
    <w:rsid w:val="1D1638FE"/>
    <w:rsid w:val="1E312DEB"/>
    <w:rsid w:val="1E740ACF"/>
    <w:rsid w:val="1FF35744"/>
    <w:rsid w:val="1FF6BC77"/>
    <w:rsid w:val="2186353C"/>
    <w:rsid w:val="23860B96"/>
    <w:rsid w:val="240371BF"/>
    <w:rsid w:val="244F3473"/>
    <w:rsid w:val="24994305"/>
    <w:rsid w:val="24C97D99"/>
    <w:rsid w:val="25A718F0"/>
    <w:rsid w:val="25BB59F6"/>
    <w:rsid w:val="260F557C"/>
    <w:rsid w:val="26970054"/>
    <w:rsid w:val="27A571ED"/>
    <w:rsid w:val="281408E2"/>
    <w:rsid w:val="29FD04D3"/>
    <w:rsid w:val="2B603F14"/>
    <w:rsid w:val="2BB4204E"/>
    <w:rsid w:val="2BFF7BC6"/>
    <w:rsid w:val="2C8A61B5"/>
    <w:rsid w:val="2D867216"/>
    <w:rsid w:val="2DB65757"/>
    <w:rsid w:val="2DF04E50"/>
    <w:rsid w:val="2E586DFA"/>
    <w:rsid w:val="2F040D46"/>
    <w:rsid w:val="2F6B035B"/>
    <w:rsid w:val="2FAE5751"/>
    <w:rsid w:val="2FB1A395"/>
    <w:rsid w:val="2FD9A7D8"/>
    <w:rsid w:val="2FDBF714"/>
    <w:rsid w:val="30AB6865"/>
    <w:rsid w:val="319F7F4E"/>
    <w:rsid w:val="32137F60"/>
    <w:rsid w:val="323F00AB"/>
    <w:rsid w:val="32BD1EF1"/>
    <w:rsid w:val="3304709D"/>
    <w:rsid w:val="33A773CB"/>
    <w:rsid w:val="33AB1B06"/>
    <w:rsid w:val="34434B8D"/>
    <w:rsid w:val="34807441"/>
    <w:rsid w:val="349D6851"/>
    <w:rsid w:val="365F4A0D"/>
    <w:rsid w:val="36AA5135"/>
    <w:rsid w:val="36BE0DA7"/>
    <w:rsid w:val="376B6AA6"/>
    <w:rsid w:val="376D39B2"/>
    <w:rsid w:val="37E16F03"/>
    <w:rsid w:val="37F53A3B"/>
    <w:rsid w:val="385C5FFA"/>
    <w:rsid w:val="389B6C89"/>
    <w:rsid w:val="38D469F0"/>
    <w:rsid w:val="39627CCD"/>
    <w:rsid w:val="397BAF1F"/>
    <w:rsid w:val="3AB79AF3"/>
    <w:rsid w:val="3AE834C0"/>
    <w:rsid w:val="3B7EF35A"/>
    <w:rsid w:val="3B9FDB6C"/>
    <w:rsid w:val="3BF5BC2F"/>
    <w:rsid w:val="3C7F23F3"/>
    <w:rsid w:val="3CEBA265"/>
    <w:rsid w:val="3D98207C"/>
    <w:rsid w:val="3DEE7CF3"/>
    <w:rsid w:val="3E740A63"/>
    <w:rsid w:val="3E78745D"/>
    <w:rsid w:val="3E8A2EF4"/>
    <w:rsid w:val="3EE17838"/>
    <w:rsid w:val="3F55381A"/>
    <w:rsid w:val="3F7F7599"/>
    <w:rsid w:val="3FF4CAE0"/>
    <w:rsid w:val="3FF7B227"/>
    <w:rsid w:val="41E672C7"/>
    <w:rsid w:val="434A0610"/>
    <w:rsid w:val="434D16CE"/>
    <w:rsid w:val="44C36129"/>
    <w:rsid w:val="44CF407E"/>
    <w:rsid w:val="44E268DA"/>
    <w:rsid w:val="44F95855"/>
    <w:rsid w:val="450D13D7"/>
    <w:rsid w:val="45107C7E"/>
    <w:rsid w:val="4524789C"/>
    <w:rsid w:val="45506656"/>
    <w:rsid w:val="45EA1C36"/>
    <w:rsid w:val="47264136"/>
    <w:rsid w:val="48307BD7"/>
    <w:rsid w:val="486A6C7A"/>
    <w:rsid w:val="492F630B"/>
    <w:rsid w:val="4A627F82"/>
    <w:rsid w:val="4AE15A2E"/>
    <w:rsid w:val="4B0E749A"/>
    <w:rsid w:val="4B2477C4"/>
    <w:rsid w:val="4B4F25DA"/>
    <w:rsid w:val="4BE068DB"/>
    <w:rsid w:val="4D577224"/>
    <w:rsid w:val="4DBF1CEB"/>
    <w:rsid w:val="4DF0007C"/>
    <w:rsid w:val="4EAB630A"/>
    <w:rsid w:val="4ECE2238"/>
    <w:rsid w:val="4F833267"/>
    <w:rsid w:val="4FE9BD67"/>
    <w:rsid w:val="4FFB052F"/>
    <w:rsid w:val="5182038E"/>
    <w:rsid w:val="51AF0D1B"/>
    <w:rsid w:val="526A389D"/>
    <w:rsid w:val="537E6D0A"/>
    <w:rsid w:val="53F74C96"/>
    <w:rsid w:val="543047A1"/>
    <w:rsid w:val="55170BA8"/>
    <w:rsid w:val="553218C9"/>
    <w:rsid w:val="567E1AA5"/>
    <w:rsid w:val="56E47B74"/>
    <w:rsid w:val="57175D52"/>
    <w:rsid w:val="57BD3DD4"/>
    <w:rsid w:val="59DC719F"/>
    <w:rsid w:val="5A2F75BE"/>
    <w:rsid w:val="5AF92295"/>
    <w:rsid w:val="5B250254"/>
    <w:rsid w:val="5BDD79E6"/>
    <w:rsid w:val="5BF561CA"/>
    <w:rsid w:val="5BFF5DFC"/>
    <w:rsid w:val="5CD71FC4"/>
    <w:rsid w:val="5D1F11B5"/>
    <w:rsid w:val="5D695134"/>
    <w:rsid w:val="5DAE1B18"/>
    <w:rsid w:val="5DE7D9E5"/>
    <w:rsid w:val="5ECEC941"/>
    <w:rsid w:val="5EF5428C"/>
    <w:rsid w:val="5FBF9FF3"/>
    <w:rsid w:val="5FCD4E2C"/>
    <w:rsid w:val="5FEF394A"/>
    <w:rsid w:val="5FF67715"/>
    <w:rsid w:val="605E6486"/>
    <w:rsid w:val="61C417BC"/>
    <w:rsid w:val="62BF3928"/>
    <w:rsid w:val="636A33E2"/>
    <w:rsid w:val="63B3701E"/>
    <w:rsid w:val="64101815"/>
    <w:rsid w:val="647F5392"/>
    <w:rsid w:val="65E66580"/>
    <w:rsid w:val="664B1D71"/>
    <w:rsid w:val="664B4E8E"/>
    <w:rsid w:val="664F3A47"/>
    <w:rsid w:val="67277B67"/>
    <w:rsid w:val="67AA3209"/>
    <w:rsid w:val="69780377"/>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67663F"/>
    <w:rsid w:val="76E3355F"/>
    <w:rsid w:val="76FF5125"/>
    <w:rsid w:val="77452A35"/>
    <w:rsid w:val="776F6FFA"/>
    <w:rsid w:val="778769C8"/>
    <w:rsid w:val="77A75DCA"/>
    <w:rsid w:val="77DC22F5"/>
    <w:rsid w:val="783E271A"/>
    <w:rsid w:val="78616DE9"/>
    <w:rsid w:val="7873588A"/>
    <w:rsid w:val="78E875D7"/>
    <w:rsid w:val="79086DAD"/>
    <w:rsid w:val="796B159A"/>
    <w:rsid w:val="79C239E4"/>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0"/>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5&#24180;&#20250;&#35745;\6.&#20915;&#31639;&#20844;&#24320;\2023&#24180;&#20915;&#31639;&#20844;&#24320;\2023&#24180;&#24230;&#25856;&#26525;&#33457;&#24066;&#35199;&#21306;&#21496;&#27861;&#23616;&#37096;&#38376;&#20915;&#31639;&#20844;&#24320;&#25253;&#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25&#24180;&#20250;&#35745;\6.&#20915;&#31639;&#20844;&#24320;\2023&#24180;&#20915;&#31639;&#20844;&#24320;\2023&#24180;&#24230;&#25856;&#26525;&#33457;&#24066;&#35199;&#21306;&#21496;&#27861;&#23616;&#37096;&#38376;&#20915;&#31639;&#20844;&#24320;&#25253;&#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[工作簿1]Sheet1!$C$7</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[工作簿1]Sheet1!$D$6:$E$6</c:f>
              <c:strCache>
                <c:ptCount val="2"/>
                <c:pt idx="0">
                  <c:v>收入</c:v>
                </c:pt>
                <c:pt idx="1">
                  <c:v>支出</c:v>
                </c:pt>
              </c:strCache>
            </c:strRef>
          </c:cat>
          <c:val>
            <c:numRef>
              <c:f>[工作簿1]Sheet1!$D$7:$E$7</c:f>
              <c:numCache>
                <c:formatCode>General</c:formatCode>
                <c:ptCount val="2"/>
                <c:pt idx="0">
                  <c:v>865.97</c:v>
                </c:pt>
                <c:pt idx="1">
                  <c:v>865.97</c:v>
                </c:pt>
              </c:numCache>
            </c:numRef>
          </c:val>
        </c:ser>
        <c:ser>
          <c:idx val="1"/>
          <c:order val="1"/>
          <c:tx>
            <c:strRef>
              <c:f>[工作簿1]Sheet1!$C$8</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[工作簿1]Sheet1!$D$6:$E$6</c:f>
              <c:strCache>
                <c:ptCount val="2"/>
                <c:pt idx="0">
                  <c:v>收入</c:v>
                </c:pt>
                <c:pt idx="1">
                  <c:v>支出</c:v>
                </c:pt>
              </c:strCache>
            </c:strRef>
          </c:cat>
          <c:val>
            <c:numRef>
              <c:f>[工作簿1]Sheet1!$D$8:$E$8</c:f>
              <c:numCache>
                <c:formatCode>General</c:formatCode>
                <c:ptCount val="2"/>
                <c:pt idx="0">
                  <c:v>791.87</c:v>
                </c:pt>
                <c:pt idx="1">
                  <c:v>791.87</c:v>
                </c:pt>
              </c:numCache>
            </c:numRef>
          </c:val>
        </c:ser>
        <c:dLbls>
          <c:showLegendKey val="0"/>
          <c:showVal val="1"/>
          <c:showCatName val="0"/>
          <c:showSerName val="0"/>
          <c:showPercent val="0"/>
          <c:showBubbleSize val="0"/>
        </c:dLbls>
        <c:gapWidth val="219"/>
        <c:overlap val="-27"/>
        <c:axId val="940670955"/>
        <c:axId val="645156549"/>
      </c:barChart>
      <c:catAx>
        <c:axId val="94067095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156549"/>
        <c:crosses val="autoZero"/>
        <c:auto val="1"/>
        <c:lblAlgn val="ctr"/>
        <c:lblOffset val="100"/>
        <c:noMultiLvlLbl val="0"/>
      </c:catAx>
      <c:valAx>
        <c:axId val="64515654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06709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收入决算结构图</a:t>
            </a:r>
          </a:p>
        </c:rich>
      </c:tx>
      <c:layout/>
      <c:overlay val="0"/>
    </c:title>
    <c:autoTitleDeleted val="0"/>
    <c:plotArea>
      <c:layout>
        <c:manualLayout>
          <c:layoutTarget val="inner"/>
          <c:xMode val="edge"/>
          <c:yMode val="edge"/>
          <c:x val="0.316928963566794"/>
          <c:y val="0.228673780487805"/>
          <c:w val="0.366142072866412"/>
          <c:h val="0.559166666666667"/>
        </c:manualLayout>
      </c:layout>
      <c:pieChart>
        <c:varyColors val="1"/>
        <c:ser>
          <c:idx val="0"/>
          <c:order val="0"/>
          <c:spPr>
            <a:ln w="15875" cap="flat">
              <a:solidFill>
                <a:schemeClr val="lt1"/>
              </a:solidFill>
              <a:miter lim="800000"/>
            </a:ln>
            <a:sp3d contourW="15875"/>
          </c:spPr>
          <c:explosion val="0"/>
          <c:dPt>
            <c:idx val="0"/>
            <c:bubble3D val="0"/>
            <c:explosion val="0"/>
            <c:spPr>
              <a:solidFill>
                <a:schemeClr val="accent1"/>
              </a:solidFill>
              <a:ln w="15875" cap="flat">
                <a:solidFill>
                  <a:schemeClr val="lt1"/>
                </a:solidFill>
                <a:miter lim="800000"/>
              </a:ln>
              <a:effectLst/>
              <a:sp3d contourW="15875"/>
            </c:spPr>
          </c:dPt>
          <c:dPt>
            <c:idx val="1"/>
            <c:bubble3D val="0"/>
            <c:explosion val="0"/>
            <c:spPr>
              <a:solidFill>
                <a:schemeClr val="accent2"/>
              </a:solidFill>
              <a:ln w="15875" cap="flat" cmpd="sng">
                <a:solidFill>
                  <a:schemeClr val="accent2"/>
                </a:solidFill>
                <a:prstDash val="solid"/>
                <a:miter lim="800000"/>
              </a:ln>
              <a:effectLst/>
              <a:sp3d contourW="1587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[2023年度攀枝花市西区司法局部门决算公开报表.xls]Sheet1!$B$11:$B$12</c:f>
              <c:strCache>
                <c:ptCount val="2"/>
                <c:pt idx="0">
                  <c:v>一般公共预算财政拨款收入</c:v>
                </c:pt>
                <c:pt idx="1">
                  <c:v>政府性基金预算财政拨款收入</c:v>
                </c:pt>
              </c:strCache>
            </c:strRef>
          </c:cat>
          <c:val>
            <c:numRef>
              <c:f>[2023年度攀枝花市西区司法局部门决算公开报表.xls]Sheet1!$C$11:$C$12</c:f>
              <c:numCache>
                <c:formatCode>0.00%</c:formatCode>
                <c:ptCount val="2"/>
                <c:pt idx="0">
                  <c:v>0.9987</c:v>
                </c:pt>
                <c:pt idx="1">
                  <c:v>0.0012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spPr>
            <a:ln w="15875">
              <a:solidFill>
                <a:schemeClr val="lt1"/>
              </a:solidFill>
              <a:miter lim="800000"/>
            </a:ln>
            <a:sp3d contourW="15875"/>
          </c:spPr>
          <c:explosion val="0"/>
          <c:dPt>
            <c:idx val="0"/>
            <c:bubble3D val="0"/>
            <c:explosion val="0"/>
            <c:spPr>
              <a:solidFill>
                <a:schemeClr val="accent1"/>
              </a:solidFill>
              <a:ln w="15875">
                <a:solidFill>
                  <a:schemeClr val="lt1"/>
                </a:solidFill>
                <a:miter lim="800000"/>
              </a:ln>
              <a:effectLst/>
              <a:sp3d contourW="15875"/>
            </c:spPr>
          </c:dPt>
          <c:dPt>
            <c:idx val="1"/>
            <c:bubble3D val="0"/>
            <c:explosion val="0"/>
            <c:spPr>
              <a:solidFill>
                <a:schemeClr val="accent2"/>
              </a:solidFill>
              <a:effectLst/>
              <a:sp3d contourW="15875"/>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Sheet1!$B$11:$B$12</c:f>
              <c:strCache>
                <c:ptCount val="2"/>
                <c:pt idx="0">
                  <c:v>基本支出</c:v>
                </c:pt>
                <c:pt idx="1">
                  <c:v>项目支出</c:v>
                </c:pt>
              </c:strCache>
            </c:strRef>
          </c:cat>
          <c:val>
            <c:numRef>
              <c:f>Sheet1!$C$11:$C$12</c:f>
              <c:numCache>
                <c:formatCode>0.00%</c:formatCode>
                <c:ptCount val="2"/>
                <c:pt idx="0">
                  <c:v>0.8701</c:v>
                </c:pt>
                <c:pt idx="1">
                  <c:v>0.1298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[工作簿1]Sheet1!$C$7</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[工作簿1]Sheet1!$D$6:$E$6</c:f>
              <c:strCache>
                <c:ptCount val="2"/>
                <c:pt idx="0">
                  <c:v>收入</c:v>
                </c:pt>
                <c:pt idx="1">
                  <c:v>支出</c:v>
                </c:pt>
              </c:strCache>
            </c:strRef>
          </c:cat>
          <c:val>
            <c:numRef>
              <c:f>[工作簿1]Sheet1!$D$7:$E$7</c:f>
              <c:numCache>
                <c:formatCode>General</c:formatCode>
                <c:ptCount val="2"/>
                <c:pt idx="0">
                  <c:v>865.97</c:v>
                </c:pt>
                <c:pt idx="1">
                  <c:v>865.97</c:v>
                </c:pt>
              </c:numCache>
            </c:numRef>
          </c:val>
        </c:ser>
        <c:ser>
          <c:idx val="1"/>
          <c:order val="1"/>
          <c:tx>
            <c:strRef>
              <c:f>[工作簿1]Sheet1!$C$8</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[工作簿1]Sheet1!$D$6:$E$6</c:f>
              <c:strCache>
                <c:ptCount val="2"/>
                <c:pt idx="0">
                  <c:v>收入</c:v>
                </c:pt>
                <c:pt idx="1">
                  <c:v>支出</c:v>
                </c:pt>
              </c:strCache>
            </c:strRef>
          </c:cat>
          <c:val>
            <c:numRef>
              <c:f>[工作簿1]Sheet1!$D$8:$E$8</c:f>
              <c:numCache>
                <c:formatCode>General</c:formatCode>
                <c:ptCount val="2"/>
                <c:pt idx="0">
                  <c:v>791.87</c:v>
                </c:pt>
                <c:pt idx="1">
                  <c:v>791.87</c:v>
                </c:pt>
              </c:numCache>
            </c:numRef>
          </c:val>
        </c:ser>
        <c:dLbls>
          <c:showLegendKey val="0"/>
          <c:showVal val="1"/>
          <c:showCatName val="0"/>
          <c:showSerName val="0"/>
          <c:showPercent val="0"/>
          <c:showBubbleSize val="0"/>
        </c:dLbls>
        <c:gapWidth val="219"/>
        <c:overlap val="-27"/>
        <c:axId val="940670955"/>
        <c:axId val="645156549"/>
      </c:barChart>
      <c:catAx>
        <c:axId val="94067095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156549"/>
        <c:crosses val="autoZero"/>
        <c:auto val="1"/>
        <c:lblAlgn val="ctr"/>
        <c:lblOffset val="100"/>
        <c:noMultiLvlLbl val="0"/>
      </c:catAx>
      <c:valAx>
        <c:axId val="64515654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067095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[工作簿1]Sheet1!$D$17</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[工作簿1]Sheet1!$C$18:$C$19</c:f>
              <c:strCache>
                <c:ptCount val="2"/>
                <c:pt idx="0">
                  <c:v>2023年</c:v>
                </c:pt>
                <c:pt idx="1">
                  <c:v>2024年</c:v>
                </c:pt>
              </c:strCache>
            </c:strRef>
          </c:cat>
          <c:val>
            <c:numRef>
              <c:f>[工作簿1]Sheet1!$D$18:$D$19</c:f>
              <c:numCache>
                <c:formatCode>General</c:formatCode>
                <c:ptCount val="2"/>
                <c:pt idx="0">
                  <c:v>845.42</c:v>
                </c:pt>
                <c:pt idx="1">
                  <c:v>790.87</c:v>
                </c:pt>
              </c:numCache>
            </c:numRef>
          </c:val>
        </c:ser>
        <c:dLbls>
          <c:showLegendKey val="0"/>
          <c:showVal val="1"/>
          <c:showCatName val="0"/>
          <c:showSerName val="0"/>
          <c:showPercent val="0"/>
          <c:showBubbleSize val="0"/>
        </c:dLbls>
        <c:gapWidth val="219"/>
        <c:overlap val="-27"/>
        <c:axId val="767337794"/>
        <c:axId val="498136900"/>
      </c:barChart>
      <c:catAx>
        <c:axId val="767337794"/>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136900"/>
        <c:crosses val="autoZero"/>
        <c:auto val="1"/>
        <c:lblAlgn val="ctr"/>
        <c:lblOffset val="100"/>
        <c:noMultiLvlLbl val="0"/>
      </c:catAx>
      <c:valAx>
        <c:axId val="4981369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73377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[工作簿1]Sheet1!$C$42:$C$45</c:f>
              <c:strCache>
                <c:ptCount val="4"/>
                <c:pt idx="0">
                  <c:v>公共安全支出</c:v>
                </c:pt>
                <c:pt idx="1">
                  <c:v>社会保障和就业支出</c:v>
                </c:pt>
                <c:pt idx="2">
                  <c:v>卫生健康支出</c:v>
                </c:pt>
                <c:pt idx="3">
                  <c:v>住房保障支出</c:v>
                </c:pt>
              </c:strCache>
            </c:strRef>
          </c:cat>
          <c:val>
            <c:numRef>
              <c:f>[工作簿1]Sheet1!$D$42:$D$45</c:f>
              <c:numCache>
                <c:formatCode>General</c:formatCode>
                <c:ptCount val="4"/>
                <c:pt idx="0">
                  <c:v>613.17</c:v>
                </c:pt>
                <c:pt idx="1">
                  <c:v>69.33</c:v>
                </c:pt>
                <c:pt idx="2">
                  <c:v>59.82</c:v>
                </c:pt>
                <c:pt idx="3">
                  <c:v>48.54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[工作簿1]Sheet1!$C$42:$C$45</c:f>
              <c:strCache>
                <c:ptCount val="4"/>
                <c:pt idx="0">
                  <c:v>因公出国（境）费支出</c:v>
                </c:pt>
                <c:pt idx="1">
                  <c:v>公务用车购置及运行维护费支出</c:v>
                </c:pt>
                <c:pt idx="2">
                  <c:v>公务接待费支出</c:v>
                </c:pt>
              </c:strCache>
            </c:strRef>
          </c:cat>
          <c:val>
            <c:numRef>
              <c:f>[工作簿1]Sheet1!$D$42:$D$45</c:f>
              <c:numCache>
                <c:formatCode>General</c:formatCode>
                <c:ptCount val="4"/>
                <c:pt idx="0">
                  <c:v>0</c:v>
                </c:pt>
                <c:pt idx="1">
                  <c:v>1.16</c:v>
                </c:pt>
                <c:pt idx="2">
                  <c:v>0.08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2</TotalTime>
  <ScaleCrop>false</ScaleCrop>
  <LinksUpToDate>false</LinksUpToDate>
  <CharactersWithSpaces>8692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吉佐鲁洗</cp:lastModifiedBy>
  <cp:lastPrinted>2025-08-06T17:34:00Z</cp:lastPrinted>
  <dcterms:modified xsi:type="dcterms:W3CDTF">2025-10-31T01:49:01Z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