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61B4F">
      <w:pPr>
        <w:pStyle w:val="6"/>
        <w:spacing w:before="93"/>
        <w:jc w:val="center"/>
        <w:rPr>
          <w:rFonts w:ascii="Times New Roman" w:eastAsia="方正小标宋简体"/>
          <w:kern w:val="2"/>
          <w:sz w:val="44"/>
          <w:szCs w:val="44"/>
        </w:rPr>
      </w:pPr>
      <w:bookmarkStart w:id="0" w:name="_Toc15378442"/>
      <w:bookmarkStart w:id="1" w:name="_Toc15396598"/>
      <w:bookmarkStart w:id="2" w:name="_Toc15396476"/>
      <w:bookmarkStart w:id="3" w:name="_Toc15377194"/>
      <w:bookmarkStart w:id="4" w:name="_Toc15377426"/>
      <w:bookmarkStart w:id="5" w:name="_Toc15306267"/>
      <w:bookmarkStart w:id="6" w:name="_Toc15377193"/>
      <w:bookmarkStart w:id="7" w:name="_Toc15396475"/>
      <w:bookmarkStart w:id="8" w:name="_Toc15377425"/>
      <w:bookmarkStart w:id="9" w:name="_Toc15396597"/>
      <w:bookmarkStart w:id="10" w:name="_Toc15378441"/>
    </w:p>
    <w:p w14:paraId="1A03E5B2">
      <w:pPr>
        <w:pStyle w:val="6"/>
        <w:spacing w:before="93"/>
        <w:jc w:val="center"/>
        <w:rPr>
          <w:rFonts w:ascii="Times New Roman" w:eastAsia="方正小标宋简体"/>
          <w:kern w:val="2"/>
          <w:sz w:val="44"/>
          <w:szCs w:val="44"/>
        </w:rPr>
      </w:pPr>
    </w:p>
    <w:p w14:paraId="3B485EBD">
      <w:pPr>
        <w:pStyle w:val="6"/>
        <w:spacing w:before="93"/>
        <w:jc w:val="center"/>
        <w:rPr>
          <w:rFonts w:ascii="Times New Roman" w:eastAsia="方正小标宋简体"/>
          <w:kern w:val="2"/>
          <w:sz w:val="44"/>
          <w:szCs w:val="44"/>
        </w:rPr>
      </w:pPr>
    </w:p>
    <w:p w14:paraId="5BB37D0F">
      <w:pPr>
        <w:pStyle w:val="6"/>
        <w:spacing w:before="93"/>
        <w:jc w:val="center"/>
        <w:rPr>
          <w:rFonts w:ascii="Times New Roman" w:eastAsia="方正小标宋简体"/>
          <w:kern w:val="2"/>
          <w:sz w:val="44"/>
          <w:szCs w:val="44"/>
        </w:rPr>
      </w:pPr>
    </w:p>
    <w:p w14:paraId="1ACA0307">
      <w:pPr>
        <w:pStyle w:val="6"/>
        <w:spacing w:before="93"/>
        <w:jc w:val="center"/>
        <w:rPr>
          <w:rFonts w:ascii="Times New Roman" w:eastAsia="方正小标宋简体"/>
          <w:kern w:val="2"/>
          <w:sz w:val="44"/>
          <w:szCs w:val="44"/>
        </w:rPr>
      </w:pPr>
    </w:p>
    <w:p w14:paraId="5B66E911">
      <w:pPr>
        <w:pStyle w:val="6"/>
        <w:spacing w:before="93"/>
        <w:jc w:val="center"/>
        <w:rPr>
          <w:rFonts w:ascii="Times New Roman" w:eastAsia="方正小标宋简体"/>
          <w:kern w:val="2"/>
          <w:sz w:val="44"/>
          <w:szCs w:val="44"/>
        </w:rPr>
      </w:pPr>
    </w:p>
    <w:p w14:paraId="15B15675">
      <w:pPr>
        <w:pStyle w:val="6"/>
        <w:spacing w:before="93"/>
        <w:jc w:val="center"/>
        <w:rPr>
          <w:rFonts w:ascii="Times New Roman" w:eastAsia="方正小标宋简体"/>
          <w:kern w:val="2"/>
          <w:sz w:val="44"/>
          <w:szCs w:val="44"/>
        </w:rPr>
      </w:pPr>
    </w:p>
    <w:p w14:paraId="65A8FFD9">
      <w:pPr>
        <w:adjustRightInd w:val="0"/>
        <w:snapToGrid w:val="0"/>
        <w:spacing w:line="360" w:lineRule="auto"/>
        <w:jc w:val="center"/>
        <w:outlineLvl w:val="0"/>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2024年度四川省</w:t>
      </w:r>
      <w:bookmarkStart w:id="11" w:name="_Toc15306268"/>
    </w:p>
    <w:p w14:paraId="1F8D4F25">
      <w:pPr>
        <w:adjustRightInd w:val="0"/>
        <w:snapToGrid w:val="0"/>
        <w:spacing w:line="360" w:lineRule="auto"/>
        <w:jc w:val="center"/>
        <w:outlineLvl w:val="0"/>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中共攀枝花市西区区委</w:t>
      </w:r>
    </w:p>
    <w:p w14:paraId="37A66439">
      <w:pPr>
        <w:adjustRightInd w:val="0"/>
        <w:snapToGrid w:val="0"/>
        <w:spacing w:line="360" w:lineRule="auto"/>
        <w:jc w:val="center"/>
        <w:outlineLvl w:val="0"/>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统一战线工作部单位决算</w:t>
      </w:r>
      <w:bookmarkEnd w:id="0"/>
      <w:bookmarkEnd w:id="1"/>
      <w:bookmarkEnd w:id="2"/>
      <w:bookmarkEnd w:id="3"/>
      <w:bookmarkEnd w:id="4"/>
      <w:bookmarkEnd w:id="11"/>
    </w:p>
    <w:p w14:paraId="66FEB0DC">
      <w:pPr>
        <w:pStyle w:val="16"/>
        <w:adjustRightInd w:val="0"/>
        <w:snapToGrid w:val="0"/>
        <w:spacing w:line="560" w:lineRule="exact"/>
        <w:jc w:val="center"/>
        <w:rPr>
          <w:rFonts w:eastAsia="仿宋_GB2312" w:cs="仿宋_GB2312"/>
          <w:sz w:val="32"/>
          <w:szCs w:val="32"/>
        </w:rPr>
      </w:pPr>
    </w:p>
    <w:p w14:paraId="48815A8F">
      <w:pPr>
        <w:pStyle w:val="23"/>
        <w:jc w:val="cente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bookmarkEnd w:id="5"/>
    <w:bookmarkEnd w:id="6"/>
    <w:bookmarkEnd w:id="7"/>
    <w:bookmarkEnd w:id="8"/>
    <w:bookmarkEnd w:id="9"/>
    <w:bookmarkEnd w:id="10"/>
    <w:p w14:paraId="1C45D13B">
      <w:pPr>
        <w:widowControl/>
        <w:jc w:val="center"/>
        <w:rPr>
          <w:rFonts w:eastAsia="黑体"/>
          <w:sz w:val="48"/>
          <w:szCs w:val="48"/>
        </w:rPr>
      </w:pPr>
      <w:r>
        <w:rPr>
          <w:rFonts w:hint="eastAsia" w:eastAsia="黑体"/>
          <w:sz w:val="48"/>
          <w:szCs w:val="48"/>
        </w:rPr>
        <w:t>目录</w:t>
      </w:r>
    </w:p>
    <w:p w14:paraId="1D7CB5D8">
      <w:pPr>
        <w:widowControl/>
        <w:jc w:val="center"/>
        <w:rPr>
          <w:rFonts w:eastAsia="黑体" w:cstheme="minorBidi"/>
          <w:sz w:val="28"/>
          <w:szCs w:val="28"/>
        </w:rPr>
      </w:pPr>
    </w:p>
    <w:p w14:paraId="62F3F502">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公开时间：2025年10月3</w:t>
      </w:r>
      <w:r>
        <w:rPr>
          <w:rFonts w:hint="eastAsia" w:ascii="Times New Roman" w:hAnsi="Times New Roman" w:eastAsia="仿宋_GB2312" w:cs="仿宋_GB2312"/>
          <w:sz w:val="32"/>
          <w:szCs w:val="32"/>
          <w:lang w:val="en-US" w:eastAsia="zh-CN"/>
        </w:rPr>
        <w:t>1</w:t>
      </w:r>
      <w:bookmarkStart w:id="67" w:name="_GoBack"/>
      <w:bookmarkEnd w:id="67"/>
      <w:r>
        <w:rPr>
          <w:rFonts w:hint="eastAsia" w:ascii="Times New Roman" w:hAnsi="Times New Roman" w:eastAsia="仿宋_GB2312" w:cs="仿宋_GB2312"/>
          <w:sz w:val="32"/>
          <w:szCs w:val="32"/>
        </w:rPr>
        <w:t>日</w:t>
      </w:r>
    </w:p>
    <w:p w14:paraId="151D3A99"/>
    <w:p w14:paraId="1CA18A04">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第一部分 </w:t>
      </w:r>
      <w:r>
        <w:rPr>
          <w:rFonts w:ascii="Times New Roman" w:hAnsi="Times New Roman" w:eastAsia="黑体" w:cs="黑体"/>
          <w:sz w:val="32"/>
          <w:szCs w:val="32"/>
        </w:rPr>
        <w:t>单位</w:t>
      </w:r>
      <w:r>
        <w:rPr>
          <w:rFonts w:hint="eastAsia" w:ascii="Times New Roman" w:hAnsi="Times New Roman" w:eastAsia="黑体" w:cs="黑体"/>
          <w:sz w:val="32"/>
          <w:szCs w:val="32"/>
        </w:rPr>
        <w:t>概况</w:t>
      </w:r>
      <w:r>
        <w:rPr>
          <w:sz w:val="24"/>
          <w:szCs w:val="24"/>
        </w:rPr>
        <w:tab/>
      </w:r>
      <w:r>
        <w:rPr>
          <w:rFonts w:ascii="Times New Roman" w:hAnsi="Times New Roman"/>
          <w:sz w:val="24"/>
          <w:szCs w:val="24"/>
        </w:rPr>
        <w:t>0</w:t>
      </w:r>
      <w:r>
        <w:rPr>
          <w:rFonts w:hint="eastAsia" w:ascii="Times New Roman" w:hAnsi="Times New Roman"/>
          <w:sz w:val="24"/>
          <w:szCs w:val="24"/>
        </w:rPr>
        <w:t>1</w:t>
      </w:r>
    </w:p>
    <w:p w14:paraId="67CA1C58">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一、主要职责</w:t>
      </w:r>
      <w:r>
        <w:rPr>
          <w:sz w:val="24"/>
        </w:rPr>
        <w:tab/>
      </w:r>
      <w:r>
        <w:rPr>
          <w:sz w:val="24"/>
        </w:rPr>
        <w:t>0</w:t>
      </w:r>
      <w:r>
        <w:rPr>
          <w:rFonts w:hint="eastAsia"/>
          <w:sz w:val="24"/>
        </w:rPr>
        <w:t>1</w:t>
      </w:r>
    </w:p>
    <w:p w14:paraId="428DC75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sz w:val="24"/>
        </w:rPr>
        <w:tab/>
      </w:r>
      <w:r>
        <w:rPr>
          <w:sz w:val="24"/>
        </w:rPr>
        <w:t>0</w:t>
      </w:r>
      <w:r>
        <w:rPr>
          <w:rFonts w:hint="eastAsia"/>
          <w:sz w:val="24"/>
        </w:rPr>
        <w:t>1</w:t>
      </w:r>
    </w:p>
    <w:p w14:paraId="4BD22FA1">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2024年度单位决算情况说明</w:t>
      </w:r>
      <w:r>
        <w:rPr>
          <w:sz w:val="24"/>
          <w:szCs w:val="24"/>
        </w:rPr>
        <w:tab/>
      </w:r>
      <w:r>
        <w:rPr>
          <w:rFonts w:ascii="Times New Roman" w:hAnsi="Times New Roman"/>
          <w:sz w:val="24"/>
          <w:szCs w:val="24"/>
        </w:rPr>
        <w:t>0</w:t>
      </w:r>
      <w:r>
        <w:rPr>
          <w:rFonts w:hint="eastAsia" w:ascii="Times New Roman" w:hAnsi="Times New Roman"/>
          <w:sz w:val="24"/>
          <w:szCs w:val="24"/>
        </w:rPr>
        <w:t>2</w:t>
      </w:r>
    </w:p>
    <w:p w14:paraId="7654ECF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sz w:val="24"/>
        </w:rPr>
        <w:tab/>
      </w:r>
      <w:r>
        <w:rPr>
          <w:sz w:val="24"/>
        </w:rPr>
        <w:t>0</w:t>
      </w:r>
      <w:r>
        <w:rPr>
          <w:rFonts w:hint="eastAsia"/>
          <w:sz w:val="24"/>
        </w:rPr>
        <w:t>2</w:t>
      </w:r>
    </w:p>
    <w:p w14:paraId="09084640">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sz w:val="24"/>
        </w:rPr>
        <w:tab/>
      </w:r>
      <w:r>
        <w:rPr>
          <w:sz w:val="24"/>
        </w:rPr>
        <w:t>0</w:t>
      </w:r>
      <w:r>
        <w:rPr>
          <w:rFonts w:hint="eastAsia"/>
          <w:sz w:val="24"/>
        </w:rPr>
        <w:t>2</w:t>
      </w:r>
    </w:p>
    <w:p w14:paraId="30D76C05">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sz w:val="24"/>
        </w:rPr>
        <w:tab/>
      </w:r>
      <w:r>
        <w:rPr>
          <w:sz w:val="24"/>
        </w:rPr>
        <w:t>0</w:t>
      </w:r>
      <w:r>
        <w:rPr>
          <w:rFonts w:hint="eastAsia"/>
          <w:sz w:val="24"/>
        </w:rPr>
        <w:t>3</w:t>
      </w:r>
    </w:p>
    <w:p w14:paraId="646F03BC">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sz w:val="24"/>
        </w:rPr>
        <w:tab/>
      </w:r>
      <w:r>
        <w:rPr>
          <w:sz w:val="24"/>
        </w:rPr>
        <w:t>0</w:t>
      </w:r>
      <w:r>
        <w:rPr>
          <w:rFonts w:hint="eastAsia"/>
          <w:sz w:val="24"/>
        </w:rPr>
        <w:t>4</w:t>
      </w:r>
    </w:p>
    <w:p w14:paraId="0894C741">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sz w:val="24"/>
        </w:rPr>
        <w:tab/>
      </w:r>
      <w:r>
        <w:rPr>
          <w:sz w:val="24"/>
        </w:rPr>
        <w:t>0</w:t>
      </w:r>
      <w:r>
        <w:rPr>
          <w:rFonts w:hint="eastAsia"/>
          <w:sz w:val="24"/>
        </w:rPr>
        <w:t>4</w:t>
      </w:r>
    </w:p>
    <w:p w14:paraId="7357365D">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sz w:val="24"/>
        </w:rPr>
        <w:tab/>
      </w:r>
      <w:r>
        <w:rPr>
          <w:sz w:val="24"/>
        </w:rPr>
        <w:t>0</w:t>
      </w:r>
      <w:r>
        <w:rPr>
          <w:rFonts w:hint="eastAsia"/>
          <w:sz w:val="24"/>
        </w:rPr>
        <w:t>7</w:t>
      </w:r>
    </w:p>
    <w:p w14:paraId="4D2F9B5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sz w:val="24"/>
        </w:rPr>
        <w:tab/>
      </w:r>
      <w:r>
        <w:rPr>
          <w:sz w:val="24"/>
        </w:rPr>
        <w:t>0</w:t>
      </w:r>
      <w:r>
        <w:rPr>
          <w:rFonts w:hint="eastAsia"/>
          <w:sz w:val="24"/>
        </w:rPr>
        <w:t>8</w:t>
      </w:r>
    </w:p>
    <w:p w14:paraId="32BDE041">
      <w:pPr>
        <w:pStyle w:val="16"/>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八、政府性基金预算支出决算情况说明</w:t>
      </w:r>
      <w:r>
        <w:rPr>
          <w:sz w:val="24"/>
        </w:rPr>
        <w:tab/>
      </w:r>
      <w:r>
        <w:rPr>
          <w:rFonts w:hint="eastAsia"/>
          <w:sz w:val="24"/>
        </w:rPr>
        <w:t>10</w:t>
      </w:r>
    </w:p>
    <w:p w14:paraId="49A2FAFB">
      <w:pPr>
        <w:pStyle w:val="16"/>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九、国有资本经营预算支出决算情况说明</w:t>
      </w:r>
      <w:r>
        <w:rPr>
          <w:sz w:val="24"/>
        </w:rPr>
        <w:tab/>
      </w:r>
      <w:r>
        <w:rPr>
          <w:rFonts w:hint="eastAsia"/>
          <w:sz w:val="24"/>
        </w:rPr>
        <w:t>10</w:t>
      </w:r>
    </w:p>
    <w:p w14:paraId="01D53C7B">
      <w:pPr>
        <w:pStyle w:val="16"/>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十、其他重要事项的情况说明</w:t>
      </w:r>
      <w:r>
        <w:rPr>
          <w:sz w:val="24"/>
        </w:rPr>
        <w:tab/>
      </w:r>
      <w:r>
        <w:rPr>
          <w:rFonts w:hint="eastAsia"/>
          <w:sz w:val="24"/>
        </w:rPr>
        <w:t>10</w:t>
      </w:r>
    </w:p>
    <w:p w14:paraId="78EE4110">
      <w:pPr>
        <w:pStyle w:val="14"/>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第三部分 名词解释</w:t>
      </w:r>
      <w:r>
        <w:rPr>
          <w:sz w:val="24"/>
          <w:szCs w:val="24"/>
        </w:rPr>
        <w:tab/>
      </w:r>
      <w:r>
        <w:rPr>
          <w:rFonts w:hint="eastAsia"/>
          <w:sz w:val="24"/>
          <w:szCs w:val="24"/>
        </w:rPr>
        <w:t>12</w:t>
      </w:r>
    </w:p>
    <w:p w14:paraId="1E8C4B78">
      <w:pPr>
        <w:pStyle w:val="14"/>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第四部分 附件</w:t>
      </w:r>
      <w:r>
        <w:rPr>
          <w:sz w:val="24"/>
          <w:szCs w:val="24"/>
        </w:rPr>
        <w:tab/>
      </w:r>
      <w:r>
        <w:rPr>
          <w:rFonts w:hint="eastAsia"/>
          <w:sz w:val="24"/>
          <w:szCs w:val="24"/>
        </w:rPr>
        <w:t>15</w:t>
      </w:r>
    </w:p>
    <w:p w14:paraId="37735498">
      <w:pPr>
        <w:pStyle w:val="14"/>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第五部分 附表</w:t>
      </w:r>
      <w:r>
        <w:rPr>
          <w:sz w:val="24"/>
          <w:szCs w:val="24"/>
        </w:rPr>
        <w:tab/>
      </w:r>
      <w:r>
        <w:rPr>
          <w:rFonts w:hint="eastAsia"/>
          <w:sz w:val="24"/>
          <w:szCs w:val="24"/>
        </w:rPr>
        <w:t>16</w:t>
      </w:r>
    </w:p>
    <w:p w14:paraId="4A004F12">
      <w:pPr>
        <w:pStyle w:val="16"/>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一、收入支出决算总表</w:t>
      </w:r>
      <w:r>
        <w:rPr>
          <w:sz w:val="24"/>
        </w:rPr>
        <w:tab/>
      </w:r>
      <w:r>
        <w:rPr>
          <w:rFonts w:hint="eastAsia"/>
          <w:sz w:val="24"/>
        </w:rPr>
        <w:t>16</w:t>
      </w:r>
    </w:p>
    <w:p w14:paraId="7C29638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sz w:val="24"/>
        </w:rPr>
        <w:tab/>
      </w:r>
      <w:r>
        <w:rPr>
          <w:rFonts w:hint="eastAsia"/>
          <w:sz w:val="24"/>
        </w:rPr>
        <w:t>16</w:t>
      </w:r>
    </w:p>
    <w:p w14:paraId="1075744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sz w:val="24"/>
        </w:rPr>
        <w:tab/>
      </w:r>
      <w:r>
        <w:rPr>
          <w:rFonts w:hint="eastAsia"/>
          <w:sz w:val="24"/>
        </w:rPr>
        <w:t>16</w:t>
      </w:r>
    </w:p>
    <w:p w14:paraId="2FDFA306">
      <w:pPr>
        <w:pStyle w:val="16"/>
        <w:adjustRightInd w:val="0"/>
        <w:snapToGrid w:val="0"/>
        <w:spacing w:line="560" w:lineRule="exact"/>
        <w:ind w:left="0" w:leftChars="0" w:firstLine="640" w:firstLineChars="200"/>
        <w:jc w:val="left"/>
        <w:rPr>
          <w:rFonts w:eastAsia="仿宋_GB2312" w:cs="仿宋_GB2312"/>
          <w:sz w:val="32"/>
          <w:szCs w:val="32"/>
        </w:rPr>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pPr>
    </w:p>
    <w:p w14:paraId="6B90B2AF">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sz w:val="24"/>
        </w:rPr>
        <w:tab/>
      </w:r>
      <w:r>
        <w:rPr>
          <w:rFonts w:hint="eastAsia"/>
          <w:sz w:val="24"/>
        </w:rPr>
        <w:t>16</w:t>
      </w:r>
    </w:p>
    <w:p w14:paraId="1B8E464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sz w:val="24"/>
        </w:rPr>
        <w:tab/>
      </w:r>
      <w:r>
        <w:rPr>
          <w:rFonts w:hint="eastAsia"/>
          <w:sz w:val="24"/>
        </w:rPr>
        <w:t>16</w:t>
      </w:r>
    </w:p>
    <w:p w14:paraId="60FD78C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sz w:val="24"/>
        </w:rPr>
        <w:tab/>
      </w:r>
      <w:r>
        <w:rPr>
          <w:rFonts w:hint="eastAsia"/>
          <w:sz w:val="24"/>
        </w:rPr>
        <w:t>16</w:t>
      </w:r>
    </w:p>
    <w:p w14:paraId="21272A0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sz w:val="24"/>
        </w:rPr>
        <w:tab/>
      </w:r>
      <w:r>
        <w:rPr>
          <w:rFonts w:hint="eastAsia"/>
          <w:sz w:val="24"/>
        </w:rPr>
        <w:t>16</w:t>
      </w:r>
    </w:p>
    <w:p w14:paraId="42E4130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sz w:val="24"/>
        </w:rPr>
        <w:tab/>
      </w:r>
      <w:r>
        <w:rPr>
          <w:rFonts w:hint="eastAsia"/>
          <w:sz w:val="24"/>
        </w:rPr>
        <w:t>16</w:t>
      </w:r>
    </w:p>
    <w:p w14:paraId="5A4B524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sz w:val="24"/>
        </w:rPr>
        <w:tab/>
      </w:r>
      <w:r>
        <w:rPr>
          <w:rFonts w:hint="eastAsia"/>
          <w:sz w:val="24"/>
        </w:rPr>
        <w:t>16</w:t>
      </w:r>
    </w:p>
    <w:p w14:paraId="4E472C8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sz w:val="24"/>
        </w:rPr>
        <w:tab/>
      </w:r>
      <w:r>
        <w:rPr>
          <w:rFonts w:hint="eastAsia"/>
          <w:sz w:val="24"/>
        </w:rPr>
        <w:t>16</w:t>
      </w:r>
    </w:p>
    <w:p w14:paraId="3420DB3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sz w:val="24"/>
        </w:rPr>
        <w:tab/>
      </w:r>
      <w:r>
        <w:rPr>
          <w:rFonts w:hint="eastAsia"/>
          <w:sz w:val="24"/>
        </w:rPr>
        <w:t>16</w:t>
      </w:r>
    </w:p>
    <w:p w14:paraId="24409788">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sz w:val="24"/>
        </w:rPr>
        <w:tab/>
      </w:r>
      <w:r>
        <w:rPr>
          <w:rFonts w:hint="eastAsia"/>
          <w:sz w:val="24"/>
        </w:rPr>
        <w:t>16</w:t>
      </w:r>
    </w:p>
    <w:p w14:paraId="3B07FED0">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sz w:val="24"/>
        </w:rPr>
        <w:tab/>
      </w:r>
      <w:r>
        <w:rPr>
          <w:rFonts w:hint="eastAsia"/>
          <w:sz w:val="24"/>
        </w:rPr>
        <w:t>16</w:t>
      </w:r>
    </w:p>
    <w:p w14:paraId="5DF12EF7">
      <w:pPr>
        <w:pStyle w:val="3"/>
        <w:jc w:val="center"/>
        <w:rPr>
          <w:rFonts w:eastAsia="方正小标宋简体" w:cs="方正小标宋简体"/>
          <w:b w:val="0"/>
        </w:rPr>
        <w:sectPr>
          <w:footerReference r:id="rId12" w:type="first"/>
          <w:footerReference r:id="rId11"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bookmarkEnd w:id="12"/>
    <w:bookmarkEnd w:id="13"/>
    <w:p w14:paraId="67B5FA2E">
      <w:pPr>
        <w:pStyle w:val="3"/>
        <w:spacing w:line="0" w:lineRule="atLeast"/>
        <w:jc w:val="center"/>
        <w:rPr>
          <w:rStyle w:val="32"/>
          <w:rFonts w:ascii="方正小标宋_GBK" w:eastAsia="方正小标宋_GBK"/>
          <w:b/>
          <w:bCs w:val="0"/>
        </w:rPr>
      </w:pPr>
      <w:r>
        <w:rPr>
          <w:rFonts w:hint="eastAsia" w:ascii="方正小标宋_GBK" w:eastAsia="方正小标宋_GBK"/>
        </w:rPr>
        <w:t>第一部分</w:t>
      </w:r>
      <w:r>
        <w:rPr>
          <w:rFonts w:hint="eastAsia" w:ascii="方正小标宋_GBK" w:eastAsia="方正小标宋_GBK"/>
          <w:b w:val="0"/>
        </w:rPr>
        <w:t xml:space="preserve">  </w:t>
      </w:r>
      <w:r>
        <w:rPr>
          <w:rStyle w:val="32"/>
          <w:rFonts w:hint="eastAsia" w:ascii="方正小标宋_GBK" w:eastAsia="方正小标宋_GBK"/>
          <w:b/>
          <w:bCs w:val="0"/>
        </w:rPr>
        <w:t>单位概况</w:t>
      </w:r>
    </w:p>
    <w:p w14:paraId="4299BD3C">
      <w:pPr>
        <w:widowControl/>
        <w:jc w:val="left"/>
        <w:rPr>
          <w:rFonts w:eastAsia="黑体"/>
          <w:sz w:val="32"/>
          <w:szCs w:val="32"/>
        </w:rPr>
      </w:pPr>
    </w:p>
    <w:p w14:paraId="62774A86">
      <w:pPr>
        <w:pStyle w:val="4"/>
        <w:numPr>
          <w:ilvl w:val="0"/>
          <w:numId w:val="1"/>
        </w:numPr>
        <w:rPr>
          <w:rFonts w:ascii="方正黑体_GBK" w:hAnsi="Times New Roman" w:eastAsia="方正黑体_GBK" w:cs="Times New Roman"/>
          <w:b w:val="0"/>
        </w:rPr>
      </w:pPr>
      <w:r>
        <w:rPr>
          <w:rFonts w:hint="eastAsia" w:ascii="方正黑体_GBK" w:hAnsi="Times New Roman" w:eastAsia="方正黑体_GBK" w:cs="Times New Roman"/>
          <w:b w:val="0"/>
        </w:rPr>
        <w:t>主要职责</w:t>
      </w:r>
    </w:p>
    <w:p w14:paraId="2FB98636">
      <w:pPr>
        <w:rPr>
          <w:rFonts w:ascii="方正仿宋_GBK" w:eastAsia="方正仿宋_GBK"/>
          <w:sz w:val="32"/>
          <w:szCs w:val="32"/>
        </w:rPr>
      </w:pPr>
      <w:r>
        <w:t xml:space="preserve">      </w:t>
      </w:r>
      <w:r>
        <w:rPr>
          <w:rFonts w:hint="eastAsia" w:ascii="方正仿宋_GBK" w:hAnsi="仿宋_GB2312" w:eastAsia="方正仿宋_GBK"/>
          <w:sz w:val="32"/>
          <w:szCs w:val="32"/>
        </w:rPr>
        <w:t>略</w:t>
      </w:r>
    </w:p>
    <w:p w14:paraId="3729D26F">
      <w:pPr>
        <w:pStyle w:val="4"/>
        <w:rPr>
          <w:rStyle w:val="33"/>
          <w:rFonts w:ascii="Times New Roman" w:hAnsi="Times New Roman" w:cs="Times New Roman"/>
          <w:b w:val="0"/>
          <w:bCs w:val="0"/>
        </w:rPr>
      </w:pPr>
      <w:bookmarkStart w:id="14" w:name="_Toc15396601"/>
      <w:bookmarkStart w:id="15" w:name="_Toc15377200"/>
      <w:r>
        <w:rPr>
          <w:rFonts w:hint="eastAsia" w:ascii="方正黑体_GBK" w:hAnsi="Times New Roman" w:eastAsia="方正黑体_GBK" w:cs="Times New Roman"/>
          <w:b w:val="0"/>
        </w:rPr>
        <w:t>二</w:t>
      </w:r>
      <w:r>
        <w:rPr>
          <w:rFonts w:ascii="Times New Roman" w:hAnsi="Times New Roman" w:eastAsia="黑体" w:cs="Times New Roman"/>
          <w:b w:val="0"/>
        </w:rPr>
        <w:t>、</w:t>
      </w:r>
      <w:r>
        <w:rPr>
          <w:rFonts w:ascii="方正黑体_GBK" w:hAnsi="Times New Roman" w:eastAsia="方正黑体_GBK" w:cs="Times New Roman"/>
          <w:b w:val="0"/>
        </w:rPr>
        <w:t>机</w:t>
      </w:r>
      <w:r>
        <w:rPr>
          <w:rFonts w:hint="eastAsia" w:ascii="方正黑体_GBK" w:eastAsia="方正黑体_GBK"/>
          <w:bCs w:val="0"/>
        </w:rPr>
        <w:t>构设置</w:t>
      </w:r>
      <w:bookmarkEnd w:id="14"/>
      <w:bookmarkEnd w:id="15"/>
    </w:p>
    <w:p w14:paraId="3E04F5E0">
      <w:pPr>
        <w:ind w:firstLine="640" w:firstLineChars="200"/>
        <w:rPr>
          <w:rFonts w:eastAsia="方正仿宋_GBK"/>
          <w:sz w:val="32"/>
          <w:szCs w:val="32"/>
        </w:rPr>
      </w:pPr>
      <w:r>
        <w:rPr>
          <w:rFonts w:eastAsia="方正仿宋_GBK"/>
          <w:sz w:val="32"/>
          <w:szCs w:val="32"/>
        </w:rPr>
        <w:t>中共攀枝花市西区区委统一战线工作部下属二级预算单位1个（非独立核算），其中行政单位0个，参照公务员法管理的事业单位</w:t>
      </w:r>
      <w:r>
        <w:rPr>
          <w:rFonts w:eastAsia="方正仿宋_GBK"/>
          <w:bCs/>
          <w:sz w:val="32"/>
          <w:szCs w:val="32"/>
        </w:rPr>
        <w:t>0</w:t>
      </w:r>
      <w:r>
        <w:rPr>
          <w:rFonts w:eastAsia="方正仿宋_GBK"/>
          <w:sz w:val="32"/>
          <w:szCs w:val="32"/>
        </w:rPr>
        <w:t>个，其他事业单位1个。</w:t>
      </w:r>
    </w:p>
    <w:p w14:paraId="025EB0B3">
      <w:pPr>
        <w:pStyle w:val="6"/>
        <w:adjustRightInd w:val="0"/>
        <w:snapToGrid w:val="0"/>
        <w:spacing w:before="93" w:line="600" w:lineRule="exact"/>
        <w:ind w:firstLine="672" w:firstLineChars="210"/>
        <w:rPr>
          <w:rFonts w:ascii="Times New Roman" w:eastAsia="方正仿宋_GBK"/>
          <w:sz w:val="32"/>
          <w:szCs w:val="32"/>
        </w:rPr>
      </w:pPr>
      <w:r>
        <w:rPr>
          <w:rFonts w:ascii="Times New Roman" w:eastAsia="方正仿宋_GBK"/>
          <w:sz w:val="32"/>
          <w:szCs w:val="32"/>
        </w:rPr>
        <w:t>纳入中共攀枝花市西区区委统一战线工作部2024年度</w:t>
      </w:r>
      <w:r>
        <w:rPr>
          <w:rFonts w:hint="eastAsia" w:ascii="Times New Roman" w:eastAsia="方正仿宋_GBK"/>
          <w:sz w:val="32"/>
          <w:szCs w:val="32"/>
        </w:rPr>
        <w:t>单位</w:t>
      </w:r>
      <w:r>
        <w:rPr>
          <w:rFonts w:ascii="Times New Roman" w:eastAsia="方正仿宋_GBK"/>
          <w:sz w:val="32"/>
          <w:szCs w:val="32"/>
        </w:rPr>
        <w:t>决算编制范围的二级预算单位1个。</w:t>
      </w:r>
    </w:p>
    <w:p w14:paraId="244D6841">
      <w:pPr>
        <w:pStyle w:val="6"/>
        <w:adjustRightInd w:val="0"/>
        <w:snapToGrid w:val="0"/>
        <w:spacing w:before="93" w:line="600" w:lineRule="exact"/>
        <w:ind w:left="672"/>
        <w:outlineLvl w:val="2"/>
        <w:rPr>
          <w:rFonts w:ascii="Times New Roman"/>
          <w:sz w:val="32"/>
          <w:szCs w:val="32"/>
        </w:rPr>
      </w:pPr>
    </w:p>
    <w:p w14:paraId="4896E24B">
      <w:pPr>
        <w:widowControl/>
        <w:jc w:val="left"/>
        <w:rPr>
          <w:rFonts w:eastAsia="仿宋"/>
          <w:kern w:val="0"/>
          <w:sz w:val="32"/>
          <w:szCs w:val="32"/>
        </w:rPr>
      </w:pPr>
      <w:r>
        <w:rPr>
          <w:rFonts w:eastAsia="仿宋"/>
          <w:sz w:val="32"/>
          <w:szCs w:val="32"/>
        </w:rPr>
        <w:br w:type="page"/>
      </w:r>
    </w:p>
    <w:p w14:paraId="664EC65B">
      <w:pPr>
        <w:pStyle w:val="3"/>
        <w:spacing w:line="0" w:lineRule="atLeast"/>
        <w:jc w:val="center"/>
        <w:rPr>
          <w:rStyle w:val="32"/>
          <w:rFonts w:ascii="方正小标宋_GBK" w:eastAsia="方正小标宋_GBK"/>
          <w:b/>
          <w:bCs w:val="0"/>
        </w:rPr>
      </w:pPr>
      <w:bookmarkStart w:id="16" w:name="_Toc15396602"/>
      <w:bookmarkStart w:id="17" w:name="_Toc15377204"/>
      <w:r>
        <w:rPr>
          <w:rStyle w:val="32"/>
          <w:rFonts w:hint="eastAsia" w:ascii="方正小标宋_GBK" w:eastAsia="方正小标宋_GBK"/>
          <w:b/>
          <w:bCs w:val="0"/>
        </w:rPr>
        <w:t>第二部分  2024年度单位决算情况说明</w:t>
      </w:r>
      <w:bookmarkEnd w:id="16"/>
      <w:bookmarkEnd w:id="17"/>
    </w:p>
    <w:p w14:paraId="31E670C5"/>
    <w:p w14:paraId="3D585D0E">
      <w:pPr>
        <w:pStyle w:val="31"/>
        <w:spacing w:line="600" w:lineRule="exact"/>
        <w:ind w:firstLine="640"/>
        <w:outlineLvl w:val="1"/>
        <w:rPr>
          <w:rStyle w:val="33"/>
          <w:rFonts w:ascii="方正黑体_GBK" w:hAnsi="Times New Roman" w:eastAsia="方正黑体_GBK" w:cs="Times New Roman"/>
          <w:b w:val="0"/>
        </w:rPr>
      </w:pPr>
      <w:bookmarkStart w:id="18" w:name="_Toc15396603"/>
      <w:bookmarkStart w:id="19" w:name="_Toc15377205"/>
      <w:r>
        <w:rPr>
          <w:rFonts w:hint="eastAsia" w:ascii="方正黑体_GBK" w:eastAsia="方正黑体_GBK"/>
          <w:sz w:val="32"/>
          <w:szCs w:val="32"/>
        </w:rPr>
        <w:t>一、收</w:t>
      </w:r>
      <w:r>
        <w:rPr>
          <w:rStyle w:val="33"/>
          <w:rFonts w:hint="eastAsia" w:ascii="方正黑体_GBK" w:hAnsi="Times New Roman" w:eastAsia="方正黑体_GBK" w:cs="Times New Roman"/>
          <w:b w:val="0"/>
        </w:rPr>
        <w:t>入支出决算总体情况说明</w:t>
      </w:r>
      <w:bookmarkEnd w:id="18"/>
      <w:bookmarkEnd w:id="19"/>
    </w:p>
    <w:p w14:paraId="598DF1C8">
      <w:pPr>
        <w:pStyle w:val="21"/>
        <w:ind w:firstLine="640"/>
        <w:rPr>
          <w:rFonts w:eastAsia="方正仿宋_GBK"/>
        </w:rPr>
      </w:pPr>
      <w:r>
        <w:rPr>
          <w:rFonts w:eastAsia="方正仿宋_GBK"/>
          <w:sz w:val="32"/>
          <w:szCs w:val="32"/>
        </w:rPr>
        <w:t>2024年度收入、支出总计均为340.13万元。与2023年度相比，收入、支出总计各增加34.74万元，增长11.37%。主要变动原因是基本支出减少11.42万元，项目支出比上年增加46.15万元，其中庄上村民族团结进步农文旅融合示范基地打造增加了开支。</w:t>
      </w:r>
    </w:p>
    <w:p w14:paraId="7CB905D5">
      <w:pPr>
        <w:ind w:firstLine="640" w:firstLineChars="200"/>
        <w:rPr>
          <w:rFonts w:eastAsia="方正仿宋_GBK"/>
        </w:rPr>
      </w:pPr>
      <w:r>
        <w:rPr>
          <w:rFonts w:eastAsia="方正仿宋_GBK"/>
          <w:sz w:val="32"/>
          <w:szCs w:val="32"/>
        </w:rPr>
        <w:t>（图1：收入、支出决算总计变动情况图）</w:t>
      </w:r>
    </w:p>
    <w:p w14:paraId="3B4D5B1F">
      <w:pPr>
        <w:jc w:val="center"/>
        <w:rPr>
          <w:rFonts w:eastAsia="仿宋_GB2312"/>
          <w:sz w:val="32"/>
          <w:szCs w:val="32"/>
        </w:rPr>
      </w:pPr>
      <w:r>
        <w:drawing>
          <wp:inline distT="0" distB="0" distL="114300" distR="114300">
            <wp:extent cx="3957320" cy="2307590"/>
            <wp:effectExtent l="4445" t="5080" r="19685" b="11430"/>
            <wp:docPr id="5373" name="图表 10"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1B0C5F">
      <w:pPr>
        <w:pStyle w:val="31"/>
        <w:spacing w:line="600" w:lineRule="exact"/>
        <w:ind w:firstLine="640"/>
        <w:outlineLvl w:val="1"/>
        <w:rPr>
          <w:rFonts w:eastAsia="黑体"/>
          <w:sz w:val="32"/>
          <w:szCs w:val="32"/>
        </w:rPr>
      </w:pPr>
      <w:bookmarkStart w:id="20" w:name="_Toc15377206"/>
      <w:bookmarkStart w:id="21" w:name="_Toc15396604"/>
    </w:p>
    <w:p w14:paraId="07310AB1">
      <w:pPr>
        <w:pStyle w:val="31"/>
        <w:spacing w:line="600" w:lineRule="exact"/>
        <w:ind w:firstLine="640"/>
        <w:outlineLvl w:val="1"/>
        <w:rPr>
          <w:rStyle w:val="33"/>
          <w:rFonts w:ascii="方正黑体_GBK" w:hAnsi="Times New Roman" w:eastAsia="方正黑体_GBK" w:cs="Times New Roman"/>
          <w:b w:val="0"/>
        </w:rPr>
      </w:pPr>
      <w:r>
        <w:rPr>
          <w:rStyle w:val="33"/>
          <w:rFonts w:ascii="方正黑体_GBK" w:hAnsi="Times New Roman" w:eastAsia="方正黑体_GBK" w:cs="Times New Roman"/>
          <w:b w:val="0"/>
        </w:rPr>
        <w:t>二、收入决算情况说明</w:t>
      </w:r>
      <w:bookmarkEnd w:id="20"/>
      <w:bookmarkEnd w:id="21"/>
    </w:p>
    <w:p w14:paraId="00AA03B5">
      <w:pPr>
        <w:pStyle w:val="31"/>
        <w:spacing w:line="600" w:lineRule="exact"/>
        <w:ind w:firstLine="640"/>
        <w:jc w:val="left"/>
        <w:outlineLvl w:val="1"/>
        <w:rPr>
          <w:rFonts w:eastAsia="方正仿宋_GBK"/>
          <w:b/>
          <w:bCs/>
          <w:sz w:val="32"/>
          <w:szCs w:val="32"/>
        </w:rPr>
      </w:pPr>
      <w:r>
        <w:rPr>
          <w:rFonts w:eastAsia="方正仿宋_GBK"/>
          <w:sz w:val="32"/>
          <w:szCs w:val="32"/>
        </w:rPr>
        <w:t>2024年度本年收入合计340.13万元，其中：一般公共预算财政拨款收入294.02万元，占86.45%；政府性基金预算财政拨款收入46.1万元，占13.55%%；国有资本经营预算财政拨款收入0万元，占0%；上级补助收入0万元，占0%；事业收入0万元，占0%；经营收入0万元，占0%；附属单位上缴收入0万元，占0%；其他收入0万元，占0%。</w:t>
      </w:r>
    </w:p>
    <w:p w14:paraId="204C6D78">
      <w:pPr>
        <w:ind w:firstLine="800" w:firstLineChars="250"/>
        <w:rPr>
          <w:rFonts w:eastAsia="方正仿宋_GBK"/>
          <w:sz w:val="32"/>
          <w:szCs w:val="32"/>
        </w:rPr>
      </w:pPr>
      <w:r>
        <w:rPr>
          <w:rFonts w:eastAsia="方正仿宋_GBK"/>
          <w:sz w:val="32"/>
          <w:szCs w:val="32"/>
        </w:rPr>
        <w:t>（图2：收入决算结构图）</w:t>
      </w:r>
    </w:p>
    <w:p w14:paraId="6B62DF0F">
      <w:pPr>
        <w:pStyle w:val="21"/>
        <w:ind w:firstLine="420"/>
        <w:jc w:val="center"/>
      </w:pPr>
      <w:r>
        <w:drawing>
          <wp:inline distT="0" distB="0" distL="114300" distR="114300">
            <wp:extent cx="4072255" cy="2178685"/>
            <wp:effectExtent l="5080" t="4445" r="18415" b="762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689A83">
      <w:pPr>
        <w:pStyle w:val="31"/>
        <w:spacing w:line="600" w:lineRule="exact"/>
        <w:ind w:firstLine="640"/>
        <w:outlineLvl w:val="1"/>
        <w:rPr>
          <w:rFonts w:eastAsia="黑体"/>
          <w:sz w:val="32"/>
          <w:szCs w:val="32"/>
        </w:rPr>
      </w:pPr>
      <w:bookmarkStart w:id="22" w:name="_Toc15377207"/>
      <w:bookmarkStart w:id="23" w:name="_Toc15396605"/>
    </w:p>
    <w:p w14:paraId="64B1808C">
      <w:pPr>
        <w:pStyle w:val="31"/>
        <w:spacing w:line="600" w:lineRule="exact"/>
        <w:ind w:firstLine="640"/>
        <w:outlineLvl w:val="1"/>
        <w:rPr>
          <w:rStyle w:val="33"/>
          <w:rFonts w:ascii="方正黑体_GBK" w:hAnsi="Times New Roman" w:eastAsia="方正黑体_GBK" w:cs="Times New Roman"/>
          <w:b w:val="0"/>
        </w:rPr>
      </w:pPr>
      <w:r>
        <w:rPr>
          <w:rStyle w:val="33"/>
          <w:rFonts w:ascii="方正黑体_GBK" w:hAnsi="Times New Roman" w:eastAsia="方正黑体_GBK" w:cs="Times New Roman"/>
          <w:b w:val="0"/>
        </w:rPr>
        <w:t>三、支出决算情况说明</w:t>
      </w:r>
      <w:bookmarkEnd w:id="22"/>
      <w:bookmarkEnd w:id="23"/>
    </w:p>
    <w:p w14:paraId="5E7A7DF1">
      <w:pPr>
        <w:pStyle w:val="31"/>
        <w:spacing w:line="600" w:lineRule="exact"/>
        <w:ind w:firstLine="640"/>
        <w:jc w:val="left"/>
        <w:outlineLvl w:val="1"/>
        <w:rPr>
          <w:rFonts w:eastAsia="方正仿宋_GBK"/>
          <w:sz w:val="32"/>
          <w:szCs w:val="32"/>
        </w:rPr>
      </w:pPr>
      <w:r>
        <w:rPr>
          <w:rFonts w:eastAsia="方正仿宋_GBK"/>
          <w:sz w:val="32"/>
          <w:szCs w:val="32"/>
        </w:rPr>
        <w:t>2024年度本年支出合计340.13万元，其中：基本支出241.02万元，占70.86%；项目支出99.1万元，占29.14%；上缴上级支出0万元，占0%；经营支出0万元，占0%；对附属单位补助支出0万元，占0%。</w:t>
      </w:r>
    </w:p>
    <w:p w14:paraId="1CAA2DD7">
      <w:pPr>
        <w:ind w:firstLine="800" w:firstLineChars="250"/>
        <w:rPr>
          <w:rFonts w:eastAsia="方正仿宋_GBK"/>
          <w:sz w:val="32"/>
          <w:szCs w:val="32"/>
        </w:rPr>
      </w:pPr>
      <w:r>
        <w:rPr>
          <w:rFonts w:eastAsia="方正仿宋_GBK"/>
          <w:sz w:val="32"/>
          <w:szCs w:val="32"/>
        </w:rPr>
        <w:t>（图3：支出决算结构图）</w:t>
      </w:r>
    </w:p>
    <w:p w14:paraId="471F036B">
      <w:pPr>
        <w:pStyle w:val="21"/>
        <w:ind w:firstLine="420"/>
      </w:pPr>
    </w:p>
    <w:p w14:paraId="350DB167">
      <w:pPr>
        <w:ind w:firstLine="525" w:firstLineChars="250"/>
        <w:jc w:val="center"/>
        <w:rPr>
          <w:rFonts w:eastAsia="黑体"/>
          <w:sz w:val="32"/>
          <w:szCs w:val="32"/>
        </w:rPr>
      </w:pPr>
      <w:bookmarkStart w:id="24" w:name="_Toc15396606"/>
      <w:bookmarkStart w:id="25" w:name="_Toc15377208"/>
      <w:r>
        <w:drawing>
          <wp:inline distT="0" distB="0" distL="114300" distR="114300">
            <wp:extent cx="4020185" cy="2324100"/>
            <wp:effectExtent l="4445" t="4445" r="13970" b="14605"/>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B235EF">
      <w:pPr>
        <w:spacing w:line="600" w:lineRule="exact"/>
        <w:ind w:firstLine="640" w:firstLineChars="200"/>
        <w:outlineLvl w:val="1"/>
        <w:rPr>
          <w:rFonts w:eastAsia="黑体"/>
          <w:sz w:val="32"/>
          <w:szCs w:val="32"/>
        </w:rPr>
      </w:pPr>
    </w:p>
    <w:p w14:paraId="49A6AA08">
      <w:pPr>
        <w:pStyle w:val="31"/>
        <w:spacing w:line="600" w:lineRule="exact"/>
        <w:ind w:firstLine="640"/>
        <w:outlineLvl w:val="1"/>
        <w:rPr>
          <w:rStyle w:val="33"/>
          <w:rFonts w:ascii="方正黑体_GBK" w:hAnsi="Times New Roman" w:eastAsia="方正黑体_GBK" w:cs="Times New Roman"/>
          <w:b w:val="0"/>
        </w:rPr>
      </w:pPr>
      <w:r>
        <w:rPr>
          <w:rStyle w:val="33"/>
          <w:rFonts w:ascii="方正黑体_GBK" w:hAnsi="Times New Roman" w:eastAsia="方正黑体_GBK" w:cs="Times New Roman"/>
          <w:b w:val="0"/>
        </w:rPr>
        <w:t>四、财政拨款收入支出决算总体情况说明</w:t>
      </w:r>
      <w:bookmarkEnd w:id="24"/>
      <w:bookmarkEnd w:id="25"/>
    </w:p>
    <w:p w14:paraId="0E1D68DC">
      <w:pPr>
        <w:pStyle w:val="21"/>
        <w:ind w:firstLine="640"/>
        <w:rPr>
          <w:rFonts w:eastAsia="方正仿宋_GBK"/>
          <w:sz w:val="32"/>
          <w:szCs w:val="32"/>
        </w:rPr>
      </w:pPr>
      <w:r>
        <w:rPr>
          <w:rFonts w:eastAsia="方正仿宋_GBK"/>
          <w:sz w:val="32"/>
          <w:szCs w:val="32"/>
        </w:rPr>
        <w:t>2024年度财政拨款收入、支出总计均为340.13万元。与2023年度相比，财政拨款收入总计、支出总计各增加34.74万元，增长11.37%。主要变动原因是基本支出减少11.42万元，项目支出比上年增加46.15万元，其中庄上村民族团结进步农文旅融合示范基地打造增加了开支。</w:t>
      </w:r>
    </w:p>
    <w:p w14:paraId="513B14B5">
      <w:pPr>
        <w:spacing w:line="600" w:lineRule="exact"/>
        <w:ind w:firstLine="640" w:firstLineChars="200"/>
        <w:rPr>
          <w:rFonts w:eastAsia="方正仿宋_GBK"/>
          <w:sz w:val="32"/>
          <w:szCs w:val="32"/>
        </w:rPr>
      </w:pPr>
      <w:r>
        <w:rPr>
          <w:rFonts w:eastAsia="方正仿宋_GBK"/>
          <w:sz w:val="32"/>
          <w:szCs w:val="32"/>
        </w:rPr>
        <w:t>（图4：财政拨款收、支决算总计变动情况）</w:t>
      </w:r>
    </w:p>
    <w:p w14:paraId="1F280666">
      <w:pPr>
        <w:pStyle w:val="21"/>
        <w:ind w:firstLine="420"/>
        <w:jc w:val="center"/>
      </w:pPr>
      <w:r>
        <w:drawing>
          <wp:inline distT="0" distB="0" distL="114300" distR="114300">
            <wp:extent cx="4166870" cy="2541270"/>
            <wp:effectExtent l="4445" t="4445" r="19685" b="6985"/>
            <wp:docPr id="5" name="图表 13"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33CA2C">
      <w:pPr>
        <w:spacing w:line="600" w:lineRule="exact"/>
        <w:ind w:firstLine="640"/>
        <w:rPr>
          <w:rFonts w:eastAsia="仿宋_GB2312"/>
          <w:sz w:val="32"/>
          <w:szCs w:val="32"/>
        </w:rPr>
      </w:pPr>
    </w:p>
    <w:p w14:paraId="5F4A1024">
      <w:pPr>
        <w:pStyle w:val="31"/>
        <w:spacing w:line="600" w:lineRule="exact"/>
        <w:ind w:firstLine="640"/>
        <w:outlineLvl w:val="1"/>
        <w:rPr>
          <w:rStyle w:val="33"/>
          <w:rFonts w:ascii="方正黑体_GBK" w:hAnsi="Times New Roman" w:eastAsia="方正黑体_GBK" w:cs="Times New Roman"/>
          <w:b w:val="0"/>
        </w:rPr>
      </w:pPr>
      <w:bookmarkStart w:id="26" w:name="_Toc15396607"/>
      <w:bookmarkStart w:id="27" w:name="_Toc15377209"/>
      <w:r>
        <w:rPr>
          <w:rStyle w:val="33"/>
          <w:rFonts w:ascii="方正黑体_GBK" w:hAnsi="Times New Roman" w:eastAsia="方正黑体_GBK" w:cs="Times New Roman"/>
          <w:b w:val="0"/>
        </w:rPr>
        <w:t>五、一般公共预算财政拨款支出决算情况说明</w:t>
      </w:r>
      <w:bookmarkEnd w:id="26"/>
      <w:bookmarkEnd w:id="27"/>
    </w:p>
    <w:p w14:paraId="5113F9B2">
      <w:pPr>
        <w:spacing w:line="600" w:lineRule="exact"/>
        <w:ind w:firstLine="643" w:firstLineChars="200"/>
        <w:outlineLvl w:val="2"/>
        <w:rPr>
          <w:rFonts w:ascii="方正楷体_GBK" w:eastAsia="方正楷体_GBK"/>
          <w:b/>
          <w:sz w:val="32"/>
          <w:szCs w:val="32"/>
        </w:rPr>
      </w:pPr>
      <w:bookmarkStart w:id="28" w:name="_Toc15377210"/>
      <w:r>
        <w:rPr>
          <w:rFonts w:hint="eastAsia" w:ascii="方正楷体_GBK" w:eastAsia="方正楷体_GBK"/>
          <w:b/>
          <w:sz w:val="32"/>
          <w:szCs w:val="32"/>
        </w:rPr>
        <w:t>（一）一般公共预算财政拨款支出决算总体情况</w:t>
      </w:r>
      <w:bookmarkEnd w:id="28"/>
    </w:p>
    <w:p w14:paraId="17692D80">
      <w:pPr>
        <w:spacing w:line="600" w:lineRule="exact"/>
        <w:ind w:firstLine="640"/>
        <w:rPr>
          <w:rFonts w:eastAsia="方正仿宋_GBK"/>
          <w:sz w:val="32"/>
          <w:szCs w:val="32"/>
        </w:rPr>
      </w:pPr>
      <w:r>
        <w:rPr>
          <w:rFonts w:eastAsia="方正仿宋_GBK"/>
          <w:sz w:val="32"/>
          <w:szCs w:val="32"/>
        </w:rPr>
        <w:t>2024年度一般公共预算财政拨款支出294.02万元，占本年支出合计的86.44%。与2023年度相比，一般公共预算财政拨款支出增加38.23万元，增长14.95%。主要变动原因主要是本年度增加了巩固脱贫攻坚成果衔接推进乡村振兴资金用于项目支出。</w:t>
      </w:r>
    </w:p>
    <w:p w14:paraId="5D0A2743">
      <w:pPr>
        <w:spacing w:line="600" w:lineRule="exact"/>
        <w:ind w:firstLine="640"/>
        <w:rPr>
          <w:rFonts w:eastAsia="方正仿宋_GBK"/>
          <w:sz w:val="32"/>
          <w:szCs w:val="32"/>
        </w:rPr>
      </w:pPr>
      <w:r>
        <w:rPr>
          <w:rFonts w:eastAsia="方正仿宋_GBK"/>
          <w:sz w:val="32"/>
          <w:szCs w:val="32"/>
        </w:rPr>
        <w:t>（图5：一般公共预算财政拨款支出决算变动情况）</w:t>
      </w:r>
    </w:p>
    <w:p w14:paraId="45EF82F8">
      <w:pPr>
        <w:pStyle w:val="21"/>
        <w:ind w:firstLine="420"/>
        <w:jc w:val="center"/>
      </w:pPr>
      <w:r>
        <w:drawing>
          <wp:inline distT="0" distB="0" distL="114300" distR="114300">
            <wp:extent cx="4140200" cy="2444750"/>
            <wp:effectExtent l="4445" t="5080" r="8255" b="7620"/>
            <wp:docPr id="5376" name="图表 14"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AF2379">
      <w:pPr>
        <w:spacing w:line="600" w:lineRule="exact"/>
        <w:ind w:firstLine="643" w:firstLineChars="200"/>
        <w:outlineLvl w:val="2"/>
        <w:rPr>
          <w:rFonts w:ascii="方正楷体_GBK" w:eastAsia="方正楷体_GBK"/>
          <w:b/>
          <w:sz w:val="32"/>
          <w:szCs w:val="32"/>
        </w:rPr>
      </w:pPr>
      <w:bookmarkStart w:id="29" w:name="_Toc15377211"/>
      <w:r>
        <w:rPr>
          <w:rFonts w:ascii="方正楷体_GBK" w:eastAsia="方正楷体_GBK"/>
          <w:b/>
          <w:sz w:val="32"/>
          <w:szCs w:val="32"/>
        </w:rPr>
        <w:t>（二）一般公共预算财政拨款支出决算结构情况</w:t>
      </w:r>
      <w:bookmarkEnd w:id="29"/>
    </w:p>
    <w:p w14:paraId="10FC0F81">
      <w:pPr>
        <w:spacing w:line="600" w:lineRule="exact"/>
        <w:ind w:firstLine="640"/>
        <w:rPr>
          <w:rFonts w:eastAsia="方正仿宋_GBK"/>
          <w:sz w:val="32"/>
          <w:szCs w:val="32"/>
        </w:rPr>
      </w:pPr>
      <w:r>
        <w:rPr>
          <w:rFonts w:eastAsia="方正仿宋_GBK"/>
          <w:sz w:val="32"/>
          <w:szCs w:val="32"/>
        </w:rPr>
        <w:t>2024年度一般公共预算财政拨款支出294.02万元，主要用于以下方面：一般公共服务支出168.27万元，占57.23%；教育支出0万元，占0%；科学技术支出0万元，占0%；文化旅游体育与传媒支出0万元，占0%；社会保障和就业支出36.91万元，占12.55%；卫生健康支出21.88万元，占7.44%；住房保障支出16.97万元，占5.77%；农林水支出50万元，占17.01%。</w:t>
      </w:r>
    </w:p>
    <w:p w14:paraId="29DE66D9">
      <w:pPr>
        <w:spacing w:line="600" w:lineRule="exact"/>
        <w:ind w:firstLine="640"/>
        <w:rPr>
          <w:rFonts w:eastAsia="方正仿宋_GBK"/>
          <w:sz w:val="32"/>
          <w:szCs w:val="32"/>
        </w:rPr>
      </w:pPr>
      <w:r>
        <w:rPr>
          <w:rFonts w:eastAsia="方正仿宋_GBK"/>
          <w:sz w:val="32"/>
          <w:szCs w:val="32"/>
        </w:rPr>
        <w:t>（图6：一般公共预算财政拨款支出决算结构）</w:t>
      </w:r>
    </w:p>
    <w:p w14:paraId="05658BAC">
      <w:pPr>
        <w:jc w:val="center"/>
      </w:pPr>
      <w:r>
        <w:drawing>
          <wp:inline distT="0" distB="0" distL="114300" distR="114300">
            <wp:extent cx="4001770" cy="2590800"/>
            <wp:effectExtent l="4445" t="4445" r="1333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B0E586">
      <w:pPr>
        <w:spacing w:line="600" w:lineRule="exact"/>
        <w:ind w:firstLine="643" w:firstLineChars="200"/>
        <w:outlineLvl w:val="2"/>
        <w:rPr>
          <w:rFonts w:ascii="方正楷体_GBK" w:eastAsia="方正楷体_GBK"/>
          <w:b/>
          <w:sz w:val="32"/>
          <w:szCs w:val="32"/>
        </w:rPr>
      </w:pPr>
      <w:bookmarkStart w:id="30" w:name="_Toc15377212"/>
      <w:r>
        <w:rPr>
          <w:rFonts w:ascii="方正楷体_GBK" w:eastAsia="方正楷体_GBK"/>
          <w:b/>
          <w:sz w:val="32"/>
          <w:szCs w:val="32"/>
        </w:rPr>
        <w:t>（三）一般公共预算财政拨款支出决算具体情况</w:t>
      </w:r>
      <w:bookmarkEnd w:id="30"/>
    </w:p>
    <w:p w14:paraId="3314DB48">
      <w:pPr>
        <w:spacing w:line="600" w:lineRule="exact"/>
        <w:ind w:firstLine="640"/>
        <w:rPr>
          <w:rFonts w:eastAsia="方正仿宋_GBK"/>
          <w:sz w:val="32"/>
          <w:szCs w:val="32"/>
        </w:rPr>
      </w:pPr>
      <w:bookmarkStart w:id="31" w:name="_Toc15377213"/>
      <w:bookmarkStart w:id="32" w:name="_Toc15377444"/>
      <w:bookmarkStart w:id="33" w:name="_Toc15378460"/>
      <w:r>
        <w:rPr>
          <w:rFonts w:eastAsia="方正仿宋_GBK"/>
          <w:sz w:val="32"/>
          <w:szCs w:val="32"/>
        </w:rPr>
        <w:t>2024年度一般公共预算财政拨款支出决算数为294.02万元，完成预算100%。其中：</w:t>
      </w:r>
      <w:bookmarkEnd w:id="31"/>
      <w:bookmarkEnd w:id="32"/>
      <w:bookmarkEnd w:id="33"/>
    </w:p>
    <w:p w14:paraId="6309F59F">
      <w:pPr>
        <w:spacing w:line="600" w:lineRule="exact"/>
        <w:ind w:firstLine="640"/>
        <w:rPr>
          <w:rFonts w:eastAsia="方正仿宋_GBK"/>
          <w:sz w:val="32"/>
          <w:szCs w:val="32"/>
        </w:rPr>
      </w:pPr>
      <w:r>
        <w:rPr>
          <w:rFonts w:eastAsia="方正仿宋_GBK"/>
          <w:sz w:val="32"/>
          <w:szCs w:val="32"/>
        </w:rPr>
        <w:t>1.一般公共服务（类）统战事务（款）行政运行（项）：支出决算为121.15万元，完成预算100%，决算数与预算数持平。</w:t>
      </w:r>
    </w:p>
    <w:p w14:paraId="10DE564B">
      <w:pPr>
        <w:spacing w:line="600" w:lineRule="exact"/>
        <w:ind w:firstLine="640"/>
        <w:rPr>
          <w:rFonts w:eastAsia="方正仿宋_GBK"/>
          <w:sz w:val="32"/>
          <w:szCs w:val="32"/>
        </w:rPr>
      </w:pPr>
      <w:r>
        <w:rPr>
          <w:rFonts w:eastAsia="方正仿宋_GBK"/>
          <w:sz w:val="32"/>
          <w:szCs w:val="32"/>
        </w:rPr>
        <w:t>2.一般公共服务（类）统战事务（款）一般行政管理事务（项）： 支出决算为3万元，完成预算100%，决算数与预算数持平。</w:t>
      </w:r>
    </w:p>
    <w:p w14:paraId="535EE83F">
      <w:pPr>
        <w:spacing w:line="600" w:lineRule="exact"/>
        <w:ind w:firstLine="640"/>
        <w:rPr>
          <w:rFonts w:eastAsia="方正仿宋_GBK"/>
          <w:sz w:val="32"/>
          <w:szCs w:val="32"/>
        </w:rPr>
      </w:pPr>
      <w:r>
        <w:rPr>
          <w:rFonts w:eastAsia="方正仿宋_GBK"/>
          <w:sz w:val="32"/>
          <w:szCs w:val="32"/>
        </w:rPr>
        <w:t>3.一般公共服务（类）统战事务（款）事业运行（项）：支出决算为44.12万元，完成预算100%，决算数与预算数持平。</w:t>
      </w:r>
    </w:p>
    <w:p w14:paraId="6EBE7DB1">
      <w:pPr>
        <w:spacing w:line="600" w:lineRule="exact"/>
        <w:ind w:firstLine="640"/>
        <w:rPr>
          <w:rFonts w:eastAsia="方正仿宋_GBK"/>
          <w:sz w:val="32"/>
          <w:szCs w:val="32"/>
        </w:rPr>
      </w:pPr>
      <w:r>
        <w:rPr>
          <w:rFonts w:eastAsia="方正仿宋_GBK"/>
          <w:sz w:val="32"/>
          <w:szCs w:val="32"/>
        </w:rPr>
        <w:t>4.社会保障和就业（类）行政事业单位养老支出（款）行政单位离退休（项）： 支出决算为7.12万元，完成预算100%，决算数与预算数持平。</w:t>
      </w:r>
    </w:p>
    <w:p w14:paraId="1FDC767C">
      <w:pPr>
        <w:spacing w:line="600" w:lineRule="exact"/>
        <w:ind w:firstLine="640"/>
        <w:rPr>
          <w:rFonts w:eastAsia="方正仿宋_GBK"/>
          <w:sz w:val="32"/>
          <w:szCs w:val="32"/>
        </w:rPr>
      </w:pPr>
      <w:r>
        <w:rPr>
          <w:rFonts w:eastAsia="方正仿宋_GBK"/>
          <w:sz w:val="32"/>
          <w:szCs w:val="32"/>
        </w:rPr>
        <w:t>5.社会保障和就业（类）行政事业单位养老支出（款）机关事业单位基本养老保险缴费支出（项）： 支出决算为19.92万元，完成预算100%，决算数与预算数持平。</w:t>
      </w:r>
    </w:p>
    <w:p w14:paraId="3AC72387">
      <w:pPr>
        <w:spacing w:line="600" w:lineRule="exact"/>
        <w:ind w:firstLine="640"/>
        <w:rPr>
          <w:rFonts w:eastAsia="方正仿宋_GBK"/>
          <w:sz w:val="32"/>
          <w:szCs w:val="32"/>
        </w:rPr>
      </w:pPr>
      <w:r>
        <w:rPr>
          <w:rFonts w:eastAsia="方正仿宋_GBK"/>
          <w:sz w:val="32"/>
          <w:szCs w:val="32"/>
        </w:rPr>
        <w:t>6.社会保障和就业（类）行政事业单位养老支出（款）机关事业单位职业年金缴费支出（项）： 支出决算为9.87万元，完成预算100%，决算数与预算数持平。</w:t>
      </w:r>
    </w:p>
    <w:p w14:paraId="06A1F147">
      <w:pPr>
        <w:spacing w:line="600" w:lineRule="exact"/>
        <w:ind w:firstLine="640"/>
        <w:rPr>
          <w:rFonts w:eastAsia="方正仿宋_GBK"/>
          <w:sz w:val="32"/>
          <w:szCs w:val="32"/>
        </w:rPr>
      </w:pPr>
      <w:r>
        <w:rPr>
          <w:rFonts w:eastAsia="方正仿宋_GBK"/>
          <w:sz w:val="32"/>
          <w:szCs w:val="32"/>
        </w:rPr>
        <w:t>7.卫生健康（类）行政事业单位医疗（款）行政单位医疗（项）：支出决算为9.11万元，完成预算100%，决算数与预算数持平。</w:t>
      </w:r>
    </w:p>
    <w:p w14:paraId="15F09961">
      <w:pPr>
        <w:spacing w:line="600" w:lineRule="exact"/>
        <w:ind w:firstLine="640"/>
        <w:rPr>
          <w:rFonts w:eastAsia="方正仿宋_GBK"/>
          <w:sz w:val="32"/>
          <w:szCs w:val="32"/>
        </w:rPr>
      </w:pPr>
      <w:r>
        <w:rPr>
          <w:rFonts w:eastAsia="方正仿宋_GBK"/>
          <w:sz w:val="32"/>
          <w:szCs w:val="32"/>
        </w:rPr>
        <w:t>8.卫生健康（类）行政事业单位医疗（款）事业单位医疗（项）：支出决算为3.73万元，完成预算100%，决算数与预算数持平。</w:t>
      </w:r>
    </w:p>
    <w:p w14:paraId="496C99BB">
      <w:pPr>
        <w:spacing w:line="600" w:lineRule="exact"/>
        <w:ind w:firstLine="640"/>
        <w:rPr>
          <w:rFonts w:eastAsia="方正仿宋_GBK"/>
          <w:sz w:val="32"/>
          <w:szCs w:val="32"/>
        </w:rPr>
      </w:pPr>
      <w:r>
        <w:rPr>
          <w:rFonts w:eastAsia="方正仿宋_GBK"/>
          <w:sz w:val="32"/>
          <w:szCs w:val="32"/>
        </w:rPr>
        <w:t>9.卫生健康（类）行政事业单位医疗（款）公务员医疗补助（项）：支出决算为6.97万元，完成预算100%，决算数与预算数持平。</w:t>
      </w:r>
    </w:p>
    <w:p w14:paraId="7E1DE3B6">
      <w:pPr>
        <w:spacing w:line="600" w:lineRule="exact"/>
        <w:ind w:firstLine="640"/>
        <w:rPr>
          <w:rFonts w:eastAsia="方正仿宋_GBK"/>
          <w:sz w:val="32"/>
          <w:szCs w:val="32"/>
        </w:rPr>
      </w:pPr>
      <w:r>
        <w:rPr>
          <w:rFonts w:eastAsia="方正仿宋_GBK"/>
          <w:sz w:val="32"/>
          <w:szCs w:val="32"/>
        </w:rPr>
        <w:t>10.卫生健康（类）行政事业单位医疗（款）其他行政事业单位医疗支出（项）：支出决算为2.07万元，完成预算100%，决算数与预算数持平。</w:t>
      </w:r>
    </w:p>
    <w:p w14:paraId="20EDE023">
      <w:pPr>
        <w:spacing w:line="600" w:lineRule="exact"/>
        <w:ind w:firstLine="640"/>
        <w:rPr>
          <w:rFonts w:eastAsia="方正仿宋_GBK"/>
          <w:sz w:val="32"/>
          <w:szCs w:val="32"/>
        </w:rPr>
      </w:pPr>
      <w:r>
        <w:rPr>
          <w:rFonts w:eastAsia="方正仿宋_GBK"/>
          <w:sz w:val="32"/>
          <w:szCs w:val="32"/>
        </w:rPr>
        <w:t>11.住房保障支出（类）住房改革支出（款）住房公积金（项）：支出决算为16.97万元，完成预算100%，决算数与预算数持平。</w:t>
      </w:r>
    </w:p>
    <w:p w14:paraId="141087B1">
      <w:pPr>
        <w:spacing w:line="600" w:lineRule="exact"/>
        <w:ind w:firstLine="640"/>
        <w:rPr>
          <w:rFonts w:eastAsia="方正仿宋_GBK"/>
          <w:sz w:val="32"/>
          <w:szCs w:val="32"/>
        </w:rPr>
      </w:pPr>
      <w:r>
        <w:rPr>
          <w:rFonts w:eastAsia="方正仿宋_GBK"/>
          <w:sz w:val="32"/>
          <w:szCs w:val="32"/>
        </w:rPr>
        <w:t>12.农林水支出（类）巩固脱贫攻坚成果衔接乡村振兴（款）其他巩固脱贫攻坚成果衔接乡村振兴支出（项）：支出决算为50万元，完成预算100%，决算数与预算数持平。</w:t>
      </w:r>
    </w:p>
    <w:p w14:paraId="1017B66F">
      <w:pPr>
        <w:tabs>
          <w:tab w:val="right" w:pos="8306"/>
        </w:tabs>
        <w:spacing w:line="600" w:lineRule="exact"/>
        <w:ind w:firstLine="640"/>
        <w:outlineLvl w:val="1"/>
        <w:rPr>
          <w:rStyle w:val="33"/>
          <w:rFonts w:ascii="方正黑体_GBK" w:hAnsi="Times New Roman" w:eastAsia="方正黑体_GBK" w:cs="Times New Roman"/>
        </w:rPr>
      </w:pPr>
      <w:bookmarkStart w:id="34" w:name="_Toc15377214"/>
      <w:bookmarkStart w:id="35" w:name="_Toc15396608"/>
      <w:r>
        <w:rPr>
          <w:rFonts w:hint="eastAsia" w:ascii="方正黑体_GBK" w:eastAsia="方正黑体_GBK"/>
          <w:sz w:val="32"/>
          <w:szCs w:val="32"/>
        </w:rPr>
        <w:t>六</w:t>
      </w:r>
      <w:r>
        <w:rPr>
          <w:rFonts w:hint="eastAsia" w:ascii="方正黑体_GBK" w:eastAsia="方正黑体_GBK"/>
          <w:b/>
          <w:sz w:val="32"/>
          <w:szCs w:val="32"/>
        </w:rPr>
        <w:t>、一</w:t>
      </w:r>
      <w:r>
        <w:rPr>
          <w:rStyle w:val="33"/>
          <w:rFonts w:hint="eastAsia" w:ascii="方正黑体_GBK" w:hAnsi="Times New Roman" w:eastAsia="方正黑体_GBK" w:cs="Times New Roman"/>
          <w:b w:val="0"/>
        </w:rPr>
        <w:t>般公共预算财政拨款基本支出决算情况说明</w:t>
      </w:r>
      <w:bookmarkEnd w:id="34"/>
      <w:bookmarkEnd w:id="35"/>
      <w:r>
        <w:rPr>
          <w:rStyle w:val="33"/>
          <w:rFonts w:hint="eastAsia" w:ascii="方正黑体_GBK" w:hAnsi="Times New Roman" w:eastAsia="方正黑体_GBK" w:cs="Times New Roman"/>
          <w:b w:val="0"/>
        </w:rPr>
        <w:tab/>
      </w:r>
    </w:p>
    <w:p w14:paraId="48E23239">
      <w:pPr>
        <w:spacing w:line="600" w:lineRule="exact"/>
        <w:ind w:firstLine="640"/>
        <w:rPr>
          <w:rFonts w:eastAsia="方正仿宋_GBK"/>
          <w:sz w:val="32"/>
          <w:szCs w:val="32"/>
        </w:rPr>
      </w:pPr>
      <w:r>
        <w:rPr>
          <w:rFonts w:eastAsia="方正仿宋_GBK"/>
          <w:sz w:val="32"/>
          <w:szCs w:val="32"/>
        </w:rPr>
        <w:t>2024年度一般公共预算财政拨款基本支出241.02万元，其中：</w:t>
      </w:r>
    </w:p>
    <w:p w14:paraId="4C74E71B">
      <w:pPr>
        <w:spacing w:line="600" w:lineRule="exact"/>
        <w:ind w:firstLine="640"/>
        <w:rPr>
          <w:rFonts w:eastAsia="方正仿宋_GBK"/>
          <w:sz w:val="32"/>
          <w:szCs w:val="32"/>
        </w:rPr>
      </w:pPr>
      <w:r>
        <w:rPr>
          <w:rFonts w:eastAsia="方正仿宋_GBK"/>
          <w:sz w:val="32"/>
          <w:szCs w:val="32"/>
        </w:rPr>
        <w:t>人员经费223.96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方正仿宋_GBK"/>
          <w:sz w:val="32"/>
          <w:szCs w:val="32"/>
        </w:rPr>
        <w:br w:type="textWrapping"/>
      </w:r>
      <w:r>
        <w:rPr>
          <w:rFonts w:eastAsia="方正仿宋_GBK"/>
          <w:sz w:val="32"/>
          <w:szCs w:val="32"/>
        </w:rPr>
        <w:t>　　公用经费17.06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E0E46D5">
      <w:pPr>
        <w:tabs>
          <w:tab w:val="right" w:pos="8306"/>
        </w:tabs>
        <w:spacing w:line="600" w:lineRule="exact"/>
        <w:ind w:firstLine="640"/>
        <w:outlineLvl w:val="1"/>
        <w:rPr>
          <w:rStyle w:val="33"/>
          <w:rFonts w:ascii="方正黑体_GBK" w:hAnsi="Times New Roman" w:eastAsia="方正黑体_GBK" w:cs="Times New Roman"/>
          <w:b w:val="0"/>
        </w:rPr>
      </w:pPr>
      <w:bookmarkStart w:id="36" w:name="_Toc15377215"/>
      <w:bookmarkStart w:id="37" w:name="_Toc15396609"/>
      <w:r>
        <w:rPr>
          <w:rStyle w:val="33"/>
          <w:rFonts w:ascii="方正黑体_GBK" w:hAnsi="Times New Roman" w:eastAsia="方正黑体_GBK" w:cs="Times New Roman"/>
        </w:rPr>
        <w:t>七、</w:t>
      </w:r>
      <w:r>
        <w:rPr>
          <w:rStyle w:val="33"/>
          <w:rFonts w:ascii="方正黑体_GBK" w:hAnsi="Times New Roman" w:eastAsia="方正黑体_GBK" w:cs="Times New Roman"/>
          <w:b w:val="0"/>
        </w:rPr>
        <w:t>财政拨款“三公”经费支出决算情况说明</w:t>
      </w:r>
      <w:bookmarkEnd w:id="36"/>
      <w:bookmarkEnd w:id="37"/>
    </w:p>
    <w:p w14:paraId="58B0820E">
      <w:pPr>
        <w:spacing w:line="600" w:lineRule="exact"/>
        <w:ind w:firstLine="643" w:firstLineChars="200"/>
        <w:outlineLvl w:val="2"/>
        <w:rPr>
          <w:rFonts w:ascii="方正楷体_GBK" w:eastAsia="方正楷体_GBK"/>
          <w:b/>
          <w:sz w:val="32"/>
          <w:szCs w:val="32"/>
        </w:rPr>
      </w:pPr>
      <w:bookmarkStart w:id="38" w:name="_Toc15377216"/>
      <w:r>
        <w:rPr>
          <w:rFonts w:hint="eastAsia" w:ascii="方正楷体_GBK" w:eastAsia="方正楷体_GBK"/>
          <w:b/>
          <w:sz w:val="32"/>
          <w:szCs w:val="32"/>
        </w:rPr>
        <w:t>（一）“三公”经费财政拨款支出决算总体情况说明</w:t>
      </w:r>
      <w:bookmarkEnd w:id="38"/>
    </w:p>
    <w:p w14:paraId="115A0403">
      <w:pPr>
        <w:spacing w:line="600" w:lineRule="exact"/>
        <w:ind w:firstLine="640"/>
        <w:rPr>
          <w:rFonts w:eastAsia="方正仿宋_GBK"/>
          <w:sz w:val="32"/>
          <w:szCs w:val="32"/>
        </w:rPr>
      </w:pPr>
      <w:r>
        <w:rPr>
          <w:rFonts w:eastAsia="方正仿宋_GBK"/>
          <w:sz w:val="32"/>
          <w:szCs w:val="32"/>
        </w:rPr>
        <w:t>2024年度“三公”经费财政拨款支出决算为0.38万元，完成预算100%，较上年度减少0.03万元，下降7.32%。决算数与预算数持平。</w:t>
      </w:r>
    </w:p>
    <w:p w14:paraId="77B8ED24">
      <w:pPr>
        <w:spacing w:line="600" w:lineRule="exact"/>
        <w:ind w:firstLine="643" w:firstLineChars="200"/>
        <w:outlineLvl w:val="2"/>
        <w:rPr>
          <w:rFonts w:ascii="方正楷体_GBK" w:eastAsia="方正楷体_GBK"/>
          <w:b/>
          <w:sz w:val="32"/>
          <w:szCs w:val="32"/>
        </w:rPr>
      </w:pPr>
      <w:bookmarkStart w:id="39" w:name="_Toc15377217"/>
      <w:r>
        <w:rPr>
          <w:rFonts w:ascii="方正楷体_GBK" w:eastAsia="方正楷体_GBK"/>
          <w:b/>
          <w:sz w:val="32"/>
          <w:szCs w:val="32"/>
        </w:rPr>
        <w:t>（二）“三公”经费财政拨款支出决算具体情况说明</w:t>
      </w:r>
      <w:bookmarkEnd w:id="39"/>
    </w:p>
    <w:p w14:paraId="789E790B">
      <w:pPr>
        <w:spacing w:line="600" w:lineRule="exact"/>
        <w:ind w:firstLine="640"/>
        <w:rPr>
          <w:rFonts w:eastAsia="方正仿宋_GBK"/>
          <w:sz w:val="32"/>
          <w:szCs w:val="32"/>
        </w:rPr>
      </w:pPr>
      <w:r>
        <w:rPr>
          <w:rFonts w:eastAsia="方正仿宋_GBK"/>
          <w:sz w:val="32"/>
          <w:szCs w:val="32"/>
        </w:rPr>
        <w:t>2024年度“三公”经费财政拨款支出决算中，因公出国（境）费支出决算0万元，占0%；公务用车购置及运行维护费支出决算0万元，占0%；公务接待费支出决算0.38万元，占100%。具体情况如下：</w:t>
      </w:r>
    </w:p>
    <w:p w14:paraId="1168B35A">
      <w:pPr>
        <w:spacing w:line="600" w:lineRule="exact"/>
        <w:ind w:firstLine="640"/>
        <w:rPr>
          <w:rFonts w:eastAsia="方正仿宋_GBK"/>
          <w:sz w:val="32"/>
          <w:szCs w:val="32"/>
        </w:rPr>
      </w:pPr>
      <w:r>
        <w:rPr>
          <w:rFonts w:eastAsia="方正仿宋_GBK"/>
          <w:sz w:val="32"/>
          <w:szCs w:val="32"/>
        </w:rPr>
        <w:t>（图7：“三公”经费财政拨款支出结构）</w:t>
      </w:r>
    </w:p>
    <w:p w14:paraId="25C080FB">
      <w:pPr>
        <w:pStyle w:val="6"/>
        <w:spacing w:before="93"/>
        <w:rPr>
          <w:rFonts w:hint="eastAsia" w:ascii="Times New Roman"/>
          <w:kern w:val="2"/>
          <w:sz w:val="32"/>
          <w:szCs w:val="32"/>
        </w:rPr>
      </w:pPr>
    </w:p>
    <w:p w14:paraId="437E29CA">
      <w:pPr>
        <w:pStyle w:val="7"/>
        <w:rPr>
          <w:rFonts w:hint="eastAsia"/>
        </w:rPr>
      </w:pPr>
    </w:p>
    <w:p w14:paraId="62DFF99D">
      <w:pPr>
        <w:pStyle w:val="7"/>
        <w:rPr>
          <w:rFonts w:hint="eastAsia"/>
        </w:rPr>
      </w:pPr>
    </w:p>
    <w:p w14:paraId="1AC70355">
      <w:pPr>
        <w:pStyle w:val="7"/>
        <w:rPr>
          <w:rFonts w:hint="eastAsia"/>
        </w:rPr>
      </w:pPr>
    </w:p>
    <w:p w14:paraId="7FDFFA62">
      <w:pPr>
        <w:pStyle w:val="7"/>
      </w:pPr>
    </w:p>
    <w:p w14:paraId="70DB91D3">
      <w:pPr>
        <w:pStyle w:val="6"/>
        <w:spacing w:before="93"/>
        <w:jc w:val="center"/>
        <w:rPr>
          <w:rFonts w:ascii="Times New Roman"/>
          <w:kern w:val="2"/>
          <w:sz w:val="32"/>
          <w:szCs w:val="32"/>
        </w:rPr>
      </w:pPr>
      <w:r>
        <w:rPr>
          <w:rFonts w:ascii="Times New Roman"/>
        </w:rPr>
        <w:drawing>
          <wp:inline distT="0" distB="0" distL="114300" distR="114300">
            <wp:extent cx="4140200" cy="2743835"/>
            <wp:effectExtent l="4445" t="5080" r="8255" b="13335"/>
            <wp:docPr id="5440"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49DAE6">
      <w:pPr>
        <w:spacing w:line="600" w:lineRule="exact"/>
        <w:ind w:firstLine="640"/>
        <w:rPr>
          <w:rFonts w:eastAsia="仿宋_GB2312"/>
          <w:sz w:val="32"/>
          <w:szCs w:val="32"/>
        </w:rPr>
      </w:pPr>
      <w:r>
        <w:rPr>
          <w:rFonts w:eastAsia="仿宋_GB2312"/>
          <w:b/>
          <w:bCs/>
          <w:sz w:val="32"/>
          <w:szCs w:val="32"/>
        </w:rPr>
        <w:t>1.因公出国（境）经费支出0万元，完成预算0%。</w:t>
      </w:r>
      <w:r>
        <w:rPr>
          <w:rFonts w:eastAsia="方正仿宋_GBK"/>
          <w:sz w:val="32"/>
          <w:szCs w:val="32"/>
        </w:rPr>
        <w:t>全年安排因公出国（境）团组0次，出国（境）0人。因公出国（境）支出决算与2023年相比无增减，无开支内容。</w:t>
      </w:r>
    </w:p>
    <w:p w14:paraId="05836D3D">
      <w:pPr>
        <w:spacing w:line="600" w:lineRule="exact"/>
        <w:ind w:firstLine="640"/>
        <w:rPr>
          <w:rFonts w:eastAsia="方正仿宋_GBK"/>
          <w:sz w:val="32"/>
          <w:szCs w:val="32"/>
        </w:rPr>
      </w:pPr>
      <w:r>
        <w:rPr>
          <w:rFonts w:eastAsia="仿宋_GB2312"/>
          <w:b/>
          <w:bCs/>
          <w:sz w:val="32"/>
          <w:szCs w:val="32"/>
        </w:rPr>
        <w:t>2.公务用车购置及运行维护费支出0</w:t>
      </w:r>
      <w:r>
        <w:rPr>
          <w:rFonts w:hAnsi="仿宋_GB2312" w:eastAsia="仿宋_GB2312"/>
          <w:b/>
          <w:bCs/>
          <w:sz w:val="32"/>
          <w:szCs w:val="32"/>
        </w:rPr>
        <w:t>万</w:t>
      </w:r>
      <w:r>
        <w:rPr>
          <w:rFonts w:eastAsia="仿宋_GB2312"/>
          <w:b/>
          <w:bCs/>
          <w:sz w:val="32"/>
          <w:szCs w:val="32"/>
        </w:rPr>
        <w:t>元，完成预算0%。</w:t>
      </w:r>
      <w:r>
        <w:rPr>
          <w:rFonts w:eastAsia="方正仿宋_GBK"/>
          <w:sz w:val="32"/>
          <w:szCs w:val="32"/>
        </w:rPr>
        <w:t>公务用车购置及运行维护费支出决算比2023年度无增减。</w:t>
      </w:r>
    </w:p>
    <w:p w14:paraId="558CBC11">
      <w:pPr>
        <w:spacing w:line="600" w:lineRule="exact"/>
        <w:ind w:firstLine="640"/>
        <w:rPr>
          <w:rFonts w:eastAsia="方正仿宋_GBK"/>
          <w:sz w:val="32"/>
          <w:szCs w:val="32"/>
        </w:rPr>
      </w:pPr>
      <w:r>
        <w:rPr>
          <w:rFonts w:eastAsia="方正仿宋_GBK"/>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88C3E07">
      <w:pPr>
        <w:spacing w:line="600" w:lineRule="exact"/>
        <w:ind w:firstLine="640"/>
        <w:rPr>
          <w:rFonts w:eastAsia="方正仿宋_GBK"/>
          <w:sz w:val="32"/>
          <w:szCs w:val="32"/>
        </w:rPr>
      </w:pPr>
      <w:r>
        <w:rPr>
          <w:rFonts w:eastAsia="方正仿宋_GBK"/>
          <w:sz w:val="32"/>
          <w:szCs w:val="32"/>
        </w:rPr>
        <w:t>公务用车运行维护费支出0万元。</w:t>
      </w:r>
    </w:p>
    <w:p w14:paraId="281C8913">
      <w:pPr>
        <w:spacing w:line="600" w:lineRule="exact"/>
        <w:ind w:firstLine="640"/>
        <w:rPr>
          <w:rFonts w:eastAsia="方正仿宋_GBK"/>
          <w:sz w:val="32"/>
          <w:szCs w:val="32"/>
        </w:rPr>
      </w:pPr>
      <w:r>
        <w:rPr>
          <w:rFonts w:eastAsia="仿宋_GB2312"/>
          <w:b/>
          <w:bCs/>
          <w:sz w:val="32"/>
          <w:szCs w:val="32"/>
        </w:rPr>
        <w:t>3.公务接待费支出0.38</w:t>
      </w:r>
      <w:r>
        <w:rPr>
          <w:rFonts w:hAnsi="仿宋_GB2312" w:eastAsia="仿宋_GB2312"/>
          <w:b/>
          <w:bCs/>
          <w:sz w:val="32"/>
          <w:szCs w:val="32"/>
        </w:rPr>
        <w:t>万</w:t>
      </w:r>
      <w:r>
        <w:rPr>
          <w:rFonts w:eastAsia="仿宋_GB2312"/>
          <w:b/>
          <w:bCs/>
          <w:sz w:val="32"/>
          <w:szCs w:val="32"/>
        </w:rPr>
        <w:t>元，完成预算100%。</w:t>
      </w:r>
      <w:r>
        <w:rPr>
          <w:rFonts w:eastAsia="方正仿宋_GBK"/>
          <w:sz w:val="32"/>
          <w:szCs w:val="32"/>
        </w:rPr>
        <w:t>公务接待费支出决算比2023年度减少0.03万元，下降7.32%。主要原因是公务接待费减少。其中：</w:t>
      </w:r>
    </w:p>
    <w:p w14:paraId="0D54FE12">
      <w:pPr>
        <w:spacing w:line="600" w:lineRule="exact"/>
        <w:ind w:firstLine="640"/>
        <w:rPr>
          <w:rFonts w:eastAsia="方正仿宋_GBK"/>
          <w:sz w:val="32"/>
          <w:szCs w:val="32"/>
        </w:rPr>
      </w:pPr>
      <w:r>
        <w:rPr>
          <w:rFonts w:eastAsia="方正仿宋_GBK"/>
          <w:sz w:val="32"/>
          <w:szCs w:val="32"/>
        </w:rPr>
        <w:t>国内公务接待支出0.38万元，主要用于接待调研考察和参加现场交流会人员的用餐费。国内公务接待2批次，27人次（不包括陪同人员），共计支出0.38万元，具体内容包括：接待省民宗委、市民宗委，开展宗教活动场所管理情况调研，支出0.1万元；接待四川基层统战工作川西片区联盟成员市（州）、市委统战部，召开四川基层统战工作川西片区联盟2023年度工作总结现场交流会，支出0.28万元。</w:t>
      </w:r>
    </w:p>
    <w:p w14:paraId="61843AEB">
      <w:pPr>
        <w:spacing w:line="600" w:lineRule="exact"/>
        <w:ind w:firstLine="640"/>
        <w:rPr>
          <w:rFonts w:eastAsia="方正仿宋_GBK"/>
          <w:sz w:val="32"/>
          <w:szCs w:val="32"/>
        </w:rPr>
      </w:pPr>
      <w:r>
        <w:rPr>
          <w:rFonts w:eastAsia="方正仿宋_GBK"/>
          <w:sz w:val="32"/>
          <w:szCs w:val="32"/>
        </w:rPr>
        <w:t>外事接待支出0万元。外事接待0批次，0人次（不包括陪同人员），共计支出0万元。</w:t>
      </w:r>
      <w:bookmarkStart w:id="40" w:name="_Toc15377218"/>
      <w:bookmarkStart w:id="41" w:name="_Toc15396610"/>
    </w:p>
    <w:p w14:paraId="14630A9E">
      <w:pPr>
        <w:spacing w:line="600" w:lineRule="exact"/>
        <w:ind w:firstLine="640"/>
        <w:outlineLvl w:val="1"/>
        <w:rPr>
          <w:rStyle w:val="33"/>
          <w:rFonts w:ascii="方正黑体_GBK" w:hAnsi="Times New Roman" w:eastAsia="方正黑体_GBK" w:cs="Times New Roman"/>
        </w:rPr>
      </w:pPr>
      <w:r>
        <w:rPr>
          <w:rFonts w:hint="eastAsia" w:ascii="方正黑体_GBK" w:eastAsia="方正黑体_GBK"/>
          <w:sz w:val="32"/>
          <w:szCs w:val="32"/>
        </w:rPr>
        <w:t>八、</w:t>
      </w:r>
      <w:r>
        <w:rPr>
          <w:rStyle w:val="33"/>
          <w:rFonts w:hint="eastAsia" w:ascii="方正黑体_GBK" w:hAnsi="Times New Roman" w:eastAsia="方正黑体_GBK" w:cs="Times New Roman"/>
          <w:b w:val="0"/>
        </w:rPr>
        <w:t>政府性基金预算支出决算情况说明</w:t>
      </w:r>
      <w:bookmarkEnd w:id="40"/>
      <w:bookmarkEnd w:id="41"/>
    </w:p>
    <w:p w14:paraId="6097DBCA">
      <w:pPr>
        <w:spacing w:line="600" w:lineRule="exact"/>
        <w:ind w:firstLine="640"/>
        <w:rPr>
          <w:rFonts w:eastAsia="方正仿宋_GBK"/>
          <w:sz w:val="32"/>
          <w:szCs w:val="32"/>
        </w:rPr>
      </w:pPr>
      <w:r>
        <w:rPr>
          <w:rFonts w:eastAsia="方正仿宋_GBK"/>
          <w:sz w:val="32"/>
          <w:szCs w:val="32"/>
        </w:rPr>
        <w:t>2024年度政府性基金预算财政拨款支出46.1万元，占本年支出合计的13.55%。与2023年度相比，政府性基金预算财政拨款支出减少3.5万元，下降7.06%。主要原因是项目支出略有减少。</w:t>
      </w:r>
    </w:p>
    <w:p w14:paraId="253F7745">
      <w:pPr>
        <w:spacing w:line="600" w:lineRule="exact"/>
        <w:ind w:firstLine="640"/>
        <w:outlineLvl w:val="1"/>
        <w:rPr>
          <w:rStyle w:val="33"/>
          <w:rFonts w:ascii="方正黑体_GBK" w:hAnsi="Times New Roman" w:eastAsia="方正黑体_GBK" w:cs="Times New Roman"/>
          <w:b w:val="0"/>
        </w:rPr>
      </w:pPr>
      <w:bookmarkStart w:id="42" w:name="_Toc15396611"/>
      <w:bookmarkStart w:id="43" w:name="_Toc15377219"/>
      <w:r>
        <w:rPr>
          <w:rStyle w:val="33"/>
          <w:rFonts w:ascii="方正黑体_GBK" w:hAnsi="Times New Roman" w:eastAsia="方正黑体_GBK" w:cs="Times New Roman"/>
          <w:b w:val="0"/>
        </w:rPr>
        <w:t>九、国有资本经营预算支出决算情况说明</w:t>
      </w:r>
      <w:bookmarkEnd w:id="42"/>
      <w:bookmarkEnd w:id="43"/>
    </w:p>
    <w:p w14:paraId="50B768AB">
      <w:pPr>
        <w:spacing w:line="600" w:lineRule="exact"/>
        <w:ind w:firstLine="640"/>
        <w:rPr>
          <w:rFonts w:eastAsia="方正仿宋_GBK"/>
          <w:sz w:val="32"/>
          <w:szCs w:val="32"/>
        </w:rPr>
      </w:pPr>
      <w:r>
        <w:rPr>
          <w:rFonts w:eastAsia="方正仿宋_GBK"/>
          <w:sz w:val="32"/>
          <w:szCs w:val="32"/>
        </w:rPr>
        <w:t>2024年度国有资本经营预算财政拨款支出0万元，占本年支出合计的0%。与2023年度相比，国有资本经营预算财政拨款支出无增减。</w:t>
      </w:r>
    </w:p>
    <w:p w14:paraId="49D376B9">
      <w:pPr>
        <w:spacing w:line="600" w:lineRule="exact"/>
        <w:ind w:firstLine="640"/>
        <w:outlineLvl w:val="1"/>
        <w:rPr>
          <w:rStyle w:val="33"/>
          <w:rFonts w:ascii="方正黑体_GBK" w:hAnsi="Times New Roman" w:eastAsia="方正黑体_GBK" w:cs="Times New Roman"/>
          <w:b w:val="0"/>
        </w:rPr>
      </w:pPr>
      <w:bookmarkStart w:id="44" w:name="_Toc15396612"/>
      <w:bookmarkStart w:id="45" w:name="_Toc15377221"/>
      <w:r>
        <w:rPr>
          <w:rStyle w:val="33"/>
          <w:rFonts w:ascii="方正黑体_GBK" w:hAnsi="Times New Roman" w:eastAsia="方正黑体_GBK" w:cs="Times New Roman"/>
          <w:b w:val="0"/>
        </w:rPr>
        <w:t>十、其他重要事项的情况说明</w:t>
      </w:r>
      <w:bookmarkEnd w:id="44"/>
      <w:bookmarkEnd w:id="45"/>
    </w:p>
    <w:p w14:paraId="0169A765">
      <w:pPr>
        <w:spacing w:line="600" w:lineRule="exact"/>
        <w:ind w:firstLine="643" w:firstLineChars="200"/>
        <w:outlineLvl w:val="2"/>
        <w:rPr>
          <w:rFonts w:ascii="方正楷体_GBK" w:eastAsia="方正楷体_GBK"/>
          <w:b/>
          <w:sz w:val="32"/>
          <w:szCs w:val="32"/>
        </w:rPr>
      </w:pPr>
      <w:bookmarkStart w:id="46" w:name="_Toc15377222"/>
      <w:r>
        <w:rPr>
          <w:rFonts w:hint="eastAsia" w:ascii="方正楷体_GBK" w:eastAsia="方正楷体_GBK"/>
          <w:b/>
          <w:sz w:val="32"/>
          <w:szCs w:val="32"/>
        </w:rPr>
        <w:t>（一）机关运行经费支出情况</w:t>
      </w:r>
      <w:bookmarkEnd w:id="46"/>
    </w:p>
    <w:p w14:paraId="1C2EDCDA">
      <w:pPr>
        <w:spacing w:line="600" w:lineRule="exact"/>
        <w:ind w:firstLine="640"/>
        <w:rPr>
          <w:rFonts w:eastAsia="方正仿宋_GBK"/>
          <w:sz w:val="32"/>
          <w:szCs w:val="32"/>
        </w:rPr>
      </w:pPr>
      <w:r>
        <w:rPr>
          <w:rFonts w:eastAsia="方正仿宋_GBK"/>
          <w:sz w:val="32"/>
          <w:szCs w:val="32"/>
        </w:rPr>
        <w:t>2024年度，中共攀枝花市西区区委统一战线工作部机关运行经费支出17.06万元，比2023年度减少0.31万元，下降1.78%，主要原因是日常支出略有减少。</w:t>
      </w:r>
    </w:p>
    <w:p w14:paraId="24F5B641">
      <w:pPr>
        <w:spacing w:line="600" w:lineRule="exact"/>
        <w:ind w:firstLine="640"/>
        <w:rPr>
          <w:rFonts w:eastAsia="仿宋_GB2312"/>
          <w:sz w:val="32"/>
          <w:szCs w:val="32"/>
        </w:rPr>
      </w:pPr>
    </w:p>
    <w:p w14:paraId="25B8BA04">
      <w:pPr>
        <w:spacing w:line="600" w:lineRule="exact"/>
        <w:ind w:firstLine="643" w:firstLineChars="200"/>
        <w:outlineLvl w:val="2"/>
        <w:rPr>
          <w:rFonts w:ascii="方正楷体_GBK" w:eastAsia="方正楷体_GBK"/>
          <w:b/>
          <w:sz w:val="32"/>
          <w:szCs w:val="32"/>
        </w:rPr>
      </w:pPr>
      <w:bookmarkStart w:id="47" w:name="_Toc15377223"/>
      <w:r>
        <w:rPr>
          <w:rFonts w:ascii="方正楷体_GBK" w:eastAsia="方正楷体_GBK"/>
          <w:b/>
          <w:sz w:val="32"/>
          <w:szCs w:val="32"/>
        </w:rPr>
        <w:t>（二）政府采购支出情况</w:t>
      </w:r>
      <w:bookmarkEnd w:id="47"/>
    </w:p>
    <w:p w14:paraId="656D5F90">
      <w:pPr>
        <w:spacing w:line="600" w:lineRule="exact"/>
        <w:ind w:firstLine="640"/>
        <w:rPr>
          <w:rFonts w:eastAsia="方正仿宋_GBK"/>
          <w:sz w:val="32"/>
          <w:szCs w:val="32"/>
        </w:rPr>
      </w:pPr>
      <w:r>
        <w:rPr>
          <w:rFonts w:eastAsia="方正仿宋_GBK"/>
          <w:sz w:val="32"/>
          <w:szCs w:val="32"/>
        </w:rPr>
        <w:t>2024年度，中共攀枝花市西区区委统一战线工作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4AED5EA">
      <w:pPr>
        <w:spacing w:line="600" w:lineRule="exact"/>
        <w:ind w:firstLine="643" w:firstLineChars="200"/>
        <w:outlineLvl w:val="2"/>
        <w:rPr>
          <w:rFonts w:ascii="方正楷体_GBK" w:eastAsia="方正楷体_GBK"/>
          <w:b/>
          <w:sz w:val="32"/>
          <w:szCs w:val="32"/>
        </w:rPr>
      </w:pPr>
      <w:bookmarkStart w:id="48" w:name="_Toc15377224"/>
      <w:r>
        <w:rPr>
          <w:rFonts w:ascii="方正楷体_GBK" w:eastAsia="方正楷体_GBK"/>
          <w:b/>
          <w:sz w:val="32"/>
          <w:szCs w:val="32"/>
        </w:rPr>
        <w:t>（三）国有资产占有使用情况</w:t>
      </w:r>
      <w:bookmarkEnd w:id="48"/>
    </w:p>
    <w:p w14:paraId="14AC7CC0">
      <w:pPr>
        <w:spacing w:line="600" w:lineRule="exact"/>
        <w:ind w:firstLine="640"/>
        <w:rPr>
          <w:rFonts w:eastAsia="方正仿宋_GBK"/>
          <w:sz w:val="32"/>
          <w:szCs w:val="32"/>
        </w:rPr>
      </w:pPr>
      <w:r>
        <w:rPr>
          <w:rFonts w:eastAsia="方正仿宋_GBK"/>
          <w:sz w:val="32"/>
          <w:szCs w:val="32"/>
        </w:rPr>
        <w:t>截至2024年12月31日，中共攀枝花市西区区委统一战线工作部共有车辆0辆，其中：主要负责人用车0辆、机要通信用车0辆、应急保障用车0辆、其他用车0辆。单价100万元（含）以上设备（不含车辆）0台（套）。</w:t>
      </w:r>
    </w:p>
    <w:p w14:paraId="58B98AF0">
      <w:pPr>
        <w:spacing w:line="600" w:lineRule="exact"/>
        <w:ind w:firstLine="643" w:firstLineChars="200"/>
        <w:outlineLvl w:val="2"/>
        <w:rPr>
          <w:rFonts w:ascii="方正楷体_GBK" w:eastAsia="方正楷体_GBK"/>
          <w:b/>
          <w:sz w:val="32"/>
          <w:szCs w:val="32"/>
        </w:rPr>
      </w:pPr>
      <w:r>
        <w:rPr>
          <w:rFonts w:ascii="方正楷体_GBK" w:eastAsia="方正楷体_GBK"/>
          <w:b/>
          <w:sz w:val="32"/>
          <w:szCs w:val="32"/>
        </w:rPr>
        <w:t>（四）预算绩效管理情况</w:t>
      </w:r>
    </w:p>
    <w:p w14:paraId="75E3037B">
      <w:pPr>
        <w:spacing w:line="600" w:lineRule="exact"/>
        <w:ind w:firstLine="640"/>
        <w:rPr>
          <w:rFonts w:eastAsia="方正仿宋_GBK"/>
          <w:sz w:val="32"/>
          <w:szCs w:val="32"/>
        </w:rPr>
      </w:pPr>
      <w:r>
        <w:rPr>
          <w:rFonts w:eastAsia="方正仿宋_GBK"/>
          <w:sz w:val="32"/>
          <w:szCs w:val="32"/>
        </w:rPr>
        <w:t>根据预算绩效管理要求，本</w:t>
      </w:r>
      <w:r>
        <w:rPr>
          <w:rFonts w:hint="eastAsia" w:eastAsia="方正仿宋_GBK"/>
          <w:sz w:val="32"/>
          <w:szCs w:val="32"/>
        </w:rPr>
        <w:t>单位</w:t>
      </w:r>
      <w:r>
        <w:rPr>
          <w:rFonts w:eastAsia="方正仿宋_GBK"/>
          <w:sz w:val="32"/>
          <w:szCs w:val="32"/>
        </w:rPr>
        <w:t>在2024年度预算编制阶段，组织对统战事务工作经费、民主党派、知联会、新联会、侨联调研活动经费、早期归国华侨生活补助、民族宗教工作经费等8个项目开展了预算事前绩效评估，对8个项目编制了绩效目标，预算执行过程中，</w:t>
      </w:r>
      <w:r>
        <w:rPr>
          <w:rFonts w:hint="eastAsia" w:eastAsia="方正仿宋_GBK"/>
          <w:sz w:val="32"/>
          <w:szCs w:val="32"/>
        </w:rPr>
        <w:t>组织对8个项目开展绩效自评，绩效自评表详见第四部分附件。</w:t>
      </w:r>
    </w:p>
    <w:p w14:paraId="0CFEFAB3">
      <w:pPr>
        <w:spacing w:line="600" w:lineRule="exact"/>
        <w:ind w:firstLine="640"/>
        <w:rPr>
          <w:rFonts w:eastAsia="仿宋_GB2312" w:cs="仿宋_GB2312"/>
          <w:sz w:val="32"/>
          <w:szCs w:val="32"/>
        </w:rPr>
      </w:pPr>
    </w:p>
    <w:p w14:paraId="4022B0FF">
      <w:pPr>
        <w:spacing w:line="600" w:lineRule="exact"/>
        <w:ind w:firstLine="640"/>
        <w:rPr>
          <w:rFonts w:eastAsia="仿宋_GB2312" w:cs="仿宋_GB2312"/>
          <w:sz w:val="32"/>
          <w:szCs w:val="32"/>
        </w:rPr>
      </w:pPr>
    </w:p>
    <w:p w14:paraId="78F009E8">
      <w:pPr>
        <w:spacing w:line="600" w:lineRule="exact"/>
        <w:jc w:val="center"/>
        <w:outlineLvl w:val="0"/>
        <w:rPr>
          <w:rFonts w:eastAsia="黑体"/>
          <w:sz w:val="44"/>
          <w:szCs w:val="44"/>
        </w:rPr>
      </w:pPr>
      <w:bookmarkStart w:id="49" w:name="_Toc15377225"/>
      <w:bookmarkStart w:id="50" w:name="_Toc15396613"/>
    </w:p>
    <w:p w14:paraId="2F37091B">
      <w:pPr>
        <w:spacing w:line="600" w:lineRule="exact"/>
        <w:outlineLvl w:val="0"/>
        <w:rPr>
          <w:rFonts w:eastAsia="黑体"/>
          <w:sz w:val="44"/>
          <w:szCs w:val="44"/>
        </w:rPr>
      </w:pPr>
    </w:p>
    <w:p w14:paraId="33060782">
      <w:pPr>
        <w:spacing w:line="600" w:lineRule="exact"/>
        <w:outlineLvl w:val="0"/>
        <w:rPr>
          <w:rFonts w:eastAsia="黑体"/>
          <w:sz w:val="44"/>
          <w:szCs w:val="44"/>
        </w:rPr>
      </w:pPr>
    </w:p>
    <w:bookmarkEnd w:id="49"/>
    <w:bookmarkEnd w:id="50"/>
    <w:p w14:paraId="56B3EB0C">
      <w:pPr>
        <w:pStyle w:val="3"/>
        <w:spacing w:line="0" w:lineRule="atLeast"/>
        <w:jc w:val="center"/>
        <w:rPr>
          <w:rStyle w:val="32"/>
          <w:rFonts w:ascii="方正小标宋_GBK" w:eastAsia="方正小标宋_GBK"/>
          <w:b/>
          <w:bCs w:val="0"/>
        </w:rPr>
      </w:pPr>
      <w:bookmarkStart w:id="51" w:name="_Toc15396614"/>
      <w:bookmarkStart w:id="52" w:name="_Toc15377226"/>
      <w:r>
        <w:rPr>
          <w:rStyle w:val="32"/>
          <w:rFonts w:hint="eastAsia" w:ascii="方正小标宋_GBK" w:eastAsia="方正小标宋_GBK"/>
          <w:b/>
          <w:bCs w:val="0"/>
        </w:rPr>
        <w:t>第三部分  名词解释</w:t>
      </w:r>
    </w:p>
    <w:p w14:paraId="3227FE97">
      <w:pPr>
        <w:spacing w:line="600" w:lineRule="exact"/>
        <w:jc w:val="left"/>
        <w:rPr>
          <w:b/>
          <w:sz w:val="44"/>
          <w:szCs w:val="44"/>
        </w:rPr>
      </w:pPr>
    </w:p>
    <w:p w14:paraId="2CB27F6E">
      <w:pPr>
        <w:spacing w:line="600" w:lineRule="exact"/>
        <w:ind w:firstLine="640"/>
        <w:rPr>
          <w:rFonts w:eastAsia="方正仿宋_GBK"/>
          <w:sz w:val="32"/>
          <w:szCs w:val="32"/>
        </w:rPr>
      </w:pPr>
      <w:r>
        <w:rPr>
          <w:rFonts w:eastAsia="方正仿宋_GBK"/>
          <w:sz w:val="32"/>
          <w:szCs w:val="32"/>
        </w:rPr>
        <w:t>1.财政拨款收入：指单位从同级财政单位取得的财政预算资金。</w:t>
      </w:r>
    </w:p>
    <w:p w14:paraId="52B61F93">
      <w:pPr>
        <w:spacing w:line="600" w:lineRule="exact"/>
        <w:ind w:firstLine="640"/>
        <w:rPr>
          <w:rFonts w:eastAsia="方正仿宋_GBK"/>
          <w:sz w:val="32"/>
          <w:szCs w:val="32"/>
        </w:rPr>
      </w:pPr>
      <w:r>
        <w:rPr>
          <w:rFonts w:eastAsia="方正仿宋_GBK"/>
          <w:sz w:val="32"/>
          <w:szCs w:val="32"/>
        </w:rPr>
        <w:t xml:space="preserve">2.年初结转和结余：指以前年度尚未完成、结转到本年按有关规定继续使用的资金。 </w:t>
      </w:r>
    </w:p>
    <w:p w14:paraId="3BF9DB57">
      <w:pPr>
        <w:spacing w:line="600" w:lineRule="exact"/>
        <w:ind w:firstLine="640"/>
        <w:rPr>
          <w:rFonts w:eastAsia="方正仿宋_GBK"/>
          <w:sz w:val="32"/>
          <w:szCs w:val="32"/>
        </w:rPr>
      </w:pPr>
      <w:r>
        <w:rPr>
          <w:rFonts w:eastAsia="方正仿宋_GBK"/>
          <w:sz w:val="32"/>
          <w:szCs w:val="32"/>
        </w:rPr>
        <w:t>3.年末结转和结余：指单位按有关规定结转到下年或以后年度继续使用的资金。</w:t>
      </w:r>
    </w:p>
    <w:p w14:paraId="76D479FC">
      <w:pPr>
        <w:spacing w:line="600" w:lineRule="exact"/>
        <w:ind w:firstLine="640"/>
        <w:rPr>
          <w:rFonts w:eastAsia="方正仿宋_GBK"/>
          <w:sz w:val="32"/>
          <w:szCs w:val="32"/>
        </w:rPr>
      </w:pPr>
      <w:r>
        <w:rPr>
          <w:rFonts w:eastAsia="方正仿宋_GBK"/>
          <w:sz w:val="32"/>
          <w:szCs w:val="32"/>
        </w:rPr>
        <w:t>4.一般公共服务（类）统战事务（款）行政运行（项）：指单位行政人员经费及日常行政运行中的支出。</w:t>
      </w:r>
    </w:p>
    <w:p w14:paraId="769B0F39">
      <w:pPr>
        <w:spacing w:line="600" w:lineRule="exact"/>
        <w:ind w:firstLine="640"/>
        <w:rPr>
          <w:rFonts w:eastAsia="方正仿宋_GBK"/>
          <w:sz w:val="32"/>
          <w:szCs w:val="32"/>
        </w:rPr>
      </w:pPr>
      <w:r>
        <w:rPr>
          <w:rFonts w:eastAsia="方正仿宋_GBK"/>
          <w:sz w:val="32"/>
          <w:szCs w:val="32"/>
        </w:rPr>
        <w:t>5. 一般公共服务（类）统战事务（款）一般行政管理事务（项）：指单位一般公共预算财政拨款项目支出。</w:t>
      </w:r>
    </w:p>
    <w:p w14:paraId="2966C21A">
      <w:pPr>
        <w:spacing w:line="600" w:lineRule="exact"/>
        <w:ind w:firstLine="640"/>
        <w:rPr>
          <w:rFonts w:eastAsia="方正仿宋_GBK"/>
          <w:sz w:val="32"/>
          <w:szCs w:val="32"/>
        </w:rPr>
      </w:pPr>
      <w:r>
        <w:rPr>
          <w:rFonts w:eastAsia="方正仿宋_GBK"/>
          <w:sz w:val="32"/>
          <w:szCs w:val="32"/>
        </w:rPr>
        <w:t>6.一般公共服务（类）统战事务（款）事业运行（项）：指单位事业人员经费支出。</w:t>
      </w:r>
    </w:p>
    <w:p w14:paraId="5653F36E">
      <w:pPr>
        <w:spacing w:line="600" w:lineRule="exact"/>
        <w:ind w:firstLine="640"/>
        <w:rPr>
          <w:rFonts w:eastAsia="方正仿宋_GBK"/>
          <w:sz w:val="32"/>
          <w:szCs w:val="32"/>
        </w:rPr>
      </w:pPr>
      <w:r>
        <w:rPr>
          <w:rFonts w:eastAsia="方正仿宋_GBK"/>
          <w:sz w:val="32"/>
          <w:szCs w:val="32"/>
        </w:rPr>
        <w:t>7.社会保障和就业（类）行政事业单位养老支出（款）行政单位离退休（项）：指行政单位离退休人员经费支出。</w:t>
      </w:r>
    </w:p>
    <w:p w14:paraId="5776B6CD">
      <w:pPr>
        <w:spacing w:line="600" w:lineRule="exact"/>
        <w:ind w:firstLine="640"/>
        <w:rPr>
          <w:rFonts w:eastAsia="方正仿宋_GBK"/>
          <w:sz w:val="32"/>
          <w:szCs w:val="32"/>
        </w:rPr>
      </w:pPr>
      <w:r>
        <w:rPr>
          <w:rFonts w:eastAsia="方正仿宋_GBK"/>
          <w:sz w:val="32"/>
          <w:szCs w:val="32"/>
        </w:rPr>
        <w:t>8.社会保障和就业（类）行政事业单位养老支出（款）机关事业单位基本养老保险缴费支出（项）：指单位机关养老保险缴费支出。</w:t>
      </w:r>
    </w:p>
    <w:p w14:paraId="2459F48F">
      <w:pPr>
        <w:spacing w:line="600" w:lineRule="exact"/>
        <w:ind w:firstLine="640"/>
        <w:rPr>
          <w:rFonts w:eastAsia="方正仿宋_GBK"/>
          <w:sz w:val="32"/>
          <w:szCs w:val="32"/>
        </w:rPr>
      </w:pPr>
      <w:r>
        <w:rPr>
          <w:rFonts w:eastAsia="方正仿宋_GBK"/>
          <w:sz w:val="32"/>
          <w:szCs w:val="32"/>
        </w:rPr>
        <w:t>9.社会保障和就业（类）行政事业单位养老支出（款）机关事业单位职业年金缴费支出（项）：指单位机关职业年金缴费支出。</w:t>
      </w:r>
    </w:p>
    <w:p w14:paraId="21C88FFB">
      <w:pPr>
        <w:spacing w:line="600" w:lineRule="exact"/>
        <w:ind w:firstLine="640"/>
        <w:rPr>
          <w:rFonts w:eastAsia="方正仿宋_GBK"/>
          <w:sz w:val="32"/>
          <w:szCs w:val="32"/>
        </w:rPr>
      </w:pPr>
      <w:r>
        <w:rPr>
          <w:rFonts w:eastAsia="方正仿宋_GBK"/>
          <w:sz w:val="32"/>
          <w:szCs w:val="32"/>
        </w:rPr>
        <w:t>10.卫生健康（类）行政事业单位医疗（款）行政单位医疗（项）：指单位行政人员基本医疗保险缴费支出。</w:t>
      </w:r>
    </w:p>
    <w:p w14:paraId="4EFAFF0B">
      <w:pPr>
        <w:spacing w:line="600" w:lineRule="exact"/>
        <w:ind w:firstLine="640"/>
        <w:rPr>
          <w:rFonts w:eastAsia="方正仿宋_GBK"/>
          <w:sz w:val="32"/>
          <w:szCs w:val="32"/>
        </w:rPr>
      </w:pPr>
      <w:r>
        <w:rPr>
          <w:rFonts w:eastAsia="方正仿宋_GBK"/>
          <w:sz w:val="32"/>
          <w:szCs w:val="32"/>
        </w:rPr>
        <w:t>11.卫生健康（类）行政事业单位医疗（款）事业单位医疗（项）：指单位事业人员基本医疗保险缴费支出。</w:t>
      </w:r>
    </w:p>
    <w:p w14:paraId="7DB3DC9E">
      <w:pPr>
        <w:spacing w:line="600" w:lineRule="exact"/>
        <w:ind w:firstLine="640"/>
        <w:rPr>
          <w:rFonts w:eastAsia="方正仿宋_GBK"/>
          <w:sz w:val="32"/>
          <w:szCs w:val="32"/>
        </w:rPr>
      </w:pPr>
      <w:r>
        <w:rPr>
          <w:rFonts w:eastAsia="方正仿宋_GBK"/>
          <w:sz w:val="32"/>
          <w:szCs w:val="32"/>
        </w:rPr>
        <w:t>12.卫生健康（类）行政事业单位医疗（款）公务员医疗补助（项）：指单位行政事业人员的公务员医疗补助支出。</w:t>
      </w:r>
    </w:p>
    <w:p w14:paraId="547097D6">
      <w:pPr>
        <w:spacing w:line="600" w:lineRule="exact"/>
        <w:ind w:firstLine="640"/>
        <w:rPr>
          <w:rFonts w:eastAsia="方正仿宋_GBK"/>
          <w:sz w:val="32"/>
          <w:szCs w:val="32"/>
        </w:rPr>
      </w:pPr>
      <w:r>
        <w:rPr>
          <w:rFonts w:eastAsia="方正仿宋_GBK"/>
          <w:sz w:val="32"/>
          <w:szCs w:val="32"/>
        </w:rPr>
        <w:t>13.卫生健康（类）行政事业单位医疗（款）其他行政事业单位医疗支出（项）：指单位退休人员的公务员医疗补助支出。</w:t>
      </w:r>
    </w:p>
    <w:p w14:paraId="6B814657">
      <w:pPr>
        <w:spacing w:line="600" w:lineRule="exact"/>
        <w:ind w:firstLine="640"/>
        <w:rPr>
          <w:rFonts w:eastAsia="方正仿宋_GBK"/>
          <w:sz w:val="32"/>
          <w:szCs w:val="32"/>
        </w:rPr>
      </w:pPr>
      <w:r>
        <w:rPr>
          <w:rFonts w:eastAsia="方正仿宋_GBK"/>
          <w:sz w:val="32"/>
          <w:szCs w:val="32"/>
        </w:rPr>
        <w:t>14.住房保障（类）住房改革（款）住房公积金（项）：指单位人员住房公积金缴费支出。</w:t>
      </w:r>
    </w:p>
    <w:p w14:paraId="29EFE4E8">
      <w:pPr>
        <w:spacing w:line="600" w:lineRule="exact"/>
        <w:ind w:firstLine="640"/>
        <w:rPr>
          <w:rFonts w:eastAsia="方正仿宋_GBK"/>
          <w:sz w:val="32"/>
          <w:szCs w:val="32"/>
        </w:rPr>
      </w:pPr>
      <w:r>
        <w:rPr>
          <w:rFonts w:eastAsia="方正仿宋_GBK"/>
          <w:sz w:val="32"/>
          <w:szCs w:val="32"/>
        </w:rPr>
        <w:t>15.农林水支出（类）巩固脱贫攻坚成果衔接乡村振兴（款）其他巩固脱贫攻坚成果衔接乡村振兴支出（项）：指单位的项目支出。</w:t>
      </w:r>
    </w:p>
    <w:p w14:paraId="08F5FCEE">
      <w:pPr>
        <w:spacing w:line="600" w:lineRule="exact"/>
        <w:ind w:firstLine="640"/>
        <w:rPr>
          <w:rFonts w:eastAsia="方正仿宋_GBK"/>
          <w:sz w:val="32"/>
          <w:szCs w:val="32"/>
        </w:rPr>
      </w:pPr>
      <w:r>
        <w:rPr>
          <w:rFonts w:eastAsia="方正仿宋_GBK"/>
          <w:sz w:val="32"/>
          <w:szCs w:val="32"/>
        </w:rPr>
        <w:t>16基本支出：指为保障机构正常运转、完成日常工作任务而发生的人员支出和公用支出。</w:t>
      </w:r>
    </w:p>
    <w:p w14:paraId="73C34C7C">
      <w:pPr>
        <w:spacing w:line="600" w:lineRule="exact"/>
        <w:ind w:firstLine="640"/>
        <w:rPr>
          <w:rFonts w:eastAsia="方正仿宋_GBK"/>
          <w:sz w:val="32"/>
          <w:szCs w:val="32"/>
        </w:rPr>
      </w:pPr>
      <w:r>
        <w:rPr>
          <w:rFonts w:eastAsia="方正仿宋_GBK"/>
          <w:sz w:val="32"/>
          <w:szCs w:val="32"/>
        </w:rPr>
        <w:t xml:space="preserve">17.项目支出：指在基本支出之外为完成特定行政任务和事业发展目标所发生的支出。 </w:t>
      </w:r>
    </w:p>
    <w:p w14:paraId="709293BA">
      <w:pPr>
        <w:spacing w:line="600" w:lineRule="exact"/>
        <w:ind w:firstLine="640"/>
        <w:rPr>
          <w:rFonts w:eastAsia="方正仿宋_GBK"/>
          <w:sz w:val="32"/>
          <w:szCs w:val="32"/>
        </w:rPr>
      </w:pPr>
      <w:r>
        <w:rPr>
          <w:rFonts w:eastAsia="方正仿宋_GBK"/>
          <w:sz w:val="32"/>
          <w:szCs w:val="32"/>
        </w:rPr>
        <w:t>18.“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BD6388">
      <w:pPr>
        <w:spacing w:line="600" w:lineRule="exact"/>
        <w:ind w:firstLine="640"/>
        <w:rPr>
          <w:rFonts w:eastAsia="方正仿宋_GBK"/>
          <w:sz w:val="32"/>
          <w:szCs w:val="32"/>
        </w:rPr>
      </w:pPr>
      <w:r>
        <w:rPr>
          <w:rFonts w:eastAsia="方正仿宋_GBK"/>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7E98B0">
      <w:pPr>
        <w:spacing w:line="600" w:lineRule="exact"/>
        <w:jc w:val="center"/>
        <w:rPr>
          <w:rFonts w:eastAsia="黑体"/>
          <w:sz w:val="44"/>
          <w:szCs w:val="44"/>
        </w:rPr>
      </w:pPr>
      <w:r>
        <w:rPr>
          <w:rFonts w:eastAsia="仿宋_GB2312"/>
          <w:sz w:val="32"/>
          <w:szCs w:val="32"/>
        </w:rPr>
        <w:br w:type="page"/>
      </w:r>
      <w:r>
        <w:rPr>
          <w:rFonts w:hint="eastAsia" w:eastAsia="黑体"/>
          <w:sz w:val="44"/>
          <w:szCs w:val="44"/>
        </w:rPr>
        <w:t>第四部分  附件</w:t>
      </w:r>
      <w:bookmarkEnd w:id="51"/>
    </w:p>
    <w:p w14:paraId="07C6A2F7">
      <w:pPr>
        <w:spacing w:line="600" w:lineRule="exact"/>
        <w:jc w:val="center"/>
        <w:rPr>
          <w:rFonts w:eastAsia="黑体"/>
          <w:sz w:val="44"/>
          <w:szCs w:val="44"/>
        </w:rPr>
      </w:pPr>
    </w:p>
    <w:p w14:paraId="3F7292AD">
      <w:pPr>
        <w:spacing w:line="572" w:lineRule="exact"/>
        <w:jc w:val="center"/>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单位预算项目支出绩效自评表（2024年度）</w:t>
      </w:r>
    </w:p>
    <w:p w14:paraId="7334931D">
      <w:pPr>
        <w:pStyle w:val="38"/>
        <w:spacing w:line="578" w:lineRule="exact"/>
        <w:jc w:val="center"/>
        <w:rPr>
          <w:rFonts w:ascii="Times New Roman" w:hAnsi="Times New Roman" w:eastAsia="方正小标宋简体" w:cs="方正小标宋简体"/>
          <w:color w:val="auto"/>
          <w:kern w:val="2"/>
          <w:sz w:val="44"/>
          <w:szCs w:val="44"/>
          <w:lang w:val="en-US"/>
        </w:rPr>
      </w:pPr>
    </w:p>
    <w:p w14:paraId="5E7FC2EE">
      <w:pPr>
        <w:widowControl/>
        <w:jc w:val="center"/>
        <w:rPr>
          <w:rFonts w:eastAsia="黑体"/>
          <w:sz w:val="44"/>
          <w:szCs w:val="44"/>
        </w:rPr>
      </w:pPr>
      <w:bookmarkStart w:id="53" w:name="_Toc15396618"/>
    </w:p>
    <w:p w14:paraId="5B027924">
      <w:pPr>
        <w:widowControl/>
        <w:jc w:val="center"/>
        <w:rPr>
          <w:rFonts w:eastAsia="黑体"/>
          <w:sz w:val="44"/>
          <w:szCs w:val="44"/>
        </w:rPr>
      </w:pPr>
    </w:p>
    <w:p w14:paraId="201FF1DC">
      <w:pPr>
        <w:widowControl/>
        <w:jc w:val="center"/>
        <w:rPr>
          <w:rFonts w:eastAsia="黑体"/>
          <w:sz w:val="44"/>
          <w:szCs w:val="44"/>
        </w:rPr>
      </w:pPr>
    </w:p>
    <w:p w14:paraId="05D4AF1C">
      <w:pPr>
        <w:widowControl/>
        <w:jc w:val="center"/>
        <w:rPr>
          <w:rFonts w:eastAsia="黑体"/>
          <w:sz w:val="44"/>
          <w:szCs w:val="44"/>
        </w:rPr>
      </w:pPr>
    </w:p>
    <w:p w14:paraId="28A6DA87">
      <w:pPr>
        <w:widowControl/>
        <w:jc w:val="center"/>
        <w:rPr>
          <w:rFonts w:eastAsia="黑体"/>
          <w:sz w:val="44"/>
          <w:szCs w:val="44"/>
        </w:rPr>
      </w:pPr>
    </w:p>
    <w:p w14:paraId="24B6BA53">
      <w:pPr>
        <w:widowControl/>
        <w:jc w:val="center"/>
        <w:rPr>
          <w:rFonts w:eastAsia="黑体"/>
          <w:sz w:val="44"/>
          <w:szCs w:val="44"/>
        </w:rPr>
      </w:pPr>
    </w:p>
    <w:p w14:paraId="2B2822E6">
      <w:pPr>
        <w:widowControl/>
        <w:jc w:val="center"/>
        <w:rPr>
          <w:rFonts w:eastAsia="黑体"/>
          <w:sz w:val="44"/>
          <w:szCs w:val="44"/>
        </w:rPr>
      </w:pPr>
    </w:p>
    <w:p w14:paraId="3383ACB0">
      <w:pPr>
        <w:widowControl/>
        <w:jc w:val="center"/>
        <w:rPr>
          <w:rFonts w:eastAsia="黑体"/>
          <w:sz w:val="44"/>
          <w:szCs w:val="44"/>
        </w:rPr>
      </w:pPr>
    </w:p>
    <w:p w14:paraId="0BB0BE93">
      <w:pPr>
        <w:widowControl/>
        <w:jc w:val="center"/>
        <w:rPr>
          <w:rFonts w:eastAsia="黑体"/>
          <w:sz w:val="44"/>
          <w:szCs w:val="44"/>
        </w:rPr>
      </w:pPr>
    </w:p>
    <w:p w14:paraId="53F98D79">
      <w:pPr>
        <w:widowControl/>
        <w:jc w:val="center"/>
        <w:rPr>
          <w:rFonts w:eastAsia="黑体"/>
          <w:sz w:val="44"/>
          <w:szCs w:val="44"/>
        </w:rPr>
      </w:pPr>
    </w:p>
    <w:p w14:paraId="1762DBFC">
      <w:pPr>
        <w:widowControl/>
        <w:jc w:val="center"/>
        <w:rPr>
          <w:rFonts w:eastAsia="黑体"/>
          <w:sz w:val="44"/>
          <w:szCs w:val="44"/>
        </w:rPr>
      </w:pPr>
    </w:p>
    <w:p w14:paraId="32AD5D74">
      <w:pPr>
        <w:widowControl/>
        <w:jc w:val="center"/>
        <w:rPr>
          <w:rFonts w:eastAsia="黑体"/>
          <w:sz w:val="44"/>
          <w:szCs w:val="44"/>
        </w:rPr>
      </w:pPr>
    </w:p>
    <w:p w14:paraId="6D8EFEBA">
      <w:pPr>
        <w:widowControl/>
        <w:jc w:val="center"/>
        <w:rPr>
          <w:rFonts w:eastAsia="黑体"/>
          <w:sz w:val="44"/>
          <w:szCs w:val="44"/>
        </w:rPr>
      </w:pPr>
    </w:p>
    <w:p w14:paraId="21C3B100">
      <w:pPr>
        <w:widowControl/>
        <w:jc w:val="center"/>
        <w:rPr>
          <w:rFonts w:eastAsia="黑体"/>
          <w:sz w:val="44"/>
          <w:szCs w:val="44"/>
        </w:rPr>
      </w:pPr>
    </w:p>
    <w:p w14:paraId="65A93D0F">
      <w:pPr>
        <w:widowControl/>
        <w:jc w:val="center"/>
        <w:rPr>
          <w:rFonts w:eastAsia="黑体"/>
          <w:sz w:val="44"/>
          <w:szCs w:val="44"/>
        </w:rPr>
      </w:pPr>
    </w:p>
    <w:p w14:paraId="7930956D">
      <w:pPr>
        <w:widowControl/>
        <w:jc w:val="center"/>
        <w:rPr>
          <w:rFonts w:eastAsia="黑体"/>
          <w:sz w:val="44"/>
          <w:szCs w:val="44"/>
        </w:rPr>
      </w:pPr>
    </w:p>
    <w:p w14:paraId="685AB35A">
      <w:pPr>
        <w:widowControl/>
        <w:jc w:val="center"/>
        <w:rPr>
          <w:rFonts w:eastAsia="黑体"/>
          <w:sz w:val="44"/>
          <w:szCs w:val="44"/>
        </w:rPr>
      </w:pPr>
    </w:p>
    <w:p w14:paraId="02F33EFF">
      <w:pPr>
        <w:widowControl/>
        <w:rPr>
          <w:rFonts w:eastAsia="黑体"/>
          <w:sz w:val="44"/>
          <w:szCs w:val="44"/>
        </w:rPr>
      </w:pPr>
    </w:p>
    <w:p w14:paraId="2EDB8ECA">
      <w:pPr>
        <w:widowControl/>
        <w:jc w:val="center"/>
        <w:rPr>
          <w:rFonts w:eastAsia="仿宋"/>
        </w:rPr>
      </w:pPr>
      <w:r>
        <w:rPr>
          <w:rFonts w:hint="eastAsia" w:eastAsia="黑体"/>
          <w:sz w:val="44"/>
          <w:szCs w:val="44"/>
        </w:rPr>
        <w:t>第</w:t>
      </w:r>
      <w:r>
        <w:rPr>
          <w:rStyle w:val="32"/>
          <w:rFonts w:hint="eastAsia" w:eastAsia="黑体"/>
          <w:b w:val="0"/>
        </w:rPr>
        <w:t>五部分 附表</w:t>
      </w:r>
      <w:bookmarkEnd w:id="52"/>
      <w:bookmarkEnd w:id="53"/>
      <w:bookmarkStart w:id="54" w:name="_Toc15396619"/>
    </w:p>
    <w:p w14:paraId="468B0BC3">
      <w:pPr>
        <w:pStyle w:val="16"/>
        <w:adjustRightInd w:val="0"/>
        <w:snapToGrid w:val="0"/>
        <w:spacing w:line="560" w:lineRule="exact"/>
        <w:jc w:val="left"/>
        <w:rPr>
          <w:rFonts w:eastAsia="仿宋_GB2312" w:cs="仿宋_GB2312"/>
          <w:sz w:val="32"/>
          <w:szCs w:val="32"/>
        </w:rPr>
      </w:pPr>
    </w:p>
    <w:p w14:paraId="2D77FE9F">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14:paraId="07354510">
      <w:pPr>
        <w:pStyle w:val="16"/>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14:paraId="7629BABC">
      <w:pPr>
        <w:pStyle w:val="16"/>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14:paraId="5DC90297">
      <w:pPr>
        <w:pStyle w:val="16"/>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14:paraId="6E1145FD">
      <w:pPr>
        <w:pStyle w:val="16"/>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14:paraId="6C617CE8">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14:paraId="0A83F9A8">
      <w:pPr>
        <w:pStyle w:val="16"/>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14:paraId="7D46B928">
      <w:pPr>
        <w:pStyle w:val="16"/>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14:paraId="7C490E81">
      <w:pPr>
        <w:pStyle w:val="16"/>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14:paraId="23BD4777">
      <w:pPr>
        <w:pStyle w:val="16"/>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5BBCB736">
      <w:pPr>
        <w:pStyle w:val="16"/>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14:paraId="613E76BD">
      <w:pPr>
        <w:pStyle w:val="16"/>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14:paraId="1C9C5892">
      <w:pPr>
        <w:pStyle w:val="16"/>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14:paraId="1208227F"/>
    <w:sectPr>
      <w:footerReference r:id="rId1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020F">
    <w:pPr>
      <w:pStyle w:val="12"/>
      <w:jc w:val="center"/>
    </w:pPr>
  </w:p>
  <w:p w14:paraId="3947194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05B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410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E6CE">
    <w:pPr>
      <w:pStyle w:val="12"/>
      <w:jc w:val="center"/>
    </w:pPr>
  </w:p>
  <w:p w14:paraId="70B6DAC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00A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556F">
    <w:pPr>
      <w:pStyle w:val="12"/>
      <w:jc w:val="center"/>
    </w:pPr>
  </w:p>
  <w:p w14:paraId="660AEFD8">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1036">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67EA00F6">
                <w:pPr>
                  <w:pStyle w:val="12"/>
                </w:pPr>
                <w:r>
                  <w:fldChar w:fldCharType="begin"/>
                </w:r>
                <w:r>
                  <w:instrText xml:space="preserve"> PAGE  \* MERGEFORMAT </w:instrText>
                </w:r>
                <w:r>
                  <w:fldChar w:fldCharType="separate"/>
                </w:r>
                <w:r>
                  <w:t>- 1 -</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2F80">
    <w:pPr>
      <w:pStyle w:val="12"/>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0F56075">
                <w:pPr>
                  <w:pStyle w:val="12"/>
                </w:pPr>
                <w:r>
                  <w:fldChar w:fldCharType="begin"/>
                </w:r>
                <w:r>
                  <w:instrText xml:space="preserve"> PAGE  \* MERGEFORMAT </w:instrText>
                </w:r>
                <w:r>
                  <w:fldChar w:fldCharType="separate"/>
                </w:r>
                <w:r>
                  <w:t>- 9 -</w:t>
                </w:r>
                <w:r>
                  <w:fldChar w:fldCharType="end"/>
                </w:r>
              </w:p>
            </w:txbxContent>
          </v:textbox>
        </v:shape>
      </w:pict>
    </w:r>
  </w:p>
  <w:p w14:paraId="08669CF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158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5B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B28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1A3DD"/>
    <w:multiLevelType w:val="singleLevel"/>
    <w:tmpl w:val="E411A3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6328"/>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2A86"/>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087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0024"/>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0B6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0CD8"/>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9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52705"/>
    <w:rsid w:val="01C453D9"/>
    <w:rsid w:val="02661E94"/>
    <w:rsid w:val="029F7154"/>
    <w:rsid w:val="02B40E52"/>
    <w:rsid w:val="02EA149B"/>
    <w:rsid w:val="02FA082F"/>
    <w:rsid w:val="02FE20CD"/>
    <w:rsid w:val="02FEBE30"/>
    <w:rsid w:val="030B2A3C"/>
    <w:rsid w:val="04025BED"/>
    <w:rsid w:val="044C0C16"/>
    <w:rsid w:val="048B5BE2"/>
    <w:rsid w:val="04916F1E"/>
    <w:rsid w:val="04B213C1"/>
    <w:rsid w:val="050140F6"/>
    <w:rsid w:val="052A53FB"/>
    <w:rsid w:val="052B2F21"/>
    <w:rsid w:val="05B747B5"/>
    <w:rsid w:val="05D67331"/>
    <w:rsid w:val="06007F0A"/>
    <w:rsid w:val="061E35DE"/>
    <w:rsid w:val="066E0107"/>
    <w:rsid w:val="068723D9"/>
    <w:rsid w:val="06A25465"/>
    <w:rsid w:val="06BA630B"/>
    <w:rsid w:val="07247C28"/>
    <w:rsid w:val="07434552"/>
    <w:rsid w:val="07996F6E"/>
    <w:rsid w:val="07DFD8BA"/>
    <w:rsid w:val="084A7B62"/>
    <w:rsid w:val="08A81D5A"/>
    <w:rsid w:val="08E4393A"/>
    <w:rsid w:val="095742E5"/>
    <w:rsid w:val="09867E8F"/>
    <w:rsid w:val="098A290C"/>
    <w:rsid w:val="098D7A71"/>
    <w:rsid w:val="09A17C56"/>
    <w:rsid w:val="09EF09C1"/>
    <w:rsid w:val="0A2032A3"/>
    <w:rsid w:val="0A786C09"/>
    <w:rsid w:val="0B183F48"/>
    <w:rsid w:val="0B6C7DF0"/>
    <w:rsid w:val="0C405EE3"/>
    <w:rsid w:val="0C4843B9"/>
    <w:rsid w:val="0C9D2956"/>
    <w:rsid w:val="0CA8290A"/>
    <w:rsid w:val="0CBD33D0"/>
    <w:rsid w:val="0CBF0B1F"/>
    <w:rsid w:val="0CFD33F5"/>
    <w:rsid w:val="0D1B1ACD"/>
    <w:rsid w:val="0D35B1ED"/>
    <w:rsid w:val="0D8E6743"/>
    <w:rsid w:val="0E254B6B"/>
    <w:rsid w:val="0EDB1514"/>
    <w:rsid w:val="0F205179"/>
    <w:rsid w:val="0F474DFC"/>
    <w:rsid w:val="0F916077"/>
    <w:rsid w:val="0F98263C"/>
    <w:rsid w:val="0FBA737B"/>
    <w:rsid w:val="101860EC"/>
    <w:rsid w:val="101F47CC"/>
    <w:rsid w:val="10392996"/>
    <w:rsid w:val="104D01F0"/>
    <w:rsid w:val="10C055FF"/>
    <w:rsid w:val="10D601E5"/>
    <w:rsid w:val="10E50428"/>
    <w:rsid w:val="11694EBD"/>
    <w:rsid w:val="11772AA4"/>
    <w:rsid w:val="118107EC"/>
    <w:rsid w:val="11991213"/>
    <w:rsid w:val="119B1480"/>
    <w:rsid w:val="11C73FD2"/>
    <w:rsid w:val="11E20E0C"/>
    <w:rsid w:val="11EC3A38"/>
    <w:rsid w:val="123C676E"/>
    <w:rsid w:val="1255782F"/>
    <w:rsid w:val="12E24EE2"/>
    <w:rsid w:val="12F26E2C"/>
    <w:rsid w:val="13250FB0"/>
    <w:rsid w:val="13D50BC4"/>
    <w:rsid w:val="13FC4407"/>
    <w:rsid w:val="14643D5A"/>
    <w:rsid w:val="14847F58"/>
    <w:rsid w:val="14B17F78"/>
    <w:rsid w:val="15785D0F"/>
    <w:rsid w:val="165E0673"/>
    <w:rsid w:val="168D3A3C"/>
    <w:rsid w:val="16B831D5"/>
    <w:rsid w:val="16BB723D"/>
    <w:rsid w:val="16CD3E38"/>
    <w:rsid w:val="16DE1BA1"/>
    <w:rsid w:val="17E50567"/>
    <w:rsid w:val="186504BB"/>
    <w:rsid w:val="188624F1"/>
    <w:rsid w:val="189E3CDE"/>
    <w:rsid w:val="191E6BCD"/>
    <w:rsid w:val="194D68D9"/>
    <w:rsid w:val="19524AC9"/>
    <w:rsid w:val="19A445FC"/>
    <w:rsid w:val="19C92FDD"/>
    <w:rsid w:val="1B395F40"/>
    <w:rsid w:val="1BE8440E"/>
    <w:rsid w:val="1C5841A4"/>
    <w:rsid w:val="1CBA4E5F"/>
    <w:rsid w:val="1CE7377A"/>
    <w:rsid w:val="1D155CEE"/>
    <w:rsid w:val="1D1638FE"/>
    <w:rsid w:val="1E312DEB"/>
    <w:rsid w:val="1E740ACF"/>
    <w:rsid w:val="1F1840BF"/>
    <w:rsid w:val="1F1A7E37"/>
    <w:rsid w:val="1F460C2C"/>
    <w:rsid w:val="1FF35744"/>
    <w:rsid w:val="1FF6BC77"/>
    <w:rsid w:val="20344F28"/>
    <w:rsid w:val="206D21E8"/>
    <w:rsid w:val="209B4FA7"/>
    <w:rsid w:val="21617F9F"/>
    <w:rsid w:val="216655B5"/>
    <w:rsid w:val="2186353C"/>
    <w:rsid w:val="21983295"/>
    <w:rsid w:val="21BF4CC5"/>
    <w:rsid w:val="220426D8"/>
    <w:rsid w:val="22513B6F"/>
    <w:rsid w:val="22D24584"/>
    <w:rsid w:val="22E5250A"/>
    <w:rsid w:val="230A01C2"/>
    <w:rsid w:val="23481D6B"/>
    <w:rsid w:val="23860B96"/>
    <w:rsid w:val="240371BF"/>
    <w:rsid w:val="244F3473"/>
    <w:rsid w:val="24C97D99"/>
    <w:rsid w:val="24EB24E8"/>
    <w:rsid w:val="257302A1"/>
    <w:rsid w:val="25A718F0"/>
    <w:rsid w:val="25B61F3B"/>
    <w:rsid w:val="25BB59F6"/>
    <w:rsid w:val="260F557C"/>
    <w:rsid w:val="26967EB4"/>
    <w:rsid w:val="26970054"/>
    <w:rsid w:val="26A34BB6"/>
    <w:rsid w:val="26A42500"/>
    <w:rsid w:val="26A534C7"/>
    <w:rsid w:val="26B24DF9"/>
    <w:rsid w:val="273D2914"/>
    <w:rsid w:val="281408E2"/>
    <w:rsid w:val="287405B8"/>
    <w:rsid w:val="291D0C4F"/>
    <w:rsid w:val="29587CD6"/>
    <w:rsid w:val="298365D8"/>
    <w:rsid w:val="29FD04D3"/>
    <w:rsid w:val="2A3224D8"/>
    <w:rsid w:val="2AAB228B"/>
    <w:rsid w:val="2AB033FD"/>
    <w:rsid w:val="2ADB491E"/>
    <w:rsid w:val="2AE8528D"/>
    <w:rsid w:val="2B14398C"/>
    <w:rsid w:val="2B7D59D5"/>
    <w:rsid w:val="2BA32F62"/>
    <w:rsid w:val="2BBD4024"/>
    <w:rsid w:val="2BFF7BC6"/>
    <w:rsid w:val="2C8A61B5"/>
    <w:rsid w:val="2CAD22EA"/>
    <w:rsid w:val="2CBA67B5"/>
    <w:rsid w:val="2D5B6915"/>
    <w:rsid w:val="2DF04E50"/>
    <w:rsid w:val="2E586DFA"/>
    <w:rsid w:val="2F040D46"/>
    <w:rsid w:val="2F6B035B"/>
    <w:rsid w:val="2F860BD0"/>
    <w:rsid w:val="2FAE5751"/>
    <w:rsid w:val="2FB1A395"/>
    <w:rsid w:val="2FD9A7D8"/>
    <w:rsid w:val="2FDBF714"/>
    <w:rsid w:val="30073ABF"/>
    <w:rsid w:val="303D65B7"/>
    <w:rsid w:val="305331A8"/>
    <w:rsid w:val="30AB6865"/>
    <w:rsid w:val="30E16A06"/>
    <w:rsid w:val="312D1C4B"/>
    <w:rsid w:val="315F1037"/>
    <w:rsid w:val="31615451"/>
    <w:rsid w:val="318850D4"/>
    <w:rsid w:val="319F7F4E"/>
    <w:rsid w:val="3207424B"/>
    <w:rsid w:val="32957AA8"/>
    <w:rsid w:val="32AA2E28"/>
    <w:rsid w:val="32BD1EF1"/>
    <w:rsid w:val="32C959A4"/>
    <w:rsid w:val="3304709D"/>
    <w:rsid w:val="337551E4"/>
    <w:rsid w:val="33A773CB"/>
    <w:rsid w:val="343D03F7"/>
    <w:rsid w:val="349D6851"/>
    <w:rsid w:val="34D96EB2"/>
    <w:rsid w:val="350E769E"/>
    <w:rsid w:val="353F3CFB"/>
    <w:rsid w:val="35431A3E"/>
    <w:rsid w:val="355A6D87"/>
    <w:rsid w:val="358856A2"/>
    <w:rsid w:val="36160F00"/>
    <w:rsid w:val="368E4F3A"/>
    <w:rsid w:val="36AA5135"/>
    <w:rsid w:val="36BE0DA7"/>
    <w:rsid w:val="371D23C8"/>
    <w:rsid w:val="37515F68"/>
    <w:rsid w:val="376B6AA6"/>
    <w:rsid w:val="376D39B2"/>
    <w:rsid w:val="37C624B2"/>
    <w:rsid w:val="37E16F03"/>
    <w:rsid w:val="37EA2644"/>
    <w:rsid w:val="37F53A3B"/>
    <w:rsid w:val="37F75FEA"/>
    <w:rsid w:val="37F86F59"/>
    <w:rsid w:val="383C4522"/>
    <w:rsid w:val="389B6C89"/>
    <w:rsid w:val="38D469F0"/>
    <w:rsid w:val="38F512A1"/>
    <w:rsid w:val="395F2BBE"/>
    <w:rsid w:val="39627CCD"/>
    <w:rsid w:val="397BAF1F"/>
    <w:rsid w:val="39B369AA"/>
    <w:rsid w:val="3A347BA7"/>
    <w:rsid w:val="3AB79AF3"/>
    <w:rsid w:val="3AC21617"/>
    <w:rsid w:val="3AE834C0"/>
    <w:rsid w:val="3AF47336"/>
    <w:rsid w:val="3B005CDB"/>
    <w:rsid w:val="3B111E76"/>
    <w:rsid w:val="3B6E0E96"/>
    <w:rsid w:val="3B7EF35A"/>
    <w:rsid w:val="3B9FDB6C"/>
    <w:rsid w:val="3BC907C3"/>
    <w:rsid w:val="3BF5BC2F"/>
    <w:rsid w:val="3BF82E56"/>
    <w:rsid w:val="3C24735A"/>
    <w:rsid w:val="3C4B11D8"/>
    <w:rsid w:val="3CCA034E"/>
    <w:rsid w:val="3CEBA265"/>
    <w:rsid w:val="3D1E4B3E"/>
    <w:rsid w:val="3D385850"/>
    <w:rsid w:val="3D98207C"/>
    <w:rsid w:val="3DC15BF5"/>
    <w:rsid w:val="3DEE7CF3"/>
    <w:rsid w:val="3E495BEB"/>
    <w:rsid w:val="3E640EDA"/>
    <w:rsid w:val="3E740A63"/>
    <w:rsid w:val="3E78745D"/>
    <w:rsid w:val="3EE17838"/>
    <w:rsid w:val="3F4A7E6C"/>
    <w:rsid w:val="3F55381A"/>
    <w:rsid w:val="3F5D36FC"/>
    <w:rsid w:val="3F7F7599"/>
    <w:rsid w:val="3FF4CAE0"/>
    <w:rsid w:val="3FF7B227"/>
    <w:rsid w:val="402B1A4C"/>
    <w:rsid w:val="407707ED"/>
    <w:rsid w:val="40C559FD"/>
    <w:rsid w:val="40E65350"/>
    <w:rsid w:val="426052B1"/>
    <w:rsid w:val="42756FAE"/>
    <w:rsid w:val="42D44A08"/>
    <w:rsid w:val="43803E5D"/>
    <w:rsid w:val="43A538C3"/>
    <w:rsid w:val="43A833B4"/>
    <w:rsid w:val="440F6F8F"/>
    <w:rsid w:val="44246EDE"/>
    <w:rsid w:val="44B33DBE"/>
    <w:rsid w:val="44E268DA"/>
    <w:rsid w:val="450D13D7"/>
    <w:rsid w:val="45506656"/>
    <w:rsid w:val="45FE550D"/>
    <w:rsid w:val="4609638B"/>
    <w:rsid w:val="46827EEC"/>
    <w:rsid w:val="46DC75FC"/>
    <w:rsid w:val="471A45C8"/>
    <w:rsid w:val="47462CC7"/>
    <w:rsid w:val="47975C19"/>
    <w:rsid w:val="479E48B1"/>
    <w:rsid w:val="47B57E4D"/>
    <w:rsid w:val="486A6C7A"/>
    <w:rsid w:val="49DE7B2F"/>
    <w:rsid w:val="4A183041"/>
    <w:rsid w:val="4A5B1180"/>
    <w:rsid w:val="4A627F82"/>
    <w:rsid w:val="4A9326C8"/>
    <w:rsid w:val="4ADB7BCB"/>
    <w:rsid w:val="4B0E749A"/>
    <w:rsid w:val="4B2477C4"/>
    <w:rsid w:val="4B4F25DA"/>
    <w:rsid w:val="4BE068DB"/>
    <w:rsid w:val="4BE11211"/>
    <w:rsid w:val="4C9D5A7F"/>
    <w:rsid w:val="4CA46E0E"/>
    <w:rsid w:val="4CD60F91"/>
    <w:rsid w:val="4D0E66E5"/>
    <w:rsid w:val="4D40640B"/>
    <w:rsid w:val="4D577224"/>
    <w:rsid w:val="4D8929FB"/>
    <w:rsid w:val="4DA93FB0"/>
    <w:rsid w:val="4DBF1CEB"/>
    <w:rsid w:val="4DCD5EF0"/>
    <w:rsid w:val="4DF0007C"/>
    <w:rsid w:val="4EAB630A"/>
    <w:rsid w:val="4ECE2238"/>
    <w:rsid w:val="4EE71234"/>
    <w:rsid w:val="4EEF00E8"/>
    <w:rsid w:val="4F035942"/>
    <w:rsid w:val="4F833267"/>
    <w:rsid w:val="4FE9BD67"/>
    <w:rsid w:val="4FFB052F"/>
    <w:rsid w:val="50F639B0"/>
    <w:rsid w:val="50F814D6"/>
    <w:rsid w:val="514B3CFC"/>
    <w:rsid w:val="520D0FB1"/>
    <w:rsid w:val="536A2433"/>
    <w:rsid w:val="537E6D0A"/>
    <w:rsid w:val="53841AA0"/>
    <w:rsid w:val="53BB4A3D"/>
    <w:rsid w:val="53F74C96"/>
    <w:rsid w:val="5415239F"/>
    <w:rsid w:val="542645AC"/>
    <w:rsid w:val="54EF2BF0"/>
    <w:rsid w:val="550A5C7C"/>
    <w:rsid w:val="55170BA8"/>
    <w:rsid w:val="553218C9"/>
    <w:rsid w:val="564B3E56"/>
    <w:rsid w:val="567E1AA5"/>
    <w:rsid w:val="56B55774"/>
    <w:rsid w:val="56D54068"/>
    <w:rsid w:val="56E47B74"/>
    <w:rsid w:val="57175D52"/>
    <w:rsid w:val="571E156B"/>
    <w:rsid w:val="57BD3DD4"/>
    <w:rsid w:val="582E57DE"/>
    <w:rsid w:val="58353010"/>
    <w:rsid w:val="58535244"/>
    <w:rsid w:val="586456A3"/>
    <w:rsid w:val="586B6A32"/>
    <w:rsid w:val="58750991"/>
    <w:rsid w:val="589917F1"/>
    <w:rsid w:val="598D0C2A"/>
    <w:rsid w:val="5A0E3B19"/>
    <w:rsid w:val="5AC32B55"/>
    <w:rsid w:val="5AF92295"/>
    <w:rsid w:val="5B250254"/>
    <w:rsid w:val="5BB406F0"/>
    <w:rsid w:val="5BC14BBB"/>
    <w:rsid w:val="5BDD79E6"/>
    <w:rsid w:val="5BF561CA"/>
    <w:rsid w:val="5BFF5DFC"/>
    <w:rsid w:val="5C142F3C"/>
    <w:rsid w:val="5C384E7D"/>
    <w:rsid w:val="5C6A0DAE"/>
    <w:rsid w:val="5CD71FC4"/>
    <w:rsid w:val="5CF0438B"/>
    <w:rsid w:val="5D1F11B5"/>
    <w:rsid w:val="5D695134"/>
    <w:rsid w:val="5DAE1B18"/>
    <w:rsid w:val="5DC0337C"/>
    <w:rsid w:val="5DE7D9E5"/>
    <w:rsid w:val="5E1436C8"/>
    <w:rsid w:val="5E385608"/>
    <w:rsid w:val="5ECEC941"/>
    <w:rsid w:val="5EF37781"/>
    <w:rsid w:val="5F3C1128"/>
    <w:rsid w:val="5FBE38EB"/>
    <w:rsid w:val="5FBF9FF3"/>
    <w:rsid w:val="5FCD4E2C"/>
    <w:rsid w:val="5FEF394A"/>
    <w:rsid w:val="5FF67715"/>
    <w:rsid w:val="600C0AFA"/>
    <w:rsid w:val="604364E6"/>
    <w:rsid w:val="608368E3"/>
    <w:rsid w:val="620D46B6"/>
    <w:rsid w:val="624B1537"/>
    <w:rsid w:val="626562A0"/>
    <w:rsid w:val="6267026A"/>
    <w:rsid w:val="62791D4B"/>
    <w:rsid w:val="62BF3928"/>
    <w:rsid w:val="63604CB9"/>
    <w:rsid w:val="637864A7"/>
    <w:rsid w:val="63B3701E"/>
    <w:rsid w:val="63E36016"/>
    <w:rsid w:val="640970FF"/>
    <w:rsid w:val="647F5392"/>
    <w:rsid w:val="65735178"/>
    <w:rsid w:val="657B292D"/>
    <w:rsid w:val="65E41BD1"/>
    <w:rsid w:val="65E66580"/>
    <w:rsid w:val="65FF4C5D"/>
    <w:rsid w:val="66221C95"/>
    <w:rsid w:val="664B1D71"/>
    <w:rsid w:val="664B4E8E"/>
    <w:rsid w:val="67277B67"/>
    <w:rsid w:val="679A4C3E"/>
    <w:rsid w:val="67AA3209"/>
    <w:rsid w:val="67D22629"/>
    <w:rsid w:val="68DB3760"/>
    <w:rsid w:val="698D0931"/>
    <w:rsid w:val="699F478D"/>
    <w:rsid w:val="69BE2739"/>
    <w:rsid w:val="69FC1BE0"/>
    <w:rsid w:val="6A313DF0"/>
    <w:rsid w:val="6A7FE5F3"/>
    <w:rsid w:val="6AAB0F10"/>
    <w:rsid w:val="6B053271"/>
    <w:rsid w:val="6B74714D"/>
    <w:rsid w:val="6BDD78B3"/>
    <w:rsid w:val="6C3A69EF"/>
    <w:rsid w:val="6C4A05C8"/>
    <w:rsid w:val="6C8742B8"/>
    <w:rsid w:val="6C8E0AE9"/>
    <w:rsid w:val="6D6535F8"/>
    <w:rsid w:val="6DBF5E93"/>
    <w:rsid w:val="6DDB7D5E"/>
    <w:rsid w:val="6DFF077E"/>
    <w:rsid w:val="6E661D1D"/>
    <w:rsid w:val="6E714EF0"/>
    <w:rsid w:val="6E7E3605"/>
    <w:rsid w:val="6E7FDCC7"/>
    <w:rsid w:val="6EBC409A"/>
    <w:rsid w:val="6EBE3907"/>
    <w:rsid w:val="6ED6A62E"/>
    <w:rsid w:val="6EE00B15"/>
    <w:rsid w:val="6F547DC8"/>
    <w:rsid w:val="6F6FB3EB"/>
    <w:rsid w:val="6F8731EA"/>
    <w:rsid w:val="6FC0545D"/>
    <w:rsid w:val="6FCE6052"/>
    <w:rsid w:val="6FD57C00"/>
    <w:rsid w:val="6FE3114C"/>
    <w:rsid w:val="6FEFFFD8"/>
    <w:rsid w:val="6FF5CC65"/>
    <w:rsid w:val="6FFB47EC"/>
    <w:rsid w:val="6FFF034A"/>
    <w:rsid w:val="702F613F"/>
    <w:rsid w:val="70473489"/>
    <w:rsid w:val="70484440"/>
    <w:rsid w:val="708B7819"/>
    <w:rsid w:val="71211F2C"/>
    <w:rsid w:val="712A28F1"/>
    <w:rsid w:val="71397275"/>
    <w:rsid w:val="715C0E4B"/>
    <w:rsid w:val="71992E7C"/>
    <w:rsid w:val="72233669"/>
    <w:rsid w:val="72734D90"/>
    <w:rsid w:val="729F42E3"/>
    <w:rsid w:val="72BF37AA"/>
    <w:rsid w:val="73160E6D"/>
    <w:rsid w:val="73320420"/>
    <w:rsid w:val="7332FE48"/>
    <w:rsid w:val="73840550"/>
    <w:rsid w:val="73AB61DA"/>
    <w:rsid w:val="73AD73D5"/>
    <w:rsid w:val="73B6EB34"/>
    <w:rsid w:val="73EF6311"/>
    <w:rsid w:val="73FA497D"/>
    <w:rsid w:val="744731E5"/>
    <w:rsid w:val="74654825"/>
    <w:rsid w:val="74784559"/>
    <w:rsid w:val="747F7695"/>
    <w:rsid w:val="74936C9D"/>
    <w:rsid w:val="74BBD01D"/>
    <w:rsid w:val="74ED5379"/>
    <w:rsid w:val="75662603"/>
    <w:rsid w:val="75DEEEC2"/>
    <w:rsid w:val="75E32345"/>
    <w:rsid w:val="76D31F1A"/>
    <w:rsid w:val="76E3355F"/>
    <w:rsid w:val="76FF5125"/>
    <w:rsid w:val="77330FFC"/>
    <w:rsid w:val="776F6FFA"/>
    <w:rsid w:val="778769C8"/>
    <w:rsid w:val="77A75DCA"/>
    <w:rsid w:val="77DC22F5"/>
    <w:rsid w:val="783E271A"/>
    <w:rsid w:val="78616DE9"/>
    <w:rsid w:val="78632E2A"/>
    <w:rsid w:val="78E875D7"/>
    <w:rsid w:val="79086DAD"/>
    <w:rsid w:val="797F0137"/>
    <w:rsid w:val="799F4335"/>
    <w:rsid w:val="79AE4579"/>
    <w:rsid w:val="79BC6C95"/>
    <w:rsid w:val="79D7FD79"/>
    <w:rsid w:val="79EE5BA4"/>
    <w:rsid w:val="7A262361"/>
    <w:rsid w:val="7A894339"/>
    <w:rsid w:val="7AC027B5"/>
    <w:rsid w:val="7AD284E8"/>
    <w:rsid w:val="7AFF7572"/>
    <w:rsid w:val="7B166879"/>
    <w:rsid w:val="7B6C7DFB"/>
    <w:rsid w:val="7BBFBED0"/>
    <w:rsid w:val="7BC3E394"/>
    <w:rsid w:val="7C1F350C"/>
    <w:rsid w:val="7C1F3737"/>
    <w:rsid w:val="7CBFC87B"/>
    <w:rsid w:val="7CFE0F48"/>
    <w:rsid w:val="7D0A7D18"/>
    <w:rsid w:val="7D272ABC"/>
    <w:rsid w:val="7D7EC23E"/>
    <w:rsid w:val="7DC10D1E"/>
    <w:rsid w:val="7DDA3B8E"/>
    <w:rsid w:val="7E372D8F"/>
    <w:rsid w:val="7E8835EA"/>
    <w:rsid w:val="7E8ADEBF"/>
    <w:rsid w:val="7EEF11D3"/>
    <w:rsid w:val="7EFE4840"/>
    <w:rsid w:val="7F0971A6"/>
    <w:rsid w:val="7F1D62E7"/>
    <w:rsid w:val="7F3F679B"/>
    <w:rsid w:val="7F4FC4EF"/>
    <w:rsid w:val="7F5E4D54"/>
    <w:rsid w:val="7F6E0135"/>
    <w:rsid w:val="7F7973D7"/>
    <w:rsid w:val="7F79F205"/>
    <w:rsid w:val="7FA30C79"/>
    <w:rsid w:val="7FA79C44"/>
    <w:rsid w:val="7FAF8ABF"/>
    <w:rsid w:val="7FB26CFE"/>
    <w:rsid w:val="7FB7269E"/>
    <w:rsid w:val="7FBF128D"/>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line="600" w:lineRule="exact"/>
      <w:ind w:firstLine="150" w:firstLineChars="150"/>
    </w:pPr>
    <w:rPr>
      <w:rFonts w:ascii="仿宋_GB2312" w:eastAsia="仿宋_GB2312"/>
      <w:sz w:val="32"/>
      <w:szCs w:val="32"/>
    </w:rPr>
  </w:style>
  <w:style w:type="paragraph" w:styleId="6">
    <w:name w:val="Body Text"/>
    <w:basedOn w:val="1"/>
    <w:next w:val="7"/>
    <w:link w:val="29"/>
    <w:qFormat/>
    <w:uiPriority w:val="99"/>
    <w:pPr>
      <w:spacing w:beforeLines="30"/>
    </w:pPr>
    <w:rPr>
      <w:rFonts w:ascii="仿宋_GB2312" w:eastAsia="仿宋_GB2312"/>
      <w:kern w:val="0"/>
      <w:sz w:val="30"/>
    </w:rPr>
  </w:style>
  <w:style w:type="paragraph" w:customStyle="1" w:styleId="7">
    <w:name w:val="样式1"/>
    <w:basedOn w:val="1"/>
    <w:qFormat/>
    <w:uiPriority w:val="0"/>
    <w:rPr>
      <w:b/>
      <w:color w:val="538135"/>
      <w:sz w:val="28"/>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正文-公1"/>
    <w:basedOn w:val="22"/>
    <w:next w:val="1"/>
    <w:qFormat/>
    <w:uiPriority w:val="0"/>
    <w:pPr>
      <w:ind w:firstLine="200" w:firstLineChars="200"/>
    </w:p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8"/>
    <w:link w:val="3"/>
    <w:qFormat/>
    <w:uiPriority w:val="9"/>
    <w:rPr>
      <w:rFonts w:ascii="Times New Roman" w:hAnsi="Times New Roman"/>
      <w:b/>
      <w:bCs/>
      <w:kern w:val="44"/>
      <w:sz w:val="44"/>
      <w:szCs w:val="44"/>
    </w:rPr>
  </w:style>
  <w:style w:type="character" w:customStyle="1" w:styleId="33">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24037;&#20316;\TZB\&#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D:\&#24037;&#20316;\TZB\&#22270;&#34920;.xls"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D:\&#24037;&#20316;\TZB\&#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TZB\&#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rPr sz="900" b="1">
                <a:solidFill>
                  <a:schemeClr val="tx1">
                    <a:lumMod val="65000"/>
                    <a:lumOff val="35000"/>
                  </a:schemeClr>
                </a:solidFill>
                <a:uFillTx/>
              </a:rPr>
              <a:t>收、支决算总计变动情况图</a:t>
            </a:r>
            <a:endParaRPr sz="900" b="1" i="0" baseline="0">
              <a:solidFill>
                <a:schemeClr val="tx1">
                  <a:lumMod val="65000"/>
                  <a:lumOff val="35000"/>
                </a:schemeClr>
              </a:solidFill>
              <a:uFillTx/>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337423312883436"/>
          <c:y val="0.258042119879657"/>
          <c:w val="0.932515337423313"/>
          <c:h val="0.624716500809998"/>
        </c:manualLayout>
      </c:layout>
      <c:barChart>
        <c:barDir val="col"/>
        <c:grouping val="clustered"/>
        <c:varyColors val="0"/>
        <c:ser>
          <c:idx val="0"/>
          <c:order val="0"/>
          <c:tx>
            <c:strRef>
              <c:f>'[图表.xls]2024'!$A$3</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'[图表.xls]2024'!$B$2:$C$2</c:f>
              <c:strCache>
                <c:ptCount val="2"/>
                <c:pt idx="0">
                  <c:v>2023年</c:v>
                </c:pt>
                <c:pt idx="1">
                  <c:v>2024年</c:v>
                </c:pt>
              </c:strCache>
            </c:strRef>
          </c:cat>
          <c:val>
            <c:numRef>
              <c:f>'[图表.xls]2024'!$B$3:$C$3</c:f>
              <c:numCache>
                <c:formatCode>General</c:formatCode>
                <c:ptCount val="2"/>
                <c:pt idx="0">
                  <c:v>305.39</c:v>
                </c:pt>
                <c:pt idx="1">
                  <c:v>340.13</c:v>
                </c:pt>
              </c:numCache>
            </c:numRef>
          </c:val>
        </c:ser>
        <c:ser>
          <c:idx val="1"/>
          <c:order val="1"/>
          <c:tx>
            <c:strRef>
              <c:f>'[图表.xls]2024'!$A$4</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'[图表.xls]2024'!$B$2:$C$2</c:f>
              <c:strCache>
                <c:ptCount val="2"/>
                <c:pt idx="0">
                  <c:v>2023年</c:v>
                </c:pt>
                <c:pt idx="1">
                  <c:v>2024年</c:v>
                </c:pt>
              </c:strCache>
            </c:strRef>
          </c:cat>
          <c:val>
            <c:numRef>
              <c:f>'[图表.xls]2024'!$B$4:$C$4</c:f>
              <c:numCache>
                <c:formatCode>General</c:formatCode>
                <c:ptCount val="2"/>
                <c:pt idx="0">
                  <c:v>305.39</c:v>
                </c:pt>
                <c:pt idx="1">
                  <c:v>340.13</c:v>
                </c:pt>
              </c:numCache>
            </c:numRef>
          </c:val>
        </c:ser>
        <c:dLbls>
          <c:showLegendKey val="0"/>
          <c:showVal val="1"/>
          <c:showCatName val="0"/>
          <c:showSerName val="0"/>
          <c:showPercent val="0"/>
          <c:showBubbleSize val="0"/>
        </c:dLbls>
        <c:gapWidth val="219"/>
        <c:overlap val="-27"/>
        <c:axId val="201303936"/>
        <c:axId val="201305472"/>
      </c:barChart>
      <c:catAx>
        <c:axId val="201303936"/>
        <c:scaling>
          <c:orientation val="minMax"/>
        </c:scaling>
        <c:delete val="0"/>
        <c:axPos val="b"/>
        <c:majorGridlines>
          <c:spPr>
            <a:ln w="6350" cap="flat" cmpd="sng" algn="ctr">
              <a:solidFill>
                <a:schemeClr val="tx1">
                  <a:lumMod val="50000"/>
                  <a:lumOff val="50000"/>
                  <a:alpha val="20000"/>
                </a:schemeClr>
              </a:solidFill>
              <a:prstDash val="solid"/>
              <a:round/>
            </a:ln>
            <a:effectLst/>
          </c:spPr>
        </c:majorGridlines>
        <c:majorTickMark val="none"/>
        <c:minorTickMark val="none"/>
        <c:tickLblPos val="nextTo"/>
        <c:spPr>
          <a:noFill/>
          <a:ln w="6350" cap="flat" cmpd="sng" algn="ctr">
            <a:solidFill>
              <a:schemeClr val="tx1">
                <a:lumMod val="15000"/>
                <a:lumOff val="85000"/>
                <a:alpha val="30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01305472"/>
        <c:crosses val="autoZero"/>
        <c:auto val="1"/>
        <c:lblAlgn val="ctr"/>
        <c:lblOffset val="100"/>
        <c:noMultiLvlLbl val="0"/>
      </c:catAx>
      <c:valAx>
        <c:axId val="201305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303936"/>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e66a1b-04f9-4996-8c54-92d9159d3dd5}"/>
      </c:ext>
    </c:extLst>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900">
                <a:solidFill>
                  <a:schemeClr val="tx1">
                    <a:lumMod val="75000"/>
                    <a:lumOff val="25000"/>
                  </a:schemeClr>
                </a:solidFill>
                <a:uFillTx/>
              </a:rPr>
              <a:t>收入决算结构图</a:t>
            </a:r>
            <a:endParaRPr sz="900">
              <a:solidFill>
                <a:schemeClr val="tx1">
                  <a:lumMod val="75000"/>
                  <a:lumOff val="25000"/>
                </a:schemeClr>
              </a:solidFill>
              <a:uFillTx/>
            </a:endParaRPr>
          </a:p>
        </c:rich>
      </c:tx>
      <c:layout>
        <c:manualLayout>
          <c:xMode val="edge"/>
          <c:yMode val="edge"/>
          <c:x val="0.418421052631579"/>
          <c:y val="0.0261220612681073"/>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74542002498211"/>
                  <c:y val="-0.14967321134748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86</a:t>
                    </a:r>
                    <a:r>
                      <a:rPr lang="en-US" altLang="zh-CN"/>
                      <a:t>.45</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a:t>
                    </a:r>
                    <a:r>
                      <a:rPr lang="en-US" altLang="zh-CN"/>
                      <a:t>3.55</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'[图表.xls]2024'!$K$2:$K$3</c:f>
              <c:strCache>
                <c:ptCount val="2"/>
                <c:pt idx="0">
                  <c:v>一般公共预算收入</c:v>
                </c:pt>
                <c:pt idx="1">
                  <c:v>政府性基金预算收入</c:v>
                </c:pt>
              </c:strCache>
            </c:strRef>
          </c:cat>
          <c:val>
            <c:numRef>
              <c:f>'[图表.xls]2024'!$L$2:$L$3</c:f>
              <c:numCache>
                <c:formatCode>0%</c:formatCode>
                <c:ptCount val="2"/>
                <c:pt idx="0">
                  <c:v>0.86</c:v>
                </c:pt>
                <c:pt idx="1">
                  <c:v>0.14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bce2154-ee07-4a72-903f-93f7bbda17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900"/>
              <a:t>支出决算</a:t>
            </a:r>
            <a:r>
              <a:rPr sz="900">
                <a:solidFill>
                  <a:schemeClr val="tx1">
                    <a:lumMod val="75000"/>
                    <a:lumOff val="25000"/>
                  </a:schemeClr>
                </a:solidFill>
                <a:uFillTx/>
              </a:rPr>
              <a:t>结构</a:t>
            </a:r>
            <a:r>
              <a:rPr sz="900"/>
              <a:t>图</a:t>
            </a:r>
            <a:endParaRPr sz="900"/>
          </a:p>
        </c:rich>
      </c:tx>
      <c:layout/>
      <c:overlay val="0"/>
      <c:spPr>
        <a:noFill/>
        <a:ln>
          <a:noFill/>
        </a:ln>
        <a:effectLst/>
      </c:spPr>
    </c:title>
    <c:autoTitleDeleted val="0"/>
    <c:plotArea>
      <c:layout>
        <c:manualLayout>
          <c:layoutTarget val="inner"/>
          <c:xMode val="edge"/>
          <c:yMode val="edge"/>
          <c:x val="0.312804316357415"/>
          <c:y val="0.278935185185185"/>
          <c:w val="0.379655217791815"/>
          <c:h val="0.667824074074075"/>
        </c:manualLayout>
      </c:layout>
      <c:pieChart>
        <c:varyColors val="1"/>
        <c:ser>
          <c:idx val="0"/>
          <c:order val="0"/>
          <c:explosion val="0"/>
          <c:dPt>
            <c:idx val="0"/>
            <c:bubble3D val="0"/>
          </c:dPt>
          <c:dPt>
            <c:idx val="1"/>
            <c:bubble3D val="0"/>
          </c:dPt>
          <c:dLbls>
            <c:dLbl>
              <c:idx val="0"/>
              <c:layout>
                <c:manualLayout>
                  <c:x val="-0.0703144157346463"/>
                  <c:y val="-0.090764504466358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70.86</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29</a:t>
                    </a:r>
                    <a:r>
                      <a:rPr lang="en-US" altLang="zh-CN"/>
                      <a:t>.14</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'[图表.xls]2024'!$A$23:$A$24</c:f>
              <c:strCache>
                <c:ptCount val="2"/>
                <c:pt idx="0">
                  <c:v>基本支出</c:v>
                </c:pt>
                <c:pt idx="1">
                  <c:v>项目支出</c:v>
                </c:pt>
              </c:strCache>
            </c:strRef>
          </c:cat>
          <c:val>
            <c:numRef>
              <c:f>'[图表.xls]2024'!$B$23:$B$24</c:f>
              <c:numCache>
                <c:formatCode>0%</c:formatCode>
                <c:ptCount val="2"/>
                <c:pt idx="0">
                  <c:v>0.71</c:v>
                </c:pt>
                <c:pt idx="1">
                  <c:v>0.29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4f984e6-c380-453b-8c43-b5e833e5113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rPr sz="900" b="1">
                <a:solidFill>
                  <a:schemeClr val="tx1">
                    <a:lumMod val="65000"/>
                    <a:lumOff val="35000"/>
                  </a:schemeClr>
                </a:solidFill>
                <a:uFillTx/>
              </a:rPr>
              <a:t>财政拨款收支决算总计变动情况</a:t>
            </a:r>
            <a:endParaRPr sz="900"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'[图表.xls]2024'!$I$24</c:f>
              <c:strCache>
                <c:ptCount val="1"/>
                <c:pt idx="0">
                  <c:v>财政拨款收入总计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'[图表.xls]2024'!$J$23:$K$23</c:f>
              <c:strCache>
                <c:ptCount val="2"/>
                <c:pt idx="0">
                  <c:v>2023年</c:v>
                </c:pt>
                <c:pt idx="1">
                  <c:v>2024年</c:v>
                </c:pt>
              </c:strCache>
            </c:strRef>
          </c:cat>
          <c:val>
            <c:numRef>
              <c:f>'[图表.xls]2024'!$J$24:$K$24</c:f>
              <c:numCache>
                <c:formatCode>General</c:formatCode>
                <c:ptCount val="2"/>
                <c:pt idx="0">
                  <c:v>305.39</c:v>
                </c:pt>
                <c:pt idx="1">
                  <c:v>340.13</c:v>
                </c:pt>
              </c:numCache>
            </c:numRef>
          </c:val>
        </c:ser>
        <c:ser>
          <c:idx val="1"/>
          <c:order val="1"/>
          <c:tx>
            <c:strRef>
              <c:f>'[图表.xls]2024'!$I$25</c:f>
              <c:strCache>
                <c:ptCount val="1"/>
                <c:pt idx="0">
                  <c:v>财政拨款支出总计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'[图表.xls]2024'!$J$23:$K$23</c:f>
              <c:strCache>
                <c:ptCount val="2"/>
                <c:pt idx="0">
                  <c:v>2023年</c:v>
                </c:pt>
                <c:pt idx="1">
                  <c:v>2024年</c:v>
                </c:pt>
              </c:strCache>
            </c:strRef>
          </c:cat>
          <c:val>
            <c:numRef>
              <c:f>'[图表.xls]2024'!$J$25:$K$25</c:f>
              <c:numCache>
                <c:formatCode>General</c:formatCode>
                <c:ptCount val="2"/>
                <c:pt idx="0">
                  <c:v>305.39</c:v>
                </c:pt>
                <c:pt idx="1">
                  <c:v>340.13</c:v>
                </c:pt>
              </c:numCache>
            </c:numRef>
          </c:val>
        </c:ser>
        <c:dLbls>
          <c:showLegendKey val="0"/>
          <c:showVal val="1"/>
          <c:showCatName val="0"/>
          <c:showSerName val="0"/>
          <c:showPercent val="0"/>
          <c:showBubbleSize val="0"/>
        </c:dLbls>
        <c:gapWidth val="219"/>
        <c:overlap val="-27"/>
        <c:axId val="201406720"/>
        <c:axId val="201416704"/>
      </c:barChart>
      <c:catAx>
        <c:axId val="201406720"/>
        <c:scaling>
          <c:orientation val="minMax"/>
        </c:scaling>
        <c:delete val="0"/>
        <c:axPos val="b"/>
        <c:majorGridlines>
          <c:spPr>
            <a:ln w="6350" cap="flat" cmpd="sng" algn="ctr">
              <a:solidFill>
                <a:schemeClr val="tx1">
                  <a:lumMod val="50000"/>
                  <a:lumOff val="50000"/>
                  <a:alpha val="20000"/>
                </a:schemeClr>
              </a:solidFill>
              <a:prstDash val="solid"/>
              <a:round/>
            </a:ln>
            <a:effectLst/>
          </c:spPr>
        </c:majorGridlines>
        <c:numFmt formatCode="General" sourceLinked="1"/>
        <c:majorTickMark val="none"/>
        <c:minorTickMark val="none"/>
        <c:tickLblPos val="nextTo"/>
        <c:spPr>
          <a:noFill/>
          <a:ln w="6350" cap="flat" cmpd="sng" algn="ctr">
            <a:solidFill>
              <a:schemeClr val="tx1">
                <a:lumMod val="15000"/>
                <a:lumOff val="85000"/>
                <a:alpha val="30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01416704"/>
        <c:crosses val="autoZero"/>
        <c:auto val="1"/>
        <c:lblAlgn val="ctr"/>
        <c:lblOffset val="100"/>
        <c:noMultiLvlLbl val="0"/>
      </c:catAx>
      <c:valAx>
        <c:axId val="2014167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406720"/>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76f8d4-fa99-4dc3-b32e-9e7df0219af7}"/>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r>
              <a:rPr lang="zh-CN" altLang="en-US" sz="900" b="1"/>
              <a:t>一般公共预算财政拨款支出决算变动情况</a:t>
            </a:r>
            <a:endParaRPr lang="zh-CN" altLang="en-US" sz="900" b="1"/>
          </a:p>
        </c:rich>
      </c:tx>
      <c:layout/>
      <c:overlay val="0"/>
      <c:spPr>
        <a:noFill/>
        <a:ln>
          <a:noFill/>
        </a:ln>
        <a:effectLst/>
      </c:spPr>
    </c:title>
    <c:autoTitleDeleted val="0"/>
    <c:plotArea>
      <c:layout/>
      <c:barChart>
        <c:barDir val="col"/>
        <c:grouping val="clustered"/>
        <c:varyColors val="0"/>
        <c:ser>
          <c:idx val="0"/>
          <c:order val="0"/>
          <c:tx>
            <c:strRef>
              <c:f>'[图表.xls]2024'!$A$43</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'[图表.xls]2024'!$B$42:$C$42</c:f>
              <c:strCache>
                <c:ptCount val="2"/>
                <c:pt idx="0">
                  <c:v>2023年</c:v>
                </c:pt>
                <c:pt idx="1">
                  <c:v>2024年</c:v>
                </c:pt>
              </c:strCache>
            </c:strRef>
          </c:cat>
          <c:val>
            <c:numRef>
              <c:f>'[图表.xls]2024'!$B$43:$C$43</c:f>
              <c:numCache>
                <c:formatCode>General</c:formatCode>
                <c:ptCount val="2"/>
                <c:pt idx="0">
                  <c:v>255.79</c:v>
                </c:pt>
                <c:pt idx="1">
                  <c:v>294.02</c:v>
                </c:pt>
              </c:numCache>
            </c:numRef>
          </c:val>
        </c:ser>
        <c:dLbls>
          <c:showLegendKey val="0"/>
          <c:showVal val="1"/>
          <c:showCatName val="0"/>
          <c:showSerName val="0"/>
          <c:showPercent val="0"/>
          <c:showBubbleSize val="0"/>
        </c:dLbls>
        <c:gapWidth val="219"/>
        <c:overlap val="-27"/>
        <c:axId val="201433088"/>
        <c:axId val="201434624"/>
      </c:barChart>
      <c:catAx>
        <c:axId val="201433088"/>
        <c:scaling>
          <c:orientation val="minMax"/>
        </c:scaling>
        <c:delete val="0"/>
        <c:axPos val="b"/>
        <c:majorGridlines>
          <c:spPr>
            <a:ln w="6350" cap="flat" cmpd="sng" algn="ctr">
              <a:solidFill>
                <a:schemeClr val="tx1">
                  <a:lumMod val="50000"/>
                  <a:lumOff val="50000"/>
                  <a:alpha val="20000"/>
                </a:schemeClr>
              </a:solidFill>
              <a:prstDash val="solid"/>
              <a:round/>
            </a:ln>
            <a:effectLst/>
          </c:spPr>
        </c:majorGridlines>
        <c:numFmt formatCode="General" sourceLinked="1"/>
        <c:majorTickMark val="none"/>
        <c:minorTickMark val="none"/>
        <c:tickLblPos val="nextTo"/>
        <c:spPr>
          <a:noFill/>
          <a:ln w="6350" cap="flat" cmpd="sng" algn="ctr">
            <a:solidFill>
              <a:schemeClr val="tx1">
                <a:lumMod val="15000"/>
                <a:lumOff val="85000"/>
                <a:alpha val="30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01434624"/>
        <c:crosses val="autoZero"/>
        <c:auto val="1"/>
        <c:lblAlgn val="ctr"/>
        <c:lblOffset val="100"/>
        <c:noMultiLvlLbl val="0"/>
      </c:catAx>
      <c:valAx>
        <c:axId val="20143462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433088"/>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43fee6-05a2-4e7c-afd3-9d4abe79ae9c}"/>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900">
                <a:solidFill>
                  <a:schemeClr val="tx1">
                    <a:lumMod val="75000"/>
                    <a:lumOff val="25000"/>
                  </a:schemeClr>
                </a:solidFill>
                <a:uFillTx/>
              </a:rPr>
              <a:t>一般公共预算财政拨款支出决算结构</a:t>
            </a:r>
            <a:endParaRPr sz="900">
              <a:solidFill>
                <a:schemeClr val="tx1">
                  <a:lumMod val="75000"/>
                  <a:lumOff val="25000"/>
                </a:schemeClr>
              </a:solidFill>
              <a:uFillTx/>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'[图表.xls]2024'!$J$41:$J$45</c:f>
              <c:strCache>
                <c:ptCount val="5"/>
                <c:pt idx="0">
                  <c:v>一般公共服务支出</c:v>
                </c:pt>
                <c:pt idx="1">
                  <c:v>社会保障和就业支出</c:v>
                </c:pt>
                <c:pt idx="2">
                  <c:v>卫生健康支出</c:v>
                </c:pt>
                <c:pt idx="3">
                  <c:v>住房保障支出</c:v>
                </c:pt>
                <c:pt idx="4">
                  <c:v>农林水支出</c:v>
                </c:pt>
              </c:strCache>
            </c:strRef>
          </c:cat>
          <c:val>
            <c:numRef>
              <c:f>'[图表.xls]2024'!$K$41:$K$45</c:f>
              <c:numCache>
                <c:formatCode>0.00%</c:formatCode>
                <c:ptCount val="5"/>
                <c:pt idx="0">
                  <c:v>0.5723</c:v>
                </c:pt>
                <c:pt idx="1">
                  <c:v>0.1255</c:v>
                </c:pt>
                <c:pt idx="2">
                  <c:v>0.0744</c:v>
                </c:pt>
                <c:pt idx="3">
                  <c:v>0.0577</c:v>
                </c:pt>
                <c:pt idx="4">
                  <c:v>0.1701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a6ee0a3-8980-4b5c-9da0-522105d5b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'[图表.xls]2024'!$A$62:$A$64</c:f>
              <c:strCache>
                <c:ptCount val="3"/>
                <c:pt idx="0">
                  <c:v>因公出国（境）费支出</c:v>
                </c:pt>
                <c:pt idx="1">
                  <c:v>公务用车购置及运行维护费支出</c:v>
                </c:pt>
                <c:pt idx="2">
                  <c:v>公务接待</c:v>
                </c:pt>
              </c:strCache>
            </c:strRef>
          </c:cat>
          <c:val>
            <c:numRef>
              <c:f>'[图表.xls]2024'!$B$62:$B$64</c:f>
              <c:numCache>
                <c:formatCode>General</c:formatCode>
                <c:ptCount val="3"/>
                <c:pt idx="0">
                  <c:v>0</c:v>
                </c:pt>
                <c:pt idx="1">
                  <c:v>0</c:v>
                </c:pt>
                <c:pt idx="2">
                  <c:v>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f718a71-e9b5-4b81-9651-49e8dbc7817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5335</Words>
  <Characters>5857</Characters>
  <Lines>43</Lines>
  <Paragraphs>12</Paragraphs>
  <TotalTime>5</TotalTime>
  <ScaleCrop>false</ScaleCrop>
  <LinksUpToDate>false</LinksUpToDate>
  <CharactersWithSpaces>5918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lenovo</cp:lastModifiedBy>
  <cp:lastPrinted>2025-08-06T17:34:00Z</cp:lastPrinted>
  <dcterms:modified xsi:type="dcterms:W3CDTF">2025-10-31T01:43:22Z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eyJoZGlkIjoiMmY2YmUxZjk2NzRmYTg5MDQ2ZDU3YTM2YzM2MGI4ZDIiLCJ1c2VySWQiOiI1NzIwNzc5ODAifQ==</vt:lpwstr>
  </property>
</Properties>
</file>