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0085A">
      <w:pPr>
        <w:pStyle w:val="2"/>
        <w:spacing w:before="93"/>
        <w:rPr>
          <w:rFonts w:ascii="Times New Roman" w:eastAsia="方正小标宋简体"/>
          <w:kern w:val="2"/>
          <w:sz w:val="72"/>
          <w:szCs w:val="72"/>
        </w:rPr>
      </w:pPr>
      <w:bookmarkStart w:id="0" w:name="_Toc15377193"/>
      <w:bookmarkStart w:id="1" w:name="_Toc15396597"/>
      <w:bookmarkStart w:id="2" w:name="_Toc15378441"/>
      <w:bookmarkStart w:id="3" w:name="_Toc15306267"/>
      <w:bookmarkStart w:id="4" w:name="_Toc15396475"/>
      <w:bookmarkStart w:id="5" w:name="_Toc15377425"/>
    </w:p>
    <w:p w14:paraId="6623320C">
      <w:pPr>
        <w:pStyle w:val="2"/>
        <w:spacing w:before="93"/>
        <w:rPr>
          <w:rFonts w:ascii="Times New Roman" w:eastAsia="方正小标宋简体"/>
          <w:kern w:val="2"/>
          <w:sz w:val="72"/>
          <w:szCs w:val="72"/>
        </w:rPr>
      </w:pPr>
    </w:p>
    <w:p w14:paraId="315E1B95">
      <w:pPr>
        <w:pStyle w:val="2"/>
        <w:spacing w:before="93"/>
        <w:rPr>
          <w:rFonts w:ascii="Times New Roman" w:eastAsia="方正小标宋简体"/>
          <w:kern w:val="2"/>
          <w:sz w:val="72"/>
          <w:szCs w:val="72"/>
        </w:rPr>
      </w:pPr>
    </w:p>
    <w:p w14:paraId="4509BE54">
      <w:pPr>
        <w:pStyle w:val="2"/>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2024年度</w:t>
      </w:r>
    </w:p>
    <w:p w14:paraId="70434D40">
      <w:pPr>
        <w:pStyle w:val="2"/>
        <w:spacing w:before="93"/>
        <w:jc w:val="center"/>
        <w:rPr>
          <w:rFonts w:hint="eastAsia" w:ascii="Times New Roman" w:eastAsia="方正小标宋简体"/>
          <w:kern w:val="2"/>
          <w:sz w:val="44"/>
          <w:szCs w:val="44"/>
          <w:lang w:val="en-US" w:eastAsia="zh-CN"/>
        </w:rPr>
      </w:pPr>
      <w:r>
        <w:rPr>
          <w:rFonts w:hint="eastAsia" w:ascii="Times New Roman" w:eastAsia="方正小标宋简体"/>
          <w:kern w:val="2"/>
          <w:sz w:val="44"/>
          <w:szCs w:val="44"/>
          <w:lang w:val="en-US" w:eastAsia="zh-CN"/>
        </w:rPr>
        <w:t>四川省攀枝花市西区城市建设服务中心</w:t>
      </w:r>
    </w:p>
    <w:p w14:paraId="4A0AD358">
      <w:pPr>
        <w:pStyle w:val="2"/>
        <w:spacing w:before="93"/>
        <w:jc w:val="center"/>
        <w:rPr>
          <w:rFonts w:hint="default" w:ascii="Times New Roman" w:eastAsia="方正小标宋简体"/>
          <w:kern w:val="2"/>
          <w:sz w:val="44"/>
          <w:szCs w:val="44"/>
          <w:lang w:val="en-US" w:eastAsia="zh-CN"/>
        </w:rPr>
      </w:pPr>
      <w:r>
        <w:rPr>
          <w:rFonts w:hint="eastAsia" w:ascii="Times New Roman" w:eastAsia="方正小标宋简体"/>
          <w:kern w:val="2"/>
          <w:sz w:val="44"/>
          <w:szCs w:val="44"/>
          <w:lang w:val="en-US" w:eastAsia="zh-CN"/>
        </w:rPr>
        <w:t>单位决算</w:t>
      </w:r>
    </w:p>
    <w:p w14:paraId="4DDA7540">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bookmarkEnd w:id="0"/>
    <w:bookmarkEnd w:id="1"/>
    <w:bookmarkEnd w:id="2"/>
    <w:bookmarkEnd w:id="3"/>
    <w:bookmarkEnd w:id="4"/>
    <w:bookmarkEnd w:id="5"/>
    <w:p w14:paraId="0D7D27A5">
      <w:pPr>
        <w:widowControl/>
        <w:ind w:firstLine="3360" w:firstLineChars="700"/>
        <w:jc w:val="both"/>
        <w:rPr>
          <w:rFonts w:eastAsia="黑体"/>
          <w:sz w:val="48"/>
          <w:szCs w:val="48"/>
        </w:rPr>
      </w:pPr>
      <w:r>
        <w:rPr>
          <w:rFonts w:hint="eastAsia" w:eastAsia="黑体"/>
          <w:sz w:val="48"/>
          <w:szCs w:val="48"/>
        </w:rPr>
        <w:t>目录</w:t>
      </w:r>
    </w:p>
    <w:p w14:paraId="540A16A2">
      <w:pPr>
        <w:widowControl/>
        <w:jc w:val="center"/>
        <w:rPr>
          <w:rFonts w:eastAsia="黑体" w:cstheme="minorBidi"/>
          <w:sz w:val="28"/>
          <w:szCs w:val="28"/>
        </w:rPr>
      </w:pPr>
    </w:p>
    <w:p w14:paraId="7AE49917">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w:t>
      </w:r>
      <w:r>
        <w:rPr>
          <w:rFonts w:hint="eastAsia" w:ascii="Times New Roman" w:hAnsi="Times New Roman" w:eastAsia="仿宋_GB2312" w:cs="仿宋_GB2312"/>
          <w:sz w:val="32"/>
          <w:szCs w:val="32"/>
          <w:lang w:val="en-US" w:eastAsia="zh-CN"/>
        </w:rPr>
        <w:t>27</w:t>
      </w:r>
      <w:bookmarkStart w:id="63" w:name="_GoBack"/>
      <w:bookmarkEnd w:id="63"/>
      <w:r>
        <w:rPr>
          <w:rFonts w:hint="eastAsia" w:ascii="Times New Roman" w:hAnsi="Times New Roman" w:eastAsia="仿宋_GB2312" w:cs="仿宋_GB2312"/>
          <w:sz w:val="32"/>
          <w:szCs w:val="32"/>
        </w:rPr>
        <w:t xml:space="preserve"> 日</w:t>
      </w:r>
    </w:p>
    <w:p w14:paraId="309C46C8"/>
    <w:p w14:paraId="6E8CD2DC">
      <w:pPr>
        <w:pStyle w:val="12"/>
        <w:adjustRightInd w:val="0"/>
        <w:snapToGrid w:val="0"/>
        <w:spacing w:before="0" w:line="440" w:lineRule="exact"/>
        <w:jc w:val="left"/>
        <w:rPr>
          <w:rFonts w:hint="eastAsia" w:eastAsia="仿宋" w:cs="Times New Roman"/>
          <w:color w:val="auto"/>
          <w:sz w:val="24"/>
          <w:szCs w:val="24"/>
          <w:highlight w:val="none"/>
          <w:lang w:eastAsia="zh-CN"/>
        </w:rPr>
      </w:pPr>
      <w:bookmarkStart w:id="6" w:name="_Toc15396599"/>
      <w:bookmarkStart w:id="7" w:name="_Toc15377196"/>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仿宋" w:eastAsia="仿宋"/>
          <w:bCs/>
          <w:sz w:val="24"/>
          <w:szCs w:val="24"/>
        </w:rPr>
        <w:tab/>
      </w:r>
      <w:r>
        <w:rPr>
          <w:rFonts w:hint="eastAsia"/>
          <w:bCs/>
          <w:sz w:val="24"/>
          <w:szCs w:val="24"/>
          <w:lang w:val="en-US" w:eastAsia="zh-CN"/>
        </w:rPr>
        <w:t>4</w:t>
      </w:r>
    </w:p>
    <w:p w14:paraId="3CD36FE4">
      <w:pPr>
        <w:pStyle w:val="14"/>
        <w:adjustRightInd w:val="0"/>
        <w:snapToGrid w:val="0"/>
        <w:spacing w:line="440" w:lineRule="exact"/>
        <w:jc w:val="left"/>
        <w:rPr>
          <w:rFonts w:hint="eastAsia" w:eastAsia="仿宋"/>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r>
        <w:rPr>
          <w:rFonts w:hint="eastAsia" w:ascii="仿宋" w:eastAsia="仿宋"/>
          <w:bCs/>
          <w:sz w:val="24"/>
          <w:szCs w:val="24"/>
        </w:rPr>
        <w:tab/>
      </w:r>
      <w:r>
        <w:rPr>
          <w:rFonts w:hint="eastAsia" w:ascii="仿宋" w:eastAsia="仿宋"/>
          <w:bCs/>
          <w:sz w:val="24"/>
          <w:szCs w:val="24"/>
          <w:lang w:val="en-US" w:eastAsia="zh-CN"/>
        </w:rPr>
        <w:t>4</w:t>
      </w:r>
    </w:p>
    <w:p w14:paraId="214F45F0">
      <w:pPr>
        <w:pStyle w:val="14"/>
        <w:adjustRightInd w:val="0"/>
        <w:snapToGrid w:val="0"/>
        <w:spacing w:line="440" w:lineRule="exact"/>
        <w:jc w:val="left"/>
        <w:rPr>
          <w:rFonts w:hint="eastAsia" w:eastAsia="仿宋"/>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ascii="仿宋" w:eastAsia="仿宋"/>
          <w:bCs/>
          <w:sz w:val="24"/>
          <w:szCs w:val="24"/>
        </w:rPr>
        <w:tab/>
      </w:r>
      <w:r>
        <w:rPr>
          <w:rFonts w:hint="eastAsia" w:ascii="仿宋" w:eastAsia="仿宋"/>
          <w:bCs/>
          <w:sz w:val="24"/>
          <w:szCs w:val="24"/>
          <w:lang w:val="en-US" w:eastAsia="zh-CN"/>
        </w:rPr>
        <w:t>4</w:t>
      </w:r>
    </w:p>
    <w:p w14:paraId="276A0B8C">
      <w:pPr>
        <w:pStyle w:val="12"/>
        <w:adjustRightInd w:val="0"/>
        <w:snapToGrid w:val="0"/>
        <w:spacing w:before="0" w:line="44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ascii="仿宋" w:eastAsia="仿宋"/>
          <w:bCs/>
          <w:sz w:val="24"/>
          <w:szCs w:val="24"/>
        </w:rPr>
        <w:tab/>
      </w:r>
      <w:r>
        <w:rPr>
          <w:rFonts w:hint="eastAsia"/>
          <w:bCs/>
          <w:sz w:val="24"/>
          <w:szCs w:val="24"/>
          <w:lang w:val="en-US" w:eastAsia="zh-CN"/>
        </w:rPr>
        <w:t>5</w:t>
      </w:r>
    </w:p>
    <w:p w14:paraId="14673646">
      <w:pPr>
        <w:pStyle w:val="14"/>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一、收入支出决算总体情况说明</w:t>
      </w:r>
      <w:r>
        <w:rPr>
          <w:rFonts w:hint="eastAsia" w:ascii="仿宋" w:eastAsia="仿宋"/>
          <w:bCs/>
          <w:sz w:val="24"/>
          <w:szCs w:val="24"/>
        </w:rPr>
        <w:tab/>
      </w:r>
      <w:r>
        <w:rPr>
          <w:rFonts w:hint="eastAsia" w:ascii="仿宋" w:eastAsia="仿宋"/>
          <w:bCs/>
          <w:sz w:val="24"/>
          <w:szCs w:val="24"/>
          <w:lang w:val="en-US" w:eastAsia="zh-CN"/>
        </w:rPr>
        <w:t>5</w:t>
      </w:r>
    </w:p>
    <w:p w14:paraId="23083AA5">
      <w:pPr>
        <w:pStyle w:val="14"/>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二、收入决算情况说明</w:t>
      </w:r>
      <w:r>
        <w:rPr>
          <w:rFonts w:hint="eastAsia" w:ascii="仿宋" w:eastAsia="仿宋"/>
          <w:bCs/>
          <w:sz w:val="24"/>
          <w:szCs w:val="24"/>
        </w:rPr>
        <w:tab/>
      </w:r>
      <w:r>
        <w:rPr>
          <w:rFonts w:hint="eastAsia" w:ascii="仿宋" w:eastAsia="仿宋"/>
          <w:bCs/>
          <w:sz w:val="24"/>
          <w:szCs w:val="24"/>
          <w:lang w:val="en-US" w:eastAsia="zh-CN"/>
        </w:rPr>
        <w:t>5</w:t>
      </w:r>
    </w:p>
    <w:p w14:paraId="6212DC07">
      <w:pPr>
        <w:pStyle w:val="14"/>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三、支出决算情况说明</w:t>
      </w:r>
      <w:r>
        <w:rPr>
          <w:rFonts w:hint="eastAsia" w:ascii="仿宋" w:eastAsia="仿宋"/>
          <w:bCs/>
          <w:sz w:val="24"/>
          <w:szCs w:val="24"/>
        </w:rPr>
        <w:tab/>
      </w:r>
      <w:r>
        <w:rPr>
          <w:rFonts w:hint="eastAsia" w:ascii="仿宋" w:eastAsia="仿宋"/>
          <w:bCs/>
          <w:sz w:val="24"/>
          <w:szCs w:val="24"/>
          <w:lang w:val="en-US" w:eastAsia="zh-CN"/>
        </w:rPr>
        <w:t>6</w:t>
      </w:r>
    </w:p>
    <w:p w14:paraId="0492FFA7">
      <w:pPr>
        <w:pStyle w:val="14"/>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四、财政拨款收入支出决算总体情况说明</w:t>
      </w:r>
      <w:r>
        <w:rPr>
          <w:rFonts w:hint="eastAsia" w:ascii="仿宋" w:eastAsia="仿宋"/>
          <w:bCs/>
          <w:sz w:val="24"/>
          <w:szCs w:val="24"/>
        </w:rPr>
        <w:tab/>
      </w:r>
      <w:r>
        <w:rPr>
          <w:rFonts w:hint="eastAsia" w:ascii="仿宋" w:eastAsia="仿宋"/>
          <w:bCs/>
          <w:sz w:val="24"/>
          <w:szCs w:val="24"/>
          <w:lang w:val="en-US" w:eastAsia="zh-CN"/>
        </w:rPr>
        <w:t>7</w:t>
      </w:r>
    </w:p>
    <w:p w14:paraId="637E6D67">
      <w:pPr>
        <w:pStyle w:val="14"/>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五、一般公共预算财政拨款支出决算情况说明</w:t>
      </w:r>
      <w:r>
        <w:rPr>
          <w:rFonts w:hint="eastAsia" w:ascii="仿宋" w:eastAsia="仿宋"/>
          <w:bCs/>
          <w:sz w:val="24"/>
          <w:szCs w:val="24"/>
        </w:rPr>
        <w:tab/>
      </w:r>
      <w:r>
        <w:rPr>
          <w:rFonts w:hint="eastAsia" w:ascii="仿宋" w:eastAsia="仿宋"/>
          <w:bCs/>
          <w:sz w:val="24"/>
          <w:szCs w:val="24"/>
          <w:lang w:val="en-US" w:eastAsia="zh-CN"/>
        </w:rPr>
        <w:t>7</w:t>
      </w:r>
    </w:p>
    <w:p w14:paraId="079C123C">
      <w:pPr>
        <w:pStyle w:val="14"/>
        <w:adjustRightInd w:val="0"/>
        <w:snapToGrid w:val="0"/>
        <w:spacing w:line="440" w:lineRule="exact"/>
        <w:jc w:val="left"/>
        <w:rPr>
          <w:rFonts w:hint="eastAsia" w:ascii="仿宋" w:hAnsi="仿宋" w:eastAsia="仿宋" w:cs="Times New Roman"/>
          <w:color w:val="auto"/>
          <w:sz w:val="24"/>
          <w:highlight w:val="none"/>
          <w:lang w:eastAsia="zh-CN"/>
        </w:rPr>
      </w:pPr>
      <w:r>
        <w:rPr>
          <w:rFonts w:hint="eastAsia"/>
          <w:color w:val="auto"/>
          <w:sz w:val="24"/>
          <w:highlight w:val="none"/>
        </w:rPr>
        <w:t>六、一般公共预算财政拨款基本支出决算情况说明</w:t>
      </w:r>
      <w:r>
        <w:rPr>
          <w:rFonts w:hint="eastAsia" w:ascii="仿宋" w:eastAsia="仿宋"/>
          <w:bCs/>
          <w:sz w:val="24"/>
          <w:szCs w:val="24"/>
        </w:rPr>
        <w:tab/>
      </w:r>
      <w:r>
        <w:rPr>
          <w:rFonts w:hint="eastAsia" w:ascii="仿宋" w:eastAsia="仿宋"/>
          <w:bCs/>
          <w:sz w:val="24"/>
          <w:szCs w:val="24"/>
          <w:lang w:val="en-US" w:eastAsia="zh-CN"/>
        </w:rPr>
        <w:t>9</w:t>
      </w:r>
    </w:p>
    <w:p w14:paraId="4ABAF716">
      <w:pPr>
        <w:pStyle w:val="14"/>
        <w:adjustRightInd w:val="0"/>
        <w:snapToGrid w:val="0"/>
        <w:spacing w:line="440" w:lineRule="exact"/>
        <w:jc w:val="left"/>
        <w:rPr>
          <w:rFonts w:hint="default" w:ascii="仿宋" w:hAnsi="仿宋" w:eastAsia="仿宋"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仿宋" w:eastAsia="仿宋"/>
          <w:bCs/>
          <w:sz w:val="24"/>
          <w:szCs w:val="24"/>
        </w:rPr>
        <w:tab/>
      </w:r>
      <w:r>
        <w:rPr>
          <w:rFonts w:hint="eastAsia" w:ascii="仿宋" w:eastAsia="仿宋"/>
          <w:bCs/>
          <w:sz w:val="24"/>
          <w:szCs w:val="24"/>
          <w:lang w:val="en-US" w:eastAsia="zh-CN"/>
        </w:rPr>
        <w:t>10</w:t>
      </w:r>
    </w:p>
    <w:p w14:paraId="4BC56EAF">
      <w:pPr>
        <w:pStyle w:val="14"/>
        <w:adjustRightInd w:val="0"/>
        <w:snapToGrid w:val="0"/>
        <w:spacing w:line="440" w:lineRule="exact"/>
        <w:jc w:val="left"/>
        <w:rPr>
          <w:rFonts w:hint="default" w:ascii="仿宋" w:hAnsi="仿宋" w:eastAsia="仿宋" w:cs="Times New Roman"/>
          <w:color w:val="auto"/>
          <w:sz w:val="24"/>
          <w:highlight w:val="none"/>
          <w:lang w:val="en-US" w:eastAsia="zh-CN"/>
        </w:rPr>
      </w:pPr>
      <w:r>
        <w:rPr>
          <w:rFonts w:hint="eastAsia"/>
          <w:color w:val="auto"/>
          <w:sz w:val="24"/>
          <w:highlight w:val="none"/>
        </w:rPr>
        <w:t>八、政府性基金预算支出决算情况说明</w:t>
      </w:r>
      <w:r>
        <w:rPr>
          <w:rFonts w:hint="eastAsia" w:ascii="仿宋" w:eastAsia="仿宋"/>
          <w:bCs/>
          <w:sz w:val="24"/>
          <w:szCs w:val="24"/>
        </w:rPr>
        <w:tab/>
      </w:r>
      <w:r>
        <w:rPr>
          <w:rFonts w:hint="eastAsia" w:ascii="仿宋" w:eastAsia="仿宋"/>
          <w:bCs/>
          <w:sz w:val="24"/>
          <w:szCs w:val="24"/>
          <w:lang w:val="en-US" w:eastAsia="zh-CN"/>
        </w:rPr>
        <w:t>10</w:t>
      </w:r>
    </w:p>
    <w:p w14:paraId="199D3E87">
      <w:pPr>
        <w:pStyle w:val="14"/>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九、国有资本经营预算支出决算情况说明</w:t>
      </w:r>
      <w:r>
        <w:rPr>
          <w:rFonts w:hint="eastAsia" w:ascii="仿宋" w:eastAsia="仿宋"/>
          <w:bCs/>
          <w:sz w:val="24"/>
          <w:szCs w:val="24"/>
        </w:rPr>
        <w:tab/>
      </w:r>
      <w:r>
        <w:rPr>
          <w:rFonts w:hint="eastAsia" w:ascii="仿宋" w:eastAsia="仿宋"/>
          <w:bCs/>
          <w:sz w:val="24"/>
          <w:szCs w:val="24"/>
          <w:lang w:val="en-US" w:eastAsia="zh-CN"/>
        </w:rPr>
        <w:t>10</w:t>
      </w:r>
    </w:p>
    <w:p w14:paraId="7C361B08">
      <w:pPr>
        <w:pStyle w:val="14"/>
        <w:adjustRightInd w:val="0"/>
        <w:snapToGrid w:val="0"/>
        <w:spacing w:line="440" w:lineRule="exact"/>
        <w:jc w:val="left"/>
        <w:rPr>
          <w:rFonts w:hint="default" w:eastAsia="仿宋"/>
          <w:color w:val="auto"/>
          <w:sz w:val="24"/>
          <w:highlight w:val="none"/>
          <w:lang w:val="en-US" w:eastAsia="zh-CN"/>
        </w:rPr>
      </w:pPr>
      <w:r>
        <w:rPr>
          <w:rFonts w:hint="eastAsia"/>
          <w:color w:val="auto"/>
          <w:sz w:val="24"/>
          <w:highlight w:val="none"/>
        </w:rPr>
        <w:t>十、其他重要事项的情况说明</w:t>
      </w:r>
      <w:r>
        <w:rPr>
          <w:rFonts w:hint="eastAsia" w:ascii="仿宋" w:eastAsia="仿宋"/>
          <w:bCs/>
          <w:sz w:val="24"/>
          <w:szCs w:val="24"/>
        </w:rPr>
        <w:tab/>
      </w:r>
      <w:r>
        <w:rPr>
          <w:rFonts w:hint="eastAsia" w:ascii="仿宋" w:eastAsia="仿宋"/>
          <w:bCs/>
          <w:sz w:val="24"/>
          <w:szCs w:val="24"/>
          <w:lang w:val="en-US" w:eastAsia="zh-CN"/>
        </w:rPr>
        <w:t>10</w:t>
      </w:r>
    </w:p>
    <w:p w14:paraId="3822DEE3">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 w:eastAsia="仿宋"/>
          <w:bCs/>
          <w:sz w:val="24"/>
          <w:szCs w:val="24"/>
        </w:rPr>
        <w:tab/>
      </w:r>
      <w:r>
        <w:rPr>
          <w:rFonts w:hint="eastAsia"/>
          <w:bCs/>
          <w:sz w:val="24"/>
          <w:szCs w:val="24"/>
          <w:lang w:val="en-US" w:eastAsia="zh-CN"/>
        </w:rPr>
        <w:t>12</w:t>
      </w:r>
    </w:p>
    <w:p w14:paraId="14601A79">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 w:eastAsia="仿宋"/>
          <w:bCs/>
          <w:sz w:val="24"/>
          <w:szCs w:val="24"/>
        </w:rPr>
        <w:tab/>
      </w:r>
      <w:r>
        <w:rPr>
          <w:rFonts w:hint="eastAsia"/>
          <w:bCs/>
          <w:sz w:val="24"/>
          <w:szCs w:val="24"/>
          <w:lang w:val="en-US" w:eastAsia="zh-CN"/>
        </w:rPr>
        <w:t>14</w:t>
      </w:r>
    </w:p>
    <w:p w14:paraId="712E1FF7">
      <w:pPr>
        <w:pStyle w:val="12"/>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 w:eastAsia="仿宋"/>
          <w:bCs/>
          <w:sz w:val="24"/>
          <w:szCs w:val="24"/>
        </w:rPr>
        <w:tab/>
      </w:r>
      <w:r>
        <w:rPr>
          <w:rFonts w:hint="eastAsia"/>
          <w:bCs/>
          <w:sz w:val="24"/>
          <w:szCs w:val="24"/>
          <w:lang w:val="en-US" w:eastAsia="zh-CN"/>
        </w:rPr>
        <w:t>15</w:t>
      </w:r>
    </w:p>
    <w:p w14:paraId="2B2C0BAD">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一、收入支出决算总表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4E6B80E8">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二、收入决算表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11AC57B6">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三、支出决算表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6991E7DD">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四、财政拨款收入支出决算总表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24A63836">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五、财政拨款支出决算明细表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3E3F81D4">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六、一般公共预算财政拨款支出决算表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4A903410">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七、一般公共预算财政拨款支出决算明细表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29A30FCF">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799EF46D">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九、一般公共预算财政拨款项目支出决算表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4C6B14F8">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十、政府性基金预算财政拨款收入支出决算表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4095DFF9">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十一、国有资本经营预算财政拨款收入支出决算表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4883C60F">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58AEEFD0">
      <w:pPr>
        <w:pStyle w:val="14"/>
        <w:adjustRightInd w:val="0"/>
        <w:snapToGrid w:val="0"/>
        <w:spacing w:line="440" w:lineRule="exact"/>
        <w:jc w:val="left"/>
        <w:rPr>
          <w:rFonts w:hint="eastAsia" w:eastAsia="仿宋"/>
          <w:color w:val="auto"/>
          <w:sz w:val="24"/>
          <w:highlight w:val="none"/>
          <w:lang w:val="en-US" w:eastAsia="zh-CN"/>
        </w:rPr>
      </w:pPr>
      <w:r>
        <w:rPr>
          <w:rFonts w:hint="eastAsia"/>
          <w:color w:val="auto"/>
          <w:sz w:val="24"/>
          <w:highlight w:val="none"/>
        </w:rPr>
        <w:t>十三、财政拨款“三公”经费支出决算表</w:t>
      </w:r>
      <w:r>
        <w:rPr>
          <w:rFonts w:hint="eastAsia" w:ascii="仿宋" w:eastAsia="仿宋"/>
          <w:bCs/>
          <w:sz w:val="24"/>
          <w:szCs w:val="24"/>
        </w:rPr>
        <w:tab/>
      </w:r>
      <w:r>
        <w:rPr>
          <w:rFonts w:hint="eastAsia" w:ascii="仿宋" w:eastAsia="仿宋"/>
          <w:bCs/>
          <w:sz w:val="24"/>
          <w:szCs w:val="24"/>
        </w:rPr>
        <w:t>1</w:t>
      </w:r>
      <w:r>
        <w:rPr>
          <w:rFonts w:hint="eastAsia" w:ascii="仿宋" w:eastAsia="仿宋"/>
          <w:bCs/>
          <w:sz w:val="24"/>
          <w:szCs w:val="24"/>
          <w:lang w:val="en-US" w:eastAsia="zh-CN"/>
        </w:rPr>
        <w:t>5</w:t>
      </w:r>
    </w:p>
    <w:p w14:paraId="196F9F00">
      <w:pPr>
        <w:widowControl/>
        <w:spacing w:line="560" w:lineRule="exact"/>
        <w:jc w:val="left"/>
        <w:rPr>
          <w:rFonts w:eastAsia="仿宋_GB2312" w:cs="仿宋_GB2312"/>
          <w:bCs/>
          <w:kern w:val="44"/>
          <w:sz w:val="32"/>
          <w:szCs w:val="32"/>
        </w:rPr>
      </w:pPr>
      <w:r>
        <w:rPr>
          <w:rFonts w:hint="eastAsia" w:eastAsia="仿宋_GB2312" w:cs="仿宋_GB2312"/>
          <w:b/>
          <w:sz w:val="32"/>
          <w:szCs w:val="32"/>
        </w:rPr>
        <w:br w:type="page"/>
      </w:r>
    </w:p>
    <w:p w14:paraId="3EF4ED1B">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lang w:val="en-US" w:eastAsia="zh-CN"/>
        </w:rPr>
        <w:t>单位</w:t>
      </w:r>
      <w:r>
        <w:rPr>
          <w:rStyle w:val="28"/>
          <w:rFonts w:hint="eastAsia" w:eastAsia="方正小标宋简体" w:cs="方正小标宋简体"/>
          <w:b w:val="0"/>
          <w:bCs w:val="0"/>
        </w:rPr>
        <w:t>概况</w:t>
      </w:r>
      <w:bookmarkEnd w:id="6"/>
      <w:bookmarkEnd w:id="7"/>
    </w:p>
    <w:p w14:paraId="1E1F59AB">
      <w:pPr>
        <w:widowControl/>
        <w:jc w:val="left"/>
        <w:rPr>
          <w:rFonts w:eastAsia="黑体"/>
          <w:sz w:val="32"/>
          <w:szCs w:val="32"/>
        </w:rPr>
      </w:pPr>
    </w:p>
    <w:p w14:paraId="368050D2">
      <w:pPr>
        <w:pStyle w:val="4"/>
        <w:numPr>
          <w:ilvl w:val="0"/>
          <w:numId w:val="1"/>
        </w:numPr>
        <w:rPr>
          <w:rFonts w:hint="eastAsia" w:ascii="Times New Roman" w:hAnsi="Times New Roman" w:eastAsia="黑体"/>
          <w:b w:val="0"/>
        </w:rPr>
      </w:pPr>
      <w:r>
        <w:rPr>
          <w:rFonts w:hint="eastAsia" w:ascii="Times New Roman" w:hAnsi="Times New Roman" w:eastAsia="黑体"/>
          <w:b w:val="0"/>
          <w:lang w:val="en-US" w:eastAsia="zh-CN"/>
        </w:rPr>
        <w:t>主要</w:t>
      </w:r>
      <w:r>
        <w:rPr>
          <w:rFonts w:hint="eastAsia" w:ascii="Times New Roman" w:hAnsi="Times New Roman" w:eastAsia="黑体"/>
          <w:b w:val="0"/>
        </w:rPr>
        <w:t>职责</w:t>
      </w:r>
    </w:p>
    <w:p w14:paraId="6648F8A7">
      <w:pPr>
        <w:ind w:firstLine="640" w:firstLineChars="200"/>
        <w:rPr>
          <w:rFonts w:hint="eastAsia" w:ascii="仿宋_GB2312" w:hAnsi="仿宋" w:eastAsia="仿宋_GB2312"/>
          <w:sz w:val="32"/>
          <w:szCs w:val="32"/>
        </w:rPr>
      </w:pPr>
      <w:r>
        <w:rPr>
          <w:rFonts w:hint="eastAsia" w:ascii="仿宋_GB2312" w:hAnsi="仿宋" w:eastAsia="仿宋_GB2312"/>
          <w:sz w:val="32"/>
          <w:szCs w:val="32"/>
        </w:rPr>
        <w:t>（1）宣传国家、省、市有关城市开发建设的相关政策。</w:t>
      </w:r>
    </w:p>
    <w:p w14:paraId="0EACA5C3">
      <w:pPr>
        <w:ind w:firstLine="640" w:firstLineChars="200"/>
        <w:rPr>
          <w:rFonts w:hint="eastAsia" w:ascii="仿宋_GB2312" w:hAnsi="仿宋" w:eastAsia="仿宋_GB2312"/>
          <w:sz w:val="32"/>
          <w:szCs w:val="32"/>
        </w:rPr>
      </w:pPr>
      <w:r>
        <w:rPr>
          <w:rFonts w:hint="eastAsia" w:ascii="仿宋_GB2312" w:hAnsi="仿宋" w:eastAsia="仿宋_GB2312"/>
          <w:sz w:val="32"/>
          <w:szCs w:val="32"/>
        </w:rPr>
        <w:t>（2）按照城市规划编制西区新区开发和旧城改造计划，经批准后抓好相关工作的落实。</w:t>
      </w:r>
    </w:p>
    <w:p w14:paraId="23DCB5DC">
      <w:pPr>
        <w:ind w:firstLine="640" w:firstLineChars="200"/>
        <w:rPr>
          <w:rFonts w:hint="eastAsia" w:ascii="仿宋_GB2312" w:hAnsi="仿宋" w:eastAsia="仿宋_GB2312"/>
          <w:sz w:val="32"/>
          <w:szCs w:val="32"/>
        </w:rPr>
      </w:pPr>
      <w:r>
        <w:rPr>
          <w:rFonts w:hint="eastAsia" w:ascii="仿宋_GB2312" w:hAnsi="仿宋" w:eastAsia="仿宋_GB2312"/>
          <w:sz w:val="32"/>
          <w:szCs w:val="32"/>
        </w:rPr>
        <w:t>（3）承担西区城市开发建设项目涉及的规划、建设等相关手续的协调办理和服务工作。</w:t>
      </w:r>
    </w:p>
    <w:p w14:paraId="5B90E089">
      <w:pPr>
        <w:ind w:firstLine="640" w:firstLineChars="200"/>
        <w:rPr>
          <w:rFonts w:hint="eastAsia" w:ascii="仿宋_GB2312" w:hAnsi="仿宋" w:eastAsia="仿宋_GB2312"/>
          <w:sz w:val="32"/>
          <w:szCs w:val="32"/>
        </w:rPr>
      </w:pPr>
      <w:r>
        <w:rPr>
          <w:rFonts w:hint="eastAsia" w:ascii="仿宋_GB2312" w:hAnsi="仿宋" w:eastAsia="仿宋_GB2312"/>
          <w:sz w:val="32"/>
          <w:szCs w:val="32"/>
        </w:rPr>
        <w:t>（4）协助开展规划编制的相关工作，参与西区城市开发项目前期论证、研究、项目包装、推介等工作。</w:t>
      </w:r>
    </w:p>
    <w:p w14:paraId="2D3DF518">
      <w:pPr>
        <w:ind w:firstLine="640" w:firstLineChars="200"/>
      </w:pPr>
      <w:r>
        <w:rPr>
          <w:rFonts w:hint="eastAsia" w:ascii="仿宋_GB2312" w:hAnsi="仿宋" w:eastAsia="仿宋_GB2312"/>
          <w:sz w:val="32"/>
          <w:szCs w:val="32"/>
        </w:rPr>
        <w:t>（5）具体负责西区政府投资项目的工程建设管理，组织实施西区国有土地上房屋征收补偿以及城市土地开发整理、基础设施建设等工作。</w:t>
      </w:r>
    </w:p>
    <w:p w14:paraId="52F1A1CF">
      <w:pPr>
        <w:pStyle w:val="4"/>
        <w:rPr>
          <w:rStyle w:val="29"/>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7AD22C2A">
      <w:pPr>
        <w:ind w:firstLine="800" w:firstLineChars="250"/>
        <w:rPr>
          <w:rFonts w:eastAsia="仿宋_GB2312" w:cs="仿宋_GB2312"/>
          <w:sz w:val="32"/>
          <w:szCs w:val="32"/>
        </w:rPr>
      </w:pPr>
      <w:r>
        <w:rPr>
          <w:rFonts w:hint="eastAsia" w:ascii="仿宋_GB2312" w:hAnsi="仿宋_GB2312" w:eastAsia="仿宋_GB2312" w:cs="仿宋_GB2312"/>
          <w:sz w:val="32"/>
          <w:szCs w:val="32"/>
        </w:rPr>
        <w:t>攀枝花市西区城市建设服务中心</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14:paraId="755A5B3E">
      <w:pPr>
        <w:pStyle w:val="2"/>
        <w:adjustRightInd w:val="0"/>
        <w:snapToGrid w:val="0"/>
        <w:spacing w:before="93" w:line="600" w:lineRule="exact"/>
        <w:ind w:firstLine="672" w:firstLineChars="210"/>
        <w:rPr>
          <w:rFonts w:hint="eastAsia" w:ascii="Times New Roman" w:eastAsia="仿宋_GB2312" w:cs="仿宋_GB2312"/>
          <w:sz w:val="32"/>
          <w:szCs w:val="32"/>
          <w:lang w:val="en-US" w:eastAsia="zh-CN"/>
        </w:rPr>
      </w:pPr>
      <w:r>
        <w:rPr>
          <w:rFonts w:hint="eastAsia" w:ascii="Times New Roman" w:cs="仿宋_GB2312"/>
          <w:sz w:val="32"/>
          <w:szCs w:val="32"/>
        </w:rPr>
        <w:t>纳入</w:t>
      </w:r>
      <w:r>
        <w:rPr>
          <w:sz w:val="32"/>
          <w:szCs w:val="32"/>
        </w:rPr>
        <w:t>攀枝花市西区城市建设服务中心</w:t>
      </w:r>
      <w:r>
        <w:rPr>
          <w:rFonts w:hint="eastAsia" w:ascii="Times New Roman" w:cs="仿宋_GB2312"/>
          <w:sz w:val="32"/>
          <w:szCs w:val="32"/>
        </w:rPr>
        <w:t>2024年度部门决算编制范围的二级预算单位：</w:t>
      </w:r>
      <w:r>
        <w:rPr>
          <w:rFonts w:hint="eastAsia" w:ascii="Times New Roman" w:cs="仿宋_GB2312"/>
          <w:sz w:val="32"/>
          <w:szCs w:val="32"/>
          <w:lang w:val="en-US" w:eastAsia="zh-CN"/>
        </w:rPr>
        <w:t>无</w:t>
      </w:r>
    </w:p>
    <w:p w14:paraId="61F8E5A4">
      <w:pPr>
        <w:widowControl/>
        <w:jc w:val="left"/>
        <w:rPr>
          <w:rFonts w:eastAsia="仿宋"/>
          <w:kern w:val="0"/>
          <w:sz w:val="32"/>
          <w:szCs w:val="32"/>
        </w:rPr>
      </w:pPr>
      <w:r>
        <w:rPr>
          <w:rFonts w:eastAsia="仿宋"/>
          <w:sz w:val="32"/>
          <w:szCs w:val="32"/>
        </w:rPr>
        <w:br w:type="page"/>
      </w:r>
    </w:p>
    <w:p w14:paraId="740081F9">
      <w:pPr>
        <w:pStyle w:val="3"/>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14:paraId="05632DEF"/>
    <w:p w14:paraId="55BD048A">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6F85D2D7">
      <w:pPr>
        <w:pStyle w:val="27"/>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196.74</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116.41</w:t>
      </w:r>
      <w:r>
        <w:rPr>
          <w:rFonts w:hint="eastAsia" w:eastAsia="仿宋_GB2312" w:cs="仿宋_GB2312"/>
          <w:sz w:val="32"/>
          <w:szCs w:val="32"/>
        </w:rPr>
        <w:t>万元，下降</w:t>
      </w:r>
      <w:r>
        <w:rPr>
          <w:rFonts w:hint="eastAsia" w:eastAsia="仿宋_GB2312" w:cs="仿宋_GB2312"/>
          <w:sz w:val="32"/>
          <w:szCs w:val="32"/>
          <w:lang w:val="en-US" w:eastAsia="zh-CN"/>
        </w:rPr>
        <w:t>37</w:t>
      </w:r>
      <w:r>
        <w:rPr>
          <w:rFonts w:hint="eastAsia" w:eastAsia="仿宋_GB2312" w:cs="仿宋_GB2312"/>
          <w:sz w:val="32"/>
          <w:szCs w:val="32"/>
        </w:rPr>
        <w:t>%。主要变动原因是</w:t>
      </w:r>
      <w:r>
        <w:rPr>
          <w:rFonts w:hint="eastAsia" w:eastAsia="仿宋_GB2312" w:cs="仿宋_GB2312"/>
          <w:sz w:val="32"/>
          <w:szCs w:val="32"/>
          <w:lang w:val="en-US" w:eastAsia="zh-CN"/>
        </w:rPr>
        <w:t>人员变动，人员经费、公用经费减少。</w:t>
      </w:r>
    </w:p>
    <w:p w14:paraId="4880F64E">
      <w:pPr>
        <w:ind w:firstLine="640" w:firstLineChars="200"/>
        <w:rPr>
          <w:rFonts w:hint="eastAsia" w:eastAsia="仿宋_GB2312" w:cs="仿宋_GB2312"/>
          <w:sz w:val="32"/>
          <w:szCs w:val="32"/>
        </w:rPr>
      </w:pPr>
      <w:r>
        <w:rPr>
          <w:rFonts w:hint="eastAsia" w:eastAsia="仿宋_GB2312" w:cs="仿宋_GB2312"/>
          <w:sz w:val="32"/>
          <w:szCs w:val="32"/>
        </w:rPr>
        <w:t>（图1：收入、支出决算总计变动情况图）（柱状图）</w:t>
      </w:r>
    </w:p>
    <w:p w14:paraId="7B038DCF">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450080" cy="3192780"/>
            <wp:effectExtent l="4445" t="4445" r="10795" b="184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07E496">
      <w:pPr>
        <w:pStyle w:val="27"/>
        <w:spacing w:line="600" w:lineRule="exact"/>
        <w:ind w:left="0" w:leftChars="0" w:firstLine="320" w:firstLineChars="10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53484237">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196.74万元，其中：一般公共预算财政拨款收入196.74万元，占100%；政府性基金预算财政拨款收入0万元，占0%；国有资本经营预算财政拨款收入0万元，占0%；上级补助收入0万元，占0%；事业收入0万元，占0%；经营收入0万元，占0%；附属单位上缴收入0万元，占0%；其他收入0万元，占0%。</w:t>
      </w:r>
    </w:p>
    <w:p w14:paraId="162124FA">
      <w:pPr>
        <w:ind w:firstLine="800" w:firstLineChars="250"/>
        <w:rPr>
          <w:rFonts w:hint="eastAsia" w:eastAsia="仿宋_GB2312" w:cs="仿宋_GB2312"/>
          <w:sz w:val="32"/>
          <w:szCs w:val="32"/>
        </w:rPr>
      </w:pPr>
      <w:r>
        <w:rPr>
          <w:rFonts w:hint="eastAsia" w:eastAsia="仿宋_GB2312" w:cs="仿宋_GB2312"/>
          <w:sz w:val="32"/>
          <w:szCs w:val="32"/>
        </w:rPr>
        <w:t>（图2：收入决算结构图）（饼状图）</w:t>
      </w:r>
    </w:p>
    <w:p w14:paraId="67F4E5B2">
      <w:pPr>
        <w:pStyle w:val="2"/>
        <w:rPr>
          <w:rFonts w:hint="eastAsia"/>
        </w:rPr>
      </w:pPr>
      <w:r>
        <w:rPr>
          <w:rFonts w:hint="eastAsia" w:cs="仿宋_GB2312"/>
          <w:sz w:val="32"/>
          <w:szCs w:val="32"/>
          <w:lang w:val="en-US" w:eastAsia="zh-CN"/>
        </w:rPr>
        <w:t xml:space="preserve">  </w:t>
      </w:r>
      <w:r>
        <w:drawing>
          <wp:inline distT="0" distB="0" distL="114300" distR="114300">
            <wp:extent cx="4826000" cy="2743200"/>
            <wp:effectExtent l="4445" t="4445" r="1587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3393DE">
      <w:pPr>
        <w:pStyle w:val="27"/>
        <w:spacing w:line="600" w:lineRule="exact"/>
        <w:ind w:left="0" w:leftChars="0" w:firstLine="320" w:firstLineChars="10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5D65634F">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2024年度本年支出合计196.74万元，其中：基本支出196.74万元，占100%；项目支出0万元，占0%；上缴上级支出0万元，占0%；经营支出0万元，占0%；对附属单位补助支出0万元，占0%。</w:t>
      </w:r>
    </w:p>
    <w:p w14:paraId="258B326A">
      <w:pPr>
        <w:ind w:firstLine="800" w:firstLineChars="250"/>
        <w:rPr>
          <w:rFonts w:hint="eastAsia" w:eastAsia="仿宋_GB2312" w:cs="仿宋_GB2312"/>
          <w:sz w:val="32"/>
          <w:szCs w:val="32"/>
        </w:rPr>
      </w:pPr>
      <w:r>
        <w:rPr>
          <w:rFonts w:hint="eastAsia" w:eastAsia="仿宋_GB2312" w:cs="仿宋_GB2312"/>
          <w:sz w:val="32"/>
          <w:szCs w:val="32"/>
        </w:rPr>
        <w:t>（图3：支出决算结构图）（饼状图）</w:t>
      </w:r>
    </w:p>
    <w:p w14:paraId="2B015BA8">
      <w:pPr>
        <w:pStyle w:val="2"/>
        <w:rPr>
          <w:rFonts w:hint="eastAsia"/>
        </w:rPr>
      </w:pPr>
      <w:r>
        <w:rPr>
          <w:rFonts w:hint="eastAsia" w:cs="仿宋_GB2312"/>
          <w:sz w:val="32"/>
          <w:szCs w:val="32"/>
          <w:lang w:val="en-US" w:eastAsia="zh-CN"/>
        </w:rPr>
        <w:t xml:space="preserve">    </w:t>
      </w:r>
      <w:r>
        <w:drawing>
          <wp:inline distT="0" distB="0" distL="114300" distR="114300">
            <wp:extent cx="4479925" cy="2690495"/>
            <wp:effectExtent l="4445" t="4445" r="11430" b="1778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A5F201">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3EFF27EB">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196.74</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116.41</w:t>
      </w:r>
      <w:r>
        <w:rPr>
          <w:rFonts w:hint="eastAsia" w:eastAsia="仿宋_GB2312" w:cs="仿宋_GB2312"/>
          <w:sz w:val="32"/>
          <w:szCs w:val="32"/>
        </w:rPr>
        <w:t>万元</w:t>
      </w:r>
      <w:r>
        <w:rPr>
          <w:rFonts w:hint="eastAsia" w:eastAsia="仿宋_GB2312" w:cs="仿宋_GB2312"/>
          <w:sz w:val="32"/>
          <w:szCs w:val="32"/>
          <w:lang w:eastAsia="zh-CN"/>
        </w:rPr>
        <w:t>，</w:t>
      </w:r>
      <w:r>
        <w:rPr>
          <w:rFonts w:hint="eastAsia" w:eastAsia="仿宋_GB2312" w:cs="仿宋_GB2312"/>
          <w:sz w:val="32"/>
          <w:szCs w:val="32"/>
        </w:rPr>
        <w:t>下降</w:t>
      </w:r>
      <w:r>
        <w:rPr>
          <w:rFonts w:hint="eastAsia" w:eastAsia="仿宋_GB2312" w:cs="仿宋_GB2312"/>
          <w:sz w:val="32"/>
          <w:szCs w:val="32"/>
          <w:lang w:val="en-US" w:eastAsia="zh-CN"/>
        </w:rPr>
        <w:t>37</w:t>
      </w:r>
      <w:r>
        <w:rPr>
          <w:rFonts w:hint="eastAsia" w:eastAsia="仿宋_GB2312" w:cs="仿宋_GB2312"/>
          <w:sz w:val="32"/>
          <w:szCs w:val="32"/>
        </w:rPr>
        <w:t>%。主要变动原因是</w:t>
      </w:r>
      <w:r>
        <w:rPr>
          <w:rFonts w:hint="eastAsia" w:eastAsia="仿宋_GB2312" w:cs="仿宋_GB2312"/>
          <w:sz w:val="32"/>
          <w:szCs w:val="32"/>
          <w:lang w:val="en-US" w:eastAsia="zh-CN"/>
        </w:rPr>
        <w:t>人员变动，人员经费、公用经费减少。</w:t>
      </w:r>
    </w:p>
    <w:p w14:paraId="07D30711">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（图4：财政拨款收、支决算总计变动情况）（柱状图）</w:t>
      </w:r>
    </w:p>
    <w:p w14:paraId="60590E76">
      <w:pPr>
        <w:pStyle w:val="2"/>
        <w:rPr>
          <w:rFonts w:hint="eastAsia"/>
        </w:rPr>
      </w:pPr>
      <w:r>
        <w:drawing>
          <wp:inline distT="0" distB="0" distL="114300" distR="114300">
            <wp:extent cx="5020945" cy="3146425"/>
            <wp:effectExtent l="4445" t="4445" r="19050" b="1905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DA84EA">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1D9E8650">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7D753F9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2024年度一般公共预算财政拨款支出196.74万元，占本年支出合计的100%。与2023年度相比，一般公共预算财政拨款支出减少</w:t>
      </w:r>
      <w:r>
        <w:rPr>
          <w:rFonts w:hint="eastAsia" w:eastAsia="仿宋_GB2312" w:cs="仿宋_GB2312"/>
          <w:sz w:val="32"/>
          <w:szCs w:val="32"/>
          <w:lang w:val="en-US" w:eastAsia="zh-CN"/>
        </w:rPr>
        <w:t>116.41</w:t>
      </w:r>
      <w:r>
        <w:rPr>
          <w:rFonts w:hint="eastAsia" w:ascii="仿宋_GB2312" w:hAnsi="仿宋_GB2312" w:eastAsia="仿宋_GB2312" w:cs="仿宋_GB2312"/>
          <w:sz w:val="32"/>
          <w:szCs w:val="32"/>
        </w:rPr>
        <w:t>万元，下降</w:t>
      </w:r>
      <w:r>
        <w:rPr>
          <w:rFonts w:hint="eastAsia" w:eastAsia="仿宋_GB2312" w:cs="仿宋_GB2312"/>
          <w:sz w:val="32"/>
          <w:szCs w:val="32"/>
          <w:lang w:val="en-US" w:eastAsia="zh-CN"/>
        </w:rPr>
        <w:t>37</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人员变动，人员经费、公用经费减少。</w:t>
      </w:r>
    </w:p>
    <w:p w14:paraId="08C563E5">
      <w:pPr>
        <w:spacing w:line="600" w:lineRule="exact"/>
        <w:ind w:firstLine="640"/>
        <w:rPr>
          <w:rFonts w:hint="eastAsia" w:eastAsia="仿宋_GB2312" w:cs="仿宋_GB2312"/>
          <w:sz w:val="32"/>
          <w:szCs w:val="32"/>
        </w:rPr>
      </w:pPr>
      <w:r>
        <w:rPr>
          <w:rFonts w:hint="eastAsia" w:eastAsia="仿宋_GB2312" w:cs="仿宋_GB2312"/>
          <w:sz w:val="32"/>
          <w:szCs w:val="32"/>
        </w:rPr>
        <w:t>（图5：一般公共预算财政拨款支出决算变动情况）（柱状图）</w:t>
      </w:r>
    </w:p>
    <w:p w14:paraId="405AF4B9">
      <w:pPr>
        <w:pStyle w:val="2"/>
      </w:pPr>
      <w:r>
        <w:rPr>
          <w:rFonts w:hint="eastAsia" w:cs="仿宋_GB2312"/>
          <w:sz w:val="32"/>
          <w:szCs w:val="32"/>
          <w:lang w:val="en-US" w:eastAsia="zh-CN"/>
        </w:rPr>
        <w:t xml:space="preserve">   </w:t>
      </w:r>
      <w:r>
        <w:drawing>
          <wp:inline distT="0" distB="0" distL="114300" distR="114300">
            <wp:extent cx="4450080" cy="2933700"/>
            <wp:effectExtent l="5080" t="4445" r="10160" b="1841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8C7CCD">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27686216">
      <w:pPr>
        <w:spacing w:line="600" w:lineRule="exact"/>
        <w:ind w:firstLine="640"/>
        <w:rPr>
          <w:rFonts w:hint="eastAsia" w:ascii="仿宋" w:hAnsi="仿宋" w:eastAsia="仿宋"/>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196.74万元</w:t>
      </w:r>
      <w:r>
        <w:rPr>
          <w:rFonts w:hint="eastAsia" w:eastAsia="仿宋_GB2312" w:cs="仿宋_GB2312"/>
          <w:sz w:val="32"/>
          <w:szCs w:val="32"/>
        </w:rPr>
        <w:t>，主要用于以下方面：</w:t>
      </w:r>
      <w:r>
        <w:rPr>
          <w:rFonts w:hint="eastAsia" w:ascii="仿宋" w:hAnsi="仿宋" w:eastAsia="仿宋"/>
          <w:b/>
          <w:sz w:val="32"/>
          <w:szCs w:val="32"/>
          <w:lang w:val="en-US" w:eastAsia="zh-CN"/>
        </w:rPr>
        <w:t>城乡社区</w:t>
      </w:r>
      <w:r>
        <w:rPr>
          <w:rFonts w:hint="eastAsia" w:ascii="仿宋" w:hAnsi="仿宋" w:eastAsia="仿宋"/>
          <w:b/>
          <w:bCs/>
          <w:sz w:val="32"/>
          <w:szCs w:val="32"/>
        </w:rPr>
        <w:t>支出</w:t>
      </w:r>
      <w:r>
        <w:rPr>
          <w:rFonts w:hint="eastAsia" w:ascii="仿宋" w:hAnsi="仿宋" w:eastAsia="仿宋"/>
          <w:sz w:val="32"/>
          <w:szCs w:val="32"/>
          <w:lang w:val="en-US" w:eastAsia="zh-CN"/>
        </w:rPr>
        <w:t>140.59</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20.99</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17.97</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17.21</w:t>
      </w:r>
      <w:r>
        <w:rPr>
          <w:rFonts w:hint="eastAsia" w:ascii="仿宋" w:hAnsi="仿宋" w:eastAsia="仿宋"/>
          <w:sz w:val="32"/>
          <w:szCs w:val="32"/>
        </w:rPr>
        <w:t>万元，占</w:t>
      </w:r>
      <w:r>
        <w:rPr>
          <w:rFonts w:ascii="仿宋" w:hAnsi="仿宋" w:eastAsia="仿宋"/>
          <w:sz w:val="32"/>
          <w:szCs w:val="32"/>
        </w:rPr>
        <w:t>%</w:t>
      </w:r>
      <w:r>
        <w:rPr>
          <w:rFonts w:hint="eastAsia" w:ascii="仿宋" w:hAnsi="仿宋" w:eastAsia="仿宋"/>
          <w:sz w:val="32"/>
          <w:szCs w:val="32"/>
        </w:rPr>
        <w:t>。</w:t>
      </w:r>
    </w:p>
    <w:p w14:paraId="4A13F0E6">
      <w:pPr>
        <w:spacing w:line="600" w:lineRule="exact"/>
        <w:ind w:firstLine="640"/>
        <w:rPr>
          <w:rFonts w:hint="eastAsia" w:eastAsia="仿宋_GB2312" w:cs="仿宋_GB2312"/>
          <w:sz w:val="32"/>
          <w:szCs w:val="32"/>
        </w:rPr>
      </w:pPr>
      <w:r>
        <w:rPr>
          <w:rFonts w:hint="eastAsia" w:eastAsia="仿宋_GB2312" w:cs="仿宋_GB2312"/>
          <w:sz w:val="32"/>
          <w:szCs w:val="32"/>
        </w:rPr>
        <w:t>（图6：一般公共预算财政拨款支出决算结构）（饼状图）</w:t>
      </w:r>
    </w:p>
    <w:p w14:paraId="7F88A4BD">
      <w:pPr>
        <w:pStyle w:val="2"/>
        <w:rPr>
          <w:rFonts w:hint="eastAsia" w:eastAsia="仿宋_GB2312" w:cs="仿宋_GB2312"/>
          <w:sz w:val="32"/>
          <w:szCs w:val="32"/>
        </w:rPr>
      </w:pPr>
      <w:r>
        <w:rPr>
          <w:rFonts w:hint="eastAsia"/>
          <w:lang w:val="en-US" w:eastAsia="zh-CN"/>
        </w:rPr>
        <w:t xml:space="preserve">     </w:t>
      </w:r>
      <w:r>
        <w:drawing>
          <wp:inline distT="0" distB="0" distL="114300" distR="114300">
            <wp:extent cx="4479925" cy="2690495"/>
            <wp:effectExtent l="4445" t="4445" r="11430" b="17780"/>
            <wp:docPr id="2"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F73524">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58AE1E8F">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196.74，</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4ABE2D34">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Fonts w:hint="eastAsia" w:ascii="仿宋" w:hAnsi="仿宋" w:eastAsia="仿宋"/>
          <w:b/>
          <w:sz w:val="32"/>
          <w:szCs w:val="32"/>
          <w:lang w:val="en-US" w:eastAsia="zh-CN"/>
        </w:rPr>
        <w:t>城乡社区</w:t>
      </w:r>
      <w:r>
        <w:rPr>
          <w:rFonts w:hint="eastAsia" w:ascii="仿宋" w:hAnsi="仿宋" w:eastAsia="仿宋"/>
          <w:b/>
          <w:bCs/>
          <w:sz w:val="32"/>
          <w:szCs w:val="32"/>
        </w:rPr>
        <w:t>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城乡社区管理事务</w:t>
      </w:r>
      <w:r>
        <w:rPr>
          <w:rStyle w:val="17"/>
          <w:rFonts w:hint="eastAsia" w:ascii="仿宋" w:hAnsi="仿宋" w:eastAsia="仿宋"/>
          <w:bCs/>
          <w:sz w:val="32"/>
          <w:szCs w:val="32"/>
        </w:rPr>
        <w:t>（款）其他城乡社区管理事务支出（项）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140.59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6B424F26">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lang w:val="en-US" w:eastAsia="zh-CN"/>
        </w:rPr>
        <w:t>住房保障支出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住房改革支出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住房公积金</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17.2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7094ED16">
      <w:pPr>
        <w:spacing w:line="600" w:lineRule="exact"/>
        <w:ind w:firstLine="643" w:firstLineChars="200"/>
        <w:rPr>
          <w:rStyle w:val="17"/>
          <w:rFonts w:hint="default" w:ascii="仿宋" w:hAnsi="仿宋" w:eastAsia="仿宋" w:cs="Times New Roman"/>
          <w:bCs/>
          <w:sz w:val="32"/>
          <w:szCs w:val="32"/>
          <w:lang w:val="en-US" w:eastAsia="zh-CN"/>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w:t>
      </w:r>
      <w:r>
        <w:rPr>
          <w:rStyle w:val="17"/>
          <w:rFonts w:hint="eastAsia" w:ascii="仿宋" w:hAnsi="仿宋" w:eastAsia="仿宋"/>
          <w:bCs/>
          <w:sz w:val="32"/>
          <w:szCs w:val="32"/>
          <w:lang w:val="en-US"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事业单位离退休</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cs="Times New Roman"/>
          <w:bCs/>
          <w:sz w:val="32"/>
          <w:szCs w:val="32"/>
          <w:lang w:val="en-US" w:eastAsia="zh-CN"/>
        </w:rPr>
        <w:t>机关事业单位基本养老保险缴费支出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18.08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cs="Times New Roman"/>
          <w:bCs/>
          <w:sz w:val="32"/>
          <w:szCs w:val="32"/>
          <w:lang w:val="en-US" w:eastAsia="zh-CN"/>
        </w:rPr>
        <w:t>机关事业单位职业年金缴费支出（项）：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14:paraId="1E522DA9">
      <w:pPr>
        <w:spacing w:line="600" w:lineRule="exact"/>
        <w:ind w:firstLine="643" w:firstLineChars="200"/>
        <w:rPr>
          <w:rFonts w:eastAsia="仿宋_GB2312" w:cs="仿宋_GB2312"/>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事业单位医疗</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11.14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Cs/>
          <w:sz w:val="32"/>
          <w:szCs w:val="32"/>
          <w:lang w:val="en-US" w:eastAsia="zh-CN"/>
        </w:rPr>
        <w:t>其他行政事业单位医疗支出</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6.84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72E586D5">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12254AE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196.74万</w:t>
      </w:r>
      <w:r>
        <w:rPr>
          <w:rFonts w:hint="eastAsia" w:eastAsia="仿宋_GB2312" w:cs="仿宋_GB2312"/>
          <w:sz w:val="32"/>
          <w:szCs w:val="32"/>
        </w:rPr>
        <w:t>元，其中：</w:t>
      </w:r>
    </w:p>
    <w:p w14:paraId="69FBE865">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188.65万</w:t>
      </w:r>
      <w:r>
        <w:rPr>
          <w:rFonts w:hint="eastAsia" w:eastAsia="仿宋_GB2312" w:cs="仿宋_GB2312"/>
          <w:sz w:val="32"/>
          <w:szCs w:val="32"/>
        </w:rPr>
        <w:t>元，主要包括：</w:t>
      </w:r>
      <w:r>
        <w:rPr>
          <w:rFonts w:hint="eastAsia" w:ascii="仿宋" w:hAnsi="仿宋" w:eastAsia="仿宋"/>
          <w:sz w:val="32"/>
          <w:szCs w:val="32"/>
        </w:rPr>
        <w:t>基本工资、津贴补贴、</w:t>
      </w:r>
      <w:r>
        <w:rPr>
          <w:rFonts w:hint="eastAsia" w:ascii="仿宋" w:hAnsi="仿宋" w:eastAsia="仿宋"/>
          <w:color w:val="auto"/>
          <w:sz w:val="32"/>
          <w:szCs w:val="32"/>
          <w:lang w:val="en-US" w:eastAsia="zh-CN"/>
        </w:rPr>
        <w:t>职工基本医疗保险缴费</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公务员医疗补助缴费</w:t>
      </w:r>
      <w:r>
        <w:rPr>
          <w:rFonts w:hint="eastAsia" w:ascii="仿宋" w:hAnsi="仿宋" w:eastAsia="仿宋"/>
          <w:color w:val="auto"/>
          <w:sz w:val="32"/>
          <w:szCs w:val="32"/>
        </w:rPr>
        <w:t>、</w:t>
      </w:r>
      <w:r>
        <w:rPr>
          <w:rFonts w:hint="eastAsia" w:ascii="仿宋" w:hAnsi="仿宋" w:eastAsia="仿宋"/>
          <w:sz w:val="32"/>
          <w:szCs w:val="32"/>
        </w:rPr>
        <w:t>绩效工资、机关事业单位基本养老保险缴费、其他社会保障缴费、其他工资福利支出、</w:t>
      </w:r>
      <w:r>
        <w:rPr>
          <w:rFonts w:hint="eastAsia" w:ascii="仿宋" w:hAnsi="仿宋" w:eastAsia="仿宋"/>
          <w:color w:val="auto"/>
          <w:sz w:val="32"/>
          <w:szCs w:val="32"/>
        </w:rPr>
        <w:t>生活补助、</w:t>
      </w:r>
      <w:r>
        <w:rPr>
          <w:rFonts w:hint="eastAsia" w:ascii="仿宋" w:hAnsi="仿宋" w:eastAsia="仿宋"/>
          <w:sz w:val="32"/>
          <w:szCs w:val="32"/>
        </w:rPr>
        <w:t>住房公积金等</w:t>
      </w:r>
      <w:r>
        <w:rPr>
          <w:rFonts w:hint="eastAsia" w:ascii="仿宋" w:hAnsi="仿宋" w:eastAsia="仿宋"/>
          <w:color w:val="auto"/>
          <w:sz w:val="32"/>
          <w:szCs w:val="32"/>
          <w:highlight w:val="none"/>
        </w:rPr>
        <w:t>。</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8.09万</w:t>
      </w:r>
      <w:r>
        <w:rPr>
          <w:rFonts w:hint="eastAsia" w:eastAsia="仿宋_GB2312" w:cs="仿宋_GB2312"/>
          <w:sz w:val="32"/>
          <w:szCs w:val="32"/>
        </w:rPr>
        <w:t>元，主要包括：</w:t>
      </w:r>
      <w:r>
        <w:rPr>
          <w:rFonts w:hint="eastAsia" w:ascii="仿宋" w:hAnsi="仿宋" w:eastAsia="仿宋"/>
          <w:color w:val="auto"/>
          <w:sz w:val="32"/>
          <w:szCs w:val="32"/>
        </w:rPr>
        <w:t>办公费、水费、电费、邮电费、差旅费、工会经费、福利费等</w:t>
      </w:r>
      <w:r>
        <w:rPr>
          <w:rFonts w:hint="eastAsia" w:eastAsia="仿宋_GB2312" w:cs="仿宋_GB2312"/>
          <w:sz w:val="32"/>
          <w:szCs w:val="32"/>
        </w:rPr>
        <w:t>。</w:t>
      </w:r>
    </w:p>
    <w:p w14:paraId="614B4CAD">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46201AFB">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750547B7">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p>
    <w:p w14:paraId="4580D5C9">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33951E42">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公务用车购置及运行维护费支出决算0万元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公务接待费支出决算0万元。</w:t>
      </w:r>
    </w:p>
    <w:p w14:paraId="6F0ED7F0">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74877A2D">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2B6F7D10">
      <w:pPr>
        <w:spacing w:line="600" w:lineRule="exact"/>
        <w:ind w:firstLine="640"/>
        <w:rPr>
          <w:rFonts w:hint="eastAsia" w:eastAsia="仿宋_GB2312" w:cs="仿宋_GB2312"/>
          <w:b/>
          <w:bCs/>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w:t>
      </w:r>
    </w:p>
    <w:p w14:paraId="18C2EC24">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18A3A252">
      <w:pPr>
        <w:spacing w:line="600" w:lineRule="exact"/>
        <w:ind w:firstLine="640"/>
        <w:rPr>
          <w:rFonts w:hint="eastAsia" w:eastAsia="仿宋_GB2312" w:cs="仿宋_GB2312"/>
          <w:b/>
          <w:bCs/>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w:t>
      </w:r>
    </w:p>
    <w:p w14:paraId="57E36876">
      <w:pPr>
        <w:spacing w:line="600" w:lineRule="exact"/>
        <w:ind w:firstLine="640"/>
        <w:rPr>
          <w:rFonts w:eastAsia="仿宋_GB2312" w:cs="仿宋_GB2312"/>
          <w:sz w:val="32"/>
          <w:szCs w:val="32"/>
        </w:rPr>
      </w:pPr>
      <w:r>
        <w:rPr>
          <w:rFonts w:hint="eastAsia" w:eastAsia="仿宋_GB2312" w:cs="仿宋_GB2312"/>
          <w:sz w:val="32"/>
          <w:szCs w:val="32"/>
        </w:rPr>
        <w:t>其中：国内公务接待支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34" w:name="_Toc15396610"/>
      <w:bookmarkStart w:id="35" w:name="_Toc15377218"/>
    </w:p>
    <w:p w14:paraId="00CE594C">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6235498E">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2024年度政府性基金预算财政拨款支出0万元</w:t>
      </w:r>
      <w:r>
        <w:rPr>
          <w:rFonts w:hint="eastAsia" w:ascii="仿宋_GB2312" w:hAnsi="仿宋_GB2312" w:eastAsia="仿宋_GB2312" w:cs="仿宋_GB2312"/>
          <w:sz w:val="32"/>
          <w:szCs w:val="32"/>
          <w:lang w:eastAsia="zh-CN"/>
        </w:rPr>
        <w:t>。</w:t>
      </w:r>
    </w:p>
    <w:p w14:paraId="6ED53B51">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14:paraId="78B06F66">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p>
    <w:p w14:paraId="55F25326">
      <w:pPr>
        <w:spacing w:line="600" w:lineRule="exact"/>
        <w:ind w:firstLine="640" w:firstLineChars="200"/>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14:paraId="21E960E4">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2989D089">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，攀枝花市西区城市建设服务中心机关运行经费支出0万</w:t>
      </w:r>
      <w:r>
        <w:rPr>
          <w:rFonts w:hint="eastAsia" w:eastAsia="仿宋_GB2312" w:cs="仿宋_GB2312"/>
          <w:sz w:val="32"/>
          <w:szCs w:val="32"/>
        </w:rPr>
        <w:t>元</w:t>
      </w:r>
      <w:r>
        <w:rPr>
          <w:rFonts w:hint="eastAsia" w:eastAsia="仿宋_GB2312" w:cs="仿宋_GB2312"/>
          <w:sz w:val="32"/>
          <w:szCs w:val="32"/>
          <w:lang w:eastAsia="zh-CN"/>
        </w:rPr>
        <w:t>。</w:t>
      </w:r>
    </w:p>
    <w:p w14:paraId="54F95838">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1A9DE34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攀枝花市西区城市建设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BA98D30">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796769B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截至2024年12月31日，攀枝花市西区城市建设服务中心共有车辆0辆，其中：主要负责人用车0辆、机要通信用车0辆、应急保障用车0辆、其他用车0辆。单价100万元（含）以上设备（不含车辆）0台（套）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0ABD80E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790727BE">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0个项目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0个项目开展绩效自评。</w:t>
      </w:r>
    </w:p>
    <w:p w14:paraId="5E77682E">
      <w:pPr>
        <w:spacing w:line="600" w:lineRule="exact"/>
        <w:ind w:firstLine="640"/>
        <w:rPr>
          <w:rFonts w:eastAsia="仿宋_GB2312" w:cs="仿宋_GB2312"/>
          <w:b/>
          <w:bCs/>
          <w:sz w:val="32"/>
          <w:szCs w:val="32"/>
        </w:rPr>
      </w:pPr>
    </w:p>
    <w:p w14:paraId="7622769D">
      <w:pPr>
        <w:pStyle w:val="2"/>
        <w:rPr>
          <w:rFonts w:eastAsia="仿宋_GB2312" w:cs="仿宋_GB2312"/>
          <w:b/>
          <w:bCs/>
          <w:sz w:val="32"/>
          <w:szCs w:val="32"/>
        </w:rPr>
      </w:pPr>
    </w:p>
    <w:p w14:paraId="1B4B29C8">
      <w:pPr>
        <w:pStyle w:val="2"/>
        <w:rPr>
          <w:rFonts w:eastAsia="仿宋_GB2312" w:cs="仿宋_GB2312"/>
          <w:b/>
          <w:bCs/>
          <w:sz w:val="32"/>
          <w:szCs w:val="32"/>
        </w:rPr>
      </w:pPr>
    </w:p>
    <w:p w14:paraId="6EEF454E">
      <w:pPr>
        <w:spacing w:line="600" w:lineRule="exact"/>
        <w:ind w:firstLine="640"/>
        <w:rPr>
          <w:rFonts w:eastAsia="仿宋_GB2312" w:cs="仿宋_GB2312"/>
          <w:sz w:val="32"/>
          <w:szCs w:val="32"/>
        </w:rPr>
      </w:pPr>
    </w:p>
    <w:p w14:paraId="61FB5DEF">
      <w:pPr>
        <w:spacing w:line="600" w:lineRule="exact"/>
        <w:ind w:firstLine="640"/>
        <w:rPr>
          <w:rFonts w:eastAsia="仿宋_GB2312" w:cs="仿宋_GB2312"/>
          <w:sz w:val="32"/>
          <w:szCs w:val="32"/>
        </w:rPr>
      </w:pPr>
    </w:p>
    <w:p w14:paraId="62EA34FE">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14:paraId="4EC12111">
      <w:pPr>
        <w:spacing w:line="600" w:lineRule="exact"/>
        <w:jc w:val="left"/>
        <w:rPr>
          <w:b/>
          <w:sz w:val="44"/>
          <w:szCs w:val="44"/>
        </w:rPr>
      </w:pPr>
    </w:p>
    <w:p w14:paraId="01910F17">
      <w:pPr>
        <w:pStyle w:val="26"/>
        <w:spacing w:line="560" w:lineRule="exact"/>
        <w:ind w:firstLine="640" w:firstLineChars="200"/>
        <w:rPr>
          <w:rFonts w:ascii="仿宋_GB2312" w:eastAsia="仿宋_GB2312"/>
          <w:color w:val="auto"/>
          <w:sz w:val="32"/>
          <w:szCs w:val="32"/>
        </w:rPr>
      </w:pPr>
      <w:bookmarkStart w:id="45"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B11C925">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机关事业单位基本养老保险缴费支出</w:t>
      </w:r>
      <w:r>
        <w:rPr>
          <w:rFonts w:hint="eastAsia" w:ascii="仿宋_GB2312" w:eastAsia="仿宋_GB2312"/>
          <w:sz w:val="32"/>
          <w:szCs w:val="32"/>
        </w:rPr>
        <w:t>（项）：指</w:t>
      </w:r>
      <w:r>
        <w:rPr>
          <w:rFonts w:hint="eastAsia" w:ascii="仿宋_GB2312" w:eastAsia="仿宋_GB2312"/>
          <w:color w:val="000000"/>
          <w:sz w:val="32"/>
          <w:szCs w:val="32"/>
        </w:rPr>
        <w:t>反映机关事业单位实施养老保险制度由单位缴纳的基本养老保险费支出</w:t>
      </w:r>
      <w:r>
        <w:rPr>
          <w:rFonts w:hint="eastAsia" w:ascii="仿宋_GB2312" w:eastAsia="仿宋_GB2312"/>
          <w:sz w:val="32"/>
          <w:szCs w:val="32"/>
        </w:rPr>
        <w:t>。</w:t>
      </w:r>
    </w:p>
    <w:p w14:paraId="334ADB7B">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val="en-US" w:eastAsia="zh-CN"/>
        </w:rPr>
        <w:t>事业单位离退休</w:t>
      </w:r>
      <w:r>
        <w:rPr>
          <w:rFonts w:hint="eastAsia" w:ascii="仿宋_GB2312" w:eastAsia="仿宋_GB2312"/>
          <w:sz w:val="32"/>
          <w:szCs w:val="32"/>
        </w:rPr>
        <w:t>（项）：指</w:t>
      </w:r>
      <w:r>
        <w:rPr>
          <w:rFonts w:hint="eastAsia" w:ascii="仿宋_GB2312" w:eastAsia="仿宋_GB2312"/>
          <w:color w:val="000000"/>
          <w:sz w:val="32"/>
          <w:szCs w:val="32"/>
        </w:rPr>
        <w:t>反映机关事业单位实施养老保险制度由单位缴纳的基本养老保险费支出</w:t>
      </w:r>
      <w:r>
        <w:rPr>
          <w:rFonts w:hint="eastAsia" w:ascii="仿宋_GB2312" w:eastAsia="仿宋_GB2312"/>
          <w:sz w:val="32"/>
          <w:szCs w:val="32"/>
        </w:rPr>
        <w:t>。</w:t>
      </w:r>
    </w:p>
    <w:p w14:paraId="0183ECDF">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事业单位医疗</w:t>
      </w:r>
      <w:r>
        <w:rPr>
          <w:rFonts w:hint="eastAsia" w:ascii="仿宋_GB2312" w:eastAsia="仿宋_GB2312"/>
          <w:sz w:val="32"/>
          <w:szCs w:val="32"/>
        </w:rPr>
        <w:t>（项）：指</w:t>
      </w:r>
      <w:r>
        <w:rPr>
          <w:rFonts w:hint="eastAsia" w:ascii="仿宋_GB2312" w:eastAsia="仿宋_GB2312"/>
          <w:color w:val="000000"/>
          <w:sz w:val="32"/>
          <w:szCs w:val="32"/>
        </w:rPr>
        <w:t>反映财政部门集中安排的事业单位基本医疗保险缴费经费，未参加医疗保险的事业单位的公费医疗经费，按国家规定享受离休人员待遇的医疗经费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14:paraId="768B03E8">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其他行政事业单位医疗支出</w:t>
      </w:r>
      <w:r>
        <w:rPr>
          <w:rFonts w:hint="eastAsia" w:ascii="仿宋_GB2312" w:eastAsia="仿宋_GB2312"/>
          <w:sz w:val="32"/>
          <w:szCs w:val="32"/>
        </w:rPr>
        <w:t>（项）：指</w:t>
      </w:r>
      <w:r>
        <w:rPr>
          <w:rFonts w:hint="eastAsia" w:ascii="仿宋_GB2312" w:eastAsia="仿宋_GB2312"/>
          <w:color w:val="000000"/>
          <w:sz w:val="32"/>
          <w:szCs w:val="32"/>
        </w:rPr>
        <w:t>反映财政部门安排的公务员医疗补助经费</w:t>
      </w:r>
      <w:r>
        <w:rPr>
          <w:rFonts w:hint="eastAsia" w:ascii="仿宋_GB2312" w:eastAsia="仿宋_GB2312"/>
          <w:sz w:val="32"/>
          <w:szCs w:val="32"/>
        </w:rPr>
        <w:t>。</w:t>
      </w:r>
    </w:p>
    <w:p w14:paraId="2FFB01F2">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城乡社区</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val="en-US" w:eastAsia="zh-CN"/>
        </w:rPr>
        <w:t>其他城乡社区管理事务支出</w:t>
      </w:r>
      <w:r>
        <w:rPr>
          <w:rFonts w:hint="eastAsia" w:ascii="仿宋_GB2312" w:eastAsia="仿宋_GB2312"/>
          <w:sz w:val="32"/>
          <w:szCs w:val="32"/>
        </w:rPr>
        <w:t>（项）：指</w:t>
      </w:r>
      <w:r>
        <w:rPr>
          <w:rFonts w:hint="eastAsia" w:ascii="仿宋_GB2312" w:eastAsia="仿宋_GB2312"/>
          <w:sz w:val="32"/>
          <w:szCs w:val="32"/>
          <w:lang w:val="en-US" w:eastAsia="zh-CN"/>
        </w:rPr>
        <w:t>反映其他用于城乡社区管理事务方面的支出</w:t>
      </w:r>
      <w:r>
        <w:rPr>
          <w:rFonts w:hint="eastAsia" w:ascii="仿宋_GB2312" w:eastAsia="仿宋_GB2312"/>
          <w:sz w:val="32"/>
          <w:szCs w:val="32"/>
        </w:rPr>
        <w:t>。</w:t>
      </w:r>
    </w:p>
    <w:p w14:paraId="0F00AC15">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w:t>
      </w:r>
      <w:r>
        <w:rPr>
          <w:rFonts w:hint="eastAsia" w:ascii="仿宋_GB2312" w:eastAsia="仿宋_GB2312"/>
          <w:sz w:val="32"/>
          <w:szCs w:val="32"/>
          <w:lang w:val="en-US"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住房改革支出</w:t>
      </w:r>
      <w:r>
        <w:rPr>
          <w:rFonts w:hint="eastAsia" w:ascii="仿宋_GB2312" w:eastAsia="仿宋_GB2312"/>
          <w:sz w:val="32"/>
          <w:szCs w:val="32"/>
        </w:rPr>
        <w:t>（款）</w:t>
      </w:r>
      <w:r>
        <w:rPr>
          <w:rFonts w:hint="eastAsia" w:ascii="仿宋_GB2312" w:eastAsia="仿宋_GB2312"/>
          <w:sz w:val="32"/>
          <w:szCs w:val="32"/>
          <w:lang w:val="en-US" w:eastAsia="zh-CN"/>
        </w:rPr>
        <w:t>住房公积金</w:t>
      </w:r>
      <w:r>
        <w:rPr>
          <w:rFonts w:hint="eastAsia" w:ascii="仿宋_GB2312" w:eastAsia="仿宋_GB2312"/>
          <w:sz w:val="32"/>
          <w:szCs w:val="32"/>
        </w:rPr>
        <w:t>（项）：指</w:t>
      </w:r>
      <w:r>
        <w:rPr>
          <w:rFonts w:hint="eastAsia" w:ascii="仿宋_GB2312" w:eastAsia="仿宋_GB2312"/>
          <w:color w:val="000000"/>
          <w:sz w:val="32"/>
          <w:szCs w:val="32"/>
          <w:lang w:val="en-US" w:eastAsia="zh-CN"/>
        </w:rPr>
        <w:t>反</w:t>
      </w:r>
      <w:r>
        <w:rPr>
          <w:rFonts w:hint="eastAsia" w:ascii="仿宋_GB2312" w:eastAsia="仿宋_GB2312"/>
          <w:color w:val="000000"/>
          <w:sz w:val="32"/>
          <w:szCs w:val="32"/>
        </w:rPr>
        <w:t>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6B372402">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F6FFED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66E13A">
      <w:pPr>
        <w:spacing w:line="600" w:lineRule="exact"/>
        <w:jc w:val="center"/>
        <w:rPr>
          <w:rStyle w:val="28"/>
          <w:rFonts w:eastAsia="黑体"/>
          <w:b w:val="0"/>
        </w:rPr>
      </w:pPr>
      <w:r>
        <w:rPr>
          <w:rFonts w:hint="eastAsia" w:ascii="仿宋_GB2312" w:eastAsia="仿宋_GB2312"/>
          <w:color w:val="auto"/>
          <w:sz w:val="32"/>
          <w:szCs w:val="32"/>
          <w:lang w:val="en-US" w:eastAsia="zh-CN"/>
        </w:rPr>
        <w:t xml:space="preserve">    10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4D02FBCC">
      <w:pPr>
        <w:spacing w:line="572" w:lineRule="exact"/>
        <w:jc w:val="left"/>
        <w:outlineLvl w:val="0"/>
        <w:rPr>
          <w:rFonts w:eastAsia="黑体" w:cs="黑体"/>
          <w:color w:val="FF0000"/>
          <w:sz w:val="32"/>
          <w:szCs w:val="32"/>
        </w:rPr>
      </w:pPr>
    </w:p>
    <w:p w14:paraId="43F7DB78">
      <w:pPr>
        <w:spacing w:line="578" w:lineRule="exact"/>
        <w:ind w:firstLine="640"/>
        <w:rPr>
          <w:rFonts w:eastAsia="仿宋_GB2312" w:cs="仿宋_GB2312"/>
          <w:kern w:val="0"/>
          <w:sz w:val="32"/>
          <w:szCs w:val="32"/>
        </w:rPr>
      </w:pPr>
      <w:bookmarkStart w:id="47" w:name="_Toc8241"/>
      <w:bookmarkStart w:id="48" w:name="_Toc32343"/>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bookmarkEnd w:id="47"/>
      <w:bookmarkEnd w:id="48"/>
    </w:p>
    <w:p w14:paraId="7F00E18D">
      <w:pPr>
        <w:spacing w:line="578" w:lineRule="exact"/>
        <w:ind w:firstLine="640"/>
        <w:rPr>
          <w:rFonts w:eastAsia="仿宋_GB2312" w:cs="仿宋_GB2312"/>
          <w:kern w:val="0"/>
          <w:sz w:val="32"/>
          <w:szCs w:val="32"/>
        </w:rPr>
      </w:pPr>
    </w:p>
    <w:p w14:paraId="276B0F80">
      <w:pPr>
        <w:spacing w:line="578" w:lineRule="exact"/>
        <w:ind w:firstLine="640"/>
        <w:rPr>
          <w:rFonts w:eastAsia="仿宋_GB2312" w:cs="仿宋_GB2312"/>
          <w:kern w:val="0"/>
          <w:sz w:val="32"/>
          <w:szCs w:val="32"/>
        </w:rPr>
      </w:pPr>
      <w:bookmarkStart w:id="49" w:name="_Toc15396618"/>
      <w:r>
        <w:rPr>
          <w:rFonts w:hint="eastAsia" w:eastAsia="仿宋_GB2312" w:cs="仿宋_GB2312"/>
          <w:kern w:val="0"/>
          <w:sz w:val="32"/>
          <w:szCs w:val="32"/>
        </w:rPr>
        <w:br w:type="page"/>
      </w:r>
    </w:p>
    <w:p w14:paraId="79F0B726">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9"/>
      <w:bookmarkStart w:id="50" w:name="_Toc15396619"/>
    </w:p>
    <w:p w14:paraId="46C52640">
      <w:pPr>
        <w:pStyle w:val="14"/>
        <w:adjustRightInd w:val="0"/>
        <w:snapToGrid w:val="0"/>
        <w:spacing w:line="560" w:lineRule="exact"/>
        <w:jc w:val="left"/>
        <w:rPr>
          <w:rFonts w:eastAsia="仿宋_GB2312" w:cs="仿宋_GB2312"/>
          <w:sz w:val="32"/>
          <w:szCs w:val="32"/>
        </w:rPr>
      </w:pPr>
    </w:p>
    <w:p w14:paraId="0B46E76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6F17A3D0">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77E051C3">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3225C028">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132FD352">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5B9414E5">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0F013083">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71EA074F">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629AAA2A">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41A59F3D">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2AF25B56">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55C5362A">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21934023">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728F9626"/>
    <w:sectPr>
      <w:footerReference r:id="rId7" w:type="first"/>
      <w:footerReference r:id="rId6"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DCC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AB3D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EAB3D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D185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A8F90">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AA8F90">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F098">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E17CB">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0E17CB">
                    <w:pPr>
                      <w:pStyle w:val="10"/>
                    </w:pPr>
                    <w:r>
                      <w:fldChar w:fldCharType="begin"/>
                    </w:r>
                    <w:r>
                      <w:instrText xml:space="preserve"> PAGE  \* MERGEFORMAT </w:instrText>
                    </w:r>
                    <w:r>
                      <w:fldChar w:fldCharType="separate"/>
                    </w:r>
                    <w:r>
                      <w:t>3</w:t>
                    </w:r>
                    <w:r>
                      <w:fldChar w:fldCharType="end"/>
                    </w:r>
                  </w:p>
                </w:txbxContent>
              </v:textbox>
            </v:shape>
          </w:pict>
        </mc:Fallback>
      </mc:AlternateContent>
    </w:r>
  </w:p>
  <w:p w14:paraId="2544B5A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4C0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B8C9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9B8C9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B8B7">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DCCD4"/>
    <w:multiLevelType w:val="singleLevel"/>
    <w:tmpl w:val="EB0DCC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57C0"/>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5B6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B4E"/>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7E6D86"/>
    <w:rsid w:val="12E24EE2"/>
    <w:rsid w:val="13D50BC4"/>
    <w:rsid w:val="14B17F78"/>
    <w:rsid w:val="165E0673"/>
    <w:rsid w:val="16B831D5"/>
    <w:rsid w:val="16BB723D"/>
    <w:rsid w:val="17E50567"/>
    <w:rsid w:val="1806199E"/>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8E7498"/>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C66482"/>
    <w:rsid w:val="3AE834C0"/>
    <w:rsid w:val="3B1C0ACE"/>
    <w:rsid w:val="3B7EF35A"/>
    <w:rsid w:val="3B9FDB6C"/>
    <w:rsid w:val="3BEB469D"/>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6770E2"/>
    <w:rsid w:val="4F833267"/>
    <w:rsid w:val="4FE9BD67"/>
    <w:rsid w:val="4FFB052F"/>
    <w:rsid w:val="52416EAD"/>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537774"/>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DC0326"/>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39292;&#29366;&#22270;&#12289;&#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Desktop\&#39292;&#29366;&#22270;&#12289;&#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39292;&#29366;&#22270;&#12289;&#26609;&#29366;&#2227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oleObject" Target="file:///C:\Users\asus\Desktop\&#39292;&#29366;&#22270;&#12289;&#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sus\Desktop\&#39292;&#29366;&#22270;&#12289;&#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39292;&#29366;&#22270;&#12289;&#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manualLayout>
          <c:xMode val="edge"/>
          <c:yMode val="edge"/>
          <c:x val="0.204444444444445"/>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196.74</c:v>
                </c:pt>
                <c:pt idx="1">
                  <c:v>313.15</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strCache>
            </c:strRef>
          </c:cat>
          <c:val>
            <c:numRef>
              <c:f>[饼状图、柱状图.xlsx]Sheet1!$B$8:$B$14</c:f>
              <c:numCache>
                <c:formatCode>General</c:formatCode>
                <c:ptCount val="7"/>
                <c:pt idx="0">
                  <c:v>196.74</c:v>
                </c:pt>
                <c:pt idx="1">
                  <c:v>0</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ae78dc-36f2-442c-86ae-6be3dc066e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r>
              <a:rPr altLang="en-US"/>
              <a:t>支出</a:t>
            </a:r>
            <a:r>
              <a:rPr lang="en-US" altLang="zh-CN"/>
              <a:t>决算结构图</a:t>
            </a:r>
            <a:endParaRPr lang="en-US" altLang="zh-CN"/>
          </a:p>
        </c:rich>
      </c:tx>
      <c:layout>
        <c:manualLayout>
          <c:xMode val="edge"/>
          <c:yMode val="edge"/>
          <c:x val="0.320034037228806"/>
          <c:y val="0.0222282100717986"/>
        </c:manualLayout>
      </c:layout>
      <c:overlay val="0"/>
      <c:spPr>
        <a:noFill/>
        <a:ln>
          <a:noFill/>
        </a:ln>
        <a:effectLst/>
      </c:spPr>
    </c:title>
    <c:autoTitleDeleted val="0"/>
    <c:plotArea>
      <c:layout/>
      <c:pieChart>
        <c:varyColors val="1"/>
        <c:ser>
          <c:idx val="0"/>
          <c:order val="0"/>
          <c:spPr>
            <a:effectLst>
              <a:outerShdw blurRad="50800" dist="38100" dir="2700000" algn="tl" rotWithShape="0">
                <a:prstClr val="black">
                  <a:alpha val="40000"/>
                </a:prstClr>
              </a:outerShdw>
            </a:effectLst>
          </c:spPr>
          <c:explosion val="4"/>
          <c:dPt>
            <c:idx val="0"/>
            <c:bubble3D val="0"/>
            <c:explosion val="0"/>
            <c:spPr>
              <a:solidFill>
                <a:schemeClr val="accent1"/>
              </a:solidFill>
              <a:ln w="19050">
                <a:solidFill>
                  <a:schemeClr val="lt1"/>
                </a:solidFill>
              </a:ln>
              <a:effectLst>
                <a:outerShdw blurRad="50800" dist="38100" dir="2700000" algn="tl" rotWithShape="0">
                  <a:prstClr val="black">
                    <a:alpha val="40000"/>
                  </a:prstClr>
                </a:outerShdw>
              </a:effectLst>
            </c:spPr>
          </c:dPt>
          <c:dPt>
            <c:idx val="1"/>
            <c:bubble3D val="0"/>
            <c:explosion val="0"/>
            <c:spPr>
              <a:solidFill>
                <a:schemeClr val="accent2"/>
              </a:solidFill>
              <a:ln w="19050">
                <a:solidFill>
                  <a:schemeClr val="lt1"/>
                </a:solidFill>
              </a:ln>
              <a:effectLst>
                <a:outerShdw blurRad="50800" dist="38100" dir="2700000" algn="tl" rotWithShape="0">
                  <a:prstClr val="black">
                    <a:alpha val="40000"/>
                  </a:prstClr>
                </a:outerShdw>
              </a:effectLst>
            </c:spPr>
          </c:dPt>
          <c:dPt>
            <c:idx val="2"/>
            <c:bubble3D val="0"/>
            <c:explosion val="0"/>
            <c:spPr>
              <a:solidFill>
                <a:schemeClr val="accent3"/>
              </a:solidFill>
              <a:ln w="19050">
                <a:solidFill>
                  <a:schemeClr val="lt1"/>
                </a:solidFill>
              </a:ln>
              <a:effectLst>
                <a:outerShdw blurRad="50800" dist="38100" dir="2700000" algn="tl" rotWithShape="0">
                  <a:prstClr val="black">
                    <a:alpha val="40000"/>
                  </a:prstClr>
                </a:outerShdw>
              </a:effectLst>
            </c:spPr>
          </c:dPt>
          <c:dPt>
            <c:idx val="3"/>
            <c:bubble3D val="0"/>
            <c:explosion val="0"/>
            <c:spPr>
              <a:solidFill>
                <a:schemeClr val="accent4"/>
              </a:solidFill>
              <a:ln w="19050">
                <a:solidFill>
                  <a:schemeClr val="lt1"/>
                </a:solidFill>
              </a:ln>
              <a:effectLst>
                <a:outerShdw blurRad="50800" dist="38100" dir="2700000" algn="tl" rotWithShape="0">
                  <a:prstClr val="black">
                    <a:alpha val="40000"/>
                  </a:prstClr>
                </a:outerShdw>
              </a:effectLst>
            </c:spPr>
          </c:dPt>
          <c:dPt>
            <c:idx val="4"/>
            <c:bubble3D val="0"/>
            <c:explosion val="0"/>
            <c:spPr>
              <a:solidFill>
                <a:schemeClr val="accent5"/>
              </a:solidFill>
              <a:ln w="19050">
                <a:solidFill>
                  <a:schemeClr val="lt1"/>
                </a:solidFill>
              </a:ln>
              <a:effectLst>
                <a:outerShdw blurRad="50800" dist="38100" dir="2700000" algn="tl" rotWithShape="0">
                  <a:prstClr val="black">
                    <a:alpha val="40000"/>
                  </a:prstClr>
                </a:outerShdw>
              </a:effectLst>
            </c:spPr>
          </c:dPt>
          <c:dPt>
            <c:idx val="5"/>
            <c:bubble3D val="0"/>
            <c:spPr>
              <a:solidFill>
                <a:schemeClr val="accent6"/>
              </a:solidFill>
              <a:ln w="19050">
                <a:solidFill>
                  <a:schemeClr val="lt1"/>
                </a:solid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solidFill>
                  <a:schemeClr val="lt1"/>
                </a:solidFill>
              </a:ln>
              <a:effectLst>
                <a:outerShdw blurRad="50800" dist="38100" dir="2700000" algn="tl"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基本支出</c:v>
                </c:pt>
                <c:pt idx="1">
                  <c:v>项目支出</c:v>
                </c:pt>
                <c:pt idx="2">
                  <c:v>上缴上级支出</c:v>
                </c:pt>
                <c:pt idx="3">
                  <c:v>经营支出</c:v>
                </c:pt>
                <c:pt idx="4">
                  <c:v>对附属单位补助支出</c:v>
                </c:pt>
              </c:strCache>
            </c:strRef>
          </c:cat>
          <c:val>
            <c:numRef>
              <c:f>[饼状图、柱状图.xlsx]Sheet1!$B$8:$B$14</c:f>
              <c:numCache>
                <c:formatCode>General</c:formatCode>
                <c:ptCount val="7"/>
                <c:pt idx="0">
                  <c:v>196.74</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5"/>
        <c:delete val="1"/>
      </c:legendEntry>
      <c:legendEntry>
        <c:idx val="6"/>
        <c:delete val="1"/>
      </c:legendEntry>
      <c:layout>
        <c:manualLayout>
          <c:xMode val="edge"/>
          <c:yMode val="edge"/>
          <c:x val="0.745463646602428"/>
          <c:y val="0.318821815827804"/>
          <c:w val="0.250782129896133"/>
          <c:h val="0.3806441171710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85550e-e83c-4a90-be8f-177d4e703f6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stacked"/>
        <c:varyColors val="0"/>
        <c:ser>
          <c:idx val="0"/>
          <c:order val="0"/>
          <c:spPr>
            <a:solidFill>
              <a:srgbClr val="019199"/>
            </a:solidFill>
            <a:ln w="25400">
              <a:solidFill>
                <a:schemeClr val="bg1"/>
              </a:solidFill>
            </a:ln>
            <a:effectLst/>
          </c:spPr>
          <c:invertIfNegative val="0"/>
          <c:dLbls>
            <c:delete val="1"/>
          </c:dLbls>
          <c:cat>
            <c:strRef>
              <c:f>[饼状图、柱状图.xlsx]Sheet1!$A$29:$A$32</c:f>
              <c:strCache>
                <c:ptCount val="4"/>
                <c:pt idx="0">
                  <c:v>2024年财政拨款收入</c:v>
                </c:pt>
                <c:pt idx="1">
                  <c:v>2023年财政拨款收入</c:v>
                </c:pt>
                <c:pt idx="2">
                  <c:v>2024年财政拨款支出</c:v>
                </c:pt>
                <c:pt idx="3">
                  <c:v>2023年财政拨款支出</c:v>
                </c:pt>
              </c:strCache>
            </c:strRef>
          </c:cat>
          <c:val>
            <c:numRef>
              <c:f>[饼状图、柱状图.xlsx]Sheet1!$B$29:$B$32</c:f>
              <c:numCache>
                <c:formatCode>General</c:formatCode>
                <c:ptCount val="4"/>
                <c:pt idx="0">
                  <c:v>196.74</c:v>
                </c:pt>
                <c:pt idx="1">
                  <c:v>313.15</c:v>
                </c:pt>
                <c:pt idx="2">
                  <c:v>196.74</c:v>
                </c:pt>
                <c:pt idx="3">
                  <c:v>313.15</c:v>
                </c:pt>
              </c:numCache>
            </c:numRef>
          </c:val>
        </c:ser>
        <c:dLbls>
          <c:showLegendKey val="0"/>
          <c:showVal val="1"/>
          <c:showCatName val="0"/>
          <c:showSerName val="0"/>
          <c:showPercent val="0"/>
          <c:showBubbleSize val="0"/>
        </c:dLbls>
        <c:gapWidth val="95"/>
        <c:overlap val="100"/>
        <c:axId val="471923838"/>
        <c:axId val="708968465"/>
      </c:barChart>
      <c:catAx>
        <c:axId val="47192383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708968465"/>
        <c:crosses val="autoZero"/>
        <c:auto val="1"/>
        <c:lblAlgn val="ctr"/>
        <c:lblOffset val="100"/>
        <c:noMultiLvlLbl val="0"/>
      </c:catAx>
      <c:valAx>
        <c:axId val="708968465"/>
        <c:scaling>
          <c:orientation val="minMax"/>
        </c:scaling>
        <c:delete val="0"/>
        <c:axPos val="l"/>
        <c:majorGridlines>
          <c:spPr>
            <a:ln w="9525" cap="flat" cmpd="sng" algn="ctr">
              <a:solidFill>
                <a:sysClr val="windowText" lastClr="000000">
                  <a:lumMod val="25000"/>
                  <a:lumOff val="75000"/>
                  <a:alpha val="30000"/>
                </a:sys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7192383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3b80e90a-d3a6-4bfb-a06e-01615ebf08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80471841704719"/>
          <c:y val="0.0363508178228991"/>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[饼状图、柱状图.xlsx]Sheet1!$Q$7:$Q$8</c:f>
              <c:strCache>
                <c:ptCount val="2"/>
                <c:pt idx="0">
                  <c:v>2024年度</c:v>
                </c:pt>
                <c:pt idx="1">
                  <c:v>2023年度</c:v>
                </c:pt>
              </c:strCache>
            </c:strRef>
          </c:cat>
          <c:val>
            <c:numRef>
              <c:f>[饼状图、柱状图.xlsx]Sheet1!$R$7:$R$8</c:f>
              <c:numCache>
                <c:formatCode>General</c:formatCode>
                <c:ptCount val="2"/>
                <c:pt idx="0">
                  <c:v>196.74</c:v>
                </c:pt>
                <c:pt idx="1">
                  <c:v>313.15</c:v>
                </c:pt>
              </c:numCache>
            </c:numRef>
          </c:val>
        </c:ser>
        <c:dLbls>
          <c:showLegendKey val="0"/>
          <c:showVal val="1"/>
          <c:showCatName val="0"/>
          <c:showSerName val="0"/>
          <c:showPercent val="0"/>
          <c:showBubbleSize val="0"/>
        </c:dLbls>
        <c:gapWidth val="150"/>
        <c:overlap val="100"/>
        <c:axId val="879504676"/>
        <c:axId val="459475029"/>
      </c:barChart>
      <c:catAx>
        <c:axId val="8795046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475029"/>
        <c:crosses val="autoZero"/>
        <c:auto val="1"/>
        <c:lblAlgn val="ctr"/>
        <c:lblOffset val="100"/>
        <c:noMultiLvlLbl val="0"/>
      </c:catAx>
      <c:valAx>
        <c:axId val="459475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046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ddc94a11-318f-473e-ae5a-d2b5fe1227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mn-cs"/>
              </a:defRPr>
            </a:pPr>
            <a:r>
              <a:rPr lang="en-US" altLang="zh-CN"/>
              <a:t>一般公共预算财政拨款支出决算结构图</a:t>
            </a:r>
            <a:endParaRPr lang="en-US" altLang="zh-CN"/>
          </a:p>
        </c:rich>
      </c:tx>
      <c:layout>
        <c:manualLayout>
          <c:xMode val="edge"/>
          <c:yMode val="edge"/>
          <c:x val="0.166951117313852"/>
          <c:y val="0.0278925952499907"/>
        </c:manualLayout>
      </c:layout>
      <c:overlay val="0"/>
      <c:spPr>
        <a:noFill/>
        <a:ln>
          <a:noFill/>
        </a:ln>
        <a:effectLst/>
      </c:spPr>
    </c:title>
    <c:autoTitleDeleted val="0"/>
    <c:plotArea>
      <c:layout/>
      <c:pieChart>
        <c:varyColors val="1"/>
        <c:ser>
          <c:idx val="0"/>
          <c:order val="0"/>
          <c:spPr>
            <a:effectLst>
              <a:outerShdw blurRad="50800" dist="38100" dir="2700000" algn="tl" rotWithShape="0">
                <a:prstClr val="black">
                  <a:alpha val="40000"/>
                </a:prstClr>
              </a:outerShdw>
            </a:effectLst>
          </c:spPr>
          <c:explosion val="4"/>
          <c:dPt>
            <c:idx val="0"/>
            <c:bubble3D val="0"/>
            <c:explosion val="0"/>
            <c:spPr>
              <a:solidFill>
                <a:schemeClr val="accent1"/>
              </a:solidFill>
              <a:ln w="19050">
                <a:solidFill>
                  <a:schemeClr val="lt1"/>
                </a:solidFill>
              </a:ln>
              <a:effectLst>
                <a:outerShdw blurRad="50800" dist="38100" dir="2700000" algn="tl" rotWithShape="0">
                  <a:prstClr val="black">
                    <a:alpha val="40000"/>
                  </a:prstClr>
                </a:outerShdw>
              </a:effectLst>
            </c:spPr>
          </c:dPt>
          <c:dPt>
            <c:idx val="1"/>
            <c:bubble3D val="0"/>
            <c:explosion val="0"/>
            <c:spPr>
              <a:solidFill>
                <a:schemeClr val="accent2"/>
              </a:solidFill>
              <a:ln w="19050">
                <a:solidFill>
                  <a:schemeClr val="lt1"/>
                </a:solidFill>
              </a:ln>
              <a:effectLst>
                <a:outerShdw blurRad="50800" dist="38100" dir="2700000" algn="tl" rotWithShape="0">
                  <a:prstClr val="black">
                    <a:alpha val="40000"/>
                  </a:prstClr>
                </a:outerShdw>
              </a:effectLst>
            </c:spPr>
          </c:dPt>
          <c:dPt>
            <c:idx val="2"/>
            <c:bubble3D val="0"/>
            <c:explosion val="0"/>
            <c:spPr>
              <a:solidFill>
                <a:schemeClr val="accent3"/>
              </a:solidFill>
              <a:ln w="19050">
                <a:solidFill>
                  <a:schemeClr val="lt1"/>
                </a:solidFill>
              </a:ln>
              <a:effectLst>
                <a:outerShdw blurRad="50800" dist="38100" dir="2700000" algn="tl" rotWithShape="0">
                  <a:prstClr val="black">
                    <a:alpha val="40000"/>
                  </a:prstClr>
                </a:outerShdw>
              </a:effectLst>
            </c:spPr>
          </c:dPt>
          <c:dPt>
            <c:idx val="3"/>
            <c:bubble3D val="0"/>
            <c:explosion val="0"/>
            <c:spPr>
              <a:solidFill>
                <a:schemeClr val="accent4"/>
              </a:solidFill>
              <a:ln w="19050">
                <a:solidFill>
                  <a:schemeClr val="lt1"/>
                </a:solidFill>
              </a:ln>
              <a:effectLst>
                <a:outerShdw blurRad="50800" dist="38100" dir="2700000" algn="tl" rotWithShape="0">
                  <a:prstClr val="black">
                    <a:alpha val="40000"/>
                  </a:prstClr>
                </a:outerShdw>
              </a:effectLst>
            </c:spPr>
          </c:dPt>
          <c:dPt>
            <c:idx val="4"/>
            <c:bubble3D val="0"/>
            <c:explosion val="0"/>
            <c:spPr>
              <a:solidFill>
                <a:schemeClr val="accent5"/>
              </a:solidFill>
              <a:ln w="19050">
                <a:solidFill>
                  <a:schemeClr val="lt1"/>
                </a:solidFill>
              </a:ln>
              <a:effectLst>
                <a:outerShdw blurRad="50800" dist="38100" dir="2700000" algn="tl" rotWithShape="0">
                  <a:prstClr val="black">
                    <a:alpha val="40000"/>
                  </a:prstClr>
                </a:outerShdw>
              </a:effectLst>
            </c:spPr>
          </c:dPt>
          <c:dPt>
            <c:idx val="5"/>
            <c:bubble3D val="0"/>
            <c:spPr>
              <a:solidFill>
                <a:schemeClr val="accent6"/>
              </a:solidFill>
              <a:ln w="19050">
                <a:solidFill>
                  <a:schemeClr val="lt1"/>
                </a:solidFill>
              </a:ln>
              <a:effectLst>
                <a:outerShdw blurRad="50800" dist="38100" dir="2700000" algn="tl" rotWithShape="0">
                  <a:prstClr val="black">
                    <a:alpha val="40000"/>
                  </a:prstClr>
                </a:outerShdw>
              </a:effectLst>
            </c:spPr>
          </c:dPt>
          <c:dPt>
            <c:idx val="6"/>
            <c:bubble3D val="0"/>
            <c:spPr>
              <a:solidFill>
                <a:schemeClr val="accent1">
                  <a:lumMod val="60000"/>
                </a:schemeClr>
              </a:solidFill>
              <a:ln w="19050">
                <a:solidFill>
                  <a:schemeClr val="lt1"/>
                </a:solidFill>
              </a:ln>
              <a:effectLst>
                <a:outerShdw blurRad="50800" dist="38100" dir="2700000" algn="tl" rotWithShape="0">
                  <a:prstClr val="black">
                    <a:alpha val="40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[饼状图、柱状图.xlsx]Sheet1!$A$8:$A$14</c:f>
              <c:strCache>
                <c:ptCount val="7"/>
                <c:pt idx="0">
                  <c:v>城乡社区支出</c:v>
                </c:pt>
                <c:pt idx="1">
                  <c:v>社会保障和就业支出</c:v>
                </c:pt>
                <c:pt idx="2">
                  <c:v>卫生健康支出</c:v>
                </c:pt>
                <c:pt idx="3">
                  <c:v>住房保障支出</c:v>
                </c:pt>
              </c:strCache>
            </c:strRef>
          </c:cat>
          <c:val>
            <c:numRef>
              <c:f>[饼状图、柱状图.xlsx]Sheet1!$B$8:$B$14</c:f>
              <c:numCache>
                <c:formatCode>General</c:formatCode>
                <c:ptCount val="7"/>
                <c:pt idx="0">
                  <c:v>140.59</c:v>
                </c:pt>
                <c:pt idx="1">
                  <c:v>20.99</c:v>
                </c:pt>
                <c:pt idx="2">
                  <c:v>17.97</c:v>
                </c:pt>
                <c:pt idx="3">
                  <c:v>17.21</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5"/>
        <c:delete val="1"/>
      </c:legendEntry>
      <c:legendEntry>
        <c:idx val="6"/>
        <c:delete val="1"/>
      </c:legendEntry>
      <c:layout>
        <c:manualLayout>
          <c:xMode val="edge"/>
          <c:yMode val="edge"/>
          <c:x val="0.745463646602428"/>
          <c:y val="0.318821815827804"/>
          <c:w val="0.250782129896133"/>
          <c:h val="0.3806441171710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85550e-e83c-4a90-be8f-177d4e703f61}"/>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15</Pages>
  <Words>4001</Words>
  <Characters>4289</Characters>
  <Lines>61</Lines>
  <Paragraphs>17</Paragraphs>
  <TotalTime>3</TotalTime>
  <ScaleCrop>false</ScaleCrop>
  <LinksUpToDate>false</LinksUpToDate>
  <CharactersWithSpaces>4365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2025-10-15T01:30:00Z</dcterms:created>
  <dc:creator>曹颖</dc:creator>
  <cp:lastModifiedBy>刘晓剑</cp:lastModifiedBy>
  <cp:lastPrinted>2025-08-06T17:34:00Z</cp:lastPrinted>
  <dcterms:modified xsi:type="dcterms:W3CDTF">2025-10-27T01:22:18Z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eyJoZGlkIjoiY2RhYmI1N2Q0ZjRjYTY2YzFiMWYzMGZlMzczNmMzY2MiLCJ1c2VySWQiOiIxNjQ5ODI5NzY2In0=</vt:lpwstr>
  </property>
</Properties>
</file>