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28A8">
      <w:pPr>
        <w:pStyle w:val="2"/>
        <w:spacing w:before="93"/>
        <w:rPr>
          <w:rFonts w:ascii="Times New Roman" w:hAnsi="Times New Roman" w:eastAsia="方正小标宋简体" w:cs="Times New Roman"/>
          <w:kern w:val="2"/>
          <w:sz w:val="30"/>
          <w:szCs w:val="72"/>
          <w:lang w:val="en-US" w:eastAsia="zh-CN" w:bidi="ar-SA"/>
        </w:rPr>
      </w:pPr>
    </w:p>
    <w:p w14:paraId="656C3515">
      <w:pPr>
        <w:pStyle w:val="2"/>
        <w:spacing w:before="93"/>
        <w:rPr>
          <w:rFonts w:ascii="Times New Roman" w:eastAsia="方正小标宋简体"/>
          <w:kern w:val="2"/>
          <w:sz w:val="72"/>
          <w:szCs w:val="72"/>
        </w:rPr>
      </w:pPr>
    </w:p>
    <w:p w14:paraId="0054289A">
      <w:pPr>
        <w:pStyle w:val="2"/>
        <w:spacing w:before="93"/>
        <w:rPr>
          <w:rFonts w:ascii="Times New Roman" w:eastAsia="方正小标宋简体"/>
          <w:kern w:val="2"/>
          <w:sz w:val="72"/>
          <w:szCs w:val="72"/>
        </w:rPr>
      </w:pPr>
    </w:p>
    <w:p w14:paraId="0C733A17">
      <w:pPr>
        <w:pStyle w:val="2"/>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w:t>
      </w:r>
    </w:p>
    <w:p w14:paraId="776650FA">
      <w:pPr>
        <w:pStyle w:val="2"/>
        <w:spacing w:before="93"/>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lang w:val="en-US" w:eastAsia="zh-CN"/>
        </w:rPr>
        <w:t>四川省攀枝花市西区住房和城乡建设局</w:t>
      </w:r>
    </w:p>
    <w:p w14:paraId="30BB6854">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lang w:val="en-US" w:eastAsia="zh-CN"/>
        </w:rPr>
        <w:t>单位</w:t>
      </w:r>
      <w:r>
        <w:rPr>
          <w:rFonts w:hint="eastAsia" w:ascii="Times New Roman" w:eastAsia="方正小标宋简体"/>
          <w:kern w:val="2"/>
          <w:sz w:val="44"/>
          <w:szCs w:val="44"/>
        </w:rPr>
        <w:t>决算</w:t>
      </w:r>
    </w:p>
    <w:p w14:paraId="7710007C">
      <w:pPr>
        <w:spacing w:line="600" w:lineRule="exact"/>
        <w:jc w:val="center"/>
        <w:outlineLvl w:val="0"/>
        <w:rPr>
          <w:rFonts w:eastAsia="方正小标宋简体"/>
          <w:sz w:val="72"/>
          <w:szCs w:val="72"/>
        </w:rPr>
      </w:pPr>
    </w:p>
    <w:p w14:paraId="398EBD2E">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lnNumType w:countBy="0" w:restart="continuous"/>
          <w:pgNumType w:fmt="numberInDash" w:start="1"/>
          <w:cols w:space="425" w:num="1"/>
          <w:titlePg/>
          <w:docGrid w:type="lines" w:linePitch="312" w:charSpace="0"/>
        </w:sectPr>
      </w:pPr>
    </w:p>
    <w:p w14:paraId="43D3B803">
      <w:pPr>
        <w:widowControl/>
        <w:ind w:firstLine="3840" w:firstLineChars="800"/>
        <w:jc w:val="both"/>
        <w:rPr>
          <w:rFonts w:eastAsia="黑体"/>
          <w:sz w:val="48"/>
          <w:szCs w:val="48"/>
        </w:rPr>
      </w:pPr>
      <w:r>
        <w:rPr>
          <w:rFonts w:hint="eastAsia" w:eastAsia="黑体"/>
          <w:sz w:val="48"/>
          <w:szCs w:val="48"/>
        </w:rPr>
        <w:t>目录</w:t>
      </w:r>
    </w:p>
    <w:p w14:paraId="5B8E7D92">
      <w:pPr>
        <w:widowControl/>
        <w:jc w:val="center"/>
        <w:rPr>
          <w:rFonts w:eastAsia="黑体" w:cstheme="minorBidi"/>
          <w:sz w:val="28"/>
          <w:szCs w:val="28"/>
        </w:rPr>
      </w:pPr>
    </w:p>
    <w:p w14:paraId="26F6B391">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27</w:t>
      </w:r>
      <w:bookmarkStart w:id="81" w:name="_GoBack"/>
      <w:bookmarkEnd w:id="81"/>
      <w:r>
        <w:rPr>
          <w:rFonts w:hint="eastAsia" w:ascii="Times New Roman" w:hAnsi="Times New Roman" w:eastAsia="仿宋_GB2312" w:cs="仿宋_GB2312"/>
          <w:sz w:val="32"/>
          <w:szCs w:val="32"/>
        </w:rPr>
        <w:t xml:space="preserve"> 日</w:t>
      </w:r>
    </w:p>
    <w:p w14:paraId="0E2D70DC"/>
    <w:p w14:paraId="4DA54053">
      <w:pPr>
        <w:pStyle w:val="13"/>
        <w:adjustRightInd w:val="0"/>
        <w:snapToGrid w:val="0"/>
        <w:spacing w:before="0" w:line="440" w:lineRule="exact"/>
        <w:jc w:val="left"/>
        <w:rPr>
          <w:rFonts w:hint="eastAsia" w:eastAsia="仿宋" w:cs="Times New Roman"/>
          <w:color w:val="auto"/>
          <w:sz w:val="24"/>
          <w:szCs w:val="24"/>
          <w:highlight w:val="none"/>
          <w:lang w:eastAsia="zh-CN"/>
        </w:rPr>
      </w:pPr>
      <w:bookmarkStart w:id="0" w:name="_Toc15377196"/>
      <w:bookmarkStart w:id="1"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仿宋" w:eastAsia="仿宋"/>
          <w:bCs/>
          <w:sz w:val="24"/>
          <w:szCs w:val="24"/>
        </w:rPr>
        <w:tab/>
      </w:r>
      <w:r>
        <w:rPr>
          <w:rFonts w:hint="eastAsia"/>
          <w:bCs/>
          <w:sz w:val="24"/>
          <w:szCs w:val="24"/>
          <w:lang w:val="en-US" w:eastAsia="zh-CN"/>
        </w:rPr>
        <w:t>3</w:t>
      </w:r>
    </w:p>
    <w:p w14:paraId="51A17A31">
      <w:pPr>
        <w:pStyle w:val="15"/>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ascii="仿宋" w:eastAsia="仿宋"/>
          <w:bCs/>
          <w:sz w:val="24"/>
          <w:szCs w:val="24"/>
        </w:rPr>
        <w:tab/>
      </w:r>
      <w:r>
        <w:rPr>
          <w:rFonts w:hint="eastAsia" w:ascii="仿宋" w:eastAsia="仿宋"/>
          <w:bCs/>
          <w:sz w:val="24"/>
          <w:szCs w:val="24"/>
          <w:lang w:val="en-US" w:eastAsia="zh-CN"/>
        </w:rPr>
        <w:t>3</w:t>
      </w:r>
    </w:p>
    <w:p w14:paraId="24D6D1E8">
      <w:pPr>
        <w:pStyle w:val="15"/>
        <w:adjustRightInd w:val="0"/>
        <w:snapToGrid w:val="0"/>
        <w:spacing w:line="440" w:lineRule="exact"/>
        <w:jc w:val="left"/>
        <w:rPr>
          <w:rFonts w:hint="eastAsia" w:eastAsia="仿宋"/>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ascii="仿宋" w:eastAsia="仿宋"/>
          <w:bCs/>
          <w:sz w:val="24"/>
          <w:szCs w:val="24"/>
        </w:rPr>
        <w:tab/>
      </w:r>
      <w:r>
        <w:rPr>
          <w:rFonts w:hint="eastAsia" w:ascii="仿宋" w:eastAsia="仿宋"/>
          <w:bCs/>
          <w:sz w:val="24"/>
          <w:szCs w:val="24"/>
          <w:lang w:val="en-US" w:eastAsia="zh-CN"/>
        </w:rPr>
        <w:t>4</w:t>
      </w:r>
    </w:p>
    <w:p w14:paraId="7ECE9C93">
      <w:pPr>
        <w:pStyle w:val="13"/>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ascii="仿宋" w:eastAsia="仿宋"/>
          <w:bCs/>
          <w:sz w:val="24"/>
          <w:szCs w:val="24"/>
        </w:rPr>
        <w:tab/>
      </w:r>
      <w:r>
        <w:rPr>
          <w:rFonts w:hint="eastAsia"/>
          <w:bCs/>
          <w:sz w:val="24"/>
          <w:szCs w:val="24"/>
          <w:lang w:val="en-US" w:eastAsia="zh-CN"/>
        </w:rPr>
        <w:t>5</w:t>
      </w:r>
    </w:p>
    <w:p w14:paraId="0B0EBADD">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一、收入支出决算总体情况说明</w:t>
      </w:r>
      <w:r>
        <w:rPr>
          <w:rFonts w:hint="eastAsia" w:ascii="仿宋" w:eastAsia="仿宋"/>
          <w:bCs/>
          <w:sz w:val="24"/>
          <w:szCs w:val="24"/>
        </w:rPr>
        <w:tab/>
      </w:r>
      <w:r>
        <w:rPr>
          <w:rFonts w:hint="eastAsia" w:ascii="仿宋" w:eastAsia="仿宋"/>
          <w:bCs/>
          <w:sz w:val="24"/>
          <w:szCs w:val="24"/>
          <w:lang w:val="en-US" w:eastAsia="zh-CN"/>
        </w:rPr>
        <w:t>5</w:t>
      </w:r>
    </w:p>
    <w:p w14:paraId="242173D8">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二、收入决算情况说明</w:t>
      </w:r>
      <w:r>
        <w:rPr>
          <w:rFonts w:hint="eastAsia" w:ascii="仿宋" w:eastAsia="仿宋"/>
          <w:bCs/>
          <w:sz w:val="24"/>
          <w:szCs w:val="24"/>
        </w:rPr>
        <w:tab/>
      </w:r>
      <w:r>
        <w:rPr>
          <w:rFonts w:hint="eastAsia" w:ascii="仿宋" w:eastAsia="仿宋"/>
          <w:bCs/>
          <w:sz w:val="24"/>
          <w:szCs w:val="24"/>
          <w:lang w:val="en-US" w:eastAsia="zh-CN"/>
        </w:rPr>
        <w:t>5</w:t>
      </w:r>
    </w:p>
    <w:p w14:paraId="460331D4">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三、支出决算情况说明</w:t>
      </w:r>
      <w:r>
        <w:rPr>
          <w:rFonts w:hint="eastAsia" w:ascii="仿宋" w:eastAsia="仿宋"/>
          <w:bCs/>
          <w:sz w:val="24"/>
          <w:szCs w:val="24"/>
        </w:rPr>
        <w:tab/>
      </w:r>
      <w:r>
        <w:rPr>
          <w:rFonts w:hint="eastAsia" w:ascii="仿宋" w:eastAsia="仿宋"/>
          <w:bCs/>
          <w:sz w:val="24"/>
          <w:szCs w:val="24"/>
          <w:lang w:val="en-US" w:eastAsia="zh-CN"/>
        </w:rPr>
        <w:t>6</w:t>
      </w:r>
    </w:p>
    <w:p w14:paraId="680F7407">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四、财政拨款收入支出决算总体情况说明</w:t>
      </w:r>
      <w:r>
        <w:rPr>
          <w:rFonts w:hint="eastAsia" w:ascii="仿宋" w:eastAsia="仿宋"/>
          <w:bCs/>
          <w:sz w:val="24"/>
          <w:szCs w:val="24"/>
        </w:rPr>
        <w:tab/>
      </w:r>
      <w:r>
        <w:rPr>
          <w:rFonts w:hint="eastAsia" w:ascii="仿宋" w:eastAsia="仿宋"/>
          <w:bCs/>
          <w:sz w:val="24"/>
          <w:szCs w:val="24"/>
          <w:lang w:val="en-US" w:eastAsia="zh-CN"/>
        </w:rPr>
        <w:t>6</w:t>
      </w:r>
    </w:p>
    <w:p w14:paraId="32FDF223">
      <w:pPr>
        <w:pStyle w:val="15"/>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五、一般公共预算财政拨款支出决算情况说明</w:t>
      </w:r>
      <w:r>
        <w:rPr>
          <w:rFonts w:hint="eastAsia" w:ascii="仿宋" w:eastAsia="仿宋"/>
          <w:bCs/>
          <w:sz w:val="24"/>
          <w:szCs w:val="24"/>
        </w:rPr>
        <w:tab/>
      </w:r>
      <w:r>
        <w:rPr>
          <w:rFonts w:hint="eastAsia" w:ascii="仿宋" w:eastAsia="仿宋"/>
          <w:bCs/>
          <w:sz w:val="24"/>
          <w:szCs w:val="24"/>
          <w:lang w:val="en-US" w:eastAsia="zh-CN"/>
        </w:rPr>
        <w:t>7</w:t>
      </w:r>
    </w:p>
    <w:p w14:paraId="23F774A4">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0</w:t>
      </w:r>
    </w:p>
    <w:p w14:paraId="3A1325D2">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0</w:t>
      </w:r>
    </w:p>
    <w:p w14:paraId="3E4CC926">
      <w:pPr>
        <w:pStyle w:val="15"/>
        <w:adjustRightInd w:val="0"/>
        <w:snapToGrid w:val="0"/>
        <w:spacing w:line="440" w:lineRule="exact"/>
        <w:jc w:val="left"/>
        <w:rPr>
          <w:rFonts w:hint="eastAsia" w:ascii="仿宋" w:hAnsi="仿宋" w:eastAsia="仿宋" w:cs="Times New Roman"/>
          <w:color w:val="auto"/>
          <w:sz w:val="24"/>
          <w:highlight w:val="none"/>
          <w:lang w:val="en-US" w:eastAsia="zh-CN"/>
        </w:rPr>
      </w:pPr>
      <w:r>
        <w:rPr>
          <w:rFonts w:hint="eastAsia"/>
          <w:color w:val="auto"/>
          <w:sz w:val="24"/>
          <w:highlight w:val="none"/>
        </w:rPr>
        <w:t>八、政府性基金预算支出决算情况说明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2</w:t>
      </w:r>
    </w:p>
    <w:p w14:paraId="46D74E57">
      <w:pPr>
        <w:pStyle w:val="15"/>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九、国有资本经营预算支出决算情况说明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2</w:t>
      </w:r>
    </w:p>
    <w:p w14:paraId="0BB6B43D">
      <w:pPr>
        <w:pStyle w:val="15"/>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十、其他重要事项的情况说明</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3</w:t>
      </w:r>
    </w:p>
    <w:p w14:paraId="490DD4A8">
      <w:pPr>
        <w:pStyle w:val="13"/>
        <w:adjustRightInd w:val="0"/>
        <w:snapToGrid w:val="0"/>
        <w:spacing w:before="0" w:line="440" w:lineRule="exact"/>
        <w:jc w:val="left"/>
        <w:rPr>
          <w:rFonts w:hint="eastAsia"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eastAsia="仿宋"/>
          <w:bCs/>
          <w:sz w:val="24"/>
          <w:szCs w:val="24"/>
        </w:rPr>
        <w:tab/>
      </w:r>
      <w:r>
        <w:rPr>
          <w:rFonts w:hint="eastAsia" w:ascii="仿宋" w:eastAsia="仿宋"/>
          <w:bCs/>
          <w:sz w:val="24"/>
          <w:szCs w:val="24"/>
        </w:rPr>
        <w:t>1</w:t>
      </w:r>
      <w:r>
        <w:rPr>
          <w:rFonts w:hint="eastAsia"/>
          <w:bCs/>
          <w:sz w:val="24"/>
          <w:szCs w:val="24"/>
          <w:lang w:val="en-US" w:eastAsia="zh-CN"/>
        </w:rPr>
        <w:t>4</w:t>
      </w:r>
    </w:p>
    <w:p w14:paraId="641A2974">
      <w:pPr>
        <w:pStyle w:val="13"/>
        <w:adjustRightInd w:val="0"/>
        <w:snapToGrid w:val="0"/>
        <w:spacing w:before="0" w:line="440" w:lineRule="exact"/>
        <w:jc w:val="left"/>
        <w:rPr>
          <w:rFonts w:hint="eastAsia" w:eastAsia="仿宋" w:cs="Times New Roman"/>
          <w:color w:val="auto"/>
          <w:sz w:val="24"/>
          <w:szCs w:val="24"/>
          <w:highlight w:val="none"/>
          <w:lang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 w:eastAsia="仿宋"/>
          <w:bCs/>
          <w:sz w:val="24"/>
          <w:szCs w:val="24"/>
        </w:rPr>
        <w:tab/>
      </w:r>
      <w:r>
        <w:rPr>
          <w:rFonts w:hint="eastAsia"/>
          <w:bCs/>
          <w:sz w:val="24"/>
          <w:szCs w:val="24"/>
          <w:lang w:val="en-US" w:eastAsia="zh-CN"/>
        </w:rPr>
        <w:t>20</w:t>
      </w:r>
    </w:p>
    <w:p w14:paraId="5F9690C4">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 w:eastAsia="仿宋"/>
          <w:bCs/>
          <w:sz w:val="24"/>
          <w:szCs w:val="24"/>
        </w:rPr>
        <w:tab/>
      </w:r>
      <w:r>
        <w:rPr>
          <w:rFonts w:hint="eastAsia"/>
          <w:bCs/>
          <w:sz w:val="24"/>
          <w:szCs w:val="24"/>
          <w:lang w:val="en-US" w:eastAsia="zh-CN"/>
        </w:rPr>
        <w:t>20</w:t>
      </w:r>
    </w:p>
    <w:p w14:paraId="0D34A924">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r>
        <w:rPr>
          <w:rFonts w:hint="eastAsia" w:ascii="仿宋" w:eastAsia="仿宋"/>
          <w:bCs/>
          <w:sz w:val="24"/>
          <w:szCs w:val="24"/>
        </w:rPr>
        <w:tab/>
      </w:r>
      <w:r>
        <w:rPr>
          <w:rFonts w:hint="eastAsia"/>
          <w:bCs/>
          <w:sz w:val="24"/>
          <w:szCs w:val="24"/>
          <w:lang w:val="en-US" w:eastAsia="zh-CN"/>
        </w:rPr>
        <w:t>20</w:t>
      </w:r>
    </w:p>
    <w:p w14:paraId="7642A1C6">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eastAsia" w:ascii="仿宋" w:eastAsia="仿宋"/>
          <w:bCs/>
          <w:sz w:val="24"/>
          <w:szCs w:val="24"/>
        </w:rPr>
        <w:tab/>
      </w:r>
      <w:r>
        <w:rPr>
          <w:rFonts w:hint="eastAsia"/>
          <w:bCs/>
          <w:sz w:val="24"/>
          <w:szCs w:val="24"/>
          <w:lang w:val="en-US" w:eastAsia="zh-CN"/>
        </w:rPr>
        <w:t>20</w:t>
      </w:r>
    </w:p>
    <w:p w14:paraId="68D9AEF6">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eastAsia" w:ascii="仿宋" w:eastAsia="仿宋"/>
          <w:bCs/>
          <w:sz w:val="24"/>
          <w:szCs w:val="24"/>
        </w:rPr>
        <w:tab/>
      </w:r>
      <w:r>
        <w:rPr>
          <w:rFonts w:hint="eastAsia"/>
          <w:bCs/>
          <w:sz w:val="24"/>
          <w:szCs w:val="24"/>
          <w:lang w:val="en-US" w:eastAsia="zh-CN"/>
        </w:rPr>
        <w:t>20</w:t>
      </w:r>
    </w:p>
    <w:p w14:paraId="4DE48C1A">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ascii="仿宋" w:eastAsia="仿宋"/>
          <w:bCs/>
          <w:sz w:val="24"/>
          <w:szCs w:val="24"/>
        </w:rPr>
        <w:tab/>
      </w:r>
      <w:r>
        <w:rPr>
          <w:rFonts w:hint="eastAsia"/>
          <w:bCs/>
          <w:sz w:val="24"/>
          <w:szCs w:val="24"/>
          <w:lang w:val="en-US" w:eastAsia="zh-CN"/>
        </w:rPr>
        <w:t>20</w:t>
      </w:r>
    </w:p>
    <w:p w14:paraId="64E2CEEB">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ascii="仿宋" w:eastAsia="仿宋"/>
          <w:bCs/>
          <w:sz w:val="24"/>
          <w:szCs w:val="24"/>
        </w:rPr>
        <w:tab/>
      </w:r>
      <w:r>
        <w:rPr>
          <w:rFonts w:hint="eastAsia"/>
          <w:bCs/>
          <w:sz w:val="24"/>
          <w:szCs w:val="24"/>
          <w:lang w:val="en-US" w:eastAsia="zh-CN"/>
        </w:rPr>
        <w:t>20</w:t>
      </w:r>
    </w:p>
    <w:p w14:paraId="16E3AB95">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eastAsia" w:ascii="仿宋" w:eastAsia="仿宋"/>
          <w:bCs/>
          <w:sz w:val="24"/>
          <w:szCs w:val="24"/>
        </w:rPr>
        <w:tab/>
      </w:r>
      <w:r>
        <w:rPr>
          <w:rFonts w:hint="eastAsia"/>
          <w:bCs/>
          <w:sz w:val="24"/>
          <w:szCs w:val="24"/>
          <w:lang w:val="en-US" w:eastAsia="zh-CN"/>
        </w:rPr>
        <w:t>20</w:t>
      </w:r>
    </w:p>
    <w:p w14:paraId="5DC4687C">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ascii="仿宋" w:eastAsia="仿宋"/>
          <w:bCs/>
          <w:sz w:val="24"/>
          <w:szCs w:val="24"/>
        </w:rPr>
        <w:tab/>
      </w:r>
      <w:r>
        <w:rPr>
          <w:rFonts w:hint="eastAsia"/>
          <w:bCs/>
          <w:sz w:val="24"/>
          <w:szCs w:val="24"/>
          <w:lang w:val="en-US" w:eastAsia="zh-CN"/>
        </w:rPr>
        <w:t>20</w:t>
      </w:r>
    </w:p>
    <w:p w14:paraId="5BD18F9E">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仿宋" w:eastAsia="仿宋"/>
          <w:bCs/>
          <w:sz w:val="24"/>
          <w:szCs w:val="24"/>
        </w:rPr>
        <w:tab/>
      </w:r>
      <w:r>
        <w:rPr>
          <w:rFonts w:hint="eastAsia"/>
          <w:bCs/>
          <w:sz w:val="24"/>
          <w:szCs w:val="24"/>
          <w:lang w:val="en-US" w:eastAsia="zh-CN"/>
        </w:rPr>
        <w:t>20</w:t>
      </w:r>
    </w:p>
    <w:p w14:paraId="0266AB85">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ascii="仿宋" w:eastAsia="仿宋"/>
          <w:bCs/>
          <w:sz w:val="24"/>
          <w:szCs w:val="24"/>
        </w:rPr>
        <w:tab/>
      </w:r>
      <w:r>
        <w:rPr>
          <w:rFonts w:hint="eastAsia"/>
          <w:bCs/>
          <w:sz w:val="24"/>
          <w:szCs w:val="24"/>
          <w:lang w:val="en-US" w:eastAsia="zh-CN"/>
        </w:rPr>
        <w:t>20</w:t>
      </w:r>
    </w:p>
    <w:p w14:paraId="09A7F60E">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ascii="仿宋" w:eastAsia="仿宋"/>
          <w:bCs/>
          <w:sz w:val="24"/>
          <w:szCs w:val="24"/>
        </w:rPr>
        <w:tab/>
      </w:r>
      <w:r>
        <w:rPr>
          <w:rFonts w:hint="eastAsia"/>
          <w:bCs/>
          <w:sz w:val="24"/>
          <w:szCs w:val="24"/>
          <w:lang w:val="en-US" w:eastAsia="zh-CN"/>
        </w:rPr>
        <w:t>20</w:t>
      </w:r>
    </w:p>
    <w:p w14:paraId="12B0067D">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r>
        <w:rPr>
          <w:rFonts w:hint="eastAsia" w:ascii="仿宋" w:eastAsia="仿宋"/>
          <w:bCs/>
          <w:sz w:val="24"/>
          <w:szCs w:val="24"/>
        </w:rPr>
        <w:tab/>
      </w:r>
      <w:r>
        <w:rPr>
          <w:rFonts w:hint="eastAsia"/>
          <w:bCs/>
          <w:sz w:val="24"/>
          <w:szCs w:val="24"/>
          <w:lang w:val="en-US" w:eastAsia="zh-CN"/>
        </w:rPr>
        <w:t>20</w:t>
      </w:r>
    </w:p>
    <w:p w14:paraId="5264868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仿宋" w:eastAsia="仿宋"/>
          <w:bCs/>
          <w:sz w:val="24"/>
          <w:szCs w:val="24"/>
        </w:rPr>
        <w:tab/>
      </w:r>
      <w:r>
        <w:rPr>
          <w:rFonts w:hint="eastAsia"/>
          <w:bCs/>
          <w:sz w:val="24"/>
          <w:szCs w:val="24"/>
          <w:lang w:val="en-US" w:eastAsia="zh-CN"/>
        </w:rPr>
        <w:t>20</w:t>
      </w:r>
    </w:p>
    <w:p w14:paraId="11223C50">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r>
        <w:rPr>
          <w:rFonts w:hint="eastAsia" w:ascii="仿宋" w:eastAsia="仿宋"/>
          <w:bCs/>
          <w:sz w:val="24"/>
          <w:szCs w:val="24"/>
        </w:rPr>
        <w:tab/>
      </w:r>
      <w:r>
        <w:rPr>
          <w:rFonts w:hint="eastAsia"/>
          <w:bCs/>
          <w:sz w:val="24"/>
          <w:szCs w:val="24"/>
          <w:lang w:val="en-US" w:eastAsia="zh-CN"/>
        </w:rPr>
        <w:t>20</w:t>
      </w:r>
    </w:p>
    <w:p w14:paraId="52DE4981">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3273BCA8">
      <w:pPr>
        <w:pStyle w:val="3"/>
        <w:jc w:val="center"/>
        <w:rPr>
          <w:rStyle w:val="30"/>
          <w:rFonts w:eastAsia="方正小标宋简体" w:cs="方正小标宋简体"/>
          <w:b/>
          <w:bCs w:val="0"/>
        </w:rPr>
      </w:pPr>
      <w:bookmarkStart w:id="2" w:name="_Toc26095"/>
      <w:r>
        <w:rPr>
          <w:rFonts w:hint="eastAsia" w:eastAsia="方正小标宋简体" w:cs="方正小标宋简体"/>
          <w:b w:val="0"/>
        </w:rPr>
        <w:t xml:space="preserve">第一部分  </w:t>
      </w:r>
      <w:r>
        <w:rPr>
          <w:rStyle w:val="30"/>
          <w:rFonts w:hint="eastAsia" w:eastAsia="方正小标宋简体" w:cs="方正小标宋简体"/>
          <w:b w:val="0"/>
          <w:bCs w:val="0"/>
          <w:lang w:val="en-US" w:eastAsia="zh-CN"/>
        </w:rPr>
        <w:t>单位</w:t>
      </w:r>
      <w:r>
        <w:rPr>
          <w:rStyle w:val="30"/>
          <w:rFonts w:hint="eastAsia" w:eastAsia="方正小标宋简体" w:cs="方正小标宋简体"/>
          <w:b w:val="0"/>
          <w:bCs w:val="0"/>
        </w:rPr>
        <w:t>概况</w:t>
      </w:r>
      <w:bookmarkEnd w:id="0"/>
      <w:bookmarkEnd w:id="1"/>
      <w:bookmarkEnd w:id="2"/>
    </w:p>
    <w:p w14:paraId="68E85E2A">
      <w:pPr>
        <w:widowControl/>
        <w:jc w:val="left"/>
        <w:rPr>
          <w:rFonts w:eastAsia="黑体"/>
          <w:sz w:val="32"/>
          <w:szCs w:val="32"/>
        </w:rPr>
      </w:pPr>
    </w:p>
    <w:p w14:paraId="427C99C8">
      <w:pPr>
        <w:pStyle w:val="4"/>
        <w:numPr>
          <w:ilvl w:val="0"/>
          <w:numId w:val="1"/>
        </w:numPr>
        <w:rPr>
          <w:rStyle w:val="37"/>
          <w:rFonts w:hint="eastAsia" w:ascii="黑体" w:hAnsi="黑体" w:eastAsia="黑体"/>
          <w:b w:val="0"/>
          <w:bCs w:val="0"/>
          <w:color w:val="auto"/>
          <w:highlight w:val="none"/>
          <w:lang w:eastAsia="zh-CN"/>
        </w:rPr>
      </w:pPr>
      <w:bookmarkStart w:id="3" w:name="_Toc20539"/>
      <w:bookmarkStart w:id="4" w:name="_Toc15396602"/>
      <w:bookmarkStart w:id="5" w:name="_Toc15377204"/>
      <w:r>
        <w:rPr>
          <w:rStyle w:val="37"/>
          <w:rFonts w:hint="eastAsia" w:ascii="黑体" w:hAnsi="黑体" w:eastAsia="黑体"/>
          <w:b w:val="0"/>
          <w:bCs w:val="0"/>
          <w:color w:val="auto"/>
          <w:highlight w:val="none"/>
          <w:lang w:eastAsia="zh-CN"/>
        </w:rPr>
        <w:t>主要职责</w:t>
      </w:r>
      <w:bookmarkEnd w:id="3"/>
    </w:p>
    <w:p w14:paraId="2DE9900C">
      <w:pPr>
        <w:pStyle w:val="4"/>
        <w:ind w:firstLine="624" w:firstLineChars="200"/>
        <w:rPr>
          <w:rFonts w:hint="eastAsia" w:eastAsia="仿宋_GB2312"/>
          <w:b w:val="0"/>
          <w:spacing w:val="-4"/>
        </w:rPr>
      </w:pPr>
      <w:bookmarkStart w:id="6" w:name="_Toc24413"/>
      <w:r>
        <w:rPr>
          <w:rFonts w:hint="eastAsia" w:eastAsia="仿宋_GB2312"/>
          <w:b w:val="0"/>
          <w:spacing w:val="-4"/>
        </w:rPr>
        <w:t>（1）</w:t>
      </w:r>
      <w:r>
        <w:rPr>
          <w:rFonts w:eastAsia="仿宋_GB2312"/>
          <w:b w:val="0"/>
          <w:spacing w:val="-4"/>
        </w:rPr>
        <w:t>贯彻国家、省、市住房与城乡建设的法律、法规和方针、政策，参与全区国民经济和社会发展规划编制相关工作，研究制定建设系统经济发展战略、中长期规划、年度计划和相关政策并组织实施。</w:t>
      </w:r>
      <w:bookmarkEnd w:id="6"/>
    </w:p>
    <w:p w14:paraId="41A6C5E8">
      <w:pPr>
        <w:pStyle w:val="4"/>
        <w:ind w:firstLine="624" w:firstLineChars="200"/>
        <w:rPr>
          <w:rFonts w:ascii="黑体" w:hAnsi="黑体" w:eastAsia="黑体"/>
          <w:b w:val="0"/>
          <w:bCs w:val="0"/>
        </w:rPr>
      </w:pPr>
      <w:bookmarkStart w:id="7" w:name="_Toc21905"/>
      <w:r>
        <w:rPr>
          <w:rFonts w:hint="eastAsia" w:eastAsia="仿宋_GB2312"/>
          <w:b w:val="0"/>
          <w:spacing w:val="-4"/>
        </w:rPr>
        <w:t>（2）</w:t>
      </w:r>
      <w:r>
        <w:rPr>
          <w:rFonts w:eastAsia="仿宋_GB2312"/>
          <w:b w:val="0"/>
          <w:spacing w:val="-4"/>
        </w:rPr>
        <w:t>贯彻执行全市住房改革及住房保障政策；负责制定辖区住房保障实施方案并组织实施；负责辖区保障性住房建设的组织、协调、指导工作；负责辖区廉租住房分配、管理和补贴发放。</w:t>
      </w:r>
      <w:bookmarkEnd w:id="7"/>
    </w:p>
    <w:p w14:paraId="18A928D3">
      <w:pPr>
        <w:spacing w:line="353" w:lineRule="auto"/>
        <w:rPr>
          <w:rFonts w:eastAsia="仿宋_GB2312"/>
          <w:spacing w:val="-4"/>
          <w:sz w:val="32"/>
          <w:szCs w:val="32"/>
        </w:rPr>
      </w:pPr>
      <w:r>
        <w:rPr>
          <w:rFonts w:hint="eastAsia" w:eastAsia="仿宋_GB2312"/>
          <w:spacing w:val="-4"/>
          <w:sz w:val="32"/>
          <w:szCs w:val="32"/>
        </w:rPr>
        <w:t xml:space="preserve">     （3）</w:t>
      </w:r>
      <w:r>
        <w:rPr>
          <w:rFonts w:eastAsia="仿宋_GB2312"/>
          <w:spacing w:val="-4"/>
          <w:sz w:val="32"/>
          <w:szCs w:val="32"/>
        </w:rPr>
        <w:t>承担权限范围内城乡建设管理职责。指导全区城乡建设，指导制定村镇中长期规划、年度计划及建设方案，并组织实施。负责建筑节能的监督管理工作。</w:t>
      </w:r>
    </w:p>
    <w:p w14:paraId="36E09461">
      <w:pPr>
        <w:spacing w:line="353" w:lineRule="auto"/>
        <w:ind w:firstLine="624" w:firstLineChars="200"/>
        <w:rPr>
          <w:rFonts w:eastAsia="仿宋_GB2312"/>
          <w:spacing w:val="-4"/>
          <w:sz w:val="32"/>
          <w:szCs w:val="32"/>
        </w:rPr>
      </w:pPr>
      <w:r>
        <w:rPr>
          <w:rFonts w:hint="eastAsia" w:eastAsia="仿宋_GB2312"/>
          <w:spacing w:val="-4"/>
          <w:sz w:val="32"/>
          <w:szCs w:val="32"/>
        </w:rPr>
        <w:t>（</w:t>
      </w:r>
      <w:r>
        <w:rPr>
          <w:rFonts w:eastAsia="仿宋_GB2312"/>
          <w:spacing w:val="-4"/>
          <w:sz w:val="32"/>
          <w:szCs w:val="32"/>
        </w:rPr>
        <w:t>4</w:t>
      </w:r>
      <w:r>
        <w:rPr>
          <w:rFonts w:hint="eastAsia" w:eastAsia="仿宋_GB2312"/>
          <w:spacing w:val="-4"/>
          <w:sz w:val="32"/>
          <w:szCs w:val="32"/>
        </w:rPr>
        <w:t>）</w:t>
      </w:r>
      <w:r>
        <w:rPr>
          <w:rFonts w:eastAsia="仿宋_GB2312"/>
          <w:spacing w:val="-4"/>
          <w:sz w:val="32"/>
          <w:szCs w:val="32"/>
        </w:rPr>
        <w:t>根据有关法规和政策研究拟定我区新区开发和旧城改造政策，按照城市规划拟定编制新区开发和旧城改造计划，经批准后抓好相关改造的落实；负责综合协调管理全区新区开发和旧城改造工作，并组织实施辖区国有土地上房屋征收与补偿工作。</w:t>
      </w:r>
    </w:p>
    <w:p w14:paraId="41998852">
      <w:pPr>
        <w:spacing w:line="353" w:lineRule="auto"/>
        <w:ind w:firstLine="624" w:firstLineChars="200"/>
        <w:rPr>
          <w:rFonts w:eastAsia="仿宋_GB2312"/>
          <w:spacing w:val="-4"/>
          <w:sz w:val="32"/>
          <w:szCs w:val="32"/>
        </w:rPr>
      </w:pPr>
      <w:r>
        <w:rPr>
          <w:rFonts w:hint="eastAsia" w:eastAsia="仿宋_GB2312"/>
          <w:spacing w:val="-4"/>
          <w:sz w:val="32"/>
          <w:szCs w:val="32"/>
        </w:rPr>
        <w:t>（5）</w:t>
      </w:r>
      <w:r>
        <w:rPr>
          <w:rFonts w:eastAsia="仿宋_GB2312"/>
          <w:spacing w:val="-4"/>
          <w:sz w:val="32"/>
          <w:szCs w:val="32"/>
        </w:rPr>
        <w:t>负责辖区建筑市场监督管理、规范市场行为。参与辖区各类工程项目招投标监督工作；参与建筑工地拖欠工程款和农民工工资清理工作。</w:t>
      </w:r>
    </w:p>
    <w:p w14:paraId="329312C4">
      <w:pPr>
        <w:spacing w:line="353" w:lineRule="auto"/>
        <w:ind w:firstLine="624" w:firstLineChars="200"/>
        <w:rPr>
          <w:rFonts w:eastAsia="仿宋_GB2312"/>
          <w:spacing w:val="-4"/>
          <w:sz w:val="32"/>
          <w:szCs w:val="32"/>
        </w:rPr>
      </w:pPr>
      <w:r>
        <w:rPr>
          <w:rFonts w:hint="eastAsia" w:eastAsia="仿宋_GB2312"/>
          <w:spacing w:val="-4"/>
          <w:sz w:val="32"/>
          <w:szCs w:val="32"/>
        </w:rPr>
        <w:t>（6）</w:t>
      </w:r>
      <w:r>
        <w:rPr>
          <w:rFonts w:eastAsia="仿宋_GB2312"/>
          <w:spacing w:val="-4"/>
          <w:sz w:val="32"/>
          <w:szCs w:val="32"/>
        </w:rPr>
        <w:t>承担权限范围内规范房地产市场秩序、监督管理房地产市场的责任。</w:t>
      </w:r>
    </w:p>
    <w:p w14:paraId="26165C27">
      <w:pPr>
        <w:spacing w:line="353" w:lineRule="auto"/>
        <w:ind w:firstLine="624" w:firstLineChars="200"/>
        <w:rPr>
          <w:rFonts w:eastAsia="仿宋_GB2312"/>
          <w:spacing w:val="-4"/>
          <w:sz w:val="32"/>
          <w:szCs w:val="32"/>
        </w:rPr>
      </w:pPr>
      <w:r>
        <w:rPr>
          <w:rFonts w:hint="eastAsia" w:eastAsia="仿宋_GB2312"/>
          <w:spacing w:val="-4"/>
          <w:sz w:val="32"/>
          <w:szCs w:val="32"/>
        </w:rPr>
        <w:t>（7）</w:t>
      </w:r>
      <w:r>
        <w:rPr>
          <w:rFonts w:eastAsia="仿宋_GB2312"/>
          <w:spacing w:val="-4"/>
          <w:sz w:val="32"/>
          <w:szCs w:val="32"/>
        </w:rPr>
        <w:t>贯彻执行国家、省、市有关人民防空的方针、政策和法律、法规，负责组织实施全区人民防空工作。</w:t>
      </w:r>
    </w:p>
    <w:p w14:paraId="7EC88C77">
      <w:pPr>
        <w:spacing w:line="353" w:lineRule="auto"/>
        <w:ind w:firstLine="624" w:firstLineChars="200"/>
        <w:rPr>
          <w:rFonts w:eastAsia="仿宋_GB2312"/>
          <w:spacing w:val="-4"/>
          <w:sz w:val="32"/>
          <w:szCs w:val="32"/>
        </w:rPr>
      </w:pPr>
      <w:r>
        <w:rPr>
          <w:rFonts w:hint="eastAsia" w:eastAsia="仿宋_GB2312"/>
          <w:spacing w:val="-4"/>
          <w:sz w:val="32"/>
          <w:szCs w:val="32"/>
        </w:rPr>
        <w:t>（8）</w:t>
      </w:r>
      <w:r>
        <w:rPr>
          <w:rFonts w:eastAsia="仿宋_GB2312"/>
          <w:spacing w:val="-4"/>
          <w:sz w:val="32"/>
          <w:szCs w:val="32"/>
        </w:rPr>
        <w:t>负责建设工程消防设计备案抽查事项，负责建设工程消防竣工验收和验收备案抽查职责。</w:t>
      </w:r>
    </w:p>
    <w:p w14:paraId="7DADF4EC">
      <w:pPr>
        <w:spacing w:line="353" w:lineRule="auto"/>
        <w:ind w:firstLine="624" w:firstLineChars="200"/>
        <w:rPr>
          <w:rFonts w:eastAsia="仿宋_GB2312"/>
          <w:spacing w:val="-4"/>
          <w:sz w:val="32"/>
          <w:szCs w:val="32"/>
        </w:rPr>
      </w:pPr>
      <w:r>
        <w:rPr>
          <w:rFonts w:hint="eastAsia" w:eastAsia="仿宋_GB2312"/>
          <w:spacing w:val="-4"/>
          <w:sz w:val="32"/>
          <w:szCs w:val="32"/>
        </w:rPr>
        <w:t>（9）</w:t>
      </w:r>
      <w:r>
        <w:rPr>
          <w:rFonts w:eastAsia="仿宋_GB2312"/>
          <w:spacing w:val="-4"/>
          <w:sz w:val="32"/>
          <w:szCs w:val="32"/>
        </w:rPr>
        <w:t>承担采煤沉陷区居民搬迁安置职责。</w:t>
      </w:r>
    </w:p>
    <w:p w14:paraId="554DD89C">
      <w:pPr>
        <w:spacing w:line="353" w:lineRule="auto"/>
        <w:ind w:firstLine="624" w:firstLineChars="200"/>
        <w:rPr>
          <w:rFonts w:eastAsia="仿宋_GB2312"/>
          <w:spacing w:val="-4"/>
          <w:sz w:val="32"/>
          <w:szCs w:val="32"/>
        </w:rPr>
      </w:pPr>
      <w:r>
        <w:rPr>
          <w:rFonts w:hint="eastAsia" w:eastAsia="仿宋_GB2312"/>
          <w:spacing w:val="-4"/>
          <w:sz w:val="32"/>
          <w:szCs w:val="32"/>
        </w:rPr>
        <w:t>（1</w:t>
      </w:r>
      <w:r>
        <w:rPr>
          <w:rFonts w:eastAsia="仿宋_GB2312"/>
          <w:spacing w:val="-4"/>
          <w:sz w:val="32"/>
          <w:szCs w:val="32"/>
        </w:rPr>
        <w:t>0</w:t>
      </w:r>
      <w:r>
        <w:rPr>
          <w:rFonts w:hint="eastAsia" w:eastAsia="仿宋_GB2312"/>
          <w:spacing w:val="-4"/>
          <w:sz w:val="32"/>
          <w:szCs w:val="32"/>
        </w:rPr>
        <w:t>）</w:t>
      </w:r>
      <w:r>
        <w:rPr>
          <w:rFonts w:eastAsia="仿宋_GB2312"/>
          <w:spacing w:val="-4"/>
          <w:sz w:val="32"/>
          <w:szCs w:val="32"/>
        </w:rPr>
        <w:t>负责职责范围内的安全生产和职业健康、生态环境保护、审批服务便民化等工作。</w:t>
      </w:r>
    </w:p>
    <w:p w14:paraId="235A0E08">
      <w:pPr>
        <w:ind w:firstLine="624" w:firstLineChars="200"/>
        <w:rPr>
          <w:rFonts w:hint="eastAsia"/>
          <w:lang w:eastAsia="zh-CN"/>
        </w:rPr>
      </w:pPr>
      <w:r>
        <w:rPr>
          <w:rFonts w:hint="eastAsia" w:eastAsia="仿宋_GB2312"/>
          <w:spacing w:val="-4"/>
          <w:sz w:val="32"/>
          <w:szCs w:val="32"/>
        </w:rPr>
        <w:t>（1</w:t>
      </w:r>
      <w:r>
        <w:rPr>
          <w:rFonts w:eastAsia="仿宋_GB2312"/>
          <w:spacing w:val="-4"/>
          <w:sz w:val="32"/>
          <w:szCs w:val="32"/>
        </w:rPr>
        <w:t>1</w:t>
      </w:r>
      <w:r>
        <w:rPr>
          <w:rFonts w:hint="eastAsia" w:eastAsia="仿宋_GB2312"/>
          <w:spacing w:val="-4"/>
          <w:sz w:val="32"/>
          <w:szCs w:val="32"/>
        </w:rPr>
        <w:t>）</w:t>
      </w:r>
      <w:r>
        <w:rPr>
          <w:rFonts w:eastAsia="仿宋_GB2312"/>
          <w:spacing w:val="-4"/>
          <w:sz w:val="32"/>
          <w:szCs w:val="32"/>
        </w:rPr>
        <w:t>完成区委和区政府交办的其他任务。</w:t>
      </w:r>
    </w:p>
    <w:p w14:paraId="4CBF02E3">
      <w:pPr>
        <w:pStyle w:val="4"/>
        <w:numPr>
          <w:ilvl w:val="0"/>
          <w:numId w:val="0"/>
        </w:numPr>
        <w:rPr>
          <w:rFonts w:hint="eastAsia" w:ascii="黑体" w:hAnsi="黑体" w:eastAsia="黑体"/>
          <w:b w:val="0"/>
          <w:color w:val="auto"/>
          <w:highlight w:val="none"/>
          <w:lang w:val="en-US" w:eastAsia="zh-CN"/>
        </w:rPr>
      </w:pPr>
      <w:bookmarkStart w:id="8" w:name="_Toc7963"/>
      <w:r>
        <w:rPr>
          <w:rFonts w:hint="eastAsia" w:ascii="黑体" w:hAnsi="黑体" w:eastAsia="黑体"/>
          <w:b w:val="0"/>
          <w:color w:val="auto"/>
          <w:highlight w:val="none"/>
          <w:lang w:val="en-US" w:eastAsia="zh-CN"/>
        </w:rPr>
        <w:t>二、机构设置</w:t>
      </w:r>
      <w:bookmarkEnd w:id="8"/>
    </w:p>
    <w:p w14:paraId="3E62BC9F">
      <w:pPr>
        <w:ind w:firstLine="800" w:firstLineChars="250"/>
        <w:rPr>
          <w:rFonts w:ascii="仿宋_GB2312" w:hAnsi="仿宋" w:eastAsia="仿宋_GB2312"/>
          <w:sz w:val="32"/>
          <w:szCs w:val="32"/>
        </w:rPr>
      </w:pPr>
      <w:r>
        <w:rPr>
          <w:rFonts w:hint="eastAsia" w:ascii="仿宋_GB2312" w:hAnsi="仿宋" w:eastAsia="仿宋_GB2312"/>
          <w:sz w:val="32"/>
          <w:szCs w:val="32"/>
        </w:rPr>
        <w:t>西区住房和城乡建设局下属二级单位</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个，其中行政单位0个，参照公务员法管理的事业单位</w:t>
      </w:r>
      <w:r>
        <w:rPr>
          <w:rFonts w:hint="eastAsia" w:ascii="仿宋_GB2312" w:hAnsi="仿宋" w:eastAsia="仿宋_GB2312"/>
          <w:bCs/>
          <w:sz w:val="32"/>
          <w:szCs w:val="32"/>
        </w:rPr>
        <w:t>0</w:t>
      </w:r>
      <w:r>
        <w:rPr>
          <w:rFonts w:hint="eastAsia" w:ascii="仿宋_GB2312" w:hAnsi="仿宋" w:eastAsia="仿宋_GB2312"/>
          <w:sz w:val="32"/>
          <w:szCs w:val="32"/>
        </w:rPr>
        <w:t>个，其他事业单位</w:t>
      </w:r>
      <w:r>
        <w:rPr>
          <w:rFonts w:hint="eastAsia" w:ascii="仿宋_GB2312" w:hAnsi="仿宋" w:eastAsia="仿宋_GB2312"/>
          <w:sz w:val="32"/>
          <w:szCs w:val="32"/>
          <w:lang w:val="en-US" w:eastAsia="zh-CN"/>
        </w:rPr>
        <w:t>2</w:t>
      </w:r>
      <w:r>
        <w:rPr>
          <w:rFonts w:hint="eastAsia" w:ascii="仿宋_GB2312" w:hAnsi="仿宋" w:eastAsia="仿宋_GB2312"/>
          <w:sz w:val="32"/>
          <w:szCs w:val="32"/>
        </w:rPr>
        <w:t>个。</w:t>
      </w:r>
    </w:p>
    <w:p w14:paraId="461BC191">
      <w:pPr>
        <w:pStyle w:val="2"/>
        <w:adjustRightInd w:val="0"/>
        <w:snapToGrid w:val="0"/>
        <w:spacing w:before="93" w:line="600" w:lineRule="exact"/>
        <w:ind w:firstLine="672" w:firstLineChars="210"/>
        <w:rPr>
          <w:rFonts w:hAnsi="仿宋"/>
          <w:color w:val="000000"/>
          <w:sz w:val="32"/>
          <w:szCs w:val="32"/>
        </w:rPr>
      </w:pPr>
      <w:r>
        <w:rPr>
          <w:rFonts w:hint="eastAsia" w:hAnsi="仿宋"/>
          <w:color w:val="000000"/>
          <w:sz w:val="32"/>
          <w:szCs w:val="32"/>
        </w:rPr>
        <w:t>纳入</w:t>
      </w:r>
      <w:r>
        <w:rPr>
          <w:rFonts w:hint="eastAsia" w:hAnsi="仿宋"/>
          <w:sz w:val="32"/>
          <w:szCs w:val="32"/>
        </w:rPr>
        <w:t>西区住房和城乡建设局</w:t>
      </w:r>
      <w:r>
        <w:rPr>
          <w:rFonts w:hint="eastAsia" w:hAnsi="仿宋"/>
          <w:color w:val="000000"/>
          <w:sz w:val="32"/>
          <w:szCs w:val="32"/>
        </w:rPr>
        <w:t>202</w:t>
      </w:r>
      <w:r>
        <w:rPr>
          <w:rFonts w:hint="eastAsia" w:hAnsi="仿宋"/>
          <w:color w:val="000000"/>
          <w:sz w:val="32"/>
          <w:szCs w:val="32"/>
          <w:lang w:val="en-US" w:eastAsia="zh-CN"/>
        </w:rPr>
        <w:t>3</w:t>
      </w:r>
      <w:r>
        <w:rPr>
          <w:rFonts w:hint="eastAsia" w:hAnsi="仿宋"/>
          <w:color w:val="000000"/>
          <w:sz w:val="32"/>
          <w:szCs w:val="32"/>
        </w:rPr>
        <w:t>年度部门决算编制范围的二级预算单位包括：攀枝花市西区城市建设服务中心。</w:t>
      </w:r>
    </w:p>
    <w:p w14:paraId="14CCD7A8">
      <w:pPr>
        <w:pStyle w:val="3"/>
        <w:jc w:val="center"/>
        <w:rPr>
          <w:rFonts w:eastAsia="方正小标宋简体" w:cs="方正小标宋简体"/>
          <w:b w:val="0"/>
        </w:rPr>
      </w:pPr>
      <w:bookmarkStart w:id="9" w:name="_Toc14655"/>
      <w:r>
        <w:rPr>
          <w:rFonts w:hint="eastAsia" w:eastAsia="方正小标宋简体" w:cs="方正小标宋简体"/>
          <w:b w:val="0"/>
        </w:rPr>
        <w:t>第二部分  2024年度部门决算情况说明</w:t>
      </w:r>
      <w:bookmarkEnd w:id="4"/>
      <w:bookmarkEnd w:id="5"/>
      <w:bookmarkEnd w:id="9"/>
    </w:p>
    <w:p w14:paraId="3BC6766C"/>
    <w:p w14:paraId="027AEDB7">
      <w:pPr>
        <w:pStyle w:val="29"/>
        <w:spacing w:line="600" w:lineRule="exact"/>
        <w:ind w:firstLine="640"/>
        <w:outlineLvl w:val="1"/>
        <w:rPr>
          <w:rStyle w:val="31"/>
          <w:rFonts w:ascii="Times New Roman" w:hAnsi="Times New Roman" w:eastAsia="黑体"/>
          <w:b w:val="0"/>
        </w:rPr>
      </w:pPr>
      <w:bookmarkStart w:id="10" w:name="_Toc15396603"/>
      <w:bookmarkStart w:id="11" w:name="_Toc21760"/>
      <w:bookmarkStart w:id="12"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0"/>
      <w:bookmarkEnd w:id="11"/>
      <w:bookmarkEnd w:id="12"/>
    </w:p>
    <w:p w14:paraId="1A3EE785">
      <w:pPr>
        <w:pStyle w:val="29"/>
        <w:spacing w:line="600" w:lineRule="exact"/>
        <w:ind w:firstLine="640"/>
        <w:outlineLvl w:val="1"/>
        <w:rPr>
          <w:rFonts w:hint="default" w:eastAsia="仿宋_GB2312" w:cs="仿宋_GB2312"/>
          <w:sz w:val="32"/>
          <w:szCs w:val="32"/>
          <w:lang w:val="en-US" w:eastAsia="zh-CN"/>
        </w:rPr>
      </w:pPr>
      <w:bookmarkStart w:id="13" w:name="_Toc6115"/>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52539.21</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21972.41</w:t>
      </w:r>
      <w:r>
        <w:rPr>
          <w:rFonts w:hint="eastAsia" w:eastAsia="仿宋_GB2312" w:cs="仿宋_GB2312"/>
          <w:sz w:val="32"/>
          <w:szCs w:val="32"/>
        </w:rPr>
        <w:t>万元，增长</w:t>
      </w:r>
      <w:r>
        <w:rPr>
          <w:rFonts w:hint="eastAsia" w:eastAsia="仿宋_GB2312" w:cs="仿宋_GB2312"/>
          <w:sz w:val="32"/>
          <w:szCs w:val="32"/>
          <w:lang w:val="en-US" w:eastAsia="zh-CN"/>
        </w:rPr>
        <w:t>71.88</w:t>
      </w:r>
      <w:r>
        <w:rPr>
          <w:rFonts w:hint="eastAsia" w:eastAsia="仿宋_GB2312" w:cs="仿宋_GB2312"/>
          <w:sz w:val="32"/>
          <w:szCs w:val="32"/>
        </w:rPr>
        <w:t>%。主要变动原因是</w:t>
      </w:r>
      <w:r>
        <w:rPr>
          <w:rFonts w:hint="eastAsia" w:eastAsia="仿宋_GB2312" w:cs="仿宋_GB2312"/>
          <w:sz w:val="32"/>
          <w:szCs w:val="32"/>
          <w:lang w:val="en-US" w:eastAsia="zh-CN"/>
        </w:rPr>
        <w:t>项目资金增加。</w:t>
      </w:r>
      <w:bookmarkEnd w:id="13"/>
    </w:p>
    <w:p w14:paraId="5E14D882">
      <w:pPr>
        <w:ind w:firstLine="640" w:firstLineChars="200"/>
        <w:rPr>
          <w:rFonts w:hint="eastAsia" w:eastAsia="仿宋_GB2312" w:cs="仿宋_GB2312"/>
          <w:sz w:val="32"/>
          <w:szCs w:val="32"/>
        </w:rPr>
      </w:pPr>
      <w:r>
        <w:rPr>
          <w:rFonts w:hint="eastAsia" w:eastAsia="仿宋_GB2312" w:cs="仿宋_GB2312"/>
          <w:sz w:val="32"/>
          <w:szCs w:val="32"/>
        </w:rPr>
        <w:t>（图1：收入、支出决算总计变动情况图）</w:t>
      </w:r>
    </w:p>
    <w:p w14:paraId="1F196F8D">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572000" cy="326136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1FFE97">
      <w:pPr>
        <w:pStyle w:val="29"/>
        <w:spacing w:line="600" w:lineRule="exact"/>
        <w:ind w:left="0" w:leftChars="0" w:firstLine="320" w:firstLineChars="100"/>
        <w:outlineLvl w:val="1"/>
        <w:rPr>
          <w:rFonts w:eastAsia="黑体"/>
          <w:sz w:val="32"/>
          <w:szCs w:val="32"/>
        </w:rPr>
      </w:pPr>
      <w:bookmarkStart w:id="14" w:name="_Toc20147"/>
      <w:bookmarkStart w:id="15" w:name="_Toc15396604"/>
      <w:bookmarkStart w:id="16" w:name="_Toc15377206"/>
      <w:r>
        <w:rPr>
          <w:rFonts w:hint="eastAsia" w:eastAsia="黑体"/>
          <w:sz w:val="32"/>
          <w:szCs w:val="32"/>
        </w:rPr>
        <w:t>二、收入决算情况说明</w:t>
      </w:r>
      <w:bookmarkEnd w:id="14"/>
      <w:bookmarkEnd w:id="15"/>
      <w:bookmarkEnd w:id="16"/>
    </w:p>
    <w:p w14:paraId="1B8A62DB">
      <w:pPr>
        <w:pStyle w:val="29"/>
        <w:spacing w:line="600" w:lineRule="exact"/>
        <w:ind w:firstLine="640"/>
        <w:jc w:val="left"/>
        <w:outlineLvl w:val="1"/>
        <w:rPr>
          <w:rFonts w:eastAsia="仿宋_GB2312" w:cs="仿宋_GB2312"/>
          <w:b/>
          <w:bCs/>
          <w:sz w:val="32"/>
          <w:szCs w:val="32"/>
        </w:rPr>
      </w:pPr>
      <w:bookmarkStart w:id="17" w:name="_Toc9738"/>
      <w:r>
        <w:rPr>
          <w:rFonts w:hint="eastAsia" w:ascii="仿宋_GB2312" w:hAnsi="仿宋_GB2312" w:eastAsia="仿宋_GB2312" w:cs="仿宋_GB2312"/>
          <w:sz w:val="32"/>
          <w:szCs w:val="32"/>
        </w:rPr>
        <w:t>2024年度本年收入合计51422.25万元，其中：一般公共预算财政拨款收入9253.01万元，占17.99%；政府性基金预算财政拨款收入40263.95万元，占78.3%%；国有资本经营预算财政拨款收入1905.28万元，占3.7%。</w:t>
      </w:r>
      <w:bookmarkEnd w:id="17"/>
    </w:p>
    <w:p w14:paraId="35C7C41C">
      <w:pPr>
        <w:ind w:firstLine="800" w:firstLineChars="250"/>
        <w:rPr>
          <w:rFonts w:hint="eastAsia" w:eastAsia="仿宋_GB2312" w:cs="仿宋_GB2312"/>
          <w:sz w:val="32"/>
          <w:szCs w:val="32"/>
        </w:rPr>
      </w:pPr>
      <w:r>
        <w:rPr>
          <w:rFonts w:hint="eastAsia" w:eastAsia="仿宋_GB2312" w:cs="仿宋_GB2312"/>
          <w:sz w:val="32"/>
          <w:szCs w:val="32"/>
        </w:rPr>
        <w:t>（图2：收入决算结构图）（饼状图）</w:t>
      </w:r>
    </w:p>
    <w:p w14:paraId="61C74EE3">
      <w:pPr>
        <w:pStyle w:val="2"/>
        <w:rPr>
          <w:rFonts w:hint="eastAsia"/>
        </w:rPr>
      </w:pPr>
      <w:r>
        <w:rPr>
          <w:rFonts w:hint="eastAsia" w:cs="仿宋_GB2312"/>
          <w:sz w:val="32"/>
          <w:szCs w:val="32"/>
          <w:lang w:val="en-US" w:eastAsia="zh-CN"/>
        </w:rPr>
        <w:t xml:space="preserve">    </w:t>
      </w:r>
      <w:r>
        <w:drawing>
          <wp:inline distT="0" distB="0" distL="114300" distR="114300">
            <wp:extent cx="4479925" cy="3208655"/>
            <wp:effectExtent l="4445" t="4445" r="11430" b="1778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9A610">
      <w:pPr>
        <w:pStyle w:val="29"/>
        <w:spacing w:line="600" w:lineRule="exact"/>
        <w:ind w:left="0" w:leftChars="0" w:firstLine="640" w:firstLineChars="200"/>
        <w:outlineLvl w:val="1"/>
        <w:rPr>
          <w:rStyle w:val="31"/>
          <w:rFonts w:ascii="Times New Roman" w:hAnsi="Times New Roman" w:eastAsia="黑体"/>
          <w:b w:val="0"/>
        </w:rPr>
      </w:pPr>
      <w:bookmarkStart w:id="18" w:name="_Toc15396605"/>
      <w:bookmarkStart w:id="19" w:name="_Toc32292"/>
      <w:bookmarkStart w:id="20" w:name="_Toc15377207"/>
      <w:r>
        <w:rPr>
          <w:rFonts w:hint="eastAsia" w:eastAsia="黑体"/>
          <w:sz w:val="32"/>
          <w:szCs w:val="32"/>
        </w:rPr>
        <w:t>三、支</w:t>
      </w:r>
      <w:r>
        <w:rPr>
          <w:rStyle w:val="31"/>
          <w:rFonts w:hint="eastAsia" w:ascii="Times New Roman" w:hAnsi="Times New Roman" w:eastAsia="黑体"/>
          <w:b w:val="0"/>
        </w:rPr>
        <w:t>出决算情况说明</w:t>
      </w:r>
      <w:bookmarkEnd w:id="18"/>
      <w:bookmarkEnd w:id="19"/>
      <w:bookmarkEnd w:id="20"/>
    </w:p>
    <w:p w14:paraId="0D1B399F">
      <w:pPr>
        <w:pStyle w:val="29"/>
        <w:spacing w:line="600" w:lineRule="exact"/>
        <w:ind w:firstLine="640"/>
        <w:jc w:val="left"/>
        <w:outlineLvl w:val="1"/>
        <w:rPr>
          <w:rFonts w:hint="eastAsia" w:eastAsia="仿宋_GB2312" w:cs="仿宋_GB2312"/>
          <w:sz w:val="32"/>
          <w:szCs w:val="32"/>
          <w:lang w:eastAsia="zh-CN"/>
        </w:rPr>
      </w:pPr>
      <w:bookmarkStart w:id="21" w:name="_Toc10022"/>
      <w:r>
        <w:rPr>
          <w:rFonts w:hint="eastAsia" w:ascii="仿宋_GB2312" w:hAnsi="仿宋_GB2312" w:eastAsia="仿宋_GB2312" w:cs="仿宋_GB2312"/>
          <w:sz w:val="32"/>
          <w:szCs w:val="32"/>
        </w:rPr>
        <w:t>2024年度本年支出合计52539.21万元，其中：基本支出576.35万元，占1.09%；项目支出51962.86万元</w:t>
      </w:r>
      <w:r>
        <w:rPr>
          <w:rFonts w:hint="eastAsia" w:ascii="仿宋_GB2312" w:hAnsi="仿宋_GB2312" w:eastAsia="仿宋_GB2312" w:cs="仿宋_GB2312"/>
          <w:sz w:val="32"/>
          <w:szCs w:val="32"/>
          <w:lang w:eastAsia="zh-CN"/>
        </w:rPr>
        <w:t>。</w:t>
      </w:r>
      <w:bookmarkEnd w:id="21"/>
    </w:p>
    <w:p w14:paraId="76BF336C">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14:paraId="4825BEC7">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479925" cy="2431415"/>
            <wp:effectExtent l="5080" t="4445" r="10795" b="17780"/>
            <wp:docPr id="1"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74A49E">
      <w:pPr>
        <w:spacing w:line="600" w:lineRule="exact"/>
        <w:ind w:firstLine="640" w:firstLineChars="200"/>
        <w:outlineLvl w:val="1"/>
        <w:rPr>
          <w:rStyle w:val="31"/>
          <w:rFonts w:ascii="Times New Roman" w:hAnsi="Times New Roman" w:eastAsia="黑体"/>
          <w:b w:val="0"/>
        </w:rPr>
      </w:pPr>
      <w:bookmarkStart w:id="22" w:name="_Toc15396606"/>
      <w:bookmarkStart w:id="23" w:name="_Toc15377208"/>
      <w:bookmarkStart w:id="24" w:name="_Toc29977"/>
      <w:r>
        <w:rPr>
          <w:rFonts w:hint="eastAsia" w:eastAsia="黑体"/>
          <w:sz w:val="32"/>
          <w:szCs w:val="32"/>
        </w:rPr>
        <w:t>四、财</w:t>
      </w:r>
      <w:r>
        <w:rPr>
          <w:rStyle w:val="31"/>
          <w:rFonts w:hint="eastAsia" w:ascii="Times New Roman" w:hAnsi="Times New Roman" w:eastAsia="黑体"/>
          <w:b w:val="0"/>
        </w:rPr>
        <w:t>政拨款收入支出决算总体情况说明</w:t>
      </w:r>
      <w:bookmarkEnd w:id="22"/>
      <w:bookmarkEnd w:id="23"/>
      <w:bookmarkEnd w:id="24"/>
    </w:p>
    <w:p w14:paraId="339DF6F4">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52538.89</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21972.41</w:t>
      </w:r>
      <w:r>
        <w:rPr>
          <w:rFonts w:hint="eastAsia" w:eastAsia="仿宋_GB2312" w:cs="仿宋_GB2312"/>
          <w:sz w:val="32"/>
          <w:szCs w:val="32"/>
        </w:rPr>
        <w:t>万元，增长</w:t>
      </w:r>
      <w:r>
        <w:rPr>
          <w:rFonts w:hint="eastAsia" w:eastAsia="仿宋_GB2312" w:cs="仿宋_GB2312"/>
          <w:sz w:val="32"/>
          <w:szCs w:val="32"/>
          <w:lang w:val="en-US" w:eastAsia="zh-CN"/>
        </w:rPr>
        <w:t>71.88</w:t>
      </w:r>
      <w:r>
        <w:rPr>
          <w:rFonts w:hint="eastAsia" w:eastAsia="仿宋_GB2312" w:cs="仿宋_GB2312"/>
          <w:sz w:val="32"/>
          <w:szCs w:val="32"/>
        </w:rPr>
        <w:t>%。主要变动原因是</w:t>
      </w:r>
      <w:r>
        <w:rPr>
          <w:rFonts w:hint="eastAsia" w:eastAsia="仿宋_GB2312" w:cs="仿宋_GB2312"/>
          <w:sz w:val="32"/>
          <w:szCs w:val="32"/>
          <w:lang w:val="en-US" w:eastAsia="zh-CN"/>
        </w:rPr>
        <w:t>项目资金增加。</w:t>
      </w:r>
    </w:p>
    <w:p w14:paraId="70FB4A59">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（图4：财政拨款收、支决算总计变动情况）（柱状图）</w:t>
      </w:r>
    </w:p>
    <w:p w14:paraId="1EB0A932">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572000" cy="2743200"/>
            <wp:effectExtent l="4445" t="4445" r="10795" b="1079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ADA1EE">
      <w:pPr>
        <w:spacing w:line="600" w:lineRule="exact"/>
        <w:ind w:firstLine="640" w:firstLineChars="200"/>
        <w:outlineLvl w:val="1"/>
        <w:rPr>
          <w:rStyle w:val="31"/>
          <w:rFonts w:ascii="Times New Roman" w:hAnsi="Times New Roman" w:eastAsia="黑体"/>
          <w:b w:val="0"/>
        </w:rPr>
      </w:pPr>
      <w:bookmarkStart w:id="25" w:name="_Toc15377209"/>
      <w:bookmarkStart w:id="26" w:name="_Toc22919"/>
      <w:bookmarkStart w:id="27"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5"/>
      <w:bookmarkEnd w:id="26"/>
      <w:bookmarkEnd w:id="27"/>
    </w:p>
    <w:p w14:paraId="349CEB41">
      <w:pPr>
        <w:spacing w:line="600" w:lineRule="exact"/>
        <w:ind w:firstLine="643" w:firstLineChars="200"/>
        <w:outlineLvl w:val="2"/>
        <w:rPr>
          <w:rFonts w:eastAsia="楷体_GB2312" w:cs="楷体_GB2312"/>
          <w:b/>
          <w:sz w:val="32"/>
          <w:szCs w:val="32"/>
        </w:rPr>
      </w:pPr>
      <w:bookmarkStart w:id="28" w:name="_Toc15377210"/>
      <w:bookmarkStart w:id="29" w:name="_Toc1498"/>
      <w:r>
        <w:rPr>
          <w:rFonts w:hint="eastAsia" w:eastAsia="楷体_GB2312" w:cs="楷体_GB2312"/>
          <w:b/>
          <w:sz w:val="32"/>
          <w:szCs w:val="32"/>
        </w:rPr>
        <w:t>（一）一般公共预算财政拨款支出决算总体情况</w:t>
      </w:r>
      <w:bookmarkEnd w:id="28"/>
      <w:bookmarkEnd w:id="29"/>
    </w:p>
    <w:p w14:paraId="586C865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2024年度一般公共预算财政拨款支出10345.3万元，占本年支出合计的19.69%。与2023年度相比，一般公共预算财政拨款支出减少</w:t>
      </w:r>
      <w:r>
        <w:rPr>
          <w:rFonts w:hint="eastAsia" w:ascii="仿宋_GB2312" w:hAnsi="仿宋_GB2312" w:eastAsia="仿宋_GB2312" w:cs="仿宋_GB2312"/>
          <w:sz w:val="32"/>
          <w:szCs w:val="32"/>
          <w:lang w:val="en-US" w:eastAsia="zh-CN"/>
        </w:rPr>
        <w:t>1554.24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13.06</w:t>
      </w:r>
      <w:r>
        <w:rPr>
          <w:rFonts w:hint="eastAsia" w:ascii="仿宋_GB2312" w:hAnsi="仿宋_GB2312" w:eastAsia="仿宋_GB2312" w:cs="仿宋_GB2312"/>
          <w:sz w:val="32"/>
          <w:szCs w:val="32"/>
        </w:rPr>
        <w:t>%。主要变动原因是</w:t>
      </w:r>
      <w:r>
        <w:rPr>
          <w:rFonts w:hint="eastAsia" w:ascii="仿宋" w:hAnsi="仿宋" w:eastAsia="仿宋"/>
          <w:sz w:val="32"/>
          <w:szCs w:val="32"/>
        </w:rPr>
        <w:t>一般公共预算财政拨款项目资金</w:t>
      </w:r>
      <w:r>
        <w:rPr>
          <w:rFonts w:hint="eastAsia" w:ascii="仿宋" w:hAnsi="仿宋" w:eastAsia="仿宋"/>
          <w:sz w:val="32"/>
          <w:szCs w:val="32"/>
          <w:lang w:val="en-US" w:eastAsia="zh-CN"/>
        </w:rPr>
        <w:t>减少。</w:t>
      </w:r>
    </w:p>
    <w:p w14:paraId="0F9BD4EE">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（图5：一般公共预算财政拨款支出决算变动情况</w:t>
      </w:r>
      <w:r>
        <w:rPr>
          <w:rFonts w:hint="eastAsia" w:eastAsia="仿宋_GB2312" w:cs="仿宋_GB2312"/>
          <w:sz w:val="32"/>
          <w:szCs w:val="32"/>
          <w:lang w:eastAsia="zh-CN"/>
        </w:rPr>
        <w:t>）</w:t>
      </w:r>
    </w:p>
    <w:p w14:paraId="39B391EC">
      <w:pPr>
        <w:pStyle w:val="2"/>
      </w:pPr>
      <w:r>
        <w:rPr>
          <w:rFonts w:hint="eastAsia"/>
          <w:lang w:val="en-US" w:eastAsia="zh-CN"/>
        </w:rPr>
        <w:t xml:space="preserve">     </w:t>
      </w:r>
      <w:r>
        <w:drawing>
          <wp:inline distT="0" distB="0" distL="114300" distR="114300">
            <wp:extent cx="4306570" cy="2279650"/>
            <wp:effectExtent l="4445" t="5080" r="17145" b="1651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0" w:name="_Toc15377211"/>
    </w:p>
    <w:p w14:paraId="6F98B5FA">
      <w:pPr>
        <w:pStyle w:val="2"/>
        <w:ind w:firstLine="321" w:firstLineChars="100"/>
        <w:rPr>
          <w:rFonts w:eastAsia="楷体_GB2312" w:cs="楷体_GB2312"/>
          <w:b/>
          <w:sz w:val="32"/>
          <w:szCs w:val="32"/>
        </w:rPr>
      </w:pPr>
      <w:r>
        <w:rPr>
          <w:rFonts w:hint="eastAsia" w:eastAsia="楷体_GB2312" w:cs="楷体_GB2312"/>
          <w:b/>
          <w:sz w:val="32"/>
          <w:szCs w:val="32"/>
        </w:rPr>
        <w:t>（二）一般公共预算财政拨款支出决算结构情况</w:t>
      </w:r>
      <w:bookmarkEnd w:id="30"/>
    </w:p>
    <w:p w14:paraId="7B0B518C">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10345.3万元</w:t>
      </w:r>
      <w:r>
        <w:rPr>
          <w:rFonts w:hint="eastAsia" w:eastAsia="仿宋_GB2312" w:cs="仿宋_GB2312"/>
          <w:sz w:val="32"/>
          <w:szCs w:val="32"/>
        </w:rPr>
        <w:t>，主要用于以下方面：</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46.83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rPr>
        <w:t>城乡社区支出</w:t>
      </w:r>
      <w:r>
        <w:rPr>
          <w:rFonts w:hint="eastAsia" w:ascii="仿宋" w:hAnsi="仿宋" w:eastAsia="仿宋"/>
          <w:bCs/>
          <w:sz w:val="32"/>
          <w:szCs w:val="32"/>
          <w:lang w:val="en-US" w:eastAsia="zh-CN"/>
        </w:rPr>
        <w:t>6451.19</w:t>
      </w:r>
      <w:r>
        <w:rPr>
          <w:rFonts w:hint="eastAsia" w:ascii="仿宋" w:hAnsi="仿宋" w:eastAsia="仿宋"/>
          <w:bCs/>
          <w:sz w:val="32"/>
          <w:szCs w:val="32"/>
        </w:rPr>
        <w:t>万元</w:t>
      </w:r>
      <w:r>
        <w:rPr>
          <w:rFonts w:hint="eastAsia" w:ascii="仿宋" w:hAnsi="仿宋" w:eastAsia="仿宋"/>
          <w:bCs/>
          <w:sz w:val="32"/>
          <w:szCs w:val="32"/>
          <w:lang w:eastAsia="zh-CN"/>
        </w:rPr>
        <w:t>，</w:t>
      </w:r>
      <w:r>
        <w:rPr>
          <w:rFonts w:hint="eastAsia" w:ascii="仿宋" w:hAnsi="仿宋" w:eastAsia="仿宋"/>
          <w:bCs/>
          <w:sz w:val="32"/>
          <w:szCs w:val="32"/>
          <w:lang w:val="en-US" w:eastAsia="zh-CN"/>
        </w:rPr>
        <w:t>占62.36%；</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3773.5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7D3E6B7">
      <w:pPr>
        <w:spacing w:line="600" w:lineRule="exact"/>
        <w:ind w:firstLine="640"/>
        <w:rPr>
          <w:rFonts w:hint="eastAsia" w:eastAsia="仿宋_GB2312" w:cs="仿宋_GB2312"/>
          <w:sz w:val="32"/>
          <w:szCs w:val="32"/>
        </w:rPr>
      </w:pPr>
      <w:r>
        <w:rPr>
          <w:rFonts w:hint="eastAsia" w:eastAsia="仿宋_GB2312" w:cs="仿宋_GB2312"/>
          <w:sz w:val="32"/>
          <w:szCs w:val="32"/>
        </w:rPr>
        <w:t>（图6：一般公共预算财政拨款支出决算结构）（饼状图）</w:t>
      </w:r>
    </w:p>
    <w:p w14:paraId="465E166B">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612640" cy="2743200"/>
            <wp:effectExtent l="4445" t="4445" r="1587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41E9F6">
      <w:pPr>
        <w:spacing w:line="600" w:lineRule="exact"/>
        <w:ind w:firstLine="643" w:firstLineChars="200"/>
        <w:outlineLvl w:val="2"/>
        <w:rPr>
          <w:rFonts w:eastAsia="楷体_GB2312" w:cs="楷体_GB2312"/>
          <w:b/>
          <w:sz w:val="32"/>
          <w:szCs w:val="32"/>
        </w:rPr>
      </w:pPr>
      <w:bookmarkStart w:id="31" w:name="_Toc15377212"/>
      <w:bookmarkStart w:id="32" w:name="_Toc26299"/>
      <w:r>
        <w:rPr>
          <w:rFonts w:hint="eastAsia" w:eastAsia="楷体_GB2312" w:cs="楷体_GB2312"/>
          <w:b/>
          <w:sz w:val="32"/>
          <w:szCs w:val="32"/>
        </w:rPr>
        <w:t>（三）一般公共预算财政拨款支出决算具体情况</w:t>
      </w:r>
      <w:bookmarkEnd w:id="31"/>
      <w:bookmarkEnd w:id="32"/>
    </w:p>
    <w:p w14:paraId="68A974F2">
      <w:pPr>
        <w:spacing w:line="600" w:lineRule="exact"/>
        <w:ind w:firstLine="640"/>
        <w:rPr>
          <w:rFonts w:eastAsia="仿宋_GB2312" w:cs="仿宋_GB2312"/>
          <w:sz w:val="32"/>
          <w:szCs w:val="32"/>
        </w:rPr>
      </w:pPr>
      <w:bookmarkStart w:id="33" w:name="_Toc15377213"/>
      <w:bookmarkStart w:id="34" w:name="_Toc15378460"/>
      <w:bookmarkStart w:id="35"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10345.3，</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3"/>
      <w:bookmarkEnd w:id="34"/>
      <w:bookmarkEnd w:id="35"/>
    </w:p>
    <w:p w14:paraId="7CC84ADD">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社会保障和就业支出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行政单位离退休</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21.13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社会保障和就业支出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机关事业单位基本养老保险缴费支出（项）：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44.38万元，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社会保障和就业支出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机关事业单位职业年金缴费支出（项）：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8.28万元，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6B54598">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卫生健康支出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17.33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卫生健康支出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事业单位医疗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8.39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卫生健康支出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公务员医疗补助</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16.89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卫生健康支出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其他行政事业单位医疗支出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CCA7E2A">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城乡社区支出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城乡社区管理事务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311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color w:val="auto"/>
          <w:sz w:val="32"/>
          <w:szCs w:val="32"/>
          <w:highlight w:val="none"/>
          <w:lang w:val="en-US" w:eastAsia="zh-CN"/>
        </w:rPr>
        <w:t>城乡社区支出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城乡社区管理事务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其他城乡社区管理事务支出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892.78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Cs/>
          <w:sz w:val="32"/>
          <w:szCs w:val="32"/>
        </w:rPr>
        <w:t>城乡社区（类）城乡社区公共设施（款）其他城乡社区公共设施支出（项）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4984.66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Cs/>
          <w:sz w:val="32"/>
          <w:szCs w:val="32"/>
        </w:rPr>
        <w:t>城乡社区（类）其他城乡社区支出（款）其他城乡社区支出（项）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262.74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color w:val="auto"/>
          <w:sz w:val="32"/>
          <w:szCs w:val="32"/>
          <w:highlight w:val="none"/>
        </w:rPr>
        <w:t>。</w:t>
      </w:r>
    </w:p>
    <w:p w14:paraId="41FFEBF8">
      <w:pPr>
        <w:spacing w:line="600" w:lineRule="exact"/>
        <w:ind w:firstLine="640"/>
        <w:rPr>
          <w:rFonts w:eastAsia="仿宋_GB2312" w:cs="仿宋_GB2312"/>
          <w:sz w:val="32"/>
          <w:szCs w:val="32"/>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Fonts w:hint="eastAsia" w:ascii="仿宋" w:hAnsi="仿宋" w:eastAsia="仿宋"/>
          <w:b/>
          <w:bCs/>
          <w:sz w:val="32"/>
          <w:szCs w:val="32"/>
        </w:rPr>
        <w:t>住房保障支出</w:t>
      </w:r>
      <w:r>
        <w:rPr>
          <w:rStyle w:val="19"/>
          <w:rFonts w:hint="eastAsia" w:ascii="仿宋" w:hAnsi="仿宋" w:eastAsia="仿宋"/>
          <w:bCs/>
          <w:sz w:val="32"/>
          <w:szCs w:val="32"/>
        </w:rPr>
        <w:t>（类）保障性安居工程支出（款）棚户区改造（项）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2594.97</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Fonts w:hint="eastAsia" w:ascii="仿宋" w:hAnsi="仿宋" w:eastAsia="仿宋"/>
          <w:b/>
          <w:sz w:val="32"/>
          <w:szCs w:val="32"/>
        </w:rPr>
        <w:t>；</w:t>
      </w:r>
      <w:r>
        <w:rPr>
          <w:rFonts w:hint="eastAsia" w:ascii="仿宋" w:hAnsi="仿宋" w:eastAsia="仿宋"/>
          <w:b/>
          <w:bCs/>
          <w:sz w:val="32"/>
          <w:szCs w:val="32"/>
        </w:rPr>
        <w:t>住房保障支出</w:t>
      </w:r>
      <w:r>
        <w:rPr>
          <w:rStyle w:val="19"/>
          <w:rFonts w:hint="eastAsia" w:ascii="仿宋" w:hAnsi="仿宋" w:eastAsia="仿宋"/>
          <w:bCs/>
          <w:sz w:val="32"/>
          <w:szCs w:val="32"/>
        </w:rPr>
        <w:t>（类）保障性安居工程支出（款）公共租赁住房（项）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Fonts w:hint="eastAsia" w:ascii="仿宋" w:hAnsi="仿宋" w:eastAsia="仿宋"/>
          <w:b/>
          <w:sz w:val="32"/>
          <w:szCs w:val="32"/>
        </w:rPr>
        <w:t>；</w:t>
      </w:r>
      <w:r>
        <w:rPr>
          <w:rFonts w:hint="eastAsia" w:ascii="仿宋" w:hAnsi="仿宋" w:eastAsia="仿宋"/>
          <w:b/>
          <w:bCs/>
          <w:sz w:val="32"/>
          <w:szCs w:val="32"/>
        </w:rPr>
        <w:t>住房保障支出</w:t>
      </w:r>
      <w:r>
        <w:rPr>
          <w:rStyle w:val="19"/>
          <w:rFonts w:hint="eastAsia" w:ascii="仿宋" w:hAnsi="仿宋" w:eastAsia="仿宋"/>
          <w:bCs/>
          <w:sz w:val="32"/>
          <w:szCs w:val="32"/>
        </w:rPr>
        <w:t>（类）保障性安居工程支出（款）老旧小区改造（项）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1044.73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Fonts w:hint="eastAsia" w:ascii="仿宋" w:hAnsi="仿宋" w:eastAsia="仿宋"/>
          <w:b/>
          <w:sz w:val="32"/>
          <w:szCs w:val="32"/>
        </w:rPr>
        <w:t>；</w:t>
      </w:r>
      <w:r>
        <w:rPr>
          <w:rFonts w:hint="eastAsia" w:ascii="仿宋" w:hAnsi="仿宋" w:eastAsia="仿宋"/>
          <w:b/>
          <w:bCs/>
          <w:sz w:val="32"/>
          <w:szCs w:val="32"/>
        </w:rPr>
        <w:t>住房保障支出</w:t>
      </w:r>
      <w:r>
        <w:rPr>
          <w:rStyle w:val="19"/>
          <w:rFonts w:hint="eastAsia" w:ascii="仿宋" w:hAnsi="仿宋" w:eastAsia="仿宋"/>
          <w:bCs/>
          <w:sz w:val="32"/>
          <w:szCs w:val="32"/>
        </w:rPr>
        <w:t>（类）保障性安居工程支出（款）</w:t>
      </w:r>
      <w:r>
        <w:rPr>
          <w:rStyle w:val="19"/>
          <w:rFonts w:hint="eastAsia" w:ascii="仿宋" w:hAnsi="仿宋" w:eastAsia="仿宋"/>
          <w:bCs/>
          <w:sz w:val="32"/>
          <w:szCs w:val="32"/>
          <w:lang w:val="en-US" w:eastAsia="zh-CN"/>
        </w:rPr>
        <w:t>农村危房改造</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r>
        <w:rPr>
          <w:rFonts w:hint="eastAsia" w:ascii="仿宋" w:hAnsi="仿宋" w:eastAsia="仿宋"/>
          <w:b/>
          <w:bCs/>
          <w:sz w:val="32"/>
          <w:szCs w:val="32"/>
        </w:rPr>
        <w:t>住房保障支出</w:t>
      </w:r>
      <w:r>
        <w:rPr>
          <w:rStyle w:val="19"/>
          <w:rFonts w:hint="eastAsia" w:ascii="仿宋" w:hAnsi="仿宋" w:eastAsia="仿宋"/>
          <w:bCs/>
          <w:sz w:val="32"/>
          <w:szCs w:val="32"/>
        </w:rPr>
        <w:t>（类）保障性安居工程支出（款）</w:t>
      </w:r>
      <w:r>
        <w:rPr>
          <w:rStyle w:val="19"/>
          <w:rFonts w:hint="eastAsia" w:ascii="仿宋" w:hAnsi="仿宋" w:eastAsia="仿宋"/>
          <w:bCs/>
          <w:sz w:val="32"/>
          <w:szCs w:val="32"/>
          <w:lang w:val="en-US" w:eastAsia="zh-CN"/>
        </w:rPr>
        <w:t>其他保障性安居工程支出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70.22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r>
        <w:rPr>
          <w:rFonts w:hint="eastAsia" w:ascii="仿宋" w:hAnsi="仿宋" w:eastAsia="仿宋"/>
          <w:b/>
          <w:bCs/>
          <w:sz w:val="32"/>
          <w:szCs w:val="32"/>
        </w:rPr>
        <w:t>住房保障支出</w:t>
      </w:r>
      <w:r>
        <w:rPr>
          <w:rStyle w:val="19"/>
          <w:rFonts w:hint="eastAsia" w:ascii="仿宋" w:hAnsi="仿宋" w:eastAsia="仿宋"/>
          <w:bCs/>
          <w:sz w:val="32"/>
          <w:szCs w:val="32"/>
        </w:rPr>
        <w:t>（类）住房改革支出（款）住房公积金（项）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37.08</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Fonts w:hint="eastAsia" w:ascii="仿宋" w:hAnsi="仿宋" w:eastAsia="仿宋"/>
          <w:b/>
          <w:sz w:val="32"/>
          <w:szCs w:val="32"/>
        </w:rPr>
        <w:t>。</w:t>
      </w:r>
    </w:p>
    <w:p w14:paraId="4B8E85D8">
      <w:pPr>
        <w:tabs>
          <w:tab w:val="right" w:pos="8306"/>
        </w:tabs>
        <w:spacing w:line="600" w:lineRule="exact"/>
        <w:ind w:firstLine="640"/>
        <w:outlineLvl w:val="1"/>
        <w:rPr>
          <w:rStyle w:val="31"/>
          <w:rFonts w:ascii="Times New Roman" w:hAnsi="Times New Roman"/>
        </w:rPr>
      </w:pPr>
      <w:bookmarkStart w:id="36" w:name="_Toc15396608"/>
      <w:bookmarkStart w:id="37" w:name="_Toc31357"/>
      <w:bookmarkStart w:id="38"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6"/>
      <w:bookmarkEnd w:id="37"/>
      <w:bookmarkEnd w:id="38"/>
      <w:r>
        <w:rPr>
          <w:rStyle w:val="31"/>
          <w:rFonts w:ascii="Times New Roman" w:hAnsi="Times New Roman" w:eastAsia="黑体"/>
          <w:b w:val="0"/>
        </w:rPr>
        <w:tab/>
      </w:r>
    </w:p>
    <w:p w14:paraId="003CF86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576.04万</w:t>
      </w:r>
      <w:r>
        <w:rPr>
          <w:rFonts w:hint="eastAsia" w:eastAsia="仿宋_GB2312" w:cs="仿宋_GB2312"/>
          <w:sz w:val="32"/>
          <w:szCs w:val="32"/>
        </w:rPr>
        <w:t>元，其中：</w:t>
      </w:r>
    </w:p>
    <w:p w14:paraId="7243EDE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538.82万</w:t>
      </w:r>
      <w:r>
        <w:rPr>
          <w:rFonts w:hint="eastAsia" w:eastAsia="仿宋_GB2312" w:cs="仿宋_GB2312"/>
          <w:sz w:val="32"/>
          <w:szCs w:val="32"/>
        </w:rPr>
        <w:t>元，主要包括：</w:t>
      </w:r>
      <w:r>
        <w:rPr>
          <w:rFonts w:hint="eastAsia" w:ascii="仿宋" w:hAnsi="仿宋" w:eastAsia="仿宋"/>
          <w:color w:val="auto"/>
          <w:sz w:val="32"/>
          <w:szCs w:val="32"/>
          <w:highlight w:val="none"/>
        </w:rPr>
        <w:t>基本工资、津贴补贴、奖金、绩效工资、机关事业单位基本养老保险缴费、</w:t>
      </w:r>
      <w:r>
        <w:rPr>
          <w:rFonts w:hint="eastAsia" w:ascii="仿宋" w:hAnsi="仿宋" w:eastAsia="仿宋"/>
          <w:color w:val="auto"/>
          <w:sz w:val="32"/>
          <w:szCs w:val="32"/>
          <w:highlight w:val="none"/>
          <w:lang w:val="en-US" w:eastAsia="zh-CN"/>
        </w:rPr>
        <w:t>职业年金缴费、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职工基本医疗保险缴费、公务员医疗补助缴费、</w:t>
      </w:r>
      <w:r>
        <w:rPr>
          <w:rFonts w:hint="eastAsia" w:ascii="仿宋" w:hAnsi="仿宋" w:eastAsia="仿宋"/>
          <w:color w:val="auto"/>
          <w:sz w:val="32"/>
          <w:szCs w:val="32"/>
          <w:highlight w:val="none"/>
        </w:rPr>
        <w:t>其他工资福利支出、生活补助、奖励金、住房公积金、其他对个人和家庭的补助支出等</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37.21万</w:t>
      </w:r>
      <w:r>
        <w:rPr>
          <w:rFonts w:hint="eastAsia" w:eastAsia="仿宋_GB2312" w:cs="仿宋_GB2312"/>
          <w:sz w:val="32"/>
          <w:szCs w:val="32"/>
        </w:rPr>
        <w:t>元，主要包括：</w:t>
      </w:r>
      <w:r>
        <w:rPr>
          <w:rFonts w:hint="eastAsia" w:ascii="仿宋" w:hAnsi="仿宋" w:eastAsia="仿宋"/>
          <w:color w:val="auto"/>
          <w:sz w:val="32"/>
          <w:szCs w:val="32"/>
          <w:highlight w:val="none"/>
        </w:rPr>
        <w:t>办公费、水费、电费、差旅费、公务接待费、工会经费、福利费、其他交通费、其他商品和服务支出等</w:t>
      </w:r>
      <w:r>
        <w:rPr>
          <w:rFonts w:hint="eastAsia" w:eastAsia="仿宋_GB2312" w:cs="仿宋_GB2312"/>
          <w:sz w:val="32"/>
          <w:szCs w:val="32"/>
        </w:rPr>
        <w:t>。</w:t>
      </w:r>
    </w:p>
    <w:p w14:paraId="0410C0DF">
      <w:pPr>
        <w:spacing w:line="600" w:lineRule="exact"/>
        <w:ind w:firstLine="640"/>
        <w:outlineLvl w:val="1"/>
        <w:rPr>
          <w:rStyle w:val="31"/>
          <w:rFonts w:ascii="Times New Roman" w:hAnsi="Times New Roman" w:eastAsia="黑体"/>
          <w:b w:val="0"/>
        </w:rPr>
      </w:pPr>
      <w:bookmarkStart w:id="39" w:name="_Toc15396609"/>
      <w:bookmarkStart w:id="40" w:name="_Toc9274"/>
      <w:bookmarkStart w:id="41"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9"/>
      <w:bookmarkEnd w:id="40"/>
      <w:bookmarkEnd w:id="41"/>
    </w:p>
    <w:p w14:paraId="5650E914">
      <w:pPr>
        <w:spacing w:line="600" w:lineRule="exact"/>
        <w:ind w:firstLine="643" w:firstLineChars="200"/>
        <w:outlineLvl w:val="2"/>
        <w:rPr>
          <w:rFonts w:eastAsia="楷体_GB2312" w:cs="楷体_GB2312"/>
          <w:b/>
          <w:sz w:val="32"/>
          <w:szCs w:val="32"/>
        </w:rPr>
      </w:pPr>
      <w:bookmarkStart w:id="42" w:name="_Toc15377216"/>
      <w:bookmarkStart w:id="43" w:name="_Toc8040"/>
      <w:r>
        <w:rPr>
          <w:rFonts w:hint="eastAsia" w:eastAsia="楷体_GB2312" w:cs="楷体_GB2312"/>
          <w:b/>
          <w:sz w:val="32"/>
          <w:szCs w:val="32"/>
        </w:rPr>
        <w:t>（一）“三公”经费财政拨款支出决算总体情况说明</w:t>
      </w:r>
      <w:bookmarkEnd w:id="42"/>
      <w:bookmarkEnd w:id="43"/>
    </w:p>
    <w:p w14:paraId="158F9FFD">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0.26万元，完成预算100%，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1.68</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下降</w:t>
      </w:r>
      <w:r>
        <w:rPr>
          <w:rFonts w:hint="eastAsia" w:eastAsia="仿宋_GB2312" w:cs="仿宋_GB2312"/>
          <w:sz w:val="32"/>
          <w:szCs w:val="32"/>
          <w:lang w:val="en-US" w:eastAsia="zh-CN"/>
        </w:rPr>
        <w:t>86.59</w:t>
      </w:r>
      <w:r>
        <w:rPr>
          <w:rFonts w:hint="eastAsia" w:eastAsia="仿宋_GB2312" w:cs="仿宋_GB2312"/>
          <w:sz w:val="32"/>
          <w:szCs w:val="32"/>
        </w:rPr>
        <w:t>%。决算数小于预算数的主要原因是</w:t>
      </w:r>
      <w:r>
        <w:rPr>
          <w:rFonts w:hint="eastAsia" w:eastAsia="仿宋_GB2312" w:cs="仿宋_GB2312"/>
          <w:sz w:val="32"/>
          <w:szCs w:val="32"/>
          <w:lang w:val="en-US" w:eastAsia="zh-CN"/>
        </w:rPr>
        <w:t>公务用车调出、费用减少，公务接待减少。</w:t>
      </w:r>
    </w:p>
    <w:p w14:paraId="63EA0E86">
      <w:pPr>
        <w:spacing w:line="600" w:lineRule="exact"/>
        <w:ind w:firstLine="643" w:firstLineChars="200"/>
        <w:outlineLvl w:val="2"/>
        <w:rPr>
          <w:rFonts w:eastAsia="楷体_GB2312" w:cs="楷体_GB2312"/>
          <w:b/>
          <w:sz w:val="32"/>
          <w:szCs w:val="32"/>
        </w:rPr>
      </w:pPr>
      <w:bookmarkStart w:id="44" w:name="_Toc15377217"/>
      <w:bookmarkStart w:id="45" w:name="_Toc3675"/>
      <w:r>
        <w:rPr>
          <w:rFonts w:hint="eastAsia" w:eastAsia="楷体_GB2312" w:cs="楷体_GB2312"/>
          <w:b/>
          <w:sz w:val="32"/>
          <w:szCs w:val="32"/>
        </w:rPr>
        <w:t>（二）“三公”经费财政拨款支出决算具体情况说明</w:t>
      </w:r>
      <w:bookmarkEnd w:id="44"/>
      <w:bookmarkEnd w:id="45"/>
    </w:p>
    <w:p w14:paraId="5120C3E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2024年度“三公”经费财政拨款支出决算中，因公出国（境）费支出决算0万元；公务用车购置及运行维护费支出决算0万元；公务接待费支出决算0.26万元，占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28D776A5">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14:paraId="2D12346A">
      <w:pPr>
        <w:pStyle w:val="2"/>
      </w:pPr>
      <w:r>
        <w:rPr>
          <w:rFonts w:hint="eastAsia"/>
          <w:lang w:val="en-US" w:eastAsia="zh-CN"/>
        </w:rPr>
        <w:t xml:space="preserve">      </w:t>
      </w:r>
      <w:r>
        <w:drawing>
          <wp:inline distT="0" distB="0" distL="114300" distR="114300">
            <wp:extent cx="4323715" cy="2659380"/>
            <wp:effectExtent l="5080" t="5080" r="14605" b="1778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B0BB78">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1.因公出国（境）经费支出</w:t>
      </w:r>
      <w:r>
        <w:rPr>
          <w:rFonts w:hint="eastAsia" w:cs="仿宋_GB2312"/>
          <w:b/>
          <w:bCs/>
          <w:sz w:val="32"/>
          <w:szCs w:val="32"/>
          <w:lang w:val="en-US" w:eastAsia="zh-CN"/>
        </w:rPr>
        <w:t>0</w:t>
      </w:r>
      <w:r>
        <w:rPr>
          <w:rFonts w:hint="eastAsia" w:eastAsia="仿宋_GB2312" w:cs="仿宋_GB2312"/>
          <w:b/>
          <w:bCs/>
          <w:sz w:val="32"/>
          <w:szCs w:val="32"/>
        </w:rPr>
        <w:t>万元，完成预算</w:t>
      </w:r>
      <w:r>
        <w:rPr>
          <w:rFonts w:hint="eastAsia"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与</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持平。</w:t>
      </w:r>
    </w:p>
    <w:p w14:paraId="5B607C9E">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1.2</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hint="eastAsia" w:eastAsia="仿宋_GB2312" w:cs="仿宋_GB2312"/>
          <w:sz w:val="32"/>
          <w:szCs w:val="32"/>
        </w:rPr>
        <w:t>%。主要原因是</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车辆调拨至政府办。</w:t>
      </w:r>
    </w:p>
    <w:p w14:paraId="7BC86832">
      <w:pPr>
        <w:spacing w:line="600" w:lineRule="exact"/>
        <w:ind w:firstLine="640"/>
        <w:rPr>
          <w:rFonts w:hint="eastAsia"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7AD8A699">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0.26万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0.48</w:t>
      </w:r>
      <w:r>
        <w:rPr>
          <w:rFonts w:hint="eastAsia" w:eastAsia="仿宋_GB2312" w:cs="仿宋_GB2312"/>
          <w:sz w:val="32"/>
          <w:szCs w:val="32"/>
        </w:rPr>
        <w:t>万元，下降</w:t>
      </w:r>
      <w:r>
        <w:rPr>
          <w:rFonts w:hint="eastAsia" w:eastAsia="仿宋_GB2312" w:cs="仿宋_GB2312"/>
          <w:sz w:val="32"/>
          <w:szCs w:val="32"/>
          <w:lang w:val="en-US" w:eastAsia="zh-CN"/>
        </w:rPr>
        <w:t>64.86</w:t>
      </w:r>
      <w:r>
        <w:rPr>
          <w:rFonts w:hint="eastAsia" w:eastAsia="仿宋_GB2312" w:cs="仿宋_GB2312"/>
          <w:sz w:val="32"/>
          <w:szCs w:val="32"/>
        </w:rPr>
        <w:t>%。主要原因是</w:t>
      </w:r>
      <w:r>
        <w:rPr>
          <w:rFonts w:hint="eastAsia" w:eastAsia="仿宋_GB2312" w:cs="仿宋_GB2312"/>
          <w:sz w:val="32"/>
          <w:szCs w:val="32"/>
          <w:lang w:val="en-US" w:eastAsia="zh-CN"/>
        </w:rPr>
        <w:t>公务接待减少</w:t>
      </w:r>
      <w:r>
        <w:rPr>
          <w:rFonts w:hint="eastAsia" w:eastAsia="仿宋_GB2312" w:cs="仿宋_GB2312"/>
          <w:sz w:val="32"/>
          <w:szCs w:val="32"/>
        </w:rPr>
        <w:t>。其中：</w:t>
      </w:r>
    </w:p>
    <w:p w14:paraId="04D5146B">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出0.26万</w:t>
      </w:r>
      <w:r>
        <w:rPr>
          <w:rFonts w:hint="eastAsia" w:eastAsia="仿宋_GB2312" w:cs="仿宋_GB2312"/>
          <w:sz w:val="32"/>
          <w:szCs w:val="32"/>
        </w:rPr>
        <w:t>元，主要用于执行公务、开展业务活动开支的用餐费</w:t>
      </w:r>
      <w:r>
        <w:rPr>
          <w:rFonts w:hint="eastAsia" w:eastAsia="仿宋_GB2312" w:cs="仿宋_GB2312"/>
          <w:sz w:val="32"/>
          <w:szCs w:val="32"/>
          <w:lang w:eastAsia="zh-CN"/>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待2批次，19</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0.26</w:t>
      </w:r>
      <w:r>
        <w:rPr>
          <w:rFonts w:hint="eastAsia" w:eastAsia="仿宋_GB2312" w:cs="仿宋_GB2312"/>
          <w:sz w:val="32"/>
          <w:szCs w:val="32"/>
        </w:rPr>
        <w:t>万元，具体内容包括：</w:t>
      </w:r>
      <w:r>
        <w:rPr>
          <w:rFonts w:hint="eastAsia" w:eastAsia="仿宋_GB2312" w:cs="仿宋_GB2312"/>
          <w:sz w:val="32"/>
          <w:szCs w:val="32"/>
          <w:lang w:val="en-US" w:eastAsia="zh-CN"/>
        </w:rPr>
        <w:t>住房建设厅赴攀枝花市开展2023年度省级城乡建设发展专项资金部分方向绩效评价工作公务接待，支出0.1万元；四川省住房和城乡建设厅赴攀枝花市开展建筑施工安全生产百日攻坚预防高坠专项检查公务接待，支出0.15万元</w:t>
      </w:r>
      <w:r>
        <w:rPr>
          <w:rFonts w:hint="eastAsia" w:eastAsia="仿宋_GB2312" w:cs="仿宋_GB2312"/>
          <w:sz w:val="32"/>
          <w:szCs w:val="32"/>
        </w:rPr>
        <w:t>。</w:t>
      </w:r>
    </w:p>
    <w:p w14:paraId="52C7CD81">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46" w:name="_Toc15396610"/>
      <w:bookmarkStart w:id="47" w:name="_Toc15377218"/>
    </w:p>
    <w:p w14:paraId="354E9632">
      <w:pPr>
        <w:spacing w:line="600" w:lineRule="exact"/>
        <w:ind w:firstLine="640"/>
        <w:outlineLvl w:val="1"/>
        <w:rPr>
          <w:rStyle w:val="31"/>
          <w:rFonts w:ascii="Times New Roman" w:hAnsi="Times New Roman" w:eastAsia="黑体"/>
        </w:rPr>
      </w:pPr>
      <w:bookmarkStart w:id="48" w:name="_Toc766"/>
      <w:r>
        <w:rPr>
          <w:rFonts w:hint="eastAsia" w:eastAsia="黑体"/>
          <w:sz w:val="32"/>
          <w:szCs w:val="32"/>
        </w:rPr>
        <w:t>八、</w:t>
      </w:r>
      <w:r>
        <w:rPr>
          <w:rStyle w:val="31"/>
          <w:rFonts w:hint="eastAsia" w:ascii="Times New Roman" w:hAnsi="Times New Roman" w:eastAsia="黑体"/>
          <w:b w:val="0"/>
        </w:rPr>
        <w:t>政府性基金预算支出决算情况说明</w:t>
      </w:r>
      <w:bookmarkEnd w:id="46"/>
      <w:bookmarkEnd w:id="47"/>
      <w:bookmarkEnd w:id="48"/>
    </w:p>
    <w:p w14:paraId="0DA2118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2024年度政府性基金预算财政拨款支出40288.31万元，占本年支出合计的76.68%</w:t>
      </w:r>
      <w:r>
        <w:rPr>
          <w:rFonts w:hint="eastAsia" w:eastAsia="仿宋_GB2312" w:cs="仿宋_GB2312"/>
          <w:sz w:val="32"/>
          <w:szCs w:val="32"/>
        </w:rPr>
        <w:t>。与2023年度相比，政府性基金预算财政拨款支出增加</w:t>
      </w:r>
      <w:r>
        <w:rPr>
          <w:rFonts w:hint="eastAsia" w:eastAsia="仿宋_GB2312" w:cs="仿宋_GB2312"/>
          <w:sz w:val="32"/>
          <w:szCs w:val="32"/>
          <w:lang w:val="en-US" w:eastAsia="zh-CN"/>
        </w:rPr>
        <w:t>28477.19</w:t>
      </w:r>
      <w:r>
        <w:rPr>
          <w:rFonts w:hint="eastAsia" w:eastAsia="仿宋_GB2312" w:cs="仿宋_GB2312"/>
          <w:sz w:val="32"/>
          <w:szCs w:val="32"/>
        </w:rPr>
        <w:t>万元，增长</w:t>
      </w:r>
      <w:r>
        <w:rPr>
          <w:rFonts w:hint="eastAsia" w:eastAsia="仿宋_GB2312" w:cs="仿宋_GB2312"/>
          <w:sz w:val="32"/>
          <w:szCs w:val="32"/>
          <w:lang w:val="en-US" w:eastAsia="zh-CN"/>
        </w:rPr>
        <w:t>241</w:t>
      </w:r>
      <w:r>
        <w:rPr>
          <w:rFonts w:hint="eastAsia" w:eastAsia="仿宋_GB2312" w:cs="仿宋_GB2312"/>
          <w:sz w:val="32"/>
          <w:szCs w:val="32"/>
        </w:rPr>
        <w:t>%。主要变动原因是</w:t>
      </w:r>
      <w:r>
        <w:rPr>
          <w:rFonts w:hint="eastAsia" w:eastAsia="仿宋_GB2312" w:cs="仿宋_GB2312"/>
          <w:sz w:val="32"/>
          <w:szCs w:val="32"/>
          <w:lang w:val="en-US" w:eastAsia="zh-CN"/>
        </w:rPr>
        <w:t>项目支出增加。</w:t>
      </w:r>
    </w:p>
    <w:p w14:paraId="50147745">
      <w:pPr>
        <w:spacing w:line="600" w:lineRule="exact"/>
        <w:ind w:left="630"/>
        <w:outlineLvl w:val="1"/>
        <w:rPr>
          <w:rStyle w:val="31"/>
          <w:rFonts w:ascii="Times New Roman" w:hAnsi="Times New Roman" w:eastAsia="黑体"/>
          <w:b w:val="0"/>
        </w:rPr>
      </w:pPr>
      <w:bookmarkStart w:id="49" w:name="_Toc15377219"/>
      <w:bookmarkStart w:id="50" w:name="_Toc30674"/>
      <w:bookmarkStart w:id="51" w:name="_Toc15396611"/>
      <w:r>
        <w:rPr>
          <w:rStyle w:val="31"/>
          <w:rFonts w:hint="eastAsia" w:ascii="Times New Roman" w:hAnsi="Times New Roman" w:eastAsia="黑体"/>
          <w:b w:val="0"/>
        </w:rPr>
        <w:t>九、国有资本经营预算支出决算情况说明</w:t>
      </w:r>
      <w:bookmarkEnd w:id="49"/>
      <w:bookmarkEnd w:id="50"/>
      <w:bookmarkEnd w:id="51"/>
    </w:p>
    <w:p w14:paraId="529109C7">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1905.28万元，占本年支出合计的3.62%</w:t>
      </w:r>
      <w:r>
        <w:rPr>
          <w:rFonts w:hint="eastAsia" w:eastAsia="仿宋_GB2312" w:cs="仿宋_GB2312"/>
          <w:sz w:val="32"/>
          <w:szCs w:val="32"/>
        </w:rPr>
        <w:t>。与2023年度相比，国有资本经营预算财政拨款支出增加</w:t>
      </w:r>
      <w:r>
        <w:rPr>
          <w:rFonts w:hint="eastAsia" w:eastAsia="仿宋_GB2312" w:cs="仿宋_GB2312"/>
          <w:sz w:val="32"/>
          <w:szCs w:val="32"/>
          <w:lang w:val="en-US" w:eastAsia="zh-CN"/>
        </w:rPr>
        <w:t>1704.47</w:t>
      </w:r>
      <w:r>
        <w:rPr>
          <w:rFonts w:hint="eastAsia" w:eastAsia="仿宋_GB2312" w:cs="仿宋_GB2312"/>
          <w:sz w:val="32"/>
          <w:szCs w:val="32"/>
        </w:rPr>
        <w:t>万元，增长</w:t>
      </w:r>
      <w:r>
        <w:rPr>
          <w:rFonts w:hint="eastAsia" w:eastAsia="仿宋_GB2312" w:cs="仿宋_GB2312"/>
          <w:sz w:val="32"/>
          <w:szCs w:val="32"/>
          <w:lang w:val="en-US" w:eastAsia="zh-CN"/>
        </w:rPr>
        <w:t>848.8</w:t>
      </w:r>
      <w:r>
        <w:rPr>
          <w:rFonts w:hint="eastAsia" w:eastAsia="仿宋_GB2312" w:cs="仿宋_GB2312"/>
          <w:sz w:val="32"/>
          <w:szCs w:val="32"/>
        </w:rPr>
        <w:t>%。主要变动原因是</w:t>
      </w:r>
      <w:r>
        <w:rPr>
          <w:rFonts w:hint="eastAsia" w:eastAsia="仿宋_GB2312" w:cs="仿宋_GB2312"/>
          <w:sz w:val="32"/>
          <w:szCs w:val="32"/>
          <w:lang w:val="en-US" w:eastAsia="zh-CN"/>
        </w:rPr>
        <w:t>项目支出增加。</w:t>
      </w:r>
    </w:p>
    <w:p w14:paraId="7A28D0F1">
      <w:pPr>
        <w:spacing w:line="600" w:lineRule="exact"/>
        <w:ind w:firstLine="640"/>
        <w:rPr>
          <w:rFonts w:eastAsia="仿宋_GB2312" w:cs="仿宋_GB2312"/>
          <w:sz w:val="32"/>
          <w:szCs w:val="32"/>
        </w:rPr>
      </w:pPr>
    </w:p>
    <w:p w14:paraId="360C6B1A">
      <w:pPr>
        <w:spacing w:line="600" w:lineRule="exact"/>
        <w:ind w:left="630"/>
        <w:outlineLvl w:val="1"/>
        <w:rPr>
          <w:rStyle w:val="31"/>
          <w:rFonts w:ascii="Times New Roman" w:hAnsi="Times New Roman" w:eastAsia="黑体"/>
          <w:b w:val="0"/>
        </w:rPr>
      </w:pPr>
      <w:bookmarkStart w:id="52" w:name="_Toc15377221"/>
      <w:bookmarkStart w:id="53" w:name="_Toc7057"/>
      <w:bookmarkStart w:id="54" w:name="_Toc15396612"/>
      <w:r>
        <w:rPr>
          <w:rStyle w:val="31"/>
          <w:rFonts w:hint="eastAsia" w:ascii="Times New Roman" w:hAnsi="Times New Roman" w:eastAsia="黑体"/>
          <w:b w:val="0"/>
        </w:rPr>
        <w:t>十、其他重要事项的情况说明</w:t>
      </w:r>
      <w:bookmarkEnd w:id="52"/>
      <w:bookmarkEnd w:id="53"/>
      <w:bookmarkEnd w:id="54"/>
    </w:p>
    <w:p w14:paraId="25EFEA0B">
      <w:pPr>
        <w:spacing w:line="600" w:lineRule="exact"/>
        <w:ind w:firstLine="643" w:firstLineChars="200"/>
        <w:outlineLvl w:val="2"/>
        <w:rPr>
          <w:rFonts w:eastAsia="楷体_GB2312" w:cs="楷体_GB2312"/>
          <w:b/>
          <w:sz w:val="32"/>
          <w:szCs w:val="32"/>
        </w:rPr>
      </w:pPr>
      <w:bookmarkStart w:id="55" w:name="_Toc31312"/>
      <w:bookmarkStart w:id="56" w:name="_Toc15377222"/>
      <w:r>
        <w:rPr>
          <w:rFonts w:hint="eastAsia" w:eastAsia="楷体_GB2312" w:cs="楷体_GB2312"/>
          <w:b/>
          <w:sz w:val="32"/>
          <w:szCs w:val="32"/>
        </w:rPr>
        <w:t>（一）机关运行经费支出情况</w:t>
      </w:r>
      <w:bookmarkEnd w:id="55"/>
      <w:bookmarkEnd w:id="56"/>
    </w:p>
    <w:p w14:paraId="1D8C7225">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，攀枝花市西区住房和城乡建设局（本级）机关运行经费支出37.21万</w:t>
      </w:r>
      <w:r>
        <w:rPr>
          <w:rFonts w:hint="eastAsia" w:eastAsia="仿宋_GB2312" w:cs="仿宋_GB2312"/>
          <w:sz w:val="32"/>
          <w:szCs w:val="32"/>
        </w:rPr>
        <w:t>元，比2023年度增加</w:t>
      </w:r>
      <w:r>
        <w:rPr>
          <w:rFonts w:hint="eastAsia" w:eastAsia="仿宋_GB2312" w:cs="仿宋_GB2312"/>
          <w:sz w:val="32"/>
          <w:szCs w:val="32"/>
          <w:lang w:val="en-US" w:eastAsia="zh-CN"/>
        </w:rPr>
        <w:t>2.22</w:t>
      </w:r>
      <w:r>
        <w:rPr>
          <w:rFonts w:hint="eastAsia" w:eastAsia="仿宋_GB2312" w:cs="仿宋_GB2312"/>
          <w:sz w:val="32"/>
          <w:szCs w:val="32"/>
        </w:rPr>
        <w:t>万元，增长</w:t>
      </w:r>
      <w:r>
        <w:rPr>
          <w:rFonts w:hint="eastAsia" w:eastAsia="仿宋_GB2312" w:cs="仿宋_GB2312"/>
          <w:sz w:val="32"/>
          <w:szCs w:val="32"/>
          <w:lang w:val="en-US" w:eastAsia="zh-CN"/>
        </w:rPr>
        <w:t>5.84</w:t>
      </w:r>
      <w:r>
        <w:rPr>
          <w:rFonts w:hint="eastAsia" w:eastAsia="仿宋_GB2312" w:cs="仿宋_GB2312"/>
          <w:sz w:val="32"/>
          <w:szCs w:val="32"/>
        </w:rPr>
        <w:t>%主要原因是</w:t>
      </w:r>
      <w:r>
        <w:rPr>
          <w:rFonts w:hint="eastAsia" w:eastAsia="仿宋_GB2312" w:cs="仿宋_GB2312"/>
          <w:sz w:val="32"/>
          <w:szCs w:val="32"/>
          <w:lang w:val="en-US" w:eastAsia="zh-CN"/>
        </w:rPr>
        <w:t>公用经费增加。</w:t>
      </w:r>
    </w:p>
    <w:p w14:paraId="5A2F377C">
      <w:pPr>
        <w:spacing w:line="600" w:lineRule="exact"/>
        <w:ind w:firstLine="643" w:firstLineChars="200"/>
        <w:outlineLvl w:val="2"/>
        <w:rPr>
          <w:rFonts w:eastAsia="楷体_GB2312" w:cs="楷体_GB2312"/>
          <w:b/>
          <w:sz w:val="32"/>
          <w:szCs w:val="32"/>
        </w:rPr>
      </w:pPr>
      <w:bookmarkStart w:id="57" w:name="_Toc15377223"/>
      <w:bookmarkStart w:id="58" w:name="_Toc19985"/>
      <w:r>
        <w:rPr>
          <w:rFonts w:hint="eastAsia" w:eastAsia="楷体_GB2312" w:cs="楷体_GB2312"/>
          <w:b/>
          <w:sz w:val="32"/>
          <w:szCs w:val="32"/>
        </w:rPr>
        <w:t>（二）政府采购支出情况</w:t>
      </w:r>
      <w:bookmarkEnd w:id="57"/>
      <w:bookmarkEnd w:id="58"/>
    </w:p>
    <w:p w14:paraId="406462A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2024年度，攀枝花市西区住房和城乡建设局（本级）政府采购支出总额612.32万元，其中：政府采购货物支出133.93万元、政府采购工程支出221.8万元、政府采购服务支出256.6万元。主要用于</w:t>
      </w:r>
      <w:r>
        <w:rPr>
          <w:rFonts w:hint="eastAsia" w:ascii="仿宋_GB2312" w:hAnsi="仿宋_GB2312" w:eastAsia="仿宋_GB2312" w:cs="仿宋_GB2312"/>
          <w:sz w:val="32"/>
          <w:szCs w:val="32"/>
          <w:lang w:val="en-US" w:eastAsia="zh-CN"/>
        </w:rPr>
        <w:t>西区玉泉片区排水管网建设项目、西区格里坪片区排水管网建设项目、西区2023年第二批次老旧小区配套基础设施改造项目</w:t>
      </w:r>
      <w:r>
        <w:rPr>
          <w:rFonts w:hint="eastAsia" w:ascii="仿宋_GB2312" w:hAnsi="仿宋_GB2312" w:eastAsia="仿宋_GB2312" w:cs="仿宋_GB2312"/>
          <w:sz w:val="32"/>
          <w:szCs w:val="32"/>
        </w:rPr>
        <w:t>。授予中小企业合同金额612.32万元，占政府采购支出总额的100%，其中：授予小微企业合同金额612.32万元，占政府采购支出总额的100%。</w:t>
      </w:r>
    </w:p>
    <w:p w14:paraId="29D6CE9C">
      <w:pPr>
        <w:spacing w:line="600" w:lineRule="exact"/>
        <w:ind w:firstLine="643" w:firstLineChars="200"/>
        <w:outlineLvl w:val="2"/>
        <w:rPr>
          <w:rFonts w:eastAsia="楷体_GB2312" w:cs="楷体_GB2312"/>
          <w:b/>
          <w:sz w:val="32"/>
          <w:szCs w:val="32"/>
        </w:rPr>
      </w:pPr>
      <w:bookmarkStart w:id="59" w:name="_Toc15377224"/>
      <w:bookmarkStart w:id="60" w:name="_Toc22782"/>
      <w:r>
        <w:rPr>
          <w:rFonts w:hint="eastAsia" w:eastAsia="楷体_GB2312" w:cs="楷体_GB2312"/>
          <w:b/>
          <w:sz w:val="32"/>
          <w:szCs w:val="32"/>
        </w:rPr>
        <w:t>（三）国有资产占有使用情况</w:t>
      </w:r>
      <w:bookmarkEnd w:id="59"/>
      <w:bookmarkEnd w:id="60"/>
    </w:p>
    <w:p w14:paraId="2B5A43B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截至2024年12月31日，攀枝花市西区住房和城乡建设局（本级）共有车辆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辆，其中：主要负责人用车0辆、机要通信用车0辆、应急保障用车0辆、其他用车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辆。单价100万元（含）以上设备（不含车辆）0台（套）</w:t>
      </w:r>
      <w:r>
        <w:rPr>
          <w:rFonts w:hint="eastAsia" w:eastAsia="仿宋_GB2312" w:cs="仿宋_GB2312"/>
          <w:sz w:val="32"/>
          <w:szCs w:val="32"/>
        </w:rPr>
        <w:t>。</w:t>
      </w:r>
    </w:p>
    <w:p w14:paraId="69F57AEF">
      <w:pPr>
        <w:spacing w:line="600" w:lineRule="exact"/>
        <w:ind w:firstLine="643" w:firstLineChars="200"/>
        <w:outlineLvl w:val="2"/>
        <w:rPr>
          <w:rFonts w:eastAsia="楷体_GB2312" w:cs="楷体_GB2312"/>
          <w:b/>
          <w:sz w:val="32"/>
          <w:szCs w:val="32"/>
        </w:rPr>
      </w:pPr>
      <w:bookmarkStart w:id="61" w:name="_Toc25366"/>
      <w:r>
        <w:rPr>
          <w:rFonts w:hint="eastAsia" w:eastAsia="楷体_GB2312" w:cs="楷体_GB2312"/>
          <w:b/>
          <w:sz w:val="32"/>
          <w:szCs w:val="32"/>
        </w:rPr>
        <w:t>（四）预算绩效管理情况</w:t>
      </w:r>
      <w:bookmarkEnd w:id="61"/>
    </w:p>
    <w:p w14:paraId="057591D5">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西区住房和城乡建设局</w:t>
      </w:r>
      <w:r>
        <w:rPr>
          <w:rFonts w:hint="eastAsia" w:eastAsia="仿宋_GB2312" w:cs="仿宋_GB2312"/>
          <w:sz w:val="32"/>
          <w:szCs w:val="32"/>
        </w:rPr>
        <w:t>在2024年度预算编制阶段，组织对</w:t>
      </w:r>
      <w:r>
        <w:rPr>
          <w:rFonts w:hint="eastAsia" w:ascii="仿宋_GB2312" w:hAnsi="Times New Roman" w:eastAsia="仿宋_GB2312" w:cs="Times New Roman"/>
          <w:color w:val="auto"/>
          <w:sz w:val="32"/>
          <w:szCs w:val="32"/>
          <w:highlight w:val="none"/>
          <w:lang w:val="en-US" w:eastAsia="zh-CN"/>
        </w:rPr>
        <w:t>路灯及亮化设施维修维护</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城市市政道路及人行道、沟盖板等附属设施维护维修费</w:t>
      </w:r>
      <w:r>
        <w:rPr>
          <w:rFonts w:hint="eastAsia" w:ascii="仿宋_GB2312" w:hAnsi="Times New Roman" w:eastAsia="仿宋_GB2312" w:cs="Times New Roman"/>
          <w:color w:val="auto"/>
          <w:sz w:val="32"/>
          <w:szCs w:val="32"/>
          <w:highlight w:val="none"/>
          <w:lang w:eastAsia="zh-CN"/>
        </w:rPr>
        <w:t>等</w:t>
      </w:r>
      <w:r>
        <w:rPr>
          <w:rFonts w:hint="eastAsia" w:ascii="仿宋_GB2312" w:hAnsi="Times New Roman" w:eastAsia="仿宋_GB2312" w:cs="Times New Roman"/>
          <w:color w:val="auto"/>
          <w:sz w:val="32"/>
          <w:szCs w:val="32"/>
          <w:highlight w:val="none"/>
          <w:lang w:val="en-US" w:eastAsia="zh-CN"/>
        </w:rPr>
        <w:t>5个</w:t>
      </w:r>
      <w:r>
        <w:rPr>
          <w:rFonts w:hint="eastAsia" w:eastAsia="仿宋_GB2312" w:cs="仿宋_GB2312"/>
          <w:sz w:val="32"/>
          <w:szCs w:val="32"/>
        </w:rPr>
        <w:t>项目开展了预算事前绩效评估，对</w:t>
      </w:r>
      <w:r>
        <w:rPr>
          <w:rFonts w:hint="eastAsia"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p>
    <w:p w14:paraId="199DA27C">
      <w:pPr>
        <w:spacing w:line="600" w:lineRule="exact"/>
        <w:ind w:firstLine="640"/>
        <w:rPr>
          <w:rFonts w:eastAsia="仿宋_GB2312" w:cs="仿宋_GB2312"/>
          <w:b/>
          <w:bCs/>
          <w:sz w:val="32"/>
          <w:szCs w:val="32"/>
        </w:rPr>
      </w:pPr>
      <w:r>
        <w:rPr>
          <w:rFonts w:hint="eastAsia" w:eastAsia="仿宋_GB2312" w:cs="仿宋_GB2312"/>
          <w:sz w:val="32"/>
          <w:szCs w:val="32"/>
        </w:rPr>
        <w:t>组织对2024年度一般公共预算、政府性基金预算、国有资本经营预算等全面开展绩效自评，形成</w:t>
      </w:r>
      <w:r>
        <w:rPr>
          <w:rFonts w:hint="eastAsia" w:eastAsia="仿宋_GB2312" w:cs="仿宋_GB2312"/>
          <w:sz w:val="32"/>
          <w:szCs w:val="32"/>
          <w:lang w:val="en-US" w:eastAsia="zh-CN"/>
        </w:rPr>
        <w:t>西区住建局</w:t>
      </w:r>
      <w:r>
        <w:rPr>
          <w:rFonts w:hint="eastAsia" w:eastAsia="仿宋_GB2312" w:cs="仿宋_GB2312"/>
          <w:sz w:val="32"/>
          <w:szCs w:val="32"/>
        </w:rPr>
        <w:t>部门整体（含部门预算项目）绩效自评报告、</w:t>
      </w:r>
      <w:r>
        <w:rPr>
          <w:rFonts w:hint="eastAsia" w:eastAsia="仿宋_GB2312" w:cs="仿宋_GB2312"/>
          <w:sz w:val="32"/>
          <w:szCs w:val="32"/>
          <w:lang w:val="en-US" w:eastAsia="zh-CN"/>
        </w:rPr>
        <w:t>西区既有住宅电梯增设、西区方舱隔离点改扩建</w:t>
      </w:r>
      <w:r>
        <w:rPr>
          <w:rFonts w:hint="eastAsia" w:eastAsia="仿宋_GB2312" w:cs="仿宋_GB2312"/>
          <w:sz w:val="32"/>
          <w:szCs w:val="32"/>
        </w:rPr>
        <w:t>等专项预算项目绩效自评报告，其中，</w:t>
      </w:r>
      <w:r>
        <w:rPr>
          <w:rFonts w:hint="eastAsia" w:eastAsia="仿宋_GB2312" w:cs="仿宋_GB2312"/>
          <w:sz w:val="32"/>
          <w:szCs w:val="32"/>
          <w:lang w:val="en-US" w:eastAsia="zh-CN"/>
        </w:rPr>
        <w:t>西区住建局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91.5</w:t>
      </w:r>
      <w:r>
        <w:rPr>
          <w:rFonts w:hint="eastAsia" w:eastAsia="仿宋_GB2312" w:cs="仿宋_GB2312"/>
          <w:sz w:val="32"/>
          <w:szCs w:val="32"/>
        </w:rPr>
        <w:t>分，绩效自评综述</w:t>
      </w:r>
      <w:r>
        <w:rPr>
          <w:rFonts w:hint="eastAsia" w:ascii="方正仿宋_GB2312" w:hAnsi="方正仿宋_GB2312" w:eastAsia="方正仿宋_GB2312" w:cs="方正仿宋_GB2312"/>
          <w:sz w:val="32"/>
          <w:szCs w:val="32"/>
        </w:rPr>
        <w:t>重视财政资金的支出绩效，资金从预算、执行、验收、资金支付等流程层层把关，严格按照部门预算进行部门整体支出，“三公经费”逐年下降</w:t>
      </w:r>
      <w:r>
        <w:rPr>
          <w:rFonts w:hint="eastAsia" w:eastAsia="仿宋_GB2312" w:cs="仿宋_GB2312"/>
          <w:sz w:val="32"/>
          <w:szCs w:val="32"/>
        </w:rPr>
        <w:t>；</w:t>
      </w:r>
      <w:r>
        <w:rPr>
          <w:rFonts w:hint="eastAsia" w:ascii="仿宋_GB2312" w:hAnsi="仿宋_GB2312" w:eastAsia="仿宋_GB2312" w:cs="仿宋_GB2312"/>
          <w:color w:val="auto"/>
          <w:kern w:val="0"/>
          <w:sz w:val="32"/>
          <w:szCs w:val="32"/>
          <w:lang w:val="zh-CN" w:eastAsia="zh-CN" w:bidi="ar"/>
        </w:rPr>
        <w:t>宝鼎金沙小区配套道路工程、西区2024年公租房租赁补贴项目</w:t>
      </w:r>
      <w:r>
        <w:rPr>
          <w:rFonts w:hint="eastAsia" w:ascii="仿宋_GB2312" w:hAnsi="仿宋_GB2312" w:eastAsia="仿宋_GB2312" w:cs="仿宋_GB2312"/>
          <w:color w:val="auto"/>
          <w:kern w:val="0"/>
          <w:sz w:val="32"/>
          <w:szCs w:val="32"/>
          <w:lang w:val="en-US" w:eastAsia="zh-CN" w:bidi="ar"/>
        </w:rPr>
        <w:t>等</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99</w:t>
      </w:r>
      <w:r>
        <w:rPr>
          <w:rFonts w:hint="eastAsia" w:eastAsia="仿宋_GB2312" w:cs="仿宋_GB2312"/>
          <w:sz w:val="32"/>
          <w:szCs w:val="32"/>
        </w:rPr>
        <w:t>分，绩效自评综述</w:t>
      </w:r>
      <w:r>
        <w:rPr>
          <w:rFonts w:hint="eastAsia" w:ascii="方正仿宋_GB2312" w:hAnsi="方正仿宋_GB2312" w:eastAsia="方正仿宋_GB2312" w:cs="方正仿宋_GB2312"/>
          <w:sz w:val="32"/>
          <w:szCs w:val="32"/>
        </w:rPr>
        <w:t>所有项目资金严格按照项目申报的实施方案组织实施，并责成项目实施股室加强日常监督，依据相应的资金管理办法切实做到项目资金专项专用，无截留、无挪用等现象</w:t>
      </w:r>
      <w:r>
        <w:rPr>
          <w:rFonts w:hint="eastAsia" w:eastAsia="仿宋_GB2312" w:cs="仿宋_GB2312"/>
          <w:sz w:val="32"/>
          <w:szCs w:val="32"/>
        </w:rPr>
        <w:t>。绩效自评报告详见附件。</w:t>
      </w:r>
    </w:p>
    <w:p w14:paraId="761DCB21">
      <w:pPr>
        <w:spacing w:line="600" w:lineRule="exact"/>
        <w:ind w:firstLine="640"/>
        <w:rPr>
          <w:rFonts w:eastAsia="仿宋_GB2312" w:cs="仿宋_GB2312"/>
          <w:sz w:val="32"/>
          <w:szCs w:val="32"/>
        </w:rPr>
      </w:pPr>
    </w:p>
    <w:p w14:paraId="16D514DF">
      <w:pPr>
        <w:spacing w:line="600" w:lineRule="exact"/>
        <w:ind w:firstLine="640"/>
        <w:rPr>
          <w:rFonts w:eastAsia="仿宋_GB2312" w:cs="仿宋_GB2312"/>
          <w:sz w:val="32"/>
          <w:szCs w:val="32"/>
        </w:rPr>
      </w:pPr>
    </w:p>
    <w:p w14:paraId="6A0E18C3">
      <w:pPr>
        <w:pStyle w:val="2"/>
        <w:rPr>
          <w:rFonts w:eastAsia="仿宋_GB2312" w:cs="仿宋_GB2312"/>
          <w:sz w:val="32"/>
          <w:szCs w:val="32"/>
        </w:rPr>
      </w:pPr>
    </w:p>
    <w:p w14:paraId="056F10F2">
      <w:pPr>
        <w:pStyle w:val="2"/>
        <w:rPr>
          <w:rFonts w:eastAsia="仿宋_GB2312" w:cs="仿宋_GB2312"/>
          <w:sz w:val="32"/>
          <w:szCs w:val="32"/>
        </w:rPr>
      </w:pPr>
    </w:p>
    <w:p w14:paraId="6DCFE86F">
      <w:pPr>
        <w:pStyle w:val="2"/>
        <w:rPr>
          <w:rFonts w:eastAsia="仿宋_GB2312" w:cs="仿宋_GB2312"/>
          <w:sz w:val="32"/>
          <w:szCs w:val="32"/>
        </w:rPr>
      </w:pPr>
    </w:p>
    <w:p w14:paraId="4742F99D">
      <w:pPr>
        <w:spacing w:line="600" w:lineRule="exact"/>
        <w:jc w:val="center"/>
        <w:outlineLvl w:val="0"/>
        <w:rPr>
          <w:rFonts w:eastAsia="黑体"/>
          <w:sz w:val="44"/>
          <w:szCs w:val="44"/>
        </w:rPr>
      </w:pPr>
      <w:bookmarkStart w:id="62" w:name="_Toc15377225"/>
      <w:bookmarkStart w:id="63" w:name="_Toc19429"/>
      <w:bookmarkStart w:id="64" w:name="_Toc15396613"/>
      <w:r>
        <w:rPr>
          <w:rFonts w:hint="eastAsia" w:eastAsia="黑体"/>
          <w:sz w:val="44"/>
          <w:szCs w:val="44"/>
        </w:rPr>
        <w:t>第三部分  名词解释</w:t>
      </w:r>
      <w:bookmarkEnd w:id="62"/>
      <w:bookmarkEnd w:id="63"/>
      <w:bookmarkEnd w:id="64"/>
    </w:p>
    <w:p w14:paraId="0B5A02B1">
      <w:pPr>
        <w:spacing w:line="600" w:lineRule="exact"/>
        <w:jc w:val="left"/>
        <w:rPr>
          <w:b/>
          <w:sz w:val="44"/>
          <w:szCs w:val="44"/>
        </w:rPr>
      </w:pPr>
    </w:p>
    <w:p w14:paraId="6818DE8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0190575">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w:t>
      </w:r>
    </w:p>
    <w:p w14:paraId="4D157276">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131AA140">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14:paraId="345A3DAB">
      <w:pPr>
        <w:ind w:firstLine="640" w:firstLineChars="20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一般公共服务（类）党委办公厅（室）及相关机构事务（款）一般行政管理事务（项）2013102：指反映行政单位（包括实行公务员管理的事业单位）未单独设置项级科目的其他项目支出。</w:t>
      </w:r>
    </w:p>
    <w:p w14:paraId="67A0CE4F">
      <w:pPr>
        <w:ind w:firstLine="640" w:firstLineChars="200"/>
        <w:rPr>
          <w:rFonts w:hint="eastAsia" w:ascii="仿宋_GB2312" w:eastAsia="仿宋_GB2312"/>
          <w:sz w:val="32"/>
          <w:szCs w:val="32"/>
        </w:rPr>
      </w:pPr>
      <w:r>
        <w:rPr>
          <w:rFonts w:hint="eastAsia" w:ascii="仿宋_GB2312" w:eastAsia="仿宋_GB2312"/>
          <w:sz w:val="32"/>
          <w:szCs w:val="32"/>
        </w:rPr>
        <w:t>6.一般公共服务（类）其他共产党事务支出（款）一般行政管理事务（项）2013602：指反映行政单位（包括实行公务员管理的事业单位）未单独设置项级科目的其他项目支出。</w:t>
      </w:r>
    </w:p>
    <w:p w14:paraId="5765016B">
      <w:pPr>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color w:val="000000"/>
          <w:sz w:val="32"/>
          <w:szCs w:val="32"/>
        </w:rPr>
        <w:t>社会保障和就业（类）</w:t>
      </w:r>
      <w:r>
        <w:rPr>
          <w:rFonts w:hint="eastAsia" w:ascii="仿宋_GB2312" w:hAnsi="仿宋_GB2312" w:eastAsia="仿宋_GB2312" w:cs="仿宋_GB2312"/>
          <w:color w:val="000000"/>
          <w:sz w:val="32"/>
          <w:szCs w:val="32"/>
          <w:shd w:val="clear" w:color="auto" w:fill="F8F8F8"/>
        </w:rPr>
        <w:t>行政事业单位离退休（款）行政单位离退休（项）2080501：指反映行政单位（包括实行公务员管理的事业单位）开支的离退休经费。</w:t>
      </w:r>
    </w:p>
    <w:p w14:paraId="17C19868">
      <w:pPr>
        <w:ind w:firstLine="640" w:firstLineChars="200"/>
        <w:rPr>
          <w:rFonts w:hint="eastAsia" w:ascii="仿宋_GB2312" w:hAnsi="仿宋_GB2312" w:eastAsia="仿宋_GB2312" w:cs="仿宋_GB2312"/>
          <w:color w:val="000000"/>
          <w:sz w:val="32"/>
          <w:szCs w:val="32"/>
          <w:shd w:val="clear" w:color="auto" w:fill="F8F8F8"/>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color w:val="000000"/>
          <w:sz w:val="32"/>
          <w:szCs w:val="32"/>
        </w:rPr>
        <w:t xml:space="preserve"> 社会保障和就业（类）</w:t>
      </w:r>
      <w:r>
        <w:rPr>
          <w:rFonts w:hint="eastAsia" w:ascii="仿宋_GB2312" w:hAnsi="仿宋_GB2312" w:eastAsia="仿宋_GB2312" w:cs="仿宋_GB2312"/>
          <w:color w:val="000000"/>
          <w:sz w:val="32"/>
          <w:szCs w:val="32"/>
          <w:shd w:val="clear" w:color="auto" w:fill="F8F8F8"/>
        </w:rPr>
        <w:t>行政事业单位离退休（款）机关事业单位基本养老保险缴费支出（项）2080505：指反映机关事业单位实施养老保险制度由单位缴纳的基本养老保险费支出。</w:t>
      </w:r>
    </w:p>
    <w:p w14:paraId="68E968F8">
      <w:pPr>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shd w:val="clear" w:color="auto" w:fill="F8F8F8"/>
        </w:rPr>
        <w:t>9.</w:t>
      </w:r>
      <w:r>
        <w:rPr>
          <w:rFonts w:hint="eastAsia" w:ascii="仿宋_GB2312" w:eastAsia="仿宋_GB2312"/>
          <w:color w:val="000000"/>
          <w:sz w:val="32"/>
          <w:szCs w:val="32"/>
        </w:rPr>
        <w:t>社会保障和就业（类）</w:t>
      </w:r>
      <w:r>
        <w:rPr>
          <w:rFonts w:hint="eastAsia" w:ascii="仿宋_GB2312" w:hAnsi="仿宋_GB2312" w:eastAsia="仿宋_GB2312" w:cs="仿宋_GB2312"/>
          <w:color w:val="000000"/>
          <w:sz w:val="32"/>
          <w:szCs w:val="32"/>
          <w:shd w:val="clear" w:color="auto" w:fill="F8F8F8"/>
        </w:rPr>
        <w:t>抚恤（款）死亡抚恤（项）2080801：指反映按规定用于烈士和牺牲、病故人员家属的一次性和定期抚恤金以及丧葬补助费</w:t>
      </w:r>
    </w:p>
    <w:p w14:paraId="66FD95B5">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行政单位医疗（项）2101101：指反映财政部门安排的行政单位（包括实行公务员管理的事业单位，下同）基本医疗保险经费，未参加医疗保险的行政单位的公费医疗经费，按国家规定享受离休人员待遇的医疗经费。</w:t>
      </w:r>
    </w:p>
    <w:p w14:paraId="236C7D1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事业单位医疗（项）2101102：指反映财政部门安排的事业单位基本医疗保险缴费经费，未参加医疗保险的事业单位的公费医疗经费，按国家规定享受离休人员待遇的医疗经费。</w:t>
      </w:r>
    </w:p>
    <w:p w14:paraId="680C7C8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卫生健康支出（类）行政事业单位医疗（款）公务员医疗补助（项）2101103：指反映财政部门安排的公务员医疗补助经费。</w:t>
      </w:r>
    </w:p>
    <w:p w14:paraId="0B937A7B">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节能环保支出（类）自然生态保护（款）生态保护（项）2110401：指反映用于生态功能保护区、生态示范区、生态省（市、县）管理及能力建设、日常管护、宣教、试点示范等支出，生态修复支出，资源开发生态监管等支出。</w:t>
      </w:r>
    </w:p>
    <w:p w14:paraId="2FF9A899">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城乡社区（类）城乡社区管理事务（款）行政运行（项）2120101：指行政单位（包括实行公务员管理的事业单位）的基本支出。</w:t>
      </w:r>
    </w:p>
    <w:p w14:paraId="600C4444">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城乡社区（类）城乡社区管理事务（款）一般行政管理事务（项）2120102：指</w:t>
      </w:r>
      <w:r>
        <w:rPr>
          <w:rFonts w:hint="eastAsia" w:ascii="仿宋_GB2312" w:eastAsia="仿宋_GB2312"/>
          <w:sz w:val="32"/>
          <w:szCs w:val="32"/>
        </w:rPr>
        <w:t>反映行政单位（包括实行公务员管理的事业单位）未单独设置项级科目的其他项目支出。</w:t>
      </w:r>
    </w:p>
    <w:p w14:paraId="7CEFBA4B">
      <w:pPr>
        <w:ind w:firstLine="640" w:firstLineChars="200"/>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color w:val="000000"/>
          <w:sz w:val="32"/>
          <w:szCs w:val="32"/>
        </w:rPr>
        <w:t xml:space="preserve"> 城乡社区（类）城乡社区管理事务（款）其他城乡社区管理事务支出（项）2120199：指除上述项目以外其他用于城乡社区管理事务方面的支出。</w:t>
      </w:r>
    </w:p>
    <w:p w14:paraId="4339E107">
      <w:pPr>
        <w:ind w:firstLine="640" w:firstLineChars="200"/>
        <w:rPr>
          <w:rFonts w:hint="eastAsia"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color w:val="000000"/>
          <w:sz w:val="32"/>
          <w:szCs w:val="32"/>
        </w:rPr>
        <w:t xml:space="preserve"> 城乡社区（类）城乡社区公共设施（款）其他城乡社区公共设施（项）2120399：反映除上述项目以外其他用于城乡社区公共设施方面的支出。</w:t>
      </w:r>
    </w:p>
    <w:p w14:paraId="59C0F88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18.城乡社区（类）国有土地使用权出让收入安排（款）土地开发（项）2120802：指新疆生产建设兵团和地方政府用于前期土地开发性支出以及与前期土地开发相关的费用等支出。</w:t>
      </w:r>
    </w:p>
    <w:p w14:paraId="06858F75">
      <w:pPr>
        <w:ind w:firstLine="640" w:firstLineChars="200"/>
        <w:rPr>
          <w:rFonts w:ascii="仿宋_GB2312" w:eastAsia="仿宋_GB2312"/>
          <w:color w:val="000000"/>
          <w:sz w:val="32"/>
          <w:szCs w:val="32"/>
        </w:rPr>
      </w:pPr>
      <w:r>
        <w:rPr>
          <w:rFonts w:hint="eastAsia" w:ascii="仿宋_GB2312" w:eastAsia="仿宋_GB2312"/>
          <w:color w:val="000000"/>
          <w:sz w:val="32"/>
          <w:szCs w:val="32"/>
        </w:rPr>
        <w:t>19.城乡社区（类）其他城乡社区支出（款）其他城乡社区支出（项）2129999：指除上述项目以外其他用于城乡社区方面的支出。</w:t>
      </w:r>
    </w:p>
    <w:p w14:paraId="3FD1C3AF">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农林水（类）其他农林水支出（款）化解其他公益性乡村债务支出（项）：指反映化解除农村义务教育债务以外的乡村其他公益性乡村债务支出。</w:t>
      </w:r>
    </w:p>
    <w:p w14:paraId="2C76023F">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住房保障支出（类）保障性安居工程支出（款）棚户区改造（项）2210103：指用于棚户区改造方面的支出。</w:t>
      </w:r>
    </w:p>
    <w:p w14:paraId="43741971">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住房保障支出（类）保障性安居工程支出（款）农村危房改造（项）2210105：指用于农村危房改造方面的支出。</w:t>
      </w:r>
    </w:p>
    <w:p w14:paraId="00ADBFD1">
      <w:pPr>
        <w:ind w:firstLine="640" w:firstLineChars="200"/>
        <w:rPr>
          <w:rFonts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住房保障支出（类）保障性安居工程支出（款）公共租赁住房（项）2210106：反映用于新建、改建、购买、租赁、维护和管理公共租赁住房支出。</w:t>
      </w:r>
    </w:p>
    <w:p w14:paraId="3FD8A5A5">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4</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住房保障支出（类）保障性安居工程支出（款）保障性住房租金补贴（项）2210107：指各级政府向低收入住房保障家庭发放的住房租赁补贴支出。</w:t>
      </w:r>
    </w:p>
    <w:p w14:paraId="30EBB454">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住房保障支出（类）保障性安居工程支出（款）老旧小区改造（项）2210108：反映用于老旧小区改造方面的支出。</w:t>
      </w:r>
    </w:p>
    <w:p w14:paraId="6E4B0B1D">
      <w:pPr>
        <w:ind w:firstLine="640" w:firstLineChars="200"/>
        <w:rPr>
          <w:rFonts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6</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住房保障支出（类）保障性安居工程支出（款）其他保障性安居工程支出（项）2210199：反映除上述项目以外其他用于保障性住房方面的支出。</w:t>
      </w:r>
    </w:p>
    <w:p w14:paraId="58D40A5F">
      <w:pPr>
        <w:pStyle w:val="16"/>
        <w:widowControl/>
        <w:shd w:val="clear" w:color="auto" w:fill="F8F8F8"/>
        <w:spacing w:before="0" w:beforeAutospacing="0" w:after="0" w:afterAutospacing="0" w:line="450" w:lineRule="atLeast"/>
        <w:ind w:firstLine="640" w:firstLineChars="200"/>
        <w:rPr>
          <w:rFonts w:hint="eastAsia" w:ascii="仿宋_GB2312" w:hAnsi="仿宋_GB2312" w:eastAsia="仿宋_GB2312" w:cs="仿宋_GB2312"/>
          <w:color w:val="000000"/>
          <w:sz w:val="32"/>
          <w:szCs w:val="32"/>
          <w:shd w:val="clear" w:color="auto" w:fill="F8F8F8"/>
        </w:rPr>
      </w:pPr>
      <w:r>
        <w:rPr>
          <w:rFonts w:ascii="仿宋_GB2312" w:eastAsia="仿宋_GB2312"/>
          <w:sz w:val="32"/>
          <w:szCs w:val="32"/>
        </w:rPr>
        <w:t>2</w:t>
      </w:r>
      <w:r>
        <w:rPr>
          <w:rFonts w:hint="eastAsia" w:ascii="仿宋_GB2312" w:eastAsia="仿宋_GB2312"/>
          <w:sz w:val="32"/>
          <w:szCs w:val="32"/>
        </w:rPr>
        <w:t>7</w:t>
      </w:r>
      <w:r>
        <w:rPr>
          <w:rFonts w:ascii="仿宋_GB2312" w:eastAsia="仿宋_GB2312"/>
          <w:sz w:val="32"/>
          <w:szCs w:val="32"/>
        </w:rPr>
        <w:t>.</w:t>
      </w:r>
      <w:r>
        <w:rPr>
          <w:rFonts w:hint="eastAsia" w:ascii="仿宋_GB2312" w:hAnsi="仿宋_GB2312" w:eastAsia="仿宋_GB2312" w:cs="仿宋_GB2312"/>
          <w:color w:val="000000"/>
          <w:sz w:val="32"/>
          <w:szCs w:val="32"/>
          <w:shd w:val="clear" w:color="auto" w:fill="F8F8F8"/>
        </w:rPr>
        <w:t xml:space="preserve"> 住房保障支出（类）住房改革支出（款）住房公积金（项）2210201：指放映行政事业单位按人力资源和社会保障部、财政部规定的基本工资和津贴补贴以及规定比例为职工缴纳的住房公积金。</w:t>
      </w:r>
    </w:p>
    <w:p w14:paraId="2B5F5FB6">
      <w:pPr>
        <w:pStyle w:val="16"/>
        <w:widowControl/>
        <w:shd w:val="clear" w:color="auto" w:fill="F8F8F8"/>
        <w:spacing w:before="0" w:beforeAutospacing="0" w:after="0" w:afterAutospacing="0" w:line="450" w:lineRule="atLeast"/>
        <w:ind w:firstLine="640"/>
        <w:rPr>
          <w:rFonts w:ascii="仿宋_GB2312" w:hAnsi="仿宋_GB2312" w:eastAsia="仿宋_GB2312" w:cs="仿宋_GB2312"/>
          <w:color w:val="000000"/>
          <w:sz w:val="32"/>
          <w:szCs w:val="32"/>
          <w:shd w:val="clear" w:color="auto" w:fill="F8F8F8"/>
        </w:rPr>
      </w:pPr>
      <w:r>
        <w:rPr>
          <w:rFonts w:hint="eastAsia" w:ascii="仿宋_GB2312" w:hAnsi="仿宋_GB2312" w:eastAsia="仿宋_GB2312" w:cs="仿宋_GB2312"/>
          <w:color w:val="000000"/>
          <w:sz w:val="32"/>
          <w:szCs w:val="32"/>
          <w:shd w:val="clear" w:color="auto" w:fill="F8F8F8"/>
        </w:rPr>
        <w:t>28. 国有资本经营预算（类）解决历史遗留问题及改革成本支出（款）  国有企业退休人员社会化管理补助支出（项）2230105：指反映国有资本经营预算收入安排的支持国有企业退休人员移交社区实现社会化管理的支出。</w:t>
      </w:r>
    </w:p>
    <w:p w14:paraId="49CDFCDF">
      <w:pPr>
        <w:pStyle w:val="16"/>
        <w:widowControl/>
        <w:shd w:val="clear" w:color="auto" w:fill="F8F8F8"/>
        <w:spacing w:before="0" w:beforeAutospacing="0" w:after="0" w:afterAutospacing="0" w:line="450" w:lineRule="atLeast"/>
        <w:ind w:firstLine="640" w:firstLineChars="200"/>
        <w:rPr>
          <w:rFonts w:ascii="仿宋_GB2312" w:hAnsi="仿宋_GB2312" w:eastAsia="仿宋_GB2312" w:cs="仿宋_GB2312"/>
          <w:color w:val="000000"/>
          <w:sz w:val="32"/>
          <w:szCs w:val="32"/>
          <w:shd w:val="clear" w:color="auto" w:fill="F8F8F8"/>
        </w:rPr>
      </w:pPr>
      <w:r>
        <w:rPr>
          <w:rFonts w:hint="eastAsia" w:ascii="仿宋_GB2312" w:hAnsi="仿宋_GB2312" w:eastAsia="仿宋_GB2312" w:cs="仿宋_GB2312"/>
          <w:color w:val="000000"/>
          <w:sz w:val="32"/>
          <w:szCs w:val="32"/>
          <w:shd w:val="clear" w:color="auto" w:fill="F8F8F8"/>
        </w:rPr>
        <w:t>29.</w:t>
      </w:r>
      <w:r>
        <w:rPr>
          <w:rFonts w:hint="eastAsia"/>
        </w:rPr>
        <w:t xml:space="preserve"> </w:t>
      </w:r>
      <w:r>
        <w:rPr>
          <w:rFonts w:hint="eastAsia" w:ascii="仿宋_GB2312" w:hAnsi="仿宋_GB2312" w:eastAsia="仿宋_GB2312" w:cs="仿宋_GB2312"/>
          <w:color w:val="000000"/>
          <w:sz w:val="32"/>
          <w:szCs w:val="32"/>
          <w:shd w:val="clear" w:color="auto" w:fill="F8F8F8"/>
        </w:rPr>
        <w:t>其他支出（类）其他政府性基金及对应专项债务收入安排的支出（款）其他地方自行试点项目收益专项债券收入安排的支出（项）2290402：指反映其他地方自行试点项目收益专项债券收入安排的支出。</w:t>
      </w:r>
    </w:p>
    <w:p w14:paraId="2DF5AB94">
      <w:pPr>
        <w:ind w:firstLine="640" w:firstLineChars="200"/>
        <w:rPr>
          <w:rFonts w:ascii="仿宋_GB2312" w:eastAsia="仿宋_GB2312"/>
          <w:sz w:val="32"/>
          <w:szCs w:val="32"/>
        </w:rPr>
      </w:pPr>
      <w:r>
        <w:rPr>
          <w:rFonts w:hint="eastAsia" w:ascii="仿宋_GB2312" w:eastAsia="仿宋_GB2312"/>
          <w:sz w:val="32"/>
          <w:szCs w:val="32"/>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8F04BFA">
      <w:pPr>
        <w:ind w:firstLine="640" w:firstLineChars="200"/>
        <w:rPr>
          <w:rFonts w:ascii="仿宋_GB2312" w:eastAsia="仿宋_GB2312"/>
          <w:sz w:val="32"/>
          <w:szCs w:val="32"/>
        </w:rPr>
      </w:pPr>
      <w:r>
        <w:rPr>
          <w:rFonts w:hint="eastAsia" w:ascii="仿宋_GB2312" w:eastAsia="仿宋_GB2312"/>
          <w:sz w:val="32"/>
          <w:szCs w:val="32"/>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5932E65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BBD1A5">
      <w:pPr>
        <w:spacing w:line="600" w:lineRule="exact"/>
        <w:ind w:firstLine="640"/>
        <w:rPr>
          <w:rFonts w:hint="eastAsia" w:eastAsia="仿宋_GB2312" w:cs="仿宋_GB2312"/>
          <w:b/>
          <w:bCs/>
          <w:sz w:val="32"/>
          <w:szCs w:val="32"/>
          <w:lang w:eastAsia="zh-CN"/>
        </w:rPr>
      </w:pPr>
      <w:r>
        <w:rPr>
          <w:rFonts w:ascii="仿宋_GB2312" w:eastAsia="仿宋_GB2312"/>
          <w:color w:val="auto"/>
          <w:sz w:val="32"/>
          <w:szCs w:val="32"/>
        </w:rPr>
        <w:t>3</w:t>
      </w: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lang w:eastAsia="zh-CN"/>
        </w:rPr>
        <w:t>。</w:t>
      </w:r>
    </w:p>
    <w:p w14:paraId="0E5A64F4">
      <w:pPr>
        <w:spacing w:line="600" w:lineRule="exact"/>
        <w:jc w:val="center"/>
        <w:rPr>
          <w:rStyle w:val="30"/>
          <w:rFonts w:eastAsia="黑体"/>
          <w:b w:val="0"/>
        </w:rPr>
      </w:pPr>
      <w:bookmarkStart w:id="65" w:name="_Toc15377226"/>
      <w:r>
        <w:rPr>
          <w:rFonts w:hint="eastAsia" w:eastAsia="仿宋_GB2312" w:cs="仿宋_GB2312"/>
          <w:sz w:val="32"/>
          <w:szCs w:val="32"/>
        </w:rPr>
        <w:br w:type="page"/>
      </w:r>
      <w:bookmarkStart w:id="66" w:name="_Toc15396614"/>
      <w:r>
        <w:rPr>
          <w:rFonts w:hint="eastAsia" w:eastAsia="黑体"/>
          <w:sz w:val="44"/>
          <w:szCs w:val="44"/>
        </w:rPr>
        <w:t>第四部分  附件</w:t>
      </w:r>
      <w:bookmarkEnd w:id="66"/>
    </w:p>
    <w:p w14:paraId="184D1248">
      <w:pPr>
        <w:spacing w:line="572" w:lineRule="exact"/>
        <w:jc w:val="left"/>
        <w:outlineLvl w:val="0"/>
        <w:rPr>
          <w:rFonts w:eastAsia="黑体" w:cs="黑体"/>
          <w:color w:val="FF0000"/>
          <w:sz w:val="32"/>
          <w:szCs w:val="32"/>
        </w:rPr>
      </w:pPr>
    </w:p>
    <w:p w14:paraId="6D02AC6D">
      <w:pPr>
        <w:pStyle w:val="7"/>
        <w:spacing w:line="560" w:lineRule="exact"/>
        <w:ind w:left="0" w:leftChars="0" w:firstLine="1280" w:firstLineChars="40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14:paraId="256450AA">
      <w:pPr>
        <w:pStyle w:val="7"/>
        <w:spacing w:line="560" w:lineRule="exact"/>
        <w:ind w:left="0" w:leftChars="0" w:firstLine="1280" w:firstLineChars="400"/>
        <w:rPr>
          <w:rFonts w:hint="eastAsia" w:hAnsi="Times New Roman" w:cs="Times New Roman"/>
          <w:sz w:val="32"/>
          <w:szCs w:val="32"/>
          <w:highlight w:val="none"/>
          <w:lang w:val="en-US" w:eastAsia="zh-CN"/>
        </w:rPr>
      </w:pPr>
    </w:p>
    <w:p w14:paraId="560FDB63">
      <w:pPr>
        <w:pStyle w:val="7"/>
        <w:spacing w:line="560" w:lineRule="exact"/>
        <w:ind w:left="0" w:leftChars="0" w:firstLine="1280" w:firstLineChars="400"/>
        <w:rPr>
          <w:rFonts w:hint="eastAsia" w:hAnsi="Times New Roman" w:cs="Times New Roman"/>
          <w:sz w:val="32"/>
          <w:szCs w:val="32"/>
          <w:highlight w:val="none"/>
          <w:lang w:val="zh-CN" w:eastAsia="zh-CN"/>
        </w:rPr>
      </w:pPr>
    </w:p>
    <w:p w14:paraId="207E1BA0">
      <w:pPr>
        <w:pStyle w:val="2"/>
        <w:spacing w:before="93"/>
        <w:rPr>
          <w:rFonts w:ascii="Times New Roman" w:cs="宋体"/>
          <w:color w:val="FF0000"/>
          <w:sz w:val="32"/>
          <w:szCs w:val="32"/>
          <w:highlight w:val="yellow"/>
          <w:shd w:val="clear" w:color="auto" w:fill="FFFFFF"/>
          <w:lang w:val="zh-CN"/>
        </w:rPr>
      </w:pPr>
    </w:p>
    <w:p w14:paraId="0A897BBA">
      <w:pPr>
        <w:pStyle w:val="2"/>
        <w:spacing w:before="93"/>
        <w:rPr>
          <w:rFonts w:ascii="Times New Roman" w:cs="宋体"/>
          <w:color w:val="FF0000"/>
          <w:sz w:val="32"/>
          <w:szCs w:val="32"/>
          <w:highlight w:val="yellow"/>
          <w:shd w:val="clear" w:color="auto" w:fill="FFFFFF"/>
          <w:lang w:val="zh-CN"/>
        </w:rPr>
      </w:pPr>
    </w:p>
    <w:p w14:paraId="74F8BC82">
      <w:pPr>
        <w:pStyle w:val="2"/>
        <w:spacing w:before="93"/>
        <w:rPr>
          <w:rFonts w:ascii="Times New Roman" w:cs="宋体"/>
          <w:color w:val="FF0000"/>
          <w:sz w:val="32"/>
          <w:szCs w:val="32"/>
          <w:highlight w:val="yellow"/>
          <w:shd w:val="clear" w:color="auto" w:fill="FFFFFF"/>
          <w:lang w:val="zh-CN"/>
        </w:rPr>
      </w:pPr>
    </w:p>
    <w:p w14:paraId="34941546">
      <w:pPr>
        <w:pStyle w:val="2"/>
        <w:spacing w:before="93"/>
        <w:rPr>
          <w:rFonts w:ascii="Times New Roman" w:cs="宋体"/>
          <w:color w:val="FF0000"/>
          <w:sz w:val="32"/>
          <w:szCs w:val="32"/>
          <w:highlight w:val="yellow"/>
          <w:shd w:val="clear" w:color="auto" w:fill="FFFFFF"/>
          <w:lang w:val="zh-CN"/>
        </w:rPr>
      </w:pPr>
    </w:p>
    <w:p w14:paraId="4AAAB29F">
      <w:pPr>
        <w:pStyle w:val="2"/>
        <w:spacing w:before="93"/>
        <w:rPr>
          <w:rFonts w:ascii="Times New Roman" w:cs="宋体"/>
          <w:color w:val="FF0000"/>
          <w:sz w:val="32"/>
          <w:szCs w:val="32"/>
          <w:highlight w:val="yellow"/>
          <w:shd w:val="clear" w:color="auto" w:fill="FFFFFF"/>
          <w:lang w:val="zh-CN"/>
        </w:rPr>
      </w:pPr>
    </w:p>
    <w:p w14:paraId="1F4A6177">
      <w:pPr>
        <w:pStyle w:val="2"/>
        <w:spacing w:before="93"/>
        <w:rPr>
          <w:rFonts w:ascii="Times New Roman" w:cs="宋体"/>
          <w:color w:val="FF0000"/>
          <w:sz w:val="32"/>
          <w:szCs w:val="32"/>
          <w:highlight w:val="yellow"/>
          <w:shd w:val="clear" w:color="auto" w:fill="FFFFFF"/>
          <w:lang w:val="zh-CN"/>
        </w:rPr>
      </w:pPr>
    </w:p>
    <w:p w14:paraId="4F9E4899">
      <w:pPr>
        <w:pStyle w:val="2"/>
        <w:spacing w:before="93"/>
        <w:rPr>
          <w:rFonts w:ascii="Times New Roman" w:cs="宋体"/>
          <w:color w:val="FF0000"/>
          <w:sz w:val="32"/>
          <w:szCs w:val="32"/>
          <w:highlight w:val="yellow"/>
          <w:shd w:val="clear" w:color="auto" w:fill="FFFFFF"/>
          <w:lang w:val="zh-CN"/>
        </w:rPr>
      </w:pPr>
    </w:p>
    <w:p w14:paraId="0247C1AC">
      <w:pPr>
        <w:pStyle w:val="2"/>
        <w:spacing w:before="93"/>
        <w:rPr>
          <w:rFonts w:ascii="Times New Roman" w:cs="宋体"/>
          <w:color w:val="FF0000"/>
          <w:sz w:val="32"/>
          <w:szCs w:val="32"/>
          <w:highlight w:val="yellow"/>
          <w:shd w:val="clear" w:color="auto" w:fill="FFFFFF"/>
          <w:lang w:val="zh-CN"/>
        </w:rPr>
      </w:pPr>
    </w:p>
    <w:p w14:paraId="6EB9275F">
      <w:pPr>
        <w:pStyle w:val="2"/>
        <w:spacing w:before="93"/>
        <w:rPr>
          <w:rFonts w:ascii="Times New Roman" w:cs="宋体"/>
          <w:color w:val="FF0000"/>
          <w:sz w:val="32"/>
          <w:szCs w:val="32"/>
          <w:highlight w:val="yellow"/>
          <w:shd w:val="clear" w:color="auto" w:fill="FFFFFF"/>
          <w:lang w:val="zh-CN"/>
        </w:rPr>
      </w:pPr>
    </w:p>
    <w:p w14:paraId="27AD20EF">
      <w:pPr>
        <w:pStyle w:val="2"/>
        <w:spacing w:before="93"/>
        <w:rPr>
          <w:rFonts w:ascii="Times New Roman" w:cs="宋体"/>
          <w:color w:val="FF0000"/>
          <w:sz w:val="32"/>
          <w:szCs w:val="32"/>
          <w:highlight w:val="yellow"/>
          <w:shd w:val="clear" w:color="auto" w:fill="FFFFFF"/>
          <w:lang w:val="zh-CN"/>
        </w:rPr>
      </w:pPr>
    </w:p>
    <w:p w14:paraId="444F63C1">
      <w:pPr>
        <w:pStyle w:val="2"/>
        <w:spacing w:before="93"/>
        <w:rPr>
          <w:rFonts w:ascii="Times New Roman" w:cs="宋体"/>
          <w:color w:val="FF0000"/>
          <w:sz w:val="32"/>
          <w:szCs w:val="32"/>
          <w:highlight w:val="yellow"/>
          <w:shd w:val="clear" w:color="auto" w:fill="FFFFFF"/>
          <w:lang w:val="zh-CN"/>
        </w:rPr>
      </w:pPr>
    </w:p>
    <w:p w14:paraId="352B402E">
      <w:pPr>
        <w:pStyle w:val="2"/>
        <w:spacing w:before="93"/>
        <w:rPr>
          <w:rFonts w:ascii="Times New Roman" w:cs="宋体"/>
          <w:color w:val="FF0000"/>
          <w:sz w:val="32"/>
          <w:szCs w:val="32"/>
          <w:highlight w:val="yellow"/>
          <w:shd w:val="clear" w:color="auto" w:fill="FFFFFF"/>
          <w:lang w:val="zh-CN"/>
        </w:rPr>
      </w:pPr>
    </w:p>
    <w:p w14:paraId="6A8111C3">
      <w:pPr>
        <w:pStyle w:val="2"/>
        <w:spacing w:before="93"/>
        <w:rPr>
          <w:rFonts w:ascii="Times New Roman" w:cs="宋体"/>
          <w:color w:val="FF0000"/>
          <w:sz w:val="32"/>
          <w:szCs w:val="32"/>
          <w:highlight w:val="yellow"/>
          <w:shd w:val="clear" w:color="auto" w:fill="FFFFFF"/>
          <w:lang w:val="zh-CN"/>
        </w:rPr>
      </w:pPr>
    </w:p>
    <w:p w14:paraId="72BE319B">
      <w:pPr>
        <w:pStyle w:val="2"/>
        <w:spacing w:before="93"/>
        <w:rPr>
          <w:rFonts w:ascii="Times New Roman" w:cs="宋体"/>
          <w:color w:val="FF0000"/>
          <w:sz w:val="32"/>
          <w:szCs w:val="32"/>
          <w:highlight w:val="yellow"/>
          <w:shd w:val="clear" w:color="auto" w:fill="FFFFFF"/>
          <w:lang w:val="zh-CN"/>
        </w:rPr>
      </w:pPr>
    </w:p>
    <w:p w14:paraId="0EDFC98B">
      <w:pPr>
        <w:pStyle w:val="2"/>
        <w:spacing w:before="93"/>
        <w:rPr>
          <w:rFonts w:ascii="Times New Roman" w:cs="宋体"/>
          <w:color w:val="FF0000"/>
          <w:sz w:val="32"/>
          <w:szCs w:val="32"/>
          <w:highlight w:val="yellow"/>
          <w:shd w:val="clear" w:color="auto" w:fill="FFFFFF"/>
          <w:lang w:val="zh-CN"/>
        </w:rPr>
      </w:pPr>
    </w:p>
    <w:p w14:paraId="322CB0F4">
      <w:pPr>
        <w:ind w:firstLine="2640" w:firstLineChars="600"/>
        <w:rPr>
          <w:rFonts w:eastAsia="仿宋"/>
        </w:rPr>
      </w:pPr>
      <w:bookmarkStart w:id="67" w:name="_Toc15396618"/>
      <w:r>
        <w:rPr>
          <w:rFonts w:hint="eastAsia" w:eastAsia="黑体"/>
          <w:sz w:val="44"/>
          <w:szCs w:val="44"/>
        </w:rPr>
        <w:t>第</w:t>
      </w:r>
      <w:r>
        <w:rPr>
          <w:rStyle w:val="30"/>
          <w:rFonts w:hint="eastAsia" w:eastAsia="黑体"/>
          <w:b w:val="0"/>
        </w:rPr>
        <w:t>五部分 附表</w:t>
      </w:r>
      <w:bookmarkEnd w:id="65"/>
      <w:bookmarkEnd w:id="67"/>
      <w:bookmarkStart w:id="68" w:name="_Toc15396619"/>
    </w:p>
    <w:p w14:paraId="0E6CA379">
      <w:pPr>
        <w:pStyle w:val="15"/>
        <w:adjustRightInd w:val="0"/>
        <w:snapToGrid w:val="0"/>
        <w:spacing w:line="560" w:lineRule="exact"/>
        <w:jc w:val="left"/>
        <w:rPr>
          <w:rFonts w:eastAsia="仿宋_GB2312" w:cs="仿宋_GB2312"/>
          <w:sz w:val="32"/>
          <w:szCs w:val="32"/>
        </w:rPr>
      </w:pPr>
    </w:p>
    <w:p w14:paraId="11640738">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8"/>
    </w:p>
    <w:p w14:paraId="7416696F">
      <w:pPr>
        <w:pStyle w:val="15"/>
        <w:adjustRightInd w:val="0"/>
        <w:snapToGrid w:val="0"/>
        <w:spacing w:line="560" w:lineRule="exact"/>
        <w:jc w:val="left"/>
        <w:rPr>
          <w:rFonts w:eastAsia="仿宋_GB2312" w:cs="仿宋_GB2312"/>
          <w:sz w:val="32"/>
          <w:szCs w:val="32"/>
        </w:rPr>
      </w:pPr>
      <w:bookmarkStart w:id="69" w:name="_Toc15396620"/>
      <w:r>
        <w:rPr>
          <w:rFonts w:hint="eastAsia" w:eastAsia="仿宋_GB2312" w:cs="仿宋_GB2312"/>
          <w:sz w:val="32"/>
          <w:szCs w:val="32"/>
        </w:rPr>
        <w:t>二、收入决算表</w:t>
      </w:r>
      <w:bookmarkEnd w:id="69"/>
    </w:p>
    <w:p w14:paraId="16F2E837">
      <w:pPr>
        <w:pStyle w:val="15"/>
        <w:adjustRightInd w:val="0"/>
        <w:snapToGrid w:val="0"/>
        <w:spacing w:line="560" w:lineRule="exact"/>
        <w:jc w:val="left"/>
        <w:rPr>
          <w:rFonts w:eastAsia="仿宋_GB2312" w:cs="仿宋_GB2312"/>
          <w:sz w:val="32"/>
          <w:szCs w:val="32"/>
        </w:rPr>
      </w:pPr>
      <w:bookmarkStart w:id="70" w:name="_Toc15396621"/>
      <w:r>
        <w:rPr>
          <w:rFonts w:hint="eastAsia" w:eastAsia="仿宋_GB2312" w:cs="仿宋_GB2312"/>
          <w:sz w:val="32"/>
          <w:szCs w:val="32"/>
        </w:rPr>
        <w:t>三、支出决算表</w:t>
      </w:r>
      <w:bookmarkEnd w:id="70"/>
    </w:p>
    <w:p w14:paraId="6C259130">
      <w:pPr>
        <w:pStyle w:val="15"/>
        <w:adjustRightInd w:val="0"/>
        <w:snapToGrid w:val="0"/>
        <w:spacing w:line="560" w:lineRule="exact"/>
        <w:jc w:val="left"/>
        <w:rPr>
          <w:rFonts w:eastAsia="仿宋_GB2312" w:cs="仿宋_GB2312"/>
          <w:sz w:val="32"/>
          <w:szCs w:val="32"/>
        </w:rPr>
      </w:pPr>
      <w:bookmarkStart w:id="71" w:name="_Toc15396622"/>
      <w:r>
        <w:rPr>
          <w:rFonts w:hint="eastAsia" w:eastAsia="仿宋_GB2312" w:cs="仿宋_GB2312"/>
          <w:sz w:val="32"/>
          <w:szCs w:val="32"/>
        </w:rPr>
        <w:t>四、财政拨款收入支出决算总表</w:t>
      </w:r>
      <w:bookmarkEnd w:id="71"/>
    </w:p>
    <w:p w14:paraId="5000131A">
      <w:pPr>
        <w:pStyle w:val="15"/>
        <w:adjustRightInd w:val="0"/>
        <w:snapToGrid w:val="0"/>
        <w:spacing w:line="560" w:lineRule="exact"/>
        <w:jc w:val="left"/>
        <w:rPr>
          <w:rFonts w:eastAsia="仿宋_GB2312" w:cs="仿宋_GB2312"/>
          <w:sz w:val="32"/>
          <w:szCs w:val="32"/>
        </w:rPr>
      </w:pPr>
      <w:bookmarkStart w:id="72" w:name="_Toc15396623"/>
      <w:r>
        <w:rPr>
          <w:rFonts w:hint="eastAsia" w:eastAsia="仿宋_GB2312" w:cs="仿宋_GB2312"/>
          <w:sz w:val="32"/>
          <w:szCs w:val="32"/>
        </w:rPr>
        <w:t>五、财政拨款支出决算明细表</w:t>
      </w:r>
      <w:bookmarkEnd w:id="72"/>
      <w:bookmarkStart w:id="73" w:name="_Toc15396624"/>
    </w:p>
    <w:p w14:paraId="0B82F4A4">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3"/>
    </w:p>
    <w:p w14:paraId="351CE207">
      <w:pPr>
        <w:pStyle w:val="15"/>
        <w:adjustRightInd w:val="0"/>
        <w:snapToGrid w:val="0"/>
        <w:spacing w:line="560" w:lineRule="exact"/>
        <w:jc w:val="left"/>
        <w:rPr>
          <w:rFonts w:eastAsia="仿宋_GB2312" w:cs="仿宋_GB2312"/>
          <w:sz w:val="32"/>
          <w:szCs w:val="32"/>
        </w:rPr>
      </w:pPr>
      <w:bookmarkStart w:id="74" w:name="_Toc15396625"/>
      <w:r>
        <w:rPr>
          <w:rFonts w:hint="eastAsia" w:eastAsia="仿宋_GB2312" w:cs="仿宋_GB2312"/>
          <w:sz w:val="32"/>
          <w:szCs w:val="32"/>
        </w:rPr>
        <w:t>七、一般公共预算财政拨款支出决算明细表</w:t>
      </w:r>
      <w:bookmarkEnd w:id="74"/>
    </w:p>
    <w:p w14:paraId="7BD3BEC2">
      <w:pPr>
        <w:pStyle w:val="15"/>
        <w:adjustRightInd w:val="0"/>
        <w:snapToGrid w:val="0"/>
        <w:spacing w:line="560" w:lineRule="exact"/>
        <w:jc w:val="left"/>
        <w:rPr>
          <w:rFonts w:eastAsia="仿宋_GB2312" w:cs="仿宋_GB2312"/>
          <w:sz w:val="32"/>
          <w:szCs w:val="32"/>
        </w:rPr>
      </w:pPr>
      <w:bookmarkStart w:id="75" w:name="_Toc15396626"/>
      <w:r>
        <w:rPr>
          <w:rFonts w:hint="eastAsia" w:eastAsia="仿宋_GB2312" w:cs="仿宋_GB2312"/>
          <w:sz w:val="32"/>
          <w:szCs w:val="32"/>
        </w:rPr>
        <w:t>八、一般公共预算财政拨款基本支出决算表</w:t>
      </w:r>
      <w:bookmarkEnd w:id="75"/>
    </w:p>
    <w:p w14:paraId="3AB0B85B">
      <w:pPr>
        <w:pStyle w:val="15"/>
        <w:adjustRightInd w:val="0"/>
        <w:snapToGrid w:val="0"/>
        <w:spacing w:line="560" w:lineRule="exact"/>
        <w:jc w:val="left"/>
        <w:rPr>
          <w:rFonts w:eastAsia="仿宋_GB2312" w:cs="仿宋_GB2312"/>
          <w:sz w:val="32"/>
          <w:szCs w:val="32"/>
        </w:rPr>
      </w:pPr>
      <w:bookmarkStart w:id="76" w:name="_Toc15396627"/>
      <w:r>
        <w:rPr>
          <w:rFonts w:hint="eastAsia" w:eastAsia="仿宋_GB2312" w:cs="仿宋_GB2312"/>
          <w:sz w:val="32"/>
          <w:szCs w:val="32"/>
        </w:rPr>
        <w:t>九、一般公共预算财政拨款项目支出决算表</w:t>
      </w:r>
      <w:bookmarkEnd w:id="76"/>
    </w:p>
    <w:p w14:paraId="0F7813FF">
      <w:pPr>
        <w:pStyle w:val="15"/>
        <w:adjustRightInd w:val="0"/>
        <w:snapToGrid w:val="0"/>
        <w:spacing w:line="560" w:lineRule="exact"/>
        <w:jc w:val="left"/>
        <w:rPr>
          <w:rFonts w:eastAsia="仿宋_GB2312" w:cs="仿宋_GB2312"/>
          <w:sz w:val="32"/>
          <w:szCs w:val="32"/>
        </w:rPr>
      </w:pPr>
      <w:bookmarkStart w:id="77" w:name="_Toc15396628"/>
      <w:r>
        <w:rPr>
          <w:rFonts w:hint="eastAsia" w:eastAsia="仿宋_GB2312" w:cs="仿宋_GB2312"/>
          <w:sz w:val="32"/>
          <w:szCs w:val="32"/>
        </w:rPr>
        <w:t>十、</w:t>
      </w:r>
      <w:bookmarkEnd w:id="77"/>
      <w:r>
        <w:rPr>
          <w:rFonts w:hint="eastAsia" w:eastAsia="仿宋_GB2312" w:cs="仿宋_GB2312"/>
          <w:sz w:val="32"/>
          <w:szCs w:val="32"/>
        </w:rPr>
        <w:t>政府性基金预算财政拨款收入支出决算表</w:t>
      </w:r>
    </w:p>
    <w:p w14:paraId="42DE696C">
      <w:pPr>
        <w:pStyle w:val="15"/>
        <w:adjustRightInd w:val="0"/>
        <w:snapToGrid w:val="0"/>
        <w:spacing w:line="560" w:lineRule="exact"/>
        <w:jc w:val="left"/>
        <w:rPr>
          <w:rFonts w:eastAsia="仿宋_GB2312" w:cs="仿宋_GB2312"/>
          <w:sz w:val="32"/>
          <w:szCs w:val="32"/>
        </w:rPr>
      </w:pPr>
      <w:bookmarkStart w:id="78" w:name="_Toc15396629"/>
      <w:r>
        <w:rPr>
          <w:rFonts w:hint="eastAsia" w:eastAsia="仿宋_GB2312" w:cs="仿宋_GB2312"/>
          <w:sz w:val="32"/>
          <w:szCs w:val="32"/>
        </w:rPr>
        <w:t>十一、</w:t>
      </w:r>
      <w:bookmarkEnd w:id="78"/>
      <w:r>
        <w:rPr>
          <w:rFonts w:hint="eastAsia" w:eastAsia="仿宋_GB2312" w:cs="仿宋_GB2312"/>
          <w:sz w:val="32"/>
          <w:szCs w:val="32"/>
        </w:rPr>
        <w:t>国有资本经营预算财政拨款收入支出决算表</w:t>
      </w:r>
    </w:p>
    <w:p w14:paraId="10B2A86B">
      <w:pPr>
        <w:pStyle w:val="15"/>
        <w:adjustRightInd w:val="0"/>
        <w:snapToGrid w:val="0"/>
        <w:spacing w:line="560" w:lineRule="exact"/>
        <w:jc w:val="left"/>
        <w:rPr>
          <w:rFonts w:eastAsia="仿宋_GB2312" w:cs="仿宋_GB2312"/>
          <w:sz w:val="32"/>
          <w:szCs w:val="32"/>
        </w:rPr>
      </w:pPr>
      <w:bookmarkStart w:id="79" w:name="_Toc15396630"/>
      <w:r>
        <w:rPr>
          <w:rFonts w:hint="eastAsia" w:eastAsia="仿宋_GB2312" w:cs="仿宋_GB2312"/>
          <w:sz w:val="32"/>
          <w:szCs w:val="32"/>
        </w:rPr>
        <w:t>十二、</w:t>
      </w:r>
      <w:bookmarkEnd w:id="79"/>
      <w:r>
        <w:rPr>
          <w:rFonts w:hint="eastAsia" w:eastAsia="仿宋_GB2312" w:cs="仿宋_GB2312"/>
          <w:sz w:val="32"/>
          <w:szCs w:val="32"/>
        </w:rPr>
        <w:t>国有资本经营预算财政拨款支出决算表</w:t>
      </w:r>
    </w:p>
    <w:p w14:paraId="126F465F">
      <w:pPr>
        <w:pStyle w:val="15"/>
        <w:adjustRightInd w:val="0"/>
        <w:snapToGrid w:val="0"/>
        <w:spacing w:line="560" w:lineRule="exact"/>
        <w:jc w:val="left"/>
        <w:rPr>
          <w:rFonts w:eastAsia="仿宋_GB2312" w:cs="仿宋_GB2312"/>
          <w:sz w:val="32"/>
          <w:szCs w:val="32"/>
        </w:rPr>
      </w:pPr>
      <w:bookmarkStart w:id="80" w:name="_Toc15396631"/>
      <w:r>
        <w:rPr>
          <w:rFonts w:hint="eastAsia" w:eastAsia="仿宋_GB2312" w:cs="仿宋_GB2312"/>
          <w:sz w:val="32"/>
          <w:szCs w:val="32"/>
        </w:rPr>
        <w:t>十三、</w:t>
      </w:r>
      <w:bookmarkEnd w:id="80"/>
      <w:r>
        <w:rPr>
          <w:rFonts w:hint="eastAsia" w:eastAsia="仿宋_GB2312" w:cs="仿宋_GB2312"/>
          <w:sz w:val="32"/>
          <w:szCs w:val="32"/>
        </w:rPr>
        <w:t>财政拨款“三公”经费支出决算表</w:t>
      </w:r>
    </w:p>
    <w:p w14:paraId="0F6DD6A4"/>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505FF-6384-42A0-96A8-68FAAA87C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0E873F-76DE-4A03-9A22-7795E8623C0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5BCA11B5-A62E-4BEF-B1D2-78617375D88F}"/>
  </w:font>
  <w:font w:name="仿宋">
    <w:panose1 w:val="02010609060101010101"/>
    <w:charset w:val="86"/>
    <w:family w:val="modern"/>
    <w:pitch w:val="default"/>
    <w:sig w:usb0="800002BF" w:usb1="38CF7CFA" w:usb2="00000016" w:usb3="00000000" w:csb0="00040001" w:csb1="00000000"/>
    <w:embedRegular r:id="rId4" w:fontKey="{6490255B-F73B-4DEB-AB86-8EC58E23366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10" w:usb3="00000000" w:csb0="00040000" w:csb1="00000000"/>
    <w:embedRegular r:id="rId5" w:fontKey="{C17082D0-1310-4E6D-95BF-BA74A8C152F4}"/>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embedRegular r:id="rId6" w:fontKey="{D0CC722C-9DA7-485B-AAEF-A3259860CB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B9203FEB-DAFC-4A42-8C11-CE906958C2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16E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0AA1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80AA1B">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2A9B1E2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4E5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84B9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E84B9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8EC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8E7E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A8E7E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484162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C70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FE1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26FE1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231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B740A"/>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3171"/>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685"/>
    <w:rsid w:val="012A5EC2"/>
    <w:rsid w:val="015975B8"/>
    <w:rsid w:val="029816D8"/>
    <w:rsid w:val="02FEBE30"/>
    <w:rsid w:val="03035935"/>
    <w:rsid w:val="04916F1E"/>
    <w:rsid w:val="05B71B9A"/>
    <w:rsid w:val="061E35DE"/>
    <w:rsid w:val="066E0107"/>
    <w:rsid w:val="075A7AEE"/>
    <w:rsid w:val="07996F6E"/>
    <w:rsid w:val="07DFD8BA"/>
    <w:rsid w:val="09867E8F"/>
    <w:rsid w:val="0987232E"/>
    <w:rsid w:val="0A2032A3"/>
    <w:rsid w:val="0CA8290A"/>
    <w:rsid w:val="0D35B1ED"/>
    <w:rsid w:val="0D732BFC"/>
    <w:rsid w:val="0E254B6B"/>
    <w:rsid w:val="0F98263C"/>
    <w:rsid w:val="101860EC"/>
    <w:rsid w:val="101F47CC"/>
    <w:rsid w:val="10C055FF"/>
    <w:rsid w:val="112B6426"/>
    <w:rsid w:val="11694EBD"/>
    <w:rsid w:val="11772AA4"/>
    <w:rsid w:val="117976F4"/>
    <w:rsid w:val="118107EC"/>
    <w:rsid w:val="11B81D38"/>
    <w:rsid w:val="12E24EE2"/>
    <w:rsid w:val="13D50BC4"/>
    <w:rsid w:val="140B4971"/>
    <w:rsid w:val="14B17F78"/>
    <w:rsid w:val="15C03212"/>
    <w:rsid w:val="165E0673"/>
    <w:rsid w:val="16B831D5"/>
    <w:rsid w:val="16BB723D"/>
    <w:rsid w:val="17E50567"/>
    <w:rsid w:val="182818DF"/>
    <w:rsid w:val="186504BB"/>
    <w:rsid w:val="18F274F8"/>
    <w:rsid w:val="19A445FC"/>
    <w:rsid w:val="1BE8440E"/>
    <w:rsid w:val="1D155CEE"/>
    <w:rsid w:val="1D1638FE"/>
    <w:rsid w:val="1E312DEB"/>
    <w:rsid w:val="1E740ACF"/>
    <w:rsid w:val="1FF35744"/>
    <w:rsid w:val="1FF6BC77"/>
    <w:rsid w:val="2186353C"/>
    <w:rsid w:val="23860B96"/>
    <w:rsid w:val="240371BF"/>
    <w:rsid w:val="2420614D"/>
    <w:rsid w:val="244F3473"/>
    <w:rsid w:val="24C97D99"/>
    <w:rsid w:val="25A718F0"/>
    <w:rsid w:val="25BB59F6"/>
    <w:rsid w:val="260F557C"/>
    <w:rsid w:val="26970054"/>
    <w:rsid w:val="27223F80"/>
    <w:rsid w:val="281408E2"/>
    <w:rsid w:val="29FD04D3"/>
    <w:rsid w:val="2AF37FD1"/>
    <w:rsid w:val="2BFF7BC6"/>
    <w:rsid w:val="2C4D2545"/>
    <w:rsid w:val="2C8A61B5"/>
    <w:rsid w:val="2DF04E50"/>
    <w:rsid w:val="2E586DFA"/>
    <w:rsid w:val="2F040D46"/>
    <w:rsid w:val="2F6B035B"/>
    <w:rsid w:val="2FAE5751"/>
    <w:rsid w:val="2FB1A395"/>
    <w:rsid w:val="2FD9A7D8"/>
    <w:rsid w:val="2FDBF714"/>
    <w:rsid w:val="30AB6865"/>
    <w:rsid w:val="30BF25EC"/>
    <w:rsid w:val="319F7F4E"/>
    <w:rsid w:val="32BD1EF1"/>
    <w:rsid w:val="3304709D"/>
    <w:rsid w:val="33A773CB"/>
    <w:rsid w:val="34741A3C"/>
    <w:rsid w:val="349D6851"/>
    <w:rsid w:val="34B65A6D"/>
    <w:rsid w:val="368A7259"/>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7A65E4"/>
    <w:rsid w:val="3CEBA265"/>
    <w:rsid w:val="3D98207C"/>
    <w:rsid w:val="3DEE7CF3"/>
    <w:rsid w:val="3E740A63"/>
    <w:rsid w:val="3E78745D"/>
    <w:rsid w:val="3EE17838"/>
    <w:rsid w:val="3F55381A"/>
    <w:rsid w:val="3F7F7599"/>
    <w:rsid w:val="3FF4CAE0"/>
    <w:rsid w:val="3FF7B227"/>
    <w:rsid w:val="40956645"/>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4B1383"/>
    <w:rsid w:val="57BD3DD4"/>
    <w:rsid w:val="594B64E1"/>
    <w:rsid w:val="5A3C5EFC"/>
    <w:rsid w:val="5AEA5520"/>
    <w:rsid w:val="5AF92295"/>
    <w:rsid w:val="5B250254"/>
    <w:rsid w:val="5BDD79E6"/>
    <w:rsid w:val="5BF561CA"/>
    <w:rsid w:val="5BFF5DFC"/>
    <w:rsid w:val="5CD71FC4"/>
    <w:rsid w:val="5D1F11B5"/>
    <w:rsid w:val="5D695134"/>
    <w:rsid w:val="5DAE1B18"/>
    <w:rsid w:val="5DE7D9E5"/>
    <w:rsid w:val="5E286E51"/>
    <w:rsid w:val="5E961496"/>
    <w:rsid w:val="5ECEC941"/>
    <w:rsid w:val="5F554225"/>
    <w:rsid w:val="5FBF9FF3"/>
    <w:rsid w:val="5FCD4E2C"/>
    <w:rsid w:val="5FEF394A"/>
    <w:rsid w:val="5FF67715"/>
    <w:rsid w:val="62BF3928"/>
    <w:rsid w:val="63B3701E"/>
    <w:rsid w:val="647F5392"/>
    <w:rsid w:val="65E66580"/>
    <w:rsid w:val="664B1D71"/>
    <w:rsid w:val="664B4E8E"/>
    <w:rsid w:val="67277B67"/>
    <w:rsid w:val="67AA3209"/>
    <w:rsid w:val="68981DBB"/>
    <w:rsid w:val="698D0931"/>
    <w:rsid w:val="69F2232B"/>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19691C"/>
    <w:rsid w:val="70484440"/>
    <w:rsid w:val="712A28F1"/>
    <w:rsid w:val="715C0E4B"/>
    <w:rsid w:val="71992E7C"/>
    <w:rsid w:val="72233669"/>
    <w:rsid w:val="72734D90"/>
    <w:rsid w:val="73160E6D"/>
    <w:rsid w:val="731C0BF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376CF"/>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标题 2 Char"/>
    <w:basedOn w:val="18"/>
    <w:link w:val="4"/>
    <w:qFormat/>
    <w:uiPriority w:val="9"/>
    <w:rPr>
      <w:rFonts w:ascii="Cambria" w:hAnsi="Cambria" w:eastAsia="宋体" w:cs="Times New Roman"/>
      <w:b/>
      <w:bCs/>
      <w:sz w:val="32"/>
      <w:szCs w:val="32"/>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paragraph" w:customStyle="1" w:styleId="4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39292;&#29366;&#22270;&#12289;&#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sus\Desktop\&#39292;&#29366;&#22270;&#12289;&#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39292;&#29366;&#22270;&#12289;&#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39292;&#29366;&#22270;&#12289;&#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t>收入、支出决算总计变动情况图</a:t>
            </a:r>
          </a:p>
        </c:rich>
      </c:tx>
      <c:layout>
        <c:manualLayout>
          <c:xMode val="edge"/>
          <c:yMode val="edge"/>
          <c:x val="0.167777777777778"/>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52539.21</c:v>
                </c:pt>
                <c:pt idx="1">
                  <c:v>30566.8</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altLang="en-US"/>
              <a:t>收入</a:t>
            </a:r>
            <a:r>
              <a:rPr lang="en-US" altLang="zh-CN"/>
              <a:t>决算结构图</a:t>
            </a:r>
            <a:endParaRPr lang="en-US" altLang="zh-CN"/>
          </a:p>
        </c:rich>
      </c:tx>
      <c:layout>
        <c:manualLayout>
          <c:xMode val="edge"/>
          <c:yMode val="edge"/>
          <c:x val="0.320034037228806"/>
          <c:y val="0.0222282100717986"/>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一般公共预算财政拨款收入</c:v>
                </c:pt>
                <c:pt idx="1">
                  <c:v>政府性基金预算财政拨款收入</c:v>
                </c:pt>
                <c:pt idx="2">
                  <c:v>国有资本经营预算财政拨款收入</c:v>
                </c:pt>
              </c:strCache>
            </c:strRef>
          </c:cat>
          <c:val>
            <c:numRef>
              <c:f>[饼状图、柱状图.xlsx]Sheet1!$B$8:$B$14</c:f>
              <c:numCache>
                <c:formatCode>General</c:formatCode>
                <c:ptCount val="7"/>
                <c:pt idx="0">
                  <c:v>9253.01</c:v>
                </c:pt>
                <c:pt idx="1">
                  <c:v>40263.95</c:v>
                </c:pt>
                <c:pt idx="2">
                  <c:v>1905.28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altLang="en-US"/>
              <a:t>支出</a:t>
            </a:r>
            <a:r>
              <a:rPr lang="en-US" altLang="zh-CN"/>
              <a:t>决算结构图</a:t>
            </a:r>
            <a:endParaRPr lang="en-US" altLang="zh-CN"/>
          </a:p>
        </c:rich>
      </c:tx>
      <c:layout>
        <c:manualLayout>
          <c:xMode val="edge"/>
          <c:yMode val="edge"/>
          <c:x val="0.320034037228806"/>
          <c:y val="0.0222282100717986"/>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基本支出</c:v>
                </c:pt>
                <c:pt idx="1">
                  <c:v>项目支出</c:v>
                </c:pt>
              </c:strCache>
            </c:strRef>
          </c:cat>
          <c:val>
            <c:numRef>
              <c:f>[饼状图、柱状图.xlsx]Sheet1!$B$8:$B$14</c:f>
              <c:numCache>
                <c:formatCode>General</c:formatCode>
                <c:ptCount val="7"/>
                <c:pt idx="0">
                  <c:v>576.35</c:v>
                </c:pt>
                <c:pt idx="1">
                  <c:v>51962.86</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财政拨款收、支决算总计变动情况</a:t>
            </a:r>
            <a:r>
              <a:rPr altLang="en-US"/>
              <a:t>图</a:t>
            </a:r>
            <a:endParaRPr altLang="en-US"/>
          </a:p>
        </c:rich>
      </c:tx>
      <c:layout>
        <c:manualLayout>
          <c:xMode val="edge"/>
          <c:yMode val="edge"/>
          <c:x val="0.167777777777778"/>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52539.21</c:v>
                </c:pt>
                <c:pt idx="1">
                  <c:v>30566.8</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t>一般公共预算财政拨款支出决算变动情况</a:t>
            </a:r>
            <a:endParaRPr sz="1200"/>
          </a:p>
        </c:rich>
      </c:tx>
      <c:layout>
        <c:manualLayout>
          <c:xMode val="edge"/>
          <c:yMode val="edge"/>
          <c:x val="0.167777777777778"/>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10345.3</c:v>
                </c:pt>
                <c:pt idx="1">
                  <c:v>11899.54</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236856220109418"/>
                  <c:y val="-0.05295923675741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0212296133146"/>
                  <c:y val="-0.03351523523486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531179275664"/>
                  <c:y val="-0.00296047716283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社会保障和就业支出</c:v>
                </c:pt>
                <c:pt idx="1">
                  <c:v>卫生健康支出</c:v>
                </c:pt>
                <c:pt idx="2">
                  <c:v>城乡社区支出</c:v>
                </c:pt>
                <c:pt idx="3">
                  <c:v>住房保障支出</c:v>
                </c:pt>
              </c:strCache>
            </c:strRef>
          </c:cat>
          <c:val>
            <c:numRef>
              <c:f>[饼状图、柱状图.xlsx]Sheet1!$B$8:$B$14</c:f>
              <c:numCache>
                <c:formatCode>General</c:formatCode>
                <c:ptCount val="7"/>
                <c:pt idx="0">
                  <c:v>73.79</c:v>
                </c:pt>
                <c:pt idx="1">
                  <c:v>46.83</c:v>
                </c:pt>
                <c:pt idx="2">
                  <c:v>6451.19</c:v>
                </c:pt>
                <c:pt idx="3">
                  <c:v>3773.5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ae78dc-36f2-442c-86ae-6be3dc066e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sz="1200"/>
              <a:t>“</a:t>
            </a:r>
            <a:r>
              <a:rPr sz="1200"/>
              <a:t>三公</a:t>
            </a:r>
            <a:r>
              <a:rPr lang="en-US" altLang="zh-CN" sz="1200"/>
              <a:t>”</a:t>
            </a:r>
            <a:r>
              <a:rPr sz="1200"/>
              <a:t>经费图财政拨款支出结构图</a:t>
            </a:r>
            <a:endParaRPr sz="1200"/>
          </a:p>
          <a:p>
            <a:pPr defTabSz="914400">
              <a:defRPr lang="zh-CN" sz="1400" b="1" i="0" u="none" strike="noStrike" kern="1200" baseline="0">
                <a:solidFill>
                  <a:schemeClr val="dk1">
                    <a:lumMod val="75000"/>
                    <a:lumOff val="25000"/>
                  </a:schemeClr>
                </a:solidFill>
                <a:latin typeface="+mn-lt"/>
                <a:ea typeface="+mn-ea"/>
                <a:cs typeface="+mn-cs"/>
              </a:defRPr>
            </a:pPr>
          </a:p>
        </c:rich>
      </c:tx>
      <c:layout>
        <c:manualLayout>
          <c:xMode val="edge"/>
          <c:yMode val="edge"/>
          <c:x val="0.267483480176211"/>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236856220109418"/>
                  <c:y val="-0.05295923675741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0212296133146"/>
                  <c:y val="-0.03351523523486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531179275664"/>
                  <c:y val="-0.00296047716283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因公出国（境）费支出</c:v>
                </c:pt>
                <c:pt idx="1">
                  <c:v>公务用车购置及运行维护费支出</c:v>
                </c:pt>
                <c:pt idx="2">
                  <c:v>公务接待费支出</c:v>
                </c:pt>
              </c:strCache>
            </c:strRef>
          </c:cat>
          <c:val>
            <c:numRef>
              <c:f>[饼状图、柱状图.xlsx]Sheet1!$B$8:$B$14</c:f>
              <c:numCache>
                <c:formatCode>General</c:formatCode>
                <c:ptCount val="7"/>
                <c:pt idx="0">
                  <c:v>0</c:v>
                </c:pt>
                <c:pt idx="1">
                  <c:v>0</c:v>
                </c:pt>
                <c:pt idx="2">
                  <c:v>0.26</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ae78dc-36f2-442c-86ae-6be3dc066e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1842</Words>
  <Characters>2072</Characters>
  <Lines>62</Lines>
  <Paragraphs>17</Paragraphs>
  <TotalTime>8</TotalTime>
  <ScaleCrop>false</ScaleCrop>
  <LinksUpToDate>false</LinksUpToDate>
  <CharactersWithSpaces>2140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2025-10-15T01:39:00Z</dcterms:created>
  <dc:creator>曹颖</dc:creator>
  <cp:lastModifiedBy>刘晓剑</cp:lastModifiedBy>
  <cp:lastPrinted>2025-08-06T17:34:00Z</cp:lastPrinted>
  <dcterms:modified xsi:type="dcterms:W3CDTF">2025-10-27T01:21:58Z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eyJoZGlkIjoiY2RhYmI1N2Q0ZjRjYTY2YzFiMWYzMGZlMzczNmMzY2MiLCJ1c2VySWQiOiIxNjQ5ODI5NzY2In0=</vt:lpwstr>
  </property>
</Properties>
</file>