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77193"/>
      <w:bookmarkStart w:id="3" w:name="_Toc15378441"/>
      <w:bookmarkStart w:id="4" w:name="_Toc15396597"/>
      <w:bookmarkStart w:id="5" w:name="_Toc15306267"/>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2024年度省级部门决算</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公开文字说明</w:t>
      </w: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pStyle w:val="23"/>
        <w:rPr>
          <w:rFonts w:hint="default" w:ascii="Times New Roman" w:hAnsi="Times New Roman" w:cs="Times New Roman"/>
        </w:rPr>
        <w:sectPr>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pPr>
        <w:rPr>
          <w:rFonts w:hint="default" w:ascii="Times New Roman" w:hAnsi="Times New Roman" w:cs="Times New Roman"/>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77426"/>
      <w:bookmarkStart w:id="9" w:name="_Toc15396598"/>
      <w:bookmarkStart w:id="10" w:name="_Toc15378442"/>
      <w:r>
        <w:rPr>
          <w:rFonts w:hint="default"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攀枝花市西区陶家渡街道办事处部门决算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黑体" w:cs="Times New Roman"/>
          <w:color w:val="auto"/>
          <w:sz w:val="48"/>
          <w:szCs w:val="48"/>
          <w:highlight w:val="none"/>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日</w:t>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cs="Times New Roman" w:eastAsiaTheme="minorEastAsia"/>
          <w:color w:val="auto"/>
          <w:sz w:val="28"/>
          <w:szCs w:val="28"/>
          <w:highlight w:val="none"/>
          <w:lang w:val="en-US" w:eastAsia="zh-CN"/>
        </w:rPr>
        <w:fldChar w:fldCharType="begin"/>
      </w:r>
      <w:r>
        <w:rPr>
          <w:rFonts w:hint="default" w:ascii="Times New Roman" w:hAnsi="Times New Roman" w:cs="Times New Roman" w:eastAsiaTheme="minorEastAsia"/>
          <w:color w:val="auto"/>
          <w:sz w:val="28"/>
          <w:szCs w:val="28"/>
          <w:highlight w:val="none"/>
          <w:lang w:val="en-US" w:eastAsia="zh-CN"/>
        </w:rPr>
        <w:instrText xml:space="preserve">TOC \o "1-2" \h \u </w:instrText>
      </w:r>
      <w:r>
        <w:rPr>
          <w:rFonts w:hint="default" w:ascii="Times New Roman" w:hAnsi="Times New Roman" w:cs="Times New Roman" w:eastAsiaTheme="minorEastAsia"/>
          <w:color w:val="auto"/>
          <w:sz w:val="28"/>
          <w:szCs w:val="28"/>
          <w:highlight w:val="none"/>
          <w:lang w:val="en-US" w:eastAsia="zh-CN"/>
        </w:rPr>
        <w:fldChar w:fldCharType="separate"/>
      </w: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_Toc21345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第一部分</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部门概况</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_Toc21345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_Toc15403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bCs/>
          <w:sz w:val="28"/>
          <w:szCs w:val="28"/>
          <w:highlight w:val="none"/>
          <w:lang w:eastAsia="zh-CN"/>
        </w:rPr>
        <w:t>一、部门职责</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_Toc15403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_Toc16550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二、机构设置</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_Toc16550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- 2 -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_Toc15516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第二部分</w:t>
      </w:r>
      <w:r>
        <w:rPr>
          <w:rFonts w:hint="default" w:ascii="Times New Roman" w:hAnsi="Times New Roman" w:eastAsia="仿宋_GB2312" w:cs="Times New Roman"/>
          <w:sz w:val="28"/>
          <w:szCs w:val="28"/>
          <w:highlight w:val="none"/>
          <w:lang w:val="en-US" w:eastAsia="zh-CN"/>
        </w:rPr>
        <w:t xml:space="preserve"> 2024年度</w:t>
      </w:r>
      <w:r>
        <w:rPr>
          <w:rFonts w:hint="default" w:ascii="Times New Roman" w:hAnsi="Times New Roman" w:eastAsia="仿宋_GB2312" w:cs="Times New Roman"/>
          <w:sz w:val="28"/>
          <w:szCs w:val="28"/>
          <w:highlight w:val="none"/>
        </w:rPr>
        <w:t>部门决算情况说明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_Toc15516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_Toc6841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lang w:eastAsia="zh-CN"/>
        </w:rPr>
        <w:t>一、</w:t>
      </w:r>
      <w:r>
        <w:rPr>
          <w:rFonts w:hint="default" w:ascii="Times New Roman" w:hAnsi="Times New Roman" w:eastAsia="仿宋_GB2312" w:cs="Times New Roman"/>
          <w:sz w:val="28"/>
          <w:szCs w:val="28"/>
          <w:highlight w:val="none"/>
        </w:rPr>
        <w:t>收入支出决算总体情况说明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_Toc6841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_Toc32726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lang w:eastAsia="zh-CN"/>
        </w:rPr>
        <w:t>二、收入决算情况说明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_Toc32726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_Toc12755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lang w:eastAsia="zh-CN"/>
        </w:rPr>
        <w:t>三、</w:t>
      </w:r>
      <w:r>
        <w:rPr>
          <w:rFonts w:hint="default" w:ascii="Times New Roman" w:hAnsi="Times New Roman" w:eastAsia="仿宋_GB2312" w:cs="Times New Roman"/>
          <w:sz w:val="28"/>
          <w:szCs w:val="28"/>
          <w:highlight w:val="none"/>
        </w:rPr>
        <w:t>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_Toc12755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- 4 -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_Toc18980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四、财政拨款收入支出决算总体情况说明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_Toc18980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_Toc11184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五、一般公共预算财政拨款支出决算情况说明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_Toc11184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_Toc27957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六、一般公共预算财政拨款基本支出决算情况说明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_Toc27957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- 10 -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_Toc25113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七、财政拨款“三公”经费支出决算情况说明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_Toc25113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- 11 -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_Toc21319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八、政府性基金预算支出决算情况说明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_Toc21319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_Toc23449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lang w:eastAsia="zh-CN"/>
        </w:rPr>
        <w:t>九、</w:t>
      </w:r>
      <w:r>
        <w:rPr>
          <w:rFonts w:hint="default" w:ascii="Times New Roman" w:hAnsi="Times New Roman" w:eastAsia="仿宋_GB2312" w:cs="Times New Roman"/>
          <w:sz w:val="28"/>
          <w:szCs w:val="28"/>
          <w:highlight w:val="none"/>
        </w:rPr>
        <w:t>国有资本经营预算支出决算情况说明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_Toc23449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_Toc3265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lang w:eastAsia="zh-CN"/>
        </w:rPr>
        <w:t>十、</w:t>
      </w:r>
      <w:r>
        <w:rPr>
          <w:rFonts w:hint="default" w:ascii="Times New Roman" w:hAnsi="Times New Roman" w:eastAsia="仿宋_GB2312" w:cs="Times New Roman"/>
          <w:sz w:val="28"/>
          <w:szCs w:val="28"/>
          <w:highlight w:val="none"/>
        </w:rPr>
        <w:t>其他重要事项的情况说明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_Toc3265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- 13 -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_Toc16865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eastAsia="zh-CN"/>
        </w:rPr>
        <w:t>三</w:t>
      </w:r>
      <w:r>
        <w:rPr>
          <w:rFonts w:hint="default" w:ascii="Times New Roman" w:hAnsi="Times New Roman" w:eastAsia="仿宋_GB2312" w:cs="Times New Roman"/>
          <w:sz w:val="28"/>
          <w:szCs w:val="28"/>
          <w:highlight w:val="none"/>
        </w:rPr>
        <w:t>部分</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名词解释</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_Toc16865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- 16 -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_Toc5094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第四部分</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附件</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_Toc5094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- 22 -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_Toc10265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第五部分 附表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_Toc10265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- 57 -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_Toc29036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一、收入支出决算总表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_Toc29036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- 57 -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_Toc21918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二、收入决算表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_Toc21918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- 57 -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_Toc12978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highlight w:val="none"/>
        </w:rPr>
        <w:t>三、支出决算表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_Toc12978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- 57 -</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_Toc24553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四、财政拨款收入支出决算总表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_Toc24553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_Toc21614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五、财政拨款支出决算明细表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_Toc21614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_Toc15971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六、一般公共预算财政拨款支出决算表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_Toc15971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_Toc31413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七、一般公共预算财政拨款支出决算明细表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_Toc31413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_Toc6621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八、一般公共预算财政拨款基本支出决算表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_Toc6621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_Toc14332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九、一般公共预算财政拨款项目支出决算表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_Toc14332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_Toc17159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十、政府性基金预算财政拨款收入支出决算表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_Toc17159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_Toc10528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十一、国有资本经营预算</w:t>
      </w:r>
      <w:r>
        <w:rPr>
          <w:rFonts w:hint="default" w:ascii="Times New Roman" w:hAnsi="Times New Roman" w:eastAsia="仿宋_GB2312" w:cs="Times New Roman"/>
          <w:sz w:val="28"/>
          <w:szCs w:val="28"/>
          <w:lang w:eastAsia="zh-CN"/>
        </w:rPr>
        <w:t>财政拨款收入</w:t>
      </w:r>
      <w:r>
        <w:rPr>
          <w:rFonts w:hint="default" w:ascii="Times New Roman" w:hAnsi="Times New Roman" w:eastAsia="仿宋_GB2312" w:cs="Times New Roman"/>
          <w:sz w:val="28"/>
          <w:szCs w:val="28"/>
        </w:rPr>
        <w:t>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_Toc10528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_Toc31446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十二、</w:t>
      </w:r>
      <w:r>
        <w:rPr>
          <w:rFonts w:hint="default" w:ascii="Times New Roman" w:hAnsi="Times New Roman" w:eastAsia="仿宋_GB2312" w:cs="Times New Roman"/>
          <w:sz w:val="28"/>
          <w:szCs w:val="28"/>
          <w:lang w:eastAsia="zh-CN"/>
        </w:rPr>
        <w:t>国有资本经营预算财政拨款支出决算表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_Toc31446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sz w:val="28"/>
          <w:szCs w:val="28"/>
          <w:highlight w:val="none"/>
          <w:lang w:val="en-US" w:eastAsia="zh-CN"/>
        </w:rPr>
        <w:instrText xml:space="preserve"> HYPERLINK \l _Toc27812 </w:instrText>
      </w:r>
      <w:r>
        <w:rPr>
          <w:rFonts w:hint="default" w:ascii="Times New Roman" w:hAnsi="Times New Roman" w:eastAsia="仿宋_GB2312" w:cs="Times New Roman"/>
          <w:sz w:val="28"/>
          <w:szCs w:val="28"/>
          <w:highlight w:val="none"/>
          <w:lang w:val="en-US" w:eastAsia="zh-CN"/>
        </w:rPr>
        <w:fldChar w:fldCharType="separate"/>
      </w:r>
      <w:r>
        <w:rPr>
          <w:rFonts w:hint="default" w:ascii="Times New Roman" w:hAnsi="Times New Roman" w:eastAsia="仿宋_GB2312" w:cs="Times New Roman"/>
          <w:sz w:val="28"/>
          <w:szCs w:val="28"/>
        </w:rPr>
        <w:t>十三、</w:t>
      </w:r>
      <w:r>
        <w:rPr>
          <w:rFonts w:hint="default" w:ascii="Times New Roman" w:hAnsi="Times New Roman" w:eastAsia="仿宋_GB2312" w:cs="Times New Roman"/>
          <w:sz w:val="28"/>
          <w:szCs w:val="28"/>
          <w:lang w:eastAsia="zh-CN"/>
        </w:rPr>
        <w:t>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_Toc27812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eastAsiaTheme="minorEastAsia"/>
          <w:color w:val="auto"/>
          <w:sz w:val="28"/>
          <w:szCs w:val="28"/>
          <w:highlight w:val="none"/>
          <w:lang w:val="en-US" w:eastAsia="zh-CN"/>
        </w:rPr>
        <w:fldChar w:fldCharType="end"/>
      </w:r>
    </w:p>
    <w:p>
      <w:pPr>
        <w:pStyle w:val="2"/>
        <w:rPr>
          <w:rFonts w:hint="default"/>
          <w:lang w:val="en-US" w:eastAsia="zh-CN"/>
        </w:rPr>
      </w:pPr>
    </w:p>
    <w:p>
      <w:pPr>
        <w:pStyle w:val="3"/>
        <w:rPr>
          <w:rFonts w:hint="default"/>
          <w:lang w:val="en-US" w:eastAsia="zh-CN"/>
        </w:rPr>
      </w:pPr>
    </w:p>
    <w:p>
      <w:pPr>
        <w:keepNext w:val="0"/>
        <w:keepLines w:val="0"/>
        <w:pageBreakBefore w:val="0"/>
        <w:widowControl/>
        <w:tabs>
          <w:tab w:val="right" w:leader="dot" w:pos="8296"/>
        </w:tabs>
        <w:kinsoku/>
        <w:wordWrap/>
        <w:overflowPunct/>
        <w:topLinePunct w:val="0"/>
        <w:autoSpaceDE/>
        <w:autoSpaceDN/>
        <w:bidi w:val="0"/>
        <w:spacing w:line="560" w:lineRule="exact"/>
        <w:jc w:val="left"/>
        <w:textAlignment w:val="auto"/>
        <w:rPr>
          <w:rFonts w:hint="default" w:ascii="Times New Roman" w:hAnsi="Times New Roman" w:eastAsia="仿宋_GB2312" w:cs="Times New Roman"/>
          <w:b/>
          <w:color w:val="auto"/>
          <w:sz w:val="32"/>
          <w:szCs w:val="32"/>
          <w:highlight w:val="none"/>
        </w:rPr>
        <w:sectPr>
          <w:footerReference r:id="rId10" w:type="first"/>
          <w:footerReference r:id="rId9" w:type="default"/>
          <w:pgSz w:w="11906" w:h="16838"/>
          <w:pgMar w:top="2098" w:right="1474" w:bottom="1984" w:left="1587" w:header="907" w:footer="1644" w:gutter="0"/>
          <w:pgNumType w:fmt="decimal" w:start="1"/>
          <w:cols w:space="425" w:num="1"/>
          <w:titlePg/>
          <w:docGrid w:type="lines" w:linePitch="312" w:charSpace="0"/>
        </w:sectPr>
      </w:pPr>
      <w:bookmarkStart w:id="12" w:name="_Toc15396599"/>
      <w:bookmarkStart w:id="13" w:name="_Toc15377196"/>
    </w:p>
    <w:p>
      <w:pPr>
        <w:pStyle w:val="4"/>
        <w:rPr>
          <w:rFonts w:hint="default"/>
        </w:rPr>
      </w:pPr>
      <w:bookmarkStart w:id="14" w:name="_Toc21345"/>
      <w:bookmarkStart w:id="15" w:name="_Toc31699"/>
      <w:bookmarkStart w:id="16" w:name="_Toc19384"/>
      <w:r>
        <w:rPr>
          <w:rFonts w:hint="default"/>
        </w:rPr>
        <w:t>第一部分</w:t>
      </w:r>
      <w:r>
        <w:rPr>
          <w:rFonts w:hint="default"/>
          <w:lang w:val="en-US" w:eastAsia="zh-CN"/>
        </w:rPr>
        <w:t xml:space="preserve"> </w:t>
      </w:r>
      <w:r>
        <w:rPr>
          <w:rFonts w:hint="default"/>
        </w:rPr>
        <w:t xml:space="preserve"> 部门概况</w:t>
      </w:r>
      <w:bookmarkEnd w:id="12"/>
      <w:bookmarkEnd w:id="13"/>
      <w:bookmarkEnd w:id="14"/>
      <w:bookmarkEnd w:id="15"/>
      <w:bookmarkEnd w:id="16"/>
    </w:p>
    <w:p>
      <w:pPr>
        <w:pStyle w:val="5"/>
        <w:numPr>
          <w:ilvl w:val="0"/>
          <w:numId w:val="1"/>
        </w:numPr>
        <w:rPr>
          <w:rFonts w:hint="default"/>
          <w:b w:val="0"/>
          <w:bCs/>
          <w:lang w:eastAsia="zh-CN"/>
        </w:rPr>
      </w:pPr>
      <w:bookmarkStart w:id="17" w:name="_Toc25888"/>
      <w:bookmarkStart w:id="18" w:name="_Toc13089"/>
      <w:bookmarkStart w:id="19" w:name="_Toc15403"/>
      <w:r>
        <w:rPr>
          <w:rFonts w:hint="default"/>
          <w:b w:val="0"/>
          <w:bCs/>
          <w:lang w:eastAsia="zh-CN"/>
        </w:rPr>
        <w:t>部门职责</w:t>
      </w:r>
      <w:bookmarkEnd w:id="17"/>
      <w:bookmarkEnd w:id="18"/>
      <w:bookmarkEnd w:id="19"/>
    </w:p>
    <w:p>
      <w:pPr>
        <w:rPr>
          <w:rFonts w:hint="default" w:ascii="Times New Roman" w:hAnsi="Times New Roman" w:cs="Times New Roman"/>
        </w:rPr>
      </w:pPr>
      <w:r>
        <w:rPr>
          <w:rFonts w:hint="default" w:ascii="Times New Roman" w:hAnsi="Times New Roman" w:cs="Times New Roman"/>
        </w:rPr>
        <w:t>陶家渡街道办事处是西区人民政府的派出机构，其主要职能是：</w:t>
      </w:r>
    </w:p>
    <w:p>
      <w:pPr>
        <w:rPr>
          <w:rFonts w:hint="default" w:ascii="Times New Roman" w:hAnsi="Times New Roman" w:cs="Times New Roman"/>
        </w:rPr>
      </w:pPr>
      <w:r>
        <w:rPr>
          <w:rFonts w:hint="default" w:ascii="Times New Roman" w:hAnsi="Times New Roman" w:cs="Times New Roman"/>
        </w:rPr>
        <w:t>1.宣传贯彻党的路线、方针、政策和国家的法律、法规，执行区委、区政府的决议、决定；组织党员群众保证区委、区政府各项任务在辖区内顺利实施。</w:t>
      </w:r>
    </w:p>
    <w:p>
      <w:pPr>
        <w:rPr>
          <w:rFonts w:hint="default" w:ascii="Times New Roman" w:hAnsi="Times New Roman" w:cs="Times New Roman"/>
        </w:rPr>
      </w:pPr>
      <w:r>
        <w:rPr>
          <w:rFonts w:hint="default" w:ascii="Times New Roman" w:hAnsi="Times New Roman" w:cs="Times New Roman"/>
        </w:rPr>
        <w:t>2.代表西区人民政府授权对本辖区内的政府职能管理权。</w:t>
      </w:r>
    </w:p>
    <w:p>
      <w:pPr>
        <w:rPr>
          <w:rFonts w:hint="default" w:ascii="Times New Roman" w:hAnsi="Times New Roman" w:cs="Times New Roman"/>
        </w:rPr>
      </w:pPr>
      <w:r>
        <w:rPr>
          <w:rFonts w:hint="default" w:ascii="Times New Roman" w:hAnsi="Times New Roman" w:cs="Times New Roman"/>
        </w:rPr>
        <w:t>3.负责本辖区内精神文明建设、社会治安综合治理、爱国卫生、计划生育、普及法律知识等工作，做好民政、妇联、司法、城建、卫生保健、武装等工作，配合市、区有关部门搞好城市规划、土地、环保、卫生、园林绿化等工作。组织、协调、引导发展</w:t>
      </w:r>
      <w:r>
        <w:rPr>
          <w:rFonts w:hint="default" w:ascii="Times New Roman" w:hAnsi="Times New Roman" w:cs="Times New Roman"/>
          <w:lang w:eastAsia="zh-CN"/>
        </w:rPr>
        <w:t>街道</w:t>
      </w:r>
      <w:r>
        <w:rPr>
          <w:rFonts w:hint="default" w:ascii="Times New Roman" w:hAnsi="Times New Roman" w:cs="Times New Roman"/>
        </w:rPr>
        <w:t>经济，不断壮大</w:t>
      </w:r>
      <w:r>
        <w:rPr>
          <w:rFonts w:hint="default" w:ascii="Times New Roman" w:hAnsi="Times New Roman" w:cs="Times New Roman"/>
          <w:lang w:eastAsia="zh-CN"/>
        </w:rPr>
        <w:t>街道</w:t>
      </w:r>
      <w:r>
        <w:rPr>
          <w:rFonts w:hint="default" w:ascii="Times New Roman" w:hAnsi="Times New Roman" w:cs="Times New Roman"/>
        </w:rPr>
        <w:t>的经济实力。</w:t>
      </w:r>
    </w:p>
    <w:p>
      <w:pPr>
        <w:rPr>
          <w:rFonts w:hint="default" w:ascii="Times New Roman" w:hAnsi="Times New Roman" w:cs="Times New Roman"/>
        </w:rPr>
      </w:pPr>
      <w:r>
        <w:rPr>
          <w:rFonts w:hint="default" w:ascii="Times New Roman" w:hAnsi="Times New Roman" w:cs="Times New Roman"/>
        </w:rPr>
        <w:t>4.按照《城市居民委员会组织法》的要求，组建辖区居民委员会，并指导、帮助、支持社区居民委员会的工作。</w:t>
      </w:r>
    </w:p>
    <w:p>
      <w:pPr>
        <w:rPr>
          <w:rFonts w:hint="default" w:ascii="Times New Roman" w:hAnsi="Times New Roman" w:cs="Times New Roman"/>
        </w:rPr>
      </w:pPr>
      <w:r>
        <w:rPr>
          <w:rFonts w:hint="default" w:ascii="Times New Roman" w:hAnsi="Times New Roman" w:cs="Times New Roman"/>
        </w:rPr>
        <w:t>5.反映居民的意见和要求，发挥政府联系居民的桥梁和纽带作用。</w:t>
      </w:r>
    </w:p>
    <w:p>
      <w:pPr>
        <w:rPr>
          <w:rFonts w:hint="default" w:ascii="Times New Roman" w:hAnsi="Times New Roman" w:cs="Times New Roman"/>
        </w:rPr>
      </w:pPr>
      <w:bookmarkStart w:id="20" w:name="_Toc13342"/>
      <w:r>
        <w:rPr>
          <w:rFonts w:hint="default" w:ascii="Times New Roman" w:hAnsi="Times New Roman" w:cs="Times New Roman"/>
        </w:rPr>
        <w:t>6.承办区政府交办的其他工作。</w:t>
      </w:r>
      <w:bookmarkEnd w:id="20"/>
    </w:p>
    <w:p>
      <w:pPr>
        <w:numPr>
          <w:ilvl w:val="0"/>
          <w:numId w:val="0"/>
        </w:numPr>
        <w:rPr>
          <w:rFonts w:hint="default"/>
          <w:lang w:eastAsia="zh-CN"/>
        </w:rPr>
      </w:pPr>
      <w:r>
        <w:rPr>
          <w:rFonts w:hint="default" w:ascii="Times New Roman" w:hAnsi="Times New Roman" w:cs="Times New Roman"/>
          <w:lang w:eastAsia="zh-CN"/>
        </w:rPr>
        <w:br w:type="page"/>
      </w:r>
    </w:p>
    <w:p>
      <w:pPr>
        <w:pStyle w:val="5"/>
        <w:rPr>
          <w:rFonts w:hint="default"/>
        </w:rPr>
      </w:pPr>
      <w:bookmarkStart w:id="21" w:name="_Toc15377200"/>
      <w:bookmarkStart w:id="22" w:name="_Toc8874"/>
      <w:bookmarkStart w:id="23" w:name="_Toc16550"/>
      <w:bookmarkStart w:id="24" w:name="_Toc15396601"/>
      <w:bookmarkStart w:id="25" w:name="_Toc5597"/>
      <w:r>
        <w:rPr>
          <w:rFonts w:hint="default"/>
        </w:rPr>
        <w:t>二、机构设置</w:t>
      </w:r>
      <w:bookmarkEnd w:id="21"/>
      <w:bookmarkEnd w:id="22"/>
      <w:bookmarkEnd w:id="23"/>
      <w:bookmarkEnd w:id="24"/>
      <w:bookmarkEnd w:id="25"/>
    </w:p>
    <w:p>
      <w:pPr>
        <w:rPr>
          <w:rFonts w:hint="default" w:ascii="Times New Roman" w:hAnsi="Times New Roman" w:cs="Times New Roman"/>
        </w:rPr>
      </w:pPr>
      <w:r>
        <w:rPr>
          <w:rFonts w:hint="default" w:ascii="Times New Roman" w:hAnsi="Times New Roman" w:cs="Times New Roman"/>
        </w:rPr>
        <w:t>攀枝花市西区陶家渡街道办事处下属二级</w:t>
      </w:r>
      <w:r>
        <w:rPr>
          <w:rFonts w:hint="default" w:ascii="Times New Roman" w:hAnsi="Times New Roman" w:cs="Times New Roman"/>
          <w:lang w:eastAsia="zh-CN"/>
        </w:rPr>
        <w:t>预算</w:t>
      </w:r>
      <w:r>
        <w:rPr>
          <w:rFonts w:hint="default" w:ascii="Times New Roman" w:hAnsi="Times New Roman" w:cs="Times New Roman"/>
        </w:rPr>
        <w:t>单位</w:t>
      </w:r>
      <w:r>
        <w:rPr>
          <w:rFonts w:hint="default" w:ascii="Times New Roman" w:hAnsi="Times New Roman" w:cs="Times New Roman"/>
          <w:lang w:val="en-US" w:eastAsia="zh-CN"/>
        </w:rPr>
        <w:t>0</w:t>
      </w:r>
      <w:r>
        <w:rPr>
          <w:rFonts w:hint="default" w:ascii="Times New Roman" w:hAnsi="Times New Roman" w:cs="Times New Roman"/>
        </w:rPr>
        <w:t>个，其中行政单位</w:t>
      </w:r>
      <w:r>
        <w:rPr>
          <w:rFonts w:hint="default" w:ascii="Times New Roman" w:hAnsi="Times New Roman" w:cs="Times New Roman"/>
          <w:lang w:val="en-US" w:eastAsia="zh-CN"/>
        </w:rPr>
        <w:t>0</w:t>
      </w:r>
      <w:r>
        <w:rPr>
          <w:rFonts w:hint="default" w:ascii="Times New Roman" w:hAnsi="Times New Roman" w:cs="Times New Roman"/>
        </w:rPr>
        <w:t>个，参照公务员法管理的事业单位</w:t>
      </w:r>
      <w:r>
        <w:rPr>
          <w:rFonts w:hint="default" w:ascii="Times New Roman" w:hAnsi="Times New Roman" w:cs="Times New Roman"/>
          <w:lang w:val="en-US" w:eastAsia="zh-CN"/>
        </w:rPr>
        <w:t>0</w:t>
      </w:r>
      <w:r>
        <w:rPr>
          <w:rFonts w:hint="default" w:ascii="Times New Roman" w:hAnsi="Times New Roman" w:cs="Times New Roman"/>
        </w:rPr>
        <w:t>个，其他事业单位</w:t>
      </w:r>
      <w:r>
        <w:rPr>
          <w:rFonts w:hint="default" w:ascii="Times New Roman" w:hAnsi="Times New Roman" w:cs="Times New Roman"/>
          <w:lang w:val="en-US" w:eastAsia="zh-CN"/>
        </w:rPr>
        <w:t>2</w:t>
      </w:r>
      <w:r>
        <w:rPr>
          <w:rFonts w:hint="default" w:ascii="Times New Roman" w:hAnsi="Times New Roman" w:cs="Times New Roman"/>
        </w:rPr>
        <w:t>个</w:t>
      </w:r>
      <w:r>
        <w:rPr>
          <w:rFonts w:hint="default" w:ascii="Times New Roman" w:hAnsi="Times New Roman" w:cs="Times New Roman"/>
          <w:lang w:eastAsia="zh-CN"/>
        </w:rPr>
        <w:t>，</w:t>
      </w:r>
      <w:r>
        <w:rPr>
          <w:rFonts w:hint="default" w:ascii="Times New Roman" w:hAnsi="Times New Roman" w:cs="Times New Roman"/>
          <w:lang w:val="en-US" w:eastAsia="zh-CN"/>
        </w:rPr>
        <w:t>分别是：攀枝花市西区陶家渡</w:t>
      </w:r>
      <w:r>
        <w:rPr>
          <w:rFonts w:hint="default" w:ascii="Times New Roman" w:hAnsi="Times New Roman" w:cs="Times New Roman"/>
          <w:lang w:eastAsia="zh-CN"/>
        </w:rPr>
        <w:t>街道办事处便民服务中心、攀枝花市西区</w:t>
      </w:r>
      <w:r>
        <w:rPr>
          <w:rFonts w:hint="default" w:ascii="Times New Roman" w:hAnsi="Times New Roman" w:cs="Times New Roman"/>
          <w:lang w:val="en-US" w:eastAsia="zh-CN"/>
        </w:rPr>
        <w:t>陶家渡</w:t>
      </w:r>
      <w:r>
        <w:rPr>
          <w:rFonts w:hint="default" w:ascii="Times New Roman" w:hAnsi="Times New Roman" w:cs="Times New Roman"/>
          <w:lang w:eastAsia="zh-CN"/>
        </w:rPr>
        <w:t>街道办事处</w:t>
      </w:r>
      <w:r>
        <w:rPr>
          <w:rFonts w:hint="default" w:ascii="Times New Roman" w:hAnsi="Times New Roman" w:cs="Times New Roman"/>
          <w:lang w:val="en-US" w:eastAsia="zh-CN"/>
        </w:rPr>
        <w:t>综合事务</w:t>
      </w:r>
      <w:r>
        <w:rPr>
          <w:rFonts w:hint="default" w:ascii="Times New Roman" w:hAnsi="Times New Roman" w:cs="Times New Roman"/>
          <w:lang w:eastAsia="zh-CN"/>
        </w:rPr>
        <w:t>中心</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纳入攀枝花市西区陶家渡街道办事处</w:t>
      </w:r>
      <w:r>
        <w:rPr>
          <w:rFonts w:hint="default" w:ascii="Times New Roman" w:hAnsi="Times New Roman" w:cs="Times New Roman"/>
          <w:lang w:eastAsia="zh-CN"/>
        </w:rPr>
        <w:t>2024年度</w:t>
      </w:r>
      <w:r>
        <w:rPr>
          <w:rFonts w:hint="default" w:ascii="Times New Roman" w:hAnsi="Times New Roman" w:cs="Times New Roman"/>
        </w:rPr>
        <w:t>部门决算编制范围的二级预算单位</w:t>
      </w:r>
      <w:r>
        <w:rPr>
          <w:rFonts w:hint="default" w:ascii="Times New Roman" w:hAnsi="Times New Roman" w:cs="Times New Roman"/>
          <w:lang w:val="en-US" w:eastAsia="zh-CN"/>
        </w:rPr>
        <w:t>0。</w:t>
      </w:r>
      <w:r>
        <w:rPr>
          <w:rFonts w:hint="default" w:ascii="Times New Roman" w:hAnsi="Times New Roman" w:cs="Times New Roman"/>
        </w:rPr>
        <w:br w:type="page"/>
      </w:r>
    </w:p>
    <w:p>
      <w:pPr>
        <w:pStyle w:val="4"/>
        <w:keepNext/>
        <w:keepLines/>
        <w:pageBreakBefore w:val="0"/>
        <w:widowControl w:val="0"/>
        <w:kinsoku/>
        <w:wordWrap/>
        <w:overflowPunct/>
        <w:topLinePunct w:val="0"/>
        <w:autoSpaceDE/>
        <w:autoSpaceDN/>
        <w:bidi w:val="0"/>
        <w:adjustRightInd/>
        <w:snapToGrid/>
        <w:ind w:firstLine="0" w:firstLineChars="0"/>
        <w:textAlignment w:val="auto"/>
        <w:outlineLvl w:val="0"/>
        <w:rPr>
          <w:rFonts w:hint="default"/>
        </w:rPr>
      </w:pPr>
      <w:bookmarkStart w:id="26" w:name="_Toc15396602"/>
      <w:bookmarkStart w:id="27" w:name="_Toc15516"/>
      <w:bookmarkStart w:id="28" w:name="_Toc15377204"/>
      <w:bookmarkStart w:id="29" w:name="_Toc9602"/>
      <w:bookmarkStart w:id="30" w:name="_Toc2037"/>
      <w:r>
        <w:rPr>
          <w:rFonts w:hint="default"/>
        </w:rPr>
        <w:t>第二部分</w:t>
      </w:r>
      <w:r>
        <w:rPr>
          <w:rFonts w:hint="default"/>
          <w:lang w:val="en-US" w:eastAsia="zh-CN"/>
        </w:rPr>
        <w:t xml:space="preserve"> </w:t>
      </w:r>
      <w:r>
        <w:rPr>
          <w:rFonts w:hint="default"/>
        </w:rPr>
        <w:t xml:space="preserve"> </w:t>
      </w:r>
      <w:r>
        <w:rPr>
          <w:rFonts w:hint="default"/>
          <w:lang w:val="en-US" w:eastAsia="zh-CN"/>
        </w:rPr>
        <w:t>2024年度</w:t>
      </w:r>
      <w:r>
        <w:rPr>
          <w:rFonts w:hint="default"/>
        </w:rPr>
        <w:t>部门决算情况说明</w:t>
      </w:r>
      <w:bookmarkEnd w:id="26"/>
      <w:bookmarkEnd w:id="27"/>
      <w:bookmarkEnd w:id="28"/>
      <w:bookmarkEnd w:id="29"/>
      <w:bookmarkEnd w:id="30"/>
    </w:p>
    <w:p>
      <w:pPr>
        <w:rPr>
          <w:rFonts w:hint="default" w:ascii="Times New Roman" w:hAnsi="Times New Roman" w:cs="Times New Roman"/>
          <w:color w:val="auto"/>
          <w:highlight w:val="none"/>
        </w:rPr>
      </w:pPr>
    </w:p>
    <w:p>
      <w:pPr>
        <w:pStyle w:val="5"/>
        <w:rPr>
          <w:rFonts w:hint="default"/>
        </w:rPr>
      </w:pPr>
      <w:bookmarkStart w:id="31" w:name="_Toc6841"/>
      <w:bookmarkStart w:id="32" w:name="_Toc15377205"/>
      <w:bookmarkStart w:id="33" w:name="_Toc2127"/>
      <w:bookmarkStart w:id="34" w:name="_Toc15396603"/>
      <w:bookmarkStart w:id="35" w:name="_Toc9713"/>
      <w:r>
        <w:rPr>
          <w:rFonts w:hint="default"/>
          <w:lang w:eastAsia="zh-CN"/>
        </w:rPr>
        <w:t>一、</w:t>
      </w:r>
      <w:r>
        <w:rPr>
          <w:rFonts w:hint="default"/>
        </w:rPr>
        <w:t>收入支出决算总体情况说明</w:t>
      </w:r>
      <w:bookmarkEnd w:id="31"/>
      <w:bookmarkEnd w:id="32"/>
      <w:bookmarkEnd w:id="33"/>
      <w:bookmarkEnd w:id="34"/>
      <w:bookmarkEnd w:id="35"/>
    </w:p>
    <w:p>
      <w:pPr>
        <w:rPr>
          <w:rFonts w:hint="default" w:ascii="Times New Roman" w:hAnsi="Times New Roman" w:cs="Times New Roman"/>
          <w:lang w:eastAsia="zh-CN"/>
        </w:rPr>
      </w:pPr>
      <w:r>
        <w:rPr>
          <w:rFonts w:hint="default" w:ascii="Times New Roman" w:hAnsi="Times New Roman" w:cs="Times New Roman"/>
          <w:lang w:eastAsia="zh-CN"/>
        </w:rPr>
        <w:t>2024年度收入</w:t>
      </w:r>
      <w:r>
        <w:rPr>
          <w:rFonts w:hint="default" w:ascii="Times New Roman" w:hAnsi="Times New Roman" w:cs="Times New Roman"/>
        </w:rPr>
        <w:t>、</w:t>
      </w:r>
      <w:r>
        <w:rPr>
          <w:rFonts w:hint="default" w:ascii="Times New Roman" w:hAnsi="Times New Roman" w:cs="Times New Roman"/>
          <w:lang w:eastAsia="zh-CN"/>
        </w:rPr>
        <w:t>支出</w:t>
      </w:r>
      <w:r>
        <w:rPr>
          <w:rFonts w:hint="default" w:ascii="Times New Roman" w:hAnsi="Times New Roman" w:cs="Times New Roman"/>
        </w:rPr>
        <w:t>总计</w:t>
      </w:r>
      <w:r>
        <w:rPr>
          <w:rFonts w:hint="default" w:ascii="Times New Roman" w:hAnsi="Times New Roman" w:cs="Times New Roman"/>
          <w:lang w:eastAsia="zh-CN"/>
        </w:rPr>
        <w:t>均为</w:t>
      </w:r>
      <w:r>
        <w:rPr>
          <w:rFonts w:hint="default" w:ascii="Times New Roman" w:hAnsi="Times New Roman" w:cs="Times New Roman"/>
        </w:rPr>
        <w:t>2296.39万元。与</w:t>
      </w:r>
      <w:r>
        <w:rPr>
          <w:rFonts w:hint="default" w:ascii="Times New Roman" w:hAnsi="Times New Roman" w:cs="Times New Roman"/>
          <w:lang w:eastAsia="zh-CN"/>
        </w:rPr>
        <w:t>202</w:t>
      </w:r>
      <w:r>
        <w:rPr>
          <w:rFonts w:hint="default" w:ascii="Times New Roman" w:hAnsi="Times New Roman" w:cs="Times New Roman"/>
          <w:lang w:val="en-US" w:eastAsia="zh-CN"/>
        </w:rPr>
        <w:t>3</w:t>
      </w:r>
      <w:r>
        <w:rPr>
          <w:rFonts w:hint="default" w:ascii="Times New Roman" w:hAnsi="Times New Roman" w:cs="Times New Roman"/>
        </w:rPr>
        <w:t>年</w:t>
      </w:r>
      <w:r>
        <w:rPr>
          <w:rFonts w:hint="default" w:ascii="Times New Roman" w:hAnsi="Times New Roman" w:cs="Times New Roman"/>
          <w:lang w:eastAsia="zh-CN"/>
        </w:rPr>
        <w:t>度</w:t>
      </w:r>
      <w:r>
        <w:rPr>
          <w:rFonts w:hint="default" w:ascii="Times New Roman" w:hAnsi="Times New Roman" w:cs="Times New Roman"/>
        </w:rPr>
        <w:t>相比，</w:t>
      </w:r>
      <w:r>
        <w:rPr>
          <w:rFonts w:hint="default" w:ascii="Times New Roman" w:hAnsi="Times New Roman" w:cs="Times New Roman"/>
          <w:lang w:eastAsia="zh-CN"/>
        </w:rPr>
        <w:t>收入</w:t>
      </w:r>
      <w:r>
        <w:rPr>
          <w:rFonts w:hint="default" w:ascii="Times New Roman" w:hAnsi="Times New Roman" w:cs="Times New Roman"/>
        </w:rPr>
        <w:t>、</w:t>
      </w:r>
      <w:r>
        <w:rPr>
          <w:rFonts w:hint="default" w:ascii="Times New Roman" w:hAnsi="Times New Roman" w:cs="Times New Roman"/>
          <w:lang w:eastAsia="zh-CN"/>
        </w:rPr>
        <w:t>支出</w:t>
      </w:r>
      <w:r>
        <w:rPr>
          <w:rFonts w:hint="default" w:ascii="Times New Roman" w:hAnsi="Times New Roman" w:cs="Times New Roman"/>
        </w:rPr>
        <w:t>总计各增加</w:t>
      </w:r>
      <w:r>
        <w:rPr>
          <w:rFonts w:hint="default" w:ascii="Times New Roman" w:hAnsi="Times New Roman" w:cs="Times New Roman"/>
          <w:lang w:val="en-US" w:eastAsia="zh-CN"/>
        </w:rPr>
        <w:t>1181.93</w:t>
      </w:r>
      <w:r>
        <w:rPr>
          <w:rFonts w:hint="default" w:ascii="Times New Roman" w:hAnsi="Times New Roman" w:cs="Times New Roman"/>
        </w:rPr>
        <w:t>万元，增长</w:t>
      </w:r>
      <w:r>
        <w:rPr>
          <w:rFonts w:hint="default" w:ascii="Times New Roman" w:hAnsi="Times New Roman" w:cs="Times New Roman"/>
          <w:lang w:val="en-US" w:eastAsia="zh-CN"/>
        </w:rPr>
        <w:t>106.05</w:t>
      </w:r>
      <w:r>
        <w:rPr>
          <w:rFonts w:hint="default" w:ascii="Times New Roman" w:hAnsi="Times New Roman" w:cs="Times New Roman"/>
        </w:rPr>
        <w:t>%。主要变动原因是</w:t>
      </w:r>
      <w:r>
        <w:rPr>
          <w:rFonts w:hint="default" w:ascii="Times New Roman" w:hAnsi="Times New Roman" w:cs="Times New Roman"/>
          <w:lang w:eastAsia="zh-CN"/>
        </w:rPr>
        <w:t>增加项目运行所需的经费和项目支出金额数。</w:t>
      </w:r>
    </w:p>
    <w:p>
      <w:pPr>
        <w:rPr>
          <w:rFonts w:hint="default" w:ascii="Times New Roman" w:hAnsi="Times New Roman" w:cs="Times New Roman"/>
        </w:rPr>
      </w:pPr>
      <w:r>
        <w:rPr>
          <w:rFonts w:hint="default" w:ascii="Times New Roman" w:hAnsi="Times New Roman" w:cs="Times New Roman"/>
        </w:rPr>
        <w:drawing>
          <wp:inline distT="0" distB="0" distL="114300" distR="114300">
            <wp:extent cx="4819650" cy="2943225"/>
            <wp:effectExtent l="4445" t="4445" r="14605" b="508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default" w:ascii="Times New Roman" w:hAnsi="Times New Roman" w:cs="Times New Roman"/>
        </w:rPr>
      </w:pPr>
      <w:bookmarkStart w:id="36" w:name="_Toc15396604"/>
      <w:bookmarkStart w:id="37" w:name="_Toc15377206"/>
      <w:r>
        <w:rPr>
          <w:rFonts w:hint="default" w:ascii="Times New Roman" w:hAnsi="Times New Roman" w:cs="Times New Roman"/>
        </w:rPr>
        <w:t>（图1：</w:t>
      </w:r>
      <w:r>
        <w:rPr>
          <w:rFonts w:hint="default" w:ascii="Times New Roman" w:hAnsi="Times New Roman" w:cs="Times New Roman"/>
          <w:lang w:eastAsia="zh-CN"/>
        </w:rPr>
        <w:t>收入</w:t>
      </w:r>
      <w:r>
        <w:rPr>
          <w:rFonts w:hint="default" w:ascii="Times New Roman" w:hAnsi="Times New Roman" w:cs="Times New Roman"/>
        </w:rPr>
        <w:t>、</w:t>
      </w:r>
      <w:r>
        <w:rPr>
          <w:rFonts w:hint="default" w:ascii="Times New Roman" w:hAnsi="Times New Roman" w:cs="Times New Roman"/>
          <w:lang w:eastAsia="zh-CN"/>
        </w:rPr>
        <w:t>支出</w:t>
      </w:r>
      <w:r>
        <w:rPr>
          <w:rFonts w:hint="default" w:ascii="Times New Roman" w:hAnsi="Times New Roman" w:cs="Times New Roman"/>
        </w:rPr>
        <w:t>决算总计变动情况图）</w:t>
      </w:r>
    </w:p>
    <w:p>
      <w:pPr>
        <w:pStyle w:val="5"/>
        <w:rPr>
          <w:rFonts w:hint="default"/>
          <w:lang w:eastAsia="zh-CN"/>
        </w:rPr>
      </w:pPr>
      <w:bookmarkStart w:id="38" w:name="_Toc11169"/>
      <w:bookmarkStart w:id="39" w:name="_Toc32726"/>
      <w:bookmarkStart w:id="40" w:name="_Toc16093"/>
      <w:r>
        <w:rPr>
          <w:rFonts w:hint="default"/>
          <w:lang w:eastAsia="zh-CN"/>
        </w:rPr>
        <w:t>二、收入决算情况说明</w:t>
      </w:r>
      <w:bookmarkEnd w:id="36"/>
      <w:bookmarkEnd w:id="37"/>
      <w:bookmarkEnd w:id="38"/>
      <w:bookmarkEnd w:id="39"/>
      <w:bookmarkEnd w:id="40"/>
    </w:p>
    <w:p>
      <w:pPr>
        <w:rPr>
          <w:rFonts w:hint="default" w:ascii="Times New Roman" w:hAnsi="Times New Roman" w:cs="Times New Roman"/>
          <w:lang w:eastAsia="zh-CN"/>
        </w:rPr>
      </w:pPr>
      <w:r>
        <w:rPr>
          <w:rFonts w:hint="default" w:ascii="Times New Roman" w:hAnsi="Times New Roman" w:cs="Times New Roman"/>
          <w:lang w:eastAsia="zh-CN"/>
        </w:rPr>
        <w:t>2024年度本年收入合计</w:t>
      </w:r>
      <w:r>
        <w:rPr>
          <w:rFonts w:hint="default" w:ascii="Times New Roman" w:hAnsi="Times New Roman" w:cs="Times New Roman"/>
        </w:rPr>
        <w:t>2204万元，其中：一般公共预算财政拨款收入2117.68</w:t>
      </w:r>
      <w:r>
        <w:rPr>
          <w:rFonts w:hint="default" w:ascii="Times New Roman" w:hAnsi="Times New Roman" w:cs="Times New Roman"/>
          <w:lang w:eastAsia="zh-CN"/>
        </w:rPr>
        <w:t>万元，占</w:t>
      </w:r>
      <w:r>
        <w:rPr>
          <w:rFonts w:hint="default" w:ascii="Times New Roman" w:hAnsi="Times New Roman" w:cs="Times New Roman"/>
        </w:rPr>
        <w:t>96.08</w:t>
      </w:r>
      <w:r>
        <w:rPr>
          <w:rFonts w:hint="default" w:ascii="Times New Roman" w:hAnsi="Times New Roman" w:cs="Times New Roman"/>
          <w:lang w:eastAsia="zh-CN"/>
        </w:rPr>
        <w:t>%；政府性基金预算财政拨款收入</w:t>
      </w:r>
      <w:r>
        <w:rPr>
          <w:rFonts w:hint="default" w:ascii="Times New Roman" w:hAnsi="Times New Roman" w:cs="Times New Roman"/>
        </w:rPr>
        <w:t>77.1</w:t>
      </w:r>
      <w:r>
        <w:rPr>
          <w:rFonts w:hint="default" w:ascii="Times New Roman" w:hAnsi="Times New Roman" w:cs="Times New Roman"/>
          <w:lang w:val="en-US" w:eastAsia="zh-CN"/>
        </w:rPr>
        <w:t>5</w:t>
      </w:r>
      <w:r>
        <w:rPr>
          <w:rFonts w:hint="default" w:ascii="Times New Roman" w:hAnsi="Times New Roman" w:cs="Times New Roman"/>
          <w:lang w:eastAsia="zh-CN"/>
        </w:rPr>
        <w:t>万元，占</w:t>
      </w:r>
      <w:r>
        <w:rPr>
          <w:rFonts w:hint="default" w:ascii="Times New Roman" w:hAnsi="Times New Roman" w:cs="Times New Roman"/>
        </w:rPr>
        <w:t>3.5%</w:t>
      </w:r>
      <w:r>
        <w:rPr>
          <w:rFonts w:hint="default" w:ascii="Times New Roman" w:hAnsi="Times New Roman" w:cs="Times New Roman"/>
          <w:lang w:eastAsia="zh-CN"/>
        </w:rPr>
        <w:t>%；国有资本经营预算财政拨款收入</w:t>
      </w:r>
      <w:r>
        <w:rPr>
          <w:rFonts w:hint="default" w:ascii="Times New Roman" w:hAnsi="Times New Roman" w:cs="Times New Roman"/>
        </w:rPr>
        <w:t>9.17</w:t>
      </w:r>
      <w:r>
        <w:rPr>
          <w:rFonts w:hint="default" w:ascii="Times New Roman" w:hAnsi="Times New Roman" w:cs="Times New Roman"/>
          <w:lang w:eastAsia="zh-CN"/>
        </w:rPr>
        <w:t>万元，占</w:t>
      </w:r>
      <w:r>
        <w:rPr>
          <w:rFonts w:hint="default" w:ascii="Times New Roman" w:hAnsi="Times New Roman" w:cs="Times New Roman"/>
        </w:rPr>
        <w:t>0.4</w:t>
      </w:r>
      <w:r>
        <w:rPr>
          <w:rFonts w:hint="default" w:ascii="Times New Roman" w:hAnsi="Times New Roman" w:cs="Times New Roman"/>
          <w:lang w:val="en-US" w:eastAsia="zh-CN"/>
        </w:rPr>
        <w:t>2</w:t>
      </w:r>
      <w:r>
        <w:rPr>
          <w:rFonts w:hint="default" w:ascii="Times New Roman" w:hAnsi="Times New Roman" w:cs="Times New Roman"/>
          <w:lang w:eastAsia="zh-CN"/>
        </w:rPr>
        <w:t>%；上级补助收入</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%；事业收入</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%；经营收入</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%；附属单位上缴收入</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%；其他收入</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w:t>
      </w:r>
    </w:p>
    <w:p>
      <w:pPr>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4819650" cy="2184400"/>
            <wp:effectExtent l="4445" t="4445" r="6985" b="571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default" w:ascii="Times New Roman" w:hAnsi="Times New Roman" w:cs="Times New Roman"/>
          <w:lang w:eastAsia="zh-CN"/>
        </w:rPr>
      </w:pPr>
      <w:bookmarkStart w:id="41" w:name="_Toc15377207"/>
      <w:bookmarkStart w:id="42" w:name="_Toc15396605"/>
      <w:r>
        <w:rPr>
          <w:rFonts w:hint="default" w:ascii="Times New Roman" w:hAnsi="Times New Roman" w:cs="Times New Roman"/>
          <w:lang w:eastAsia="zh-CN"/>
        </w:rPr>
        <w:t>（图2：收入决算结构图）</w:t>
      </w:r>
    </w:p>
    <w:p>
      <w:pPr>
        <w:pStyle w:val="5"/>
        <w:rPr>
          <w:rFonts w:hint="default"/>
        </w:rPr>
      </w:pPr>
      <w:bookmarkStart w:id="43" w:name="_Toc12755"/>
      <w:bookmarkStart w:id="44" w:name="_Toc1625"/>
      <w:bookmarkStart w:id="45" w:name="_Toc23427"/>
      <w:r>
        <w:rPr>
          <w:rFonts w:hint="default"/>
          <w:lang w:eastAsia="zh-CN"/>
        </w:rPr>
        <w:t>三、</w:t>
      </w:r>
      <w:r>
        <w:rPr>
          <w:rFonts w:hint="default"/>
        </w:rPr>
        <w:t>支出决算情况说明</w:t>
      </w:r>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lang w:eastAsia="zh-CN"/>
        </w:rPr>
      </w:pPr>
      <w:r>
        <w:rPr>
          <w:rFonts w:hint="default" w:ascii="Times New Roman" w:hAnsi="Times New Roman" w:cs="Times New Roman"/>
          <w:lang w:eastAsia="zh-CN"/>
        </w:rPr>
        <w:t>2024年度本年支出合计</w:t>
      </w:r>
      <w:r>
        <w:rPr>
          <w:rFonts w:hint="default" w:ascii="Times New Roman" w:hAnsi="Times New Roman" w:cs="Times New Roman"/>
        </w:rPr>
        <w:t>2263.49</w:t>
      </w:r>
      <w:r>
        <w:rPr>
          <w:rFonts w:hint="default" w:ascii="Times New Roman" w:hAnsi="Times New Roman" w:cs="Times New Roman"/>
          <w:lang w:eastAsia="zh-CN"/>
        </w:rPr>
        <w:t>万元，其中：基本支出</w:t>
      </w:r>
      <w:r>
        <w:rPr>
          <w:rFonts w:hint="default" w:ascii="Times New Roman" w:hAnsi="Times New Roman" w:cs="Times New Roman"/>
        </w:rPr>
        <w:t>720.76</w:t>
      </w:r>
      <w:r>
        <w:rPr>
          <w:rFonts w:hint="default" w:ascii="Times New Roman" w:hAnsi="Times New Roman" w:cs="Times New Roman"/>
          <w:lang w:eastAsia="zh-CN"/>
        </w:rPr>
        <w:t>万元，占</w:t>
      </w:r>
      <w:r>
        <w:rPr>
          <w:rFonts w:hint="default" w:ascii="Times New Roman" w:hAnsi="Times New Roman" w:cs="Times New Roman"/>
        </w:rPr>
        <w:t>31.84</w:t>
      </w:r>
      <w:r>
        <w:rPr>
          <w:rFonts w:hint="default" w:ascii="Times New Roman" w:hAnsi="Times New Roman" w:cs="Times New Roman"/>
          <w:lang w:eastAsia="zh-CN"/>
        </w:rPr>
        <w:t>%；项目支出</w:t>
      </w:r>
      <w:r>
        <w:rPr>
          <w:rFonts w:hint="default" w:ascii="Times New Roman" w:hAnsi="Times New Roman" w:cs="Times New Roman"/>
        </w:rPr>
        <w:t>1542.73</w:t>
      </w:r>
      <w:r>
        <w:rPr>
          <w:rFonts w:hint="default" w:ascii="Times New Roman" w:hAnsi="Times New Roman" w:cs="Times New Roman"/>
          <w:lang w:eastAsia="zh-CN"/>
        </w:rPr>
        <w:t>万元，占</w:t>
      </w:r>
      <w:r>
        <w:rPr>
          <w:rFonts w:hint="default" w:ascii="Times New Roman" w:hAnsi="Times New Roman" w:cs="Times New Roman"/>
        </w:rPr>
        <w:t>68.1</w:t>
      </w:r>
      <w:r>
        <w:rPr>
          <w:rFonts w:hint="default" w:ascii="Times New Roman" w:hAnsi="Times New Roman" w:cs="Times New Roman"/>
          <w:lang w:val="en-US" w:eastAsia="zh-CN"/>
        </w:rPr>
        <w:t>6</w:t>
      </w:r>
      <w:r>
        <w:rPr>
          <w:rFonts w:hint="default" w:ascii="Times New Roman" w:hAnsi="Times New Roman" w:cs="Times New Roman"/>
          <w:lang w:eastAsia="zh-CN"/>
        </w:rPr>
        <w:t>%；上缴上级支出</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%；经营支出</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%；对附属单位补助支出</w:t>
      </w:r>
      <w:r>
        <w:rPr>
          <w:rFonts w:hint="default" w:ascii="Times New Roman" w:hAnsi="Times New Roman" w:cs="Times New Roman"/>
        </w:rPr>
        <w:t>0</w:t>
      </w:r>
      <w:r>
        <w:rPr>
          <w:rFonts w:hint="default" w:ascii="Times New Roman" w:hAnsi="Times New Roman" w:cs="Times New Roman"/>
          <w:lang w:eastAsia="zh-CN"/>
        </w:rPr>
        <w:t>万元，占</w:t>
      </w:r>
      <w:r>
        <w:rPr>
          <w:rFonts w:hint="default" w:ascii="Times New Roman" w:hAnsi="Times New Roman" w:cs="Times New Roman"/>
        </w:rPr>
        <w:t>0%</w:t>
      </w:r>
      <w:r>
        <w:rPr>
          <w:rFonts w:hint="default" w:ascii="Times New Roman" w:hAnsi="Times New Roman" w:cs="Times New Roman"/>
          <w:lang w:eastAsia="zh-CN"/>
        </w:rPr>
        <w:t>。</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19650" cy="2097405"/>
            <wp:effectExtent l="5080" t="4445" r="6350"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1"/>
        <w:rPr>
          <w:rFonts w:hint="default" w:ascii="Times New Roman" w:hAnsi="Times New Roman" w:eastAsia="仿宋_GB2312" w:cs="Times New Roman"/>
          <w:color w:val="auto"/>
          <w:sz w:val="32"/>
          <w:szCs w:val="32"/>
          <w:highlight w:val="none"/>
          <w:lang w:eastAsia="zh-CN"/>
        </w:rPr>
      </w:pPr>
      <w:bookmarkStart w:id="46" w:name="_Toc6354"/>
      <w:bookmarkStart w:id="47" w:name="_Toc15377208"/>
      <w:bookmarkStart w:id="48" w:name="_Toc15396606"/>
      <w:r>
        <w:rPr>
          <w:rFonts w:hint="default" w:ascii="Times New Roman" w:hAnsi="Times New Roman" w:eastAsia="仿宋_GB2312" w:cs="Times New Roman"/>
          <w:color w:val="auto"/>
          <w:sz w:val="32"/>
          <w:szCs w:val="32"/>
          <w:highlight w:val="none"/>
          <w:lang w:eastAsia="zh-CN"/>
        </w:rPr>
        <w:t>（图3：支出决算结构图）</w:t>
      </w:r>
      <w:bookmarkEnd w:id="46"/>
    </w:p>
    <w:p>
      <w:pPr>
        <w:pStyle w:val="5"/>
        <w:rPr>
          <w:rFonts w:hint="default"/>
        </w:rPr>
      </w:pPr>
      <w:bookmarkStart w:id="49" w:name="_Toc18980"/>
      <w:bookmarkStart w:id="50" w:name="_Toc27922"/>
      <w:bookmarkStart w:id="51" w:name="_Toc21193"/>
      <w:r>
        <w:rPr>
          <w:rFonts w:hint="default"/>
        </w:rPr>
        <w:t>四、财政拨款收入支出决算总体情况说明</w:t>
      </w:r>
      <w:bookmarkEnd w:id="47"/>
      <w:bookmarkEnd w:id="48"/>
      <w:bookmarkEnd w:id="49"/>
      <w:bookmarkEnd w:id="50"/>
      <w:bookmarkEnd w:id="51"/>
    </w:p>
    <w:p>
      <w:pPr>
        <w:rPr>
          <w:rFonts w:hint="default"/>
          <w:lang w:eastAsia="zh-CN"/>
        </w:rPr>
      </w:pPr>
      <w:r>
        <w:rPr>
          <w:rFonts w:hint="default"/>
          <w:lang w:val="en-US" w:eastAsia="zh-CN"/>
        </w:rPr>
        <w:t>2024年度财政拨款收入、支出总计均为</w:t>
      </w:r>
      <w:r>
        <w:rPr>
          <w:rFonts w:hint="default"/>
        </w:rPr>
        <w:t>2296.39</w:t>
      </w:r>
      <w:r>
        <w:rPr>
          <w:rFonts w:hint="default"/>
          <w:lang w:val="en-US" w:eastAsia="zh-CN"/>
        </w:rPr>
        <w:t>万元。与2023年度相比，财政拨款收入总计、支出总计各增加1181.93万元，增长106.05</w:t>
      </w:r>
      <w:r>
        <w:rPr>
          <w:rFonts w:hint="default"/>
        </w:rPr>
        <w:t>%</w:t>
      </w:r>
      <w:r>
        <w:rPr>
          <w:rFonts w:hint="default"/>
          <w:lang w:val="en-US" w:eastAsia="zh-CN"/>
        </w:rPr>
        <w:t>。主要变动原因是</w:t>
      </w:r>
      <w:r>
        <w:rPr>
          <w:rFonts w:hint="default"/>
          <w:lang w:eastAsia="zh-CN"/>
        </w:rPr>
        <w:t>项目增加导致项目经费</w:t>
      </w:r>
      <w:r>
        <w:rPr>
          <w:rFonts w:hint="default"/>
          <w:lang w:val="en-US" w:eastAsia="zh-CN"/>
        </w:rPr>
        <w:t>增加，</w:t>
      </w:r>
      <w:r>
        <w:rPr>
          <w:rFonts w:hint="default"/>
          <w:lang w:eastAsia="zh-CN"/>
        </w:rPr>
        <w:t>项目</w:t>
      </w:r>
      <w:r>
        <w:rPr>
          <w:rFonts w:hint="default"/>
        </w:rPr>
        <w:t>经费支出</w:t>
      </w:r>
      <w:r>
        <w:rPr>
          <w:rFonts w:hint="default"/>
          <w:lang w:val="en-US" w:eastAsia="zh-CN"/>
        </w:rPr>
        <w:t>1542.73</w:t>
      </w:r>
      <w:r>
        <w:rPr>
          <w:rFonts w:hint="default"/>
        </w:rPr>
        <w:t>万元，较去年增加支出</w:t>
      </w:r>
      <w:r>
        <w:rPr>
          <w:rFonts w:hint="default"/>
          <w:lang w:val="en-US" w:eastAsia="zh-CN"/>
        </w:rPr>
        <w:t>1236.41</w:t>
      </w:r>
      <w:r>
        <w:rPr>
          <w:rFonts w:hint="default"/>
        </w:rPr>
        <w:t>万元，同比增长</w:t>
      </w:r>
      <w:r>
        <w:rPr>
          <w:rFonts w:hint="default"/>
          <w:lang w:val="en-US" w:eastAsia="zh-CN"/>
        </w:rPr>
        <w:t>403.63</w:t>
      </w:r>
      <w:r>
        <w:rPr>
          <w:rFonts w:hint="default"/>
        </w:rPr>
        <w:t>%</w:t>
      </w:r>
      <w:r>
        <w:rPr>
          <w:rFonts w:hint="default"/>
          <w:lang w:eastAsia="zh-CN"/>
        </w:rPr>
        <w:t>。</w:t>
      </w:r>
    </w:p>
    <w:p>
      <w:pPr>
        <w:pStyle w:val="2"/>
        <w:ind w:left="0" w:leftChars="0" w:firstLine="0" w:firstLineChars="0"/>
        <w:rPr>
          <w:rFonts w:hint="default"/>
          <w:lang w:eastAsia="zh-CN"/>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533400</wp:posOffset>
            </wp:positionH>
            <wp:positionV relativeFrom="page">
              <wp:posOffset>3907790</wp:posOffset>
            </wp:positionV>
            <wp:extent cx="4819650" cy="2218055"/>
            <wp:effectExtent l="4445" t="4445" r="6985" b="17780"/>
            <wp:wrapSquare wrapText="bothSides"/>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3"/>
        <w:ind w:left="0" w:leftChars="0" w:firstLine="0" w:firstLineChars="0"/>
        <w:rPr>
          <w:rFonts w:hint="default"/>
          <w:lang w:eastAsia="zh-CN"/>
        </w:rPr>
      </w:pPr>
    </w:p>
    <w:p>
      <w:pPr>
        <w:pStyle w:val="3"/>
        <w:ind w:left="0" w:leftChars="0" w:firstLine="0" w:firstLineChars="0"/>
        <w:rPr>
          <w:rFonts w:hint="default"/>
          <w:lang w:eastAsia="zh-CN"/>
        </w:rPr>
      </w:pPr>
    </w:p>
    <w:p>
      <w:pPr>
        <w:pStyle w:val="3"/>
        <w:rPr>
          <w:rFonts w:hint="default"/>
          <w:lang w:eastAsia="zh-CN"/>
        </w:rPr>
      </w:pPr>
    </w:p>
    <w:p>
      <w:pPr>
        <w:pStyle w:val="3"/>
        <w:rPr>
          <w:rFonts w:hint="default"/>
          <w:lang w:eastAsia="zh-CN"/>
        </w:rPr>
      </w:pPr>
    </w:p>
    <w:p>
      <w:pPr>
        <w:pStyle w:val="3"/>
        <w:ind w:left="0" w:leftChars="0" w:firstLine="0" w:firstLineChars="0"/>
        <w:rPr>
          <w:rFonts w:hint="default"/>
          <w:lang w:eastAsia="zh-CN"/>
        </w:rPr>
      </w:pPr>
    </w:p>
    <w:p>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pPr>
        <w:pStyle w:val="5"/>
        <w:rPr>
          <w:rFonts w:hint="default"/>
        </w:rPr>
      </w:pPr>
      <w:bookmarkStart w:id="52" w:name="_Toc15396607"/>
      <w:bookmarkStart w:id="53" w:name="_Toc11184"/>
      <w:bookmarkStart w:id="54" w:name="_Toc14300"/>
      <w:bookmarkStart w:id="55" w:name="_Toc15377209"/>
      <w:bookmarkStart w:id="56" w:name="_Toc18575"/>
      <w:r>
        <w:rPr>
          <w:rFonts w:hint="default"/>
        </w:rPr>
        <w:t>五、一般公共预算财政拨款支出决算情况说明</w:t>
      </w:r>
      <w:bookmarkEnd w:id="52"/>
      <w:bookmarkEnd w:id="53"/>
      <w:bookmarkEnd w:id="54"/>
      <w:bookmarkEnd w:id="55"/>
      <w:bookmarkEnd w:id="56"/>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7"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57"/>
    </w:p>
    <w:p>
      <w:pPr>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lang w:val="en-US" w:eastAsia="zh-CN"/>
        </w:rPr>
        <w:t>2024年度一般公共预算财政拨款支出</w:t>
      </w:r>
      <w:r>
        <w:rPr>
          <w:rFonts w:hint="default" w:ascii="Times New Roman" w:hAnsi="Times New Roman" w:cs="Times New Roman"/>
        </w:rPr>
        <w:t>2177.17</w:t>
      </w:r>
      <w:r>
        <w:rPr>
          <w:rFonts w:hint="default" w:ascii="Times New Roman" w:hAnsi="Times New Roman" w:cs="Times New Roman"/>
          <w:lang w:val="en-US" w:eastAsia="zh-CN"/>
        </w:rPr>
        <w:t>万元，占本年支出合计的</w:t>
      </w:r>
      <w:r>
        <w:rPr>
          <w:rFonts w:hint="default" w:ascii="Times New Roman" w:hAnsi="Times New Roman" w:cs="Times New Roman"/>
        </w:rPr>
        <w:t>96.1</w:t>
      </w:r>
      <w:r>
        <w:rPr>
          <w:rFonts w:hint="default" w:ascii="Times New Roman" w:hAnsi="Times New Roman" w:cs="Times New Roman"/>
          <w:lang w:val="en-US" w:eastAsia="zh-CN"/>
        </w:rPr>
        <w:t>9%。与2023年度相比，一般公共预算财政拨款支出增加1141.23</w:t>
      </w:r>
      <w:r>
        <w:rPr>
          <w:rFonts w:hint="default" w:ascii="Times New Roman" w:hAnsi="Times New Roman" w:cs="Times New Roman"/>
        </w:rPr>
        <w:t>万元，增长</w:t>
      </w:r>
      <w:r>
        <w:rPr>
          <w:rFonts w:hint="default" w:ascii="Times New Roman" w:hAnsi="Times New Roman" w:cs="Times New Roman"/>
          <w:lang w:val="en-US" w:eastAsia="zh-CN"/>
        </w:rPr>
        <w:t>110.16</w:t>
      </w:r>
      <w:r>
        <w:rPr>
          <w:rFonts w:hint="default" w:ascii="Times New Roman" w:hAnsi="Times New Roman" w:cs="Times New Roman"/>
        </w:rPr>
        <w:t>%</w:t>
      </w:r>
      <w:r>
        <w:rPr>
          <w:rFonts w:hint="default" w:ascii="Times New Roman" w:hAnsi="Times New Roman" w:cs="Times New Roman"/>
          <w:lang w:val="en-US" w:eastAsia="zh-CN"/>
        </w:rPr>
        <w:t>。主要变动原因是2024年度人员经费支出695.91万元，较去年减少55.82万元，主要原因是因为2024年人员变动导致；</w:t>
      </w: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度</w:t>
      </w:r>
      <w:r>
        <w:rPr>
          <w:rFonts w:hint="default" w:ascii="Times New Roman" w:hAnsi="Times New Roman" w:cs="Times New Roman"/>
        </w:rPr>
        <w:t>日常公用经费支出</w:t>
      </w:r>
      <w:r>
        <w:rPr>
          <w:rFonts w:hint="default" w:ascii="Times New Roman" w:hAnsi="Times New Roman" w:cs="Times New Roman"/>
          <w:lang w:val="en-US" w:eastAsia="zh-CN"/>
        </w:rPr>
        <w:t>24.85</w:t>
      </w:r>
      <w:r>
        <w:rPr>
          <w:rFonts w:hint="default" w:ascii="Times New Roman" w:hAnsi="Times New Roman" w:cs="Times New Roman"/>
        </w:rPr>
        <w:t>万元，较去年</w:t>
      </w:r>
      <w:r>
        <w:rPr>
          <w:rFonts w:hint="default" w:ascii="Times New Roman" w:hAnsi="Times New Roman" w:cs="Times New Roman"/>
          <w:lang w:val="en-US" w:eastAsia="zh-CN"/>
        </w:rPr>
        <w:t>增加1.34</w:t>
      </w:r>
      <w:r>
        <w:rPr>
          <w:rFonts w:hint="default" w:ascii="Times New Roman" w:hAnsi="Times New Roman" w:cs="Times New Roman"/>
        </w:rPr>
        <w:t>万元，同比</w:t>
      </w:r>
      <w:r>
        <w:rPr>
          <w:rFonts w:hint="default" w:ascii="Times New Roman" w:hAnsi="Times New Roman" w:cs="Times New Roman"/>
          <w:lang w:val="en-US" w:eastAsia="zh-CN"/>
        </w:rPr>
        <w:t>增加5.7</w:t>
      </w:r>
      <w:r>
        <w:rPr>
          <w:rFonts w:hint="default" w:ascii="Times New Roman" w:hAnsi="Times New Roman" w:cs="Times New Roman"/>
        </w:rPr>
        <w:t>%，主要是</w:t>
      </w:r>
      <w:r>
        <w:rPr>
          <w:rFonts w:hint="default" w:ascii="Times New Roman" w:hAnsi="Times New Roman" w:cs="Times New Roman"/>
          <w:lang w:val="en-US" w:eastAsia="zh-CN"/>
        </w:rPr>
        <w:t>支付2023年度部分水电费用</w:t>
      </w: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度</w:t>
      </w:r>
      <w:r>
        <w:rPr>
          <w:rFonts w:hint="default" w:ascii="Times New Roman" w:hAnsi="Times New Roman" w:cs="Times New Roman"/>
        </w:rPr>
        <w:t>项目经费支出</w:t>
      </w:r>
      <w:r>
        <w:rPr>
          <w:rFonts w:hint="default" w:ascii="Times New Roman" w:hAnsi="Times New Roman" w:cs="Times New Roman"/>
          <w:lang w:val="en-US" w:eastAsia="zh-CN"/>
        </w:rPr>
        <w:t>1456.4</w:t>
      </w:r>
      <w:r>
        <w:rPr>
          <w:rFonts w:hint="default" w:ascii="Times New Roman" w:hAnsi="Times New Roman" w:cs="Times New Roman"/>
        </w:rPr>
        <w:t>万元，较去年</w:t>
      </w:r>
      <w:r>
        <w:rPr>
          <w:rFonts w:hint="default" w:ascii="Times New Roman" w:hAnsi="Times New Roman" w:cs="Times New Roman"/>
          <w:lang w:val="en-US" w:eastAsia="zh-CN"/>
        </w:rPr>
        <w:t>增加1195.66</w:t>
      </w:r>
      <w:r>
        <w:rPr>
          <w:rFonts w:hint="default" w:ascii="Times New Roman" w:hAnsi="Times New Roman" w:cs="Times New Roman"/>
        </w:rPr>
        <w:t>万元，同比</w:t>
      </w:r>
      <w:r>
        <w:rPr>
          <w:rFonts w:hint="default" w:ascii="Times New Roman" w:hAnsi="Times New Roman" w:cs="Times New Roman"/>
          <w:lang w:val="en-US" w:eastAsia="zh-CN"/>
        </w:rPr>
        <w:t>增加458.56</w:t>
      </w:r>
      <w:r>
        <w:rPr>
          <w:rFonts w:hint="default" w:ascii="Times New Roman" w:hAnsi="Times New Roman" w:cs="Times New Roman"/>
        </w:rPr>
        <w:t>%，</w:t>
      </w:r>
      <w:r>
        <w:rPr>
          <w:rFonts w:hint="default" w:ascii="Times New Roman" w:hAnsi="Times New Roman" w:cs="Times New Roman"/>
          <w:lang w:val="en-US" w:eastAsia="zh-CN"/>
        </w:rPr>
        <w:t>主要是增加老旧小区改造项目、养老服务业发展等项目，导致项目资金支出增加。</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lang w:val="en-US" w:eastAsia="zh-CN"/>
        </w:rPr>
      </w:pPr>
      <w:bookmarkStart w:id="58" w:name="_Toc15377211"/>
      <w:r>
        <w:rPr>
          <w:rFonts w:hint="default"/>
        </w:rPr>
        <w:drawing>
          <wp:anchor distT="0" distB="0" distL="114300" distR="114300" simplePos="0" relativeHeight="251661312" behindDoc="0" locked="0" layoutInCell="1" allowOverlap="1">
            <wp:simplePos x="0" y="0"/>
            <wp:positionH relativeFrom="column">
              <wp:posOffset>80010</wp:posOffset>
            </wp:positionH>
            <wp:positionV relativeFrom="paragraph">
              <wp:posOffset>161925</wp:posOffset>
            </wp:positionV>
            <wp:extent cx="5276850" cy="2722880"/>
            <wp:effectExtent l="4445" t="4445" r="14605" b="15875"/>
            <wp:wrapSquare wrapText="bothSides"/>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default"/>
          <w:lang w:val="en-US" w:eastAsia="zh-CN"/>
        </w:rPr>
        <w:t>（图5：一般公共预算财政拨款支出决算变动情况）</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58"/>
    </w:p>
    <w:p>
      <w:pPr>
        <w:rPr>
          <w:rFonts w:hint="default" w:ascii="Times New Roman" w:hAnsi="Times New Roman" w:cs="Times New Roman"/>
          <w:lang w:val="en-US" w:eastAsia="zh-CN"/>
        </w:rPr>
      </w:pPr>
      <w:r>
        <w:rPr>
          <w:rFonts w:hint="default" w:ascii="Times New Roman" w:hAnsi="Times New Roman" w:cs="Times New Roman"/>
          <w:lang w:val="en-US" w:eastAsia="zh-CN"/>
        </w:rPr>
        <w:t>2024年度一般公共预算财政拨款支出</w:t>
      </w:r>
      <w:r>
        <w:rPr>
          <w:rFonts w:hint="default" w:ascii="Times New Roman" w:hAnsi="Times New Roman" w:cs="Times New Roman"/>
        </w:rPr>
        <w:t>2177.17</w:t>
      </w:r>
      <w:r>
        <w:rPr>
          <w:rFonts w:hint="default" w:ascii="Times New Roman" w:hAnsi="Times New Roman" w:cs="Times New Roman"/>
          <w:lang w:val="en-US" w:eastAsia="zh-CN"/>
        </w:rPr>
        <w:t>万元，主要用于以下方面：一般公共服务支出712.35万元，占32.72%；文化旅游体育与传媒支出13.4万元，占0.62%；社会保障和就业支出184.47万元，占8.47%；卫生健康支出32.79万元，占1.51%；城乡社区支出17.48万元，占0.8%；农林水支出</w:t>
      </w:r>
    </w:p>
    <w:p>
      <w:pPr>
        <w:rPr>
          <w:rFonts w:hint="default" w:ascii="Times New Roman" w:hAnsi="Times New Roman" w:cs="Times New Roman"/>
          <w:lang w:val="en-US" w:eastAsia="zh-CN"/>
        </w:rPr>
      </w:pPr>
      <w:r>
        <w:rPr>
          <w:rFonts w:hint="default" w:ascii="Times New Roman" w:hAnsi="Times New Roman" w:cs="Times New Roman"/>
          <w:lang w:val="en-US" w:eastAsia="zh-CN"/>
        </w:rPr>
        <w:t>9.9万元，占0.45%；资源勘探工业信息等支出0.28万元，占0.01%；住房保障支出1194.95万元，占54.89</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lang w:val="en-US" w:eastAsia="zh-CN"/>
        </w:rPr>
        <w:t>其他支出11.55万元占0.53%</w:t>
      </w:r>
      <w:r>
        <w:rPr>
          <w:rFonts w:hint="default" w:ascii="Times New Roman" w:hAnsi="Times New Roman" w:cs="Times New Roman"/>
        </w:rPr>
        <w:t>。</w:t>
      </w:r>
    </w:p>
    <w:p>
      <w:pPr>
        <w:spacing w:line="600" w:lineRule="exact"/>
        <w:ind w:firstLine="640" w:firstLineChars="200"/>
        <w:jc w:val="center"/>
        <w:outlineLvl w:val="2"/>
        <w:rPr>
          <w:rFonts w:hint="default" w:ascii="Times New Roman" w:hAnsi="Times New Roman" w:eastAsia="仿宋_GB2312" w:cs="Times New Roman"/>
          <w:color w:val="auto"/>
          <w:kern w:val="2"/>
          <w:sz w:val="32"/>
          <w:szCs w:val="32"/>
          <w:highlight w:val="none"/>
          <w:lang w:val="en-US" w:eastAsia="zh-CN" w:bidi="ar-SA"/>
        </w:rPr>
      </w:pPr>
      <w:bookmarkStart w:id="59" w:name="_Toc15377212"/>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266700</wp:posOffset>
            </wp:positionH>
            <wp:positionV relativeFrom="page">
              <wp:posOffset>1827530</wp:posOffset>
            </wp:positionV>
            <wp:extent cx="5012690" cy="2861310"/>
            <wp:effectExtent l="4445" t="4445" r="12065" b="10795"/>
            <wp:wrapSquare wrapText="bothSides"/>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59"/>
    </w:p>
    <w:p>
      <w:pPr>
        <w:rPr>
          <w:rFonts w:hint="default" w:ascii="Times New Roman" w:hAnsi="Times New Roman" w:cs="Times New Roman"/>
          <w:lang w:val="en-US" w:eastAsia="zh-CN"/>
        </w:rPr>
      </w:pPr>
      <w:bookmarkStart w:id="60" w:name="_Toc15377213"/>
      <w:bookmarkStart w:id="61" w:name="_Toc15378460"/>
      <w:bookmarkStart w:id="62" w:name="_Toc15377444"/>
      <w:r>
        <w:rPr>
          <w:rFonts w:hint="default" w:ascii="Times New Roman" w:hAnsi="Times New Roman" w:cs="Times New Roman"/>
          <w:lang w:val="en-US" w:eastAsia="zh-CN"/>
        </w:rPr>
        <w:t>2024年度一般公共预算财政拨款支出决算数为</w:t>
      </w:r>
      <w:r>
        <w:rPr>
          <w:rFonts w:hint="default" w:ascii="Times New Roman" w:hAnsi="Times New Roman" w:cs="Times New Roman"/>
        </w:rPr>
        <w:t>2177.17</w:t>
      </w:r>
      <w:r>
        <w:rPr>
          <w:rFonts w:hint="default" w:ascii="Times New Roman" w:hAnsi="Times New Roman" w:cs="Times New Roman"/>
          <w:lang w:val="en-US" w:eastAsia="zh-CN"/>
        </w:rPr>
        <w:t>，完成预算100%。其中：</w:t>
      </w:r>
      <w:bookmarkEnd w:id="60"/>
      <w:bookmarkEnd w:id="61"/>
      <w:bookmarkEnd w:id="62"/>
    </w:p>
    <w:p>
      <w:pPr>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一般公共服务支出（类）政府办公厅（室）及相关机构事务（款）行政运行（项）: 支出决算为</w:t>
      </w:r>
      <w:r>
        <w:rPr>
          <w:rFonts w:hint="default" w:ascii="Times New Roman" w:hAnsi="Times New Roman" w:cs="Times New Roman"/>
          <w:lang w:val="en-US" w:eastAsia="zh-CN"/>
        </w:rPr>
        <w:t>112</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一般公共服务支出（类）政府办公厅（室）及相关机构事务（款）一般行政管理事务（项）: 支出决算为</w:t>
      </w:r>
      <w:r>
        <w:rPr>
          <w:rFonts w:hint="default" w:ascii="Times New Roman" w:hAnsi="Times New Roman" w:cs="Times New Roman"/>
          <w:lang w:val="en-US" w:eastAsia="zh-CN"/>
        </w:rPr>
        <w:t>80.5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一般公共服务支出（类）政府办公厅（室）及相关机构事务（款）事业运行（项）: 支出决算为</w:t>
      </w:r>
      <w:r>
        <w:rPr>
          <w:rFonts w:hint="default" w:ascii="Times New Roman" w:hAnsi="Times New Roman" w:cs="Times New Roman"/>
          <w:lang w:val="en-US" w:eastAsia="zh-CN"/>
        </w:rPr>
        <w:t>167.55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一般公共服务支出（类）政府办公厅（室）及相关机构事务（款）其他政府办公厅（室）及相关机构事务支出（项）: 支出决算为</w:t>
      </w:r>
      <w:r>
        <w:rPr>
          <w:rFonts w:hint="default" w:ascii="Times New Roman" w:hAnsi="Times New Roman" w:cs="Times New Roman"/>
          <w:lang w:val="en-US" w:eastAsia="zh-CN"/>
        </w:rPr>
        <w:t>338.86</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一般公共服务支出（类）</w:t>
      </w:r>
      <w:r>
        <w:rPr>
          <w:rFonts w:hint="default" w:ascii="Times New Roman" w:hAnsi="Times New Roman" w:cs="Times New Roman"/>
          <w:lang w:val="en-US" w:eastAsia="zh-CN"/>
        </w:rPr>
        <w:t>宣传事务</w:t>
      </w:r>
      <w:r>
        <w:rPr>
          <w:rFonts w:hint="default" w:ascii="Times New Roman" w:hAnsi="Times New Roman" w:cs="Times New Roman"/>
        </w:rPr>
        <w:t>（款）</w:t>
      </w:r>
      <w:r>
        <w:rPr>
          <w:rFonts w:hint="default" w:ascii="Times New Roman" w:hAnsi="Times New Roman" w:cs="Times New Roman"/>
          <w:lang w:val="en-US" w:eastAsia="zh-CN"/>
        </w:rPr>
        <w:t>其他宣传事务支出</w:t>
      </w:r>
      <w:r>
        <w:rPr>
          <w:rFonts w:hint="default" w:ascii="Times New Roman" w:hAnsi="Times New Roman" w:cs="Times New Roman"/>
        </w:rPr>
        <w:t>（项）: 支出决算为</w:t>
      </w:r>
      <w:r>
        <w:rPr>
          <w:rFonts w:hint="default" w:ascii="Times New Roman" w:hAnsi="Times New Roman" w:cs="Times New Roman"/>
          <w:lang w:val="en-US" w:eastAsia="zh-CN"/>
        </w:rPr>
        <w:t>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一般公共服务支出（类）</w:t>
      </w:r>
      <w:r>
        <w:rPr>
          <w:rFonts w:hint="default" w:ascii="Times New Roman" w:hAnsi="Times New Roman" w:cs="Times New Roman"/>
          <w:lang w:val="en-US" w:eastAsia="zh-CN"/>
        </w:rPr>
        <w:t>其他共产党事务支出</w:t>
      </w:r>
      <w:r>
        <w:rPr>
          <w:rFonts w:hint="default" w:ascii="Times New Roman" w:hAnsi="Times New Roman" w:cs="Times New Roman"/>
        </w:rPr>
        <w:t>（款）</w:t>
      </w:r>
      <w:r>
        <w:rPr>
          <w:rFonts w:hint="default" w:ascii="Times New Roman" w:hAnsi="Times New Roman" w:cs="Times New Roman"/>
          <w:lang w:val="en-US" w:eastAsia="zh-CN"/>
        </w:rPr>
        <w:t>一般行政管理事务</w:t>
      </w:r>
      <w:r>
        <w:rPr>
          <w:rFonts w:hint="default" w:ascii="Times New Roman" w:hAnsi="Times New Roman" w:cs="Times New Roman"/>
        </w:rPr>
        <w:t>（项）: 支出决算为</w:t>
      </w:r>
      <w:r>
        <w:rPr>
          <w:rFonts w:hint="default" w:ascii="Times New Roman" w:hAnsi="Times New Roman" w:cs="Times New Roman"/>
          <w:lang w:val="en-US" w:eastAsia="zh-CN"/>
        </w:rPr>
        <w:t>6.91</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一般公共服务支出（类）</w:t>
      </w:r>
      <w:r>
        <w:rPr>
          <w:rFonts w:hint="default" w:ascii="Times New Roman" w:hAnsi="Times New Roman" w:cs="Times New Roman"/>
          <w:lang w:val="en-US" w:eastAsia="zh-CN"/>
        </w:rPr>
        <w:t>信访事务</w:t>
      </w:r>
      <w:r>
        <w:rPr>
          <w:rFonts w:hint="default" w:ascii="Times New Roman" w:hAnsi="Times New Roman" w:cs="Times New Roman"/>
        </w:rPr>
        <w:t>（款）一般行政管理事务（项）: 支出决算为</w:t>
      </w:r>
      <w:r>
        <w:rPr>
          <w:rFonts w:hint="default" w:ascii="Times New Roman" w:hAnsi="Times New Roman" w:cs="Times New Roman"/>
          <w:lang w:val="en-US" w:eastAsia="zh-CN"/>
        </w:rPr>
        <w:t>1.53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8.文化旅游体育与传媒支出</w:t>
      </w:r>
      <w:r>
        <w:rPr>
          <w:rFonts w:hint="default" w:ascii="Times New Roman" w:hAnsi="Times New Roman" w:cs="Times New Roman"/>
        </w:rPr>
        <w:t>（类）</w:t>
      </w:r>
      <w:r>
        <w:rPr>
          <w:rFonts w:hint="default" w:ascii="Times New Roman" w:hAnsi="Times New Roman" w:cs="Times New Roman"/>
          <w:lang w:val="en-US" w:eastAsia="zh-CN"/>
        </w:rPr>
        <w:t>文化和旅游</w:t>
      </w:r>
      <w:r>
        <w:rPr>
          <w:rFonts w:hint="default" w:ascii="Times New Roman" w:hAnsi="Times New Roman" w:cs="Times New Roman"/>
        </w:rPr>
        <w:t>（款）</w:t>
      </w:r>
      <w:r>
        <w:rPr>
          <w:rFonts w:hint="default" w:ascii="Times New Roman" w:hAnsi="Times New Roman" w:cs="Times New Roman"/>
          <w:lang w:val="en-US" w:eastAsia="zh-CN"/>
        </w:rPr>
        <w:t>其他文化和旅游支出</w:t>
      </w:r>
      <w:r>
        <w:rPr>
          <w:rFonts w:hint="default" w:ascii="Times New Roman" w:hAnsi="Times New Roman" w:cs="Times New Roman"/>
        </w:rPr>
        <w:t>（项）: 支出决算为</w:t>
      </w:r>
      <w:r>
        <w:rPr>
          <w:rFonts w:hint="default" w:ascii="Times New Roman" w:hAnsi="Times New Roman" w:cs="Times New Roman"/>
          <w:lang w:val="en-US" w:eastAsia="zh-CN"/>
        </w:rPr>
        <w:t>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9</w:t>
      </w:r>
      <w:r>
        <w:rPr>
          <w:rFonts w:hint="default" w:ascii="Times New Roman" w:hAnsi="Times New Roman" w:cs="Times New Roman"/>
        </w:rPr>
        <w:t>.文化旅游体育与传媒支出（类）</w:t>
      </w:r>
      <w:r>
        <w:rPr>
          <w:rFonts w:hint="default" w:ascii="Times New Roman" w:hAnsi="Times New Roman" w:cs="Times New Roman"/>
          <w:lang w:val="en-US" w:eastAsia="zh-CN"/>
        </w:rPr>
        <w:t>其他文化旅途体育与传媒支出</w:t>
      </w:r>
      <w:r>
        <w:rPr>
          <w:rFonts w:hint="default" w:ascii="Times New Roman" w:hAnsi="Times New Roman" w:cs="Times New Roman"/>
        </w:rPr>
        <w:t>（款）</w:t>
      </w:r>
      <w:r>
        <w:rPr>
          <w:rFonts w:hint="default" w:ascii="Times New Roman" w:hAnsi="Times New Roman" w:cs="Times New Roman"/>
          <w:lang w:val="en-US" w:eastAsia="zh-CN"/>
        </w:rPr>
        <w:t>其他文化旅途体育与传媒支出</w:t>
      </w:r>
      <w:r>
        <w:rPr>
          <w:rFonts w:hint="default" w:ascii="Times New Roman" w:hAnsi="Times New Roman" w:cs="Times New Roman"/>
        </w:rPr>
        <w:t>（项）: 支出决算为</w:t>
      </w:r>
      <w:r>
        <w:rPr>
          <w:rFonts w:hint="default" w:ascii="Times New Roman" w:hAnsi="Times New Roman" w:cs="Times New Roman"/>
          <w:lang w:val="en-US" w:eastAsia="zh-CN"/>
        </w:rPr>
        <w:t>10.4</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.社会保障和就业支出（类）民政管理事务（款）基层政权建设和社区治理（项）: 支出决算为</w:t>
      </w:r>
      <w:r>
        <w:rPr>
          <w:rFonts w:hint="default" w:ascii="Times New Roman" w:hAnsi="Times New Roman" w:cs="Times New Roman"/>
          <w:lang w:val="en-US" w:eastAsia="zh-CN"/>
        </w:rPr>
        <w:t>28.54</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11</w:t>
      </w:r>
      <w:r>
        <w:rPr>
          <w:rFonts w:hint="default" w:ascii="Times New Roman" w:hAnsi="Times New Roman" w:cs="Times New Roman"/>
        </w:rPr>
        <w:t>.社会保障和就业支出（类）民政管理事务（款）</w:t>
      </w:r>
      <w:r>
        <w:rPr>
          <w:rFonts w:hint="default" w:ascii="Times New Roman" w:hAnsi="Times New Roman" w:cs="Times New Roman"/>
          <w:lang w:val="en-US" w:eastAsia="zh-CN"/>
        </w:rPr>
        <w:t>其他民政管理事务</w:t>
      </w:r>
      <w:r>
        <w:rPr>
          <w:rFonts w:hint="default" w:ascii="Times New Roman" w:hAnsi="Times New Roman" w:cs="Times New Roman"/>
        </w:rPr>
        <w:t>（项）: 支出决算为</w:t>
      </w:r>
      <w:r>
        <w:rPr>
          <w:rFonts w:hint="default" w:ascii="Times New Roman" w:hAnsi="Times New Roman" w:cs="Times New Roman"/>
          <w:lang w:val="en-US" w:eastAsia="zh-CN"/>
        </w:rPr>
        <w:t>0.25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12</w:t>
      </w:r>
      <w:r>
        <w:rPr>
          <w:rFonts w:hint="default" w:ascii="Times New Roman" w:hAnsi="Times New Roman" w:cs="Times New Roman"/>
        </w:rPr>
        <w:t>.社会保障和就业支出（类）行政事业单位养老支出（款）行政单位离退休（项）: 支出决算为</w:t>
      </w:r>
      <w:r>
        <w:rPr>
          <w:rFonts w:hint="default" w:ascii="Times New Roman" w:hAnsi="Times New Roman" w:cs="Times New Roman"/>
          <w:lang w:val="en-US" w:eastAsia="zh-CN"/>
        </w:rPr>
        <w:t>7.11</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13</w:t>
      </w:r>
      <w:r>
        <w:rPr>
          <w:rFonts w:hint="default" w:ascii="Times New Roman" w:hAnsi="Times New Roman" w:cs="Times New Roman"/>
        </w:rPr>
        <w:t>.社会保障和就业支出（类）行政事业单位养老支出（款）机关事业单位基本养老保险缴费支出（项）: 支出决算为</w:t>
      </w:r>
      <w:r>
        <w:rPr>
          <w:rFonts w:hint="default" w:ascii="Times New Roman" w:hAnsi="Times New Roman" w:cs="Times New Roman"/>
          <w:lang w:val="en-US" w:eastAsia="zh-CN"/>
        </w:rPr>
        <w:t>33.63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14</w:t>
      </w:r>
      <w:r>
        <w:rPr>
          <w:rFonts w:hint="default" w:ascii="Times New Roman" w:hAnsi="Times New Roman" w:cs="Times New Roman"/>
        </w:rPr>
        <w:t>.社会保障和就业支出（类）</w:t>
      </w:r>
      <w:r>
        <w:rPr>
          <w:rFonts w:hint="default" w:ascii="Times New Roman" w:hAnsi="Times New Roman" w:cs="Times New Roman"/>
          <w:lang w:val="en-US" w:eastAsia="zh-CN"/>
        </w:rPr>
        <w:t>社会福利</w:t>
      </w:r>
      <w:r>
        <w:rPr>
          <w:rFonts w:hint="default" w:ascii="Times New Roman" w:hAnsi="Times New Roman" w:cs="Times New Roman"/>
        </w:rPr>
        <w:t>（款）</w:t>
      </w:r>
      <w:r>
        <w:rPr>
          <w:rFonts w:hint="default" w:ascii="Times New Roman" w:hAnsi="Times New Roman" w:cs="Times New Roman"/>
          <w:lang w:val="en-US" w:eastAsia="zh-CN"/>
        </w:rPr>
        <w:t>儿童福利</w:t>
      </w:r>
      <w:r>
        <w:rPr>
          <w:rFonts w:hint="default" w:ascii="Times New Roman" w:hAnsi="Times New Roman" w:cs="Times New Roman"/>
        </w:rPr>
        <w:t>（项）: 支出决算为</w:t>
      </w:r>
      <w:r>
        <w:rPr>
          <w:rFonts w:hint="default" w:ascii="Times New Roman" w:hAnsi="Times New Roman" w:cs="Times New Roman"/>
          <w:lang w:val="en-US" w:eastAsia="zh-CN"/>
        </w:rPr>
        <w:t>33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5.社会保障和就业支出（类）</w:t>
      </w:r>
      <w:r>
        <w:rPr>
          <w:rFonts w:hint="default" w:ascii="Times New Roman" w:hAnsi="Times New Roman" w:cs="Times New Roman"/>
          <w:lang w:val="en-US" w:eastAsia="zh-CN"/>
        </w:rPr>
        <w:t>社会福利</w:t>
      </w:r>
      <w:r>
        <w:rPr>
          <w:rFonts w:hint="default" w:ascii="Times New Roman" w:hAnsi="Times New Roman" w:cs="Times New Roman"/>
        </w:rPr>
        <w:t>（款）</w:t>
      </w:r>
      <w:r>
        <w:rPr>
          <w:rFonts w:hint="default" w:ascii="Times New Roman" w:hAnsi="Times New Roman" w:cs="Times New Roman"/>
          <w:lang w:val="en-US" w:eastAsia="zh-CN"/>
        </w:rPr>
        <w:t>养老服务</w:t>
      </w:r>
      <w:r>
        <w:rPr>
          <w:rFonts w:hint="default" w:ascii="Times New Roman" w:hAnsi="Times New Roman" w:cs="Times New Roman"/>
        </w:rPr>
        <w:t>（项）: 支出决算为</w:t>
      </w:r>
      <w:r>
        <w:rPr>
          <w:rFonts w:hint="default" w:ascii="Times New Roman" w:hAnsi="Times New Roman" w:cs="Times New Roman"/>
          <w:lang w:val="en-US" w:eastAsia="zh-CN"/>
        </w:rPr>
        <w:t>80</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6.社会保障和就业支出（类）</w:t>
      </w:r>
      <w:r>
        <w:rPr>
          <w:rFonts w:hint="default" w:ascii="Times New Roman" w:hAnsi="Times New Roman" w:cs="Times New Roman"/>
          <w:lang w:val="en-US" w:eastAsia="zh-CN"/>
        </w:rPr>
        <w:t>退役军人管理事务</w:t>
      </w:r>
      <w:r>
        <w:rPr>
          <w:rFonts w:hint="default" w:ascii="Times New Roman" w:hAnsi="Times New Roman" w:cs="Times New Roman"/>
        </w:rPr>
        <w:t>（款）</w:t>
      </w:r>
      <w:r>
        <w:rPr>
          <w:rFonts w:hint="default" w:ascii="Times New Roman" w:hAnsi="Times New Roman" w:cs="Times New Roman"/>
          <w:lang w:val="en-US" w:eastAsia="zh-CN"/>
        </w:rPr>
        <w:t>拥军优属</w:t>
      </w:r>
      <w:r>
        <w:rPr>
          <w:rFonts w:hint="default" w:ascii="Times New Roman" w:hAnsi="Times New Roman" w:cs="Times New Roman"/>
        </w:rPr>
        <w:t>（项）:支出决算为</w:t>
      </w:r>
      <w:r>
        <w:rPr>
          <w:rFonts w:hint="default" w:ascii="Times New Roman" w:hAnsi="Times New Roman" w:cs="Times New Roman"/>
          <w:lang w:val="en-US" w:eastAsia="zh-CN"/>
        </w:rPr>
        <w:t>1.93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17.</w:t>
      </w:r>
      <w:r>
        <w:rPr>
          <w:rFonts w:hint="default" w:ascii="Times New Roman" w:hAnsi="Times New Roman" w:cs="Times New Roman"/>
        </w:rPr>
        <w:t>卫生健康支出（类）</w:t>
      </w:r>
      <w:r>
        <w:rPr>
          <w:rFonts w:hint="default" w:ascii="Times New Roman" w:hAnsi="Times New Roman" w:cs="Times New Roman"/>
          <w:lang w:val="en-US" w:eastAsia="zh-CN"/>
        </w:rPr>
        <w:t>公共卫生</w:t>
      </w:r>
      <w:r>
        <w:rPr>
          <w:rFonts w:hint="default" w:ascii="Times New Roman" w:hAnsi="Times New Roman" w:cs="Times New Roman"/>
        </w:rPr>
        <w:t>（款）</w:t>
      </w:r>
      <w:r>
        <w:rPr>
          <w:rFonts w:hint="default" w:ascii="Times New Roman" w:hAnsi="Times New Roman" w:cs="Times New Roman"/>
          <w:lang w:val="en-US" w:eastAsia="zh-CN"/>
        </w:rPr>
        <w:t>重大公共卫生服务</w:t>
      </w:r>
      <w:r>
        <w:rPr>
          <w:rFonts w:hint="default" w:ascii="Times New Roman" w:hAnsi="Times New Roman" w:cs="Times New Roman"/>
        </w:rPr>
        <w:t>（项）:支出决算为</w:t>
      </w:r>
      <w:r>
        <w:rPr>
          <w:rFonts w:hint="default" w:ascii="Times New Roman" w:hAnsi="Times New Roman" w:cs="Times New Roman"/>
          <w:lang w:val="en-US" w:eastAsia="zh-CN"/>
        </w:rPr>
        <w:t>0.22</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18</w:t>
      </w:r>
      <w:r>
        <w:rPr>
          <w:rFonts w:hint="default" w:ascii="Times New Roman" w:hAnsi="Times New Roman" w:cs="Times New Roman"/>
        </w:rPr>
        <w:t>.卫生健康支出（类）行政事业单位医疗（款）行政单位医疗（项）:支出决算为</w:t>
      </w:r>
      <w:r>
        <w:rPr>
          <w:rFonts w:hint="default" w:ascii="Times New Roman" w:hAnsi="Times New Roman" w:cs="Times New Roman"/>
          <w:lang w:val="en-US" w:eastAsia="zh-CN"/>
        </w:rPr>
        <w:t>6.68</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19</w:t>
      </w:r>
      <w:r>
        <w:rPr>
          <w:rFonts w:hint="default" w:ascii="Times New Roman" w:hAnsi="Times New Roman" w:cs="Times New Roman"/>
        </w:rPr>
        <w:t>.卫生健康支出（类）行政事业单位医疗（款事业单位医疗（项）:支出决算为</w:t>
      </w:r>
      <w:r>
        <w:rPr>
          <w:rFonts w:hint="default" w:ascii="Times New Roman" w:hAnsi="Times New Roman" w:cs="Times New Roman"/>
          <w:lang w:val="en-US" w:eastAsia="zh-CN"/>
        </w:rPr>
        <w:t>11.67</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20</w:t>
      </w:r>
      <w:r>
        <w:rPr>
          <w:rFonts w:hint="default" w:ascii="Times New Roman" w:hAnsi="Times New Roman" w:cs="Times New Roman"/>
        </w:rPr>
        <w:t>.卫生健康支出（类）行政事业单位医疗（款）公务员医疗补助（项）:支出决算为</w:t>
      </w:r>
      <w:r>
        <w:rPr>
          <w:rFonts w:hint="default" w:ascii="Times New Roman" w:hAnsi="Times New Roman" w:cs="Times New Roman"/>
          <w:lang w:val="en-US" w:eastAsia="zh-CN"/>
        </w:rPr>
        <w:t>7.18</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21.</w:t>
      </w:r>
      <w:r>
        <w:rPr>
          <w:rFonts w:hint="default" w:ascii="Times New Roman" w:hAnsi="Times New Roman" w:cs="Times New Roman"/>
        </w:rPr>
        <w:t>卫生健康支出（类）行政事业单位医疗（款）其他行政事业单位医疗支出（项）:支出决算为</w:t>
      </w:r>
      <w:r>
        <w:rPr>
          <w:rFonts w:hint="default" w:ascii="Times New Roman" w:hAnsi="Times New Roman" w:cs="Times New Roman"/>
          <w:lang w:val="en-US" w:eastAsia="zh-CN"/>
        </w:rPr>
        <w:t>7.04</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2</w:t>
      </w:r>
      <w:r>
        <w:rPr>
          <w:rFonts w:hint="default" w:ascii="Times New Roman" w:hAnsi="Times New Roman" w:cs="Times New Roman"/>
        </w:rPr>
        <w:t>.城乡社区支出（类）城乡社区管理事务（款）其他城乡社区管理事务支出（项）: 支出决算为</w:t>
      </w:r>
      <w:r>
        <w:rPr>
          <w:rFonts w:hint="default" w:ascii="Times New Roman" w:hAnsi="Times New Roman" w:cs="Times New Roman"/>
          <w:lang w:val="en-US" w:eastAsia="zh-CN"/>
        </w:rPr>
        <w:t>17.48</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23</w:t>
      </w:r>
      <w:r>
        <w:rPr>
          <w:rFonts w:hint="default" w:ascii="Times New Roman" w:hAnsi="Times New Roman" w:cs="Times New Roman"/>
        </w:rPr>
        <w:t>.农林水支出（类）林业和草原（款）林业</w:t>
      </w:r>
      <w:r>
        <w:rPr>
          <w:rFonts w:hint="default" w:ascii="Times New Roman" w:hAnsi="Times New Roman" w:cs="Times New Roman"/>
          <w:lang w:val="en-US" w:eastAsia="zh-CN"/>
        </w:rPr>
        <w:t>草原防灾减灾</w:t>
      </w:r>
      <w:r>
        <w:rPr>
          <w:rFonts w:hint="default" w:ascii="Times New Roman" w:hAnsi="Times New Roman" w:cs="Times New Roman"/>
        </w:rPr>
        <w:t>（项）: 支出决算为</w:t>
      </w:r>
      <w:r>
        <w:rPr>
          <w:rFonts w:hint="default" w:ascii="Times New Roman" w:hAnsi="Times New Roman" w:cs="Times New Roman"/>
          <w:lang w:val="en-US" w:eastAsia="zh-CN"/>
        </w:rPr>
        <w:t>3</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24</w:t>
      </w:r>
      <w:r>
        <w:rPr>
          <w:rFonts w:hint="default" w:ascii="Times New Roman" w:hAnsi="Times New Roman" w:cs="Times New Roman"/>
        </w:rPr>
        <w:t>.农林水支出（类）林业和草原（款）其他林业和草原支出（项）: 支出决算为</w:t>
      </w:r>
      <w:r>
        <w:rPr>
          <w:rFonts w:hint="default" w:ascii="Times New Roman" w:hAnsi="Times New Roman" w:cs="Times New Roman"/>
          <w:lang w:val="en-US" w:eastAsia="zh-CN"/>
        </w:rPr>
        <w:t>4.16</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25</w:t>
      </w:r>
      <w:r>
        <w:rPr>
          <w:rFonts w:hint="default" w:ascii="Times New Roman" w:hAnsi="Times New Roman" w:cs="Times New Roman"/>
        </w:rPr>
        <w:t>.农林水支出（类）农村综合改革（款）对村民委员会和村党支部的补助（项）: 支出决算为</w:t>
      </w:r>
      <w:r>
        <w:rPr>
          <w:rFonts w:hint="default" w:ascii="Times New Roman" w:hAnsi="Times New Roman" w:cs="Times New Roman"/>
          <w:lang w:val="en-US" w:eastAsia="zh-CN"/>
        </w:rPr>
        <w:t>2.75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26</w:t>
      </w:r>
      <w:r>
        <w:rPr>
          <w:rFonts w:hint="default" w:ascii="Times New Roman" w:hAnsi="Times New Roman" w:cs="Times New Roman"/>
        </w:rPr>
        <w:t>.资源勘探工业信息等支出（类）工业和信息产业监管（款）一般行政管理事务（项）: 支出决算为</w:t>
      </w:r>
      <w:r>
        <w:rPr>
          <w:rFonts w:hint="default" w:ascii="Times New Roman" w:hAnsi="Times New Roman" w:cs="Times New Roman"/>
          <w:lang w:val="en-US" w:eastAsia="zh-CN"/>
        </w:rPr>
        <w:t>0.28</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27</w:t>
      </w:r>
      <w:r>
        <w:rPr>
          <w:rFonts w:hint="default" w:ascii="Times New Roman" w:hAnsi="Times New Roman" w:cs="Times New Roman"/>
        </w:rPr>
        <w:t>.住房保障支出（类）</w:t>
      </w:r>
      <w:r>
        <w:rPr>
          <w:rFonts w:hint="default" w:ascii="Times New Roman" w:hAnsi="Times New Roman" w:cs="Times New Roman"/>
          <w:lang w:val="en-US" w:eastAsia="zh-CN"/>
        </w:rPr>
        <w:t>保障性安居工程支出</w:t>
      </w:r>
      <w:r>
        <w:rPr>
          <w:rFonts w:hint="default" w:ascii="Times New Roman" w:hAnsi="Times New Roman" w:cs="Times New Roman"/>
        </w:rPr>
        <w:t>（款）</w:t>
      </w:r>
      <w:r>
        <w:rPr>
          <w:rFonts w:hint="default" w:ascii="Times New Roman" w:hAnsi="Times New Roman" w:cs="Times New Roman"/>
          <w:lang w:val="en-US" w:eastAsia="zh-CN"/>
        </w:rPr>
        <w:t>老旧小区改造</w:t>
      </w:r>
      <w:r>
        <w:rPr>
          <w:rFonts w:hint="default" w:ascii="Times New Roman" w:hAnsi="Times New Roman" w:cs="Times New Roman"/>
        </w:rPr>
        <w:t>（项）: 支出决算为</w:t>
      </w:r>
      <w:r>
        <w:rPr>
          <w:rFonts w:hint="default" w:ascii="Times New Roman" w:hAnsi="Times New Roman" w:cs="Times New Roman"/>
          <w:lang w:val="en-US" w:eastAsia="zh-CN"/>
        </w:rPr>
        <w:t>1165.91</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lang w:val="en-US" w:eastAsia="zh-CN"/>
        </w:rPr>
        <w:t>28</w:t>
      </w:r>
      <w:r>
        <w:rPr>
          <w:rFonts w:hint="default" w:ascii="Times New Roman" w:hAnsi="Times New Roman" w:cs="Times New Roman"/>
        </w:rPr>
        <w:t>.住房保障支出（类）住房改革支出（款）住房公积金（项）:支出决算为</w:t>
      </w:r>
      <w:r>
        <w:rPr>
          <w:rFonts w:hint="default" w:ascii="Times New Roman" w:hAnsi="Times New Roman" w:cs="Times New Roman"/>
          <w:lang w:val="en-US" w:eastAsia="zh-CN"/>
        </w:rPr>
        <w:t>29.04</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29</w:t>
      </w:r>
      <w:r>
        <w:rPr>
          <w:rFonts w:hint="default" w:ascii="Times New Roman" w:hAnsi="Times New Roman" w:cs="Times New Roman"/>
        </w:rPr>
        <w:t>.</w:t>
      </w:r>
      <w:r>
        <w:rPr>
          <w:rFonts w:hint="default" w:ascii="Times New Roman" w:hAnsi="Times New Roman" w:cs="Times New Roman"/>
          <w:lang w:val="en-US" w:eastAsia="zh-CN"/>
        </w:rPr>
        <w:t>其他支出</w:t>
      </w:r>
      <w:r>
        <w:rPr>
          <w:rFonts w:hint="default" w:ascii="Times New Roman" w:hAnsi="Times New Roman" w:cs="Times New Roman"/>
        </w:rPr>
        <w:t>（类）</w:t>
      </w:r>
      <w:r>
        <w:rPr>
          <w:rFonts w:hint="default" w:ascii="Times New Roman" w:hAnsi="Times New Roman" w:cs="Times New Roman"/>
          <w:lang w:val="en-US" w:eastAsia="zh-CN"/>
        </w:rPr>
        <w:t>其他支出</w:t>
      </w:r>
      <w:r>
        <w:rPr>
          <w:rFonts w:hint="default" w:ascii="Times New Roman" w:hAnsi="Times New Roman" w:cs="Times New Roman"/>
        </w:rPr>
        <w:t>（款）</w:t>
      </w:r>
      <w:r>
        <w:rPr>
          <w:rFonts w:hint="default" w:ascii="Times New Roman" w:hAnsi="Times New Roman" w:cs="Times New Roman"/>
          <w:lang w:val="en-US" w:eastAsia="zh-CN"/>
        </w:rPr>
        <w:t>其他支出</w:t>
      </w:r>
      <w:r>
        <w:rPr>
          <w:rFonts w:hint="default" w:ascii="Times New Roman" w:hAnsi="Times New Roman" w:cs="Times New Roman"/>
        </w:rPr>
        <w:t>（项）:支出决算为</w:t>
      </w:r>
      <w:r>
        <w:rPr>
          <w:rFonts w:hint="default" w:ascii="Times New Roman" w:hAnsi="Times New Roman" w:cs="Times New Roman"/>
          <w:lang w:val="en-US" w:eastAsia="zh-CN"/>
        </w:rPr>
        <w:t>11.55</w:t>
      </w:r>
      <w:r>
        <w:rPr>
          <w:rFonts w:hint="default" w:ascii="Times New Roman" w:hAnsi="Times New Roman" w:cs="Times New Roman"/>
        </w:rPr>
        <w:t>万元，完成预算</w:t>
      </w:r>
      <w:r>
        <w:rPr>
          <w:rFonts w:hint="default" w:ascii="Times New Roman" w:hAnsi="Times New Roman" w:cs="Times New Roman"/>
          <w:lang w:val="en-US" w:eastAsia="zh-CN"/>
        </w:rPr>
        <w:t>100</w:t>
      </w:r>
      <w:r>
        <w:rPr>
          <w:rFonts w:hint="default" w:ascii="Times New Roman" w:hAnsi="Times New Roman" w:cs="Times New Roman"/>
        </w:rPr>
        <w:t>%。</w:t>
      </w:r>
    </w:p>
    <w:p>
      <w:pPr>
        <w:pStyle w:val="5"/>
        <w:rPr>
          <w:rFonts w:hint="default"/>
        </w:rPr>
      </w:pPr>
      <w:bookmarkStart w:id="63" w:name="_Toc15396608"/>
      <w:bookmarkStart w:id="64" w:name="_Toc15377214"/>
      <w:bookmarkStart w:id="65" w:name="_Toc18673"/>
      <w:bookmarkStart w:id="66" w:name="_Toc27957"/>
      <w:bookmarkStart w:id="67" w:name="_Toc29066"/>
      <w:r>
        <w:rPr>
          <w:rFonts w:hint="default"/>
        </w:rPr>
        <w:t>六、一般公共预算财政拨款基本支出决算情况说明</w:t>
      </w:r>
      <w:bookmarkEnd w:id="63"/>
      <w:bookmarkEnd w:id="64"/>
      <w:bookmarkEnd w:id="65"/>
      <w:bookmarkEnd w:id="66"/>
      <w:bookmarkEnd w:id="67"/>
      <w:r>
        <w:rPr>
          <w:rFonts w:hint="default"/>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2024年度一般公共预算财政拨款基本支出</w:t>
      </w:r>
      <w:r>
        <w:rPr>
          <w:rFonts w:hint="default" w:ascii="Times New Roman" w:hAnsi="Times New Roman" w:cs="Times New Roman"/>
        </w:rPr>
        <w:t>720.76</w:t>
      </w:r>
      <w:r>
        <w:rPr>
          <w:rFonts w:hint="default" w:ascii="Times New Roman" w:hAnsi="Times New Roman" w:cs="Times New Roman"/>
          <w:lang w:val="en-US" w:eastAsia="zh-CN"/>
        </w:rPr>
        <w:t>万元，其中：</w:t>
      </w:r>
    </w:p>
    <w:p>
      <w:pPr>
        <w:rPr>
          <w:rFonts w:hint="default" w:ascii="Times New Roman" w:hAnsi="Times New Roman" w:cs="Times New Roman"/>
          <w:lang w:val="en-US" w:eastAsia="zh-CN"/>
        </w:rPr>
      </w:pPr>
      <w:r>
        <w:rPr>
          <w:rFonts w:hint="default" w:ascii="Times New Roman" w:hAnsi="Times New Roman" w:cs="Times New Roman"/>
          <w:lang w:val="en-US" w:eastAsia="zh-CN"/>
        </w:rPr>
        <w:t>人员经费</w:t>
      </w:r>
      <w:r>
        <w:rPr>
          <w:rFonts w:hint="default" w:ascii="Times New Roman" w:hAnsi="Times New Roman" w:cs="Times New Roman"/>
        </w:rPr>
        <w:t>695.91</w:t>
      </w:r>
      <w:r>
        <w:rPr>
          <w:rFonts w:hint="default" w:ascii="Times New Roman" w:hAnsi="Times New Roman" w:cs="Times New Roman"/>
          <w:lang w:val="en-US"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rPr>
          <w:rFonts w:hint="default" w:ascii="Times New Roman" w:hAnsi="Times New Roman" w:cs="Times New Roman"/>
          <w:lang w:val="en-US" w:eastAsia="zh-CN"/>
        </w:rPr>
      </w:pPr>
      <w:r>
        <w:rPr>
          <w:rFonts w:hint="default" w:ascii="Times New Roman" w:hAnsi="Times New Roman" w:cs="Times New Roman"/>
          <w:lang w:val="en-US" w:eastAsia="zh-CN"/>
        </w:rPr>
        <w:t>公用经费</w:t>
      </w:r>
      <w:r>
        <w:rPr>
          <w:rFonts w:hint="default" w:ascii="Times New Roman" w:hAnsi="Times New Roman" w:cs="Times New Roman"/>
        </w:rPr>
        <w:t>24.85</w:t>
      </w:r>
      <w:r>
        <w:rPr>
          <w:rFonts w:hint="default" w:ascii="Times New Roman" w:hAnsi="Times New Roman" w:cs="Times New Roman"/>
          <w:lang w:val="en-US"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5"/>
        <w:rPr>
          <w:rFonts w:hint="default"/>
        </w:rPr>
      </w:pPr>
      <w:bookmarkStart w:id="68" w:name="_Toc25113"/>
      <w:bookmarkStart w:id="69" w:name="_Toc16501"/>
      <w:bookmarkStart w:id="70" w:name="_Toc13947"/>
      <w:bookmarkStart w:id="71" w:name="_Toc15377215"/>
      <w:bookmarkStart w:id="72" w:name="_Toc15396609"/>
      <w:r>
        <w:rPr>
          <w:rFonts w:hint="default"/>
        </w:rPr>
        <w:t>七、财政拨款“三公”经费支出决算情况说明</w:t>
      </w:r>
      <w:bookmarkEnd w:id="68"/>
      <w:bookmarkEnd w:id="69"/>
      <w:bookmarkEnd w:id="70"/>
      <w:bookmarkEnd w:id="71"/>
      <w:bookmarkEnd w:id="72"/>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73"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73"/>
    </w:p>
    <w:p>
      <w:pPr>
        <w:rPr>
          <w:rFonts w:hint="default" w:ascii="Times New Roman" w:hAnsi="Times New Roman" w:cs="Times New Roman"/>
          <w:lang w:val="en-US" w:eastAsia="zh-CN"/>
        </w:rPr>
      </w:pPr>
      <w:r>
        <w:rPr>
          <w:rFonts w:hint="default" w:ascii="Times New Roman" w:hAnsi="Times New Roman" w:cs="Times New Roman"/>
          <w:lang w:val="en-US" w:eastAsia="zh-CN"/>
        </w:rPr>
        <w:t>2024年度“三公”经费财政拨款支出决算为</w:t>
      </w:r>
      <w:r>
        <w:rPr>
          <w:rFonts w:hint="default" w:ascii="Times New Roman" w:hAnsi="Times New Roman" w:cs="Times New Roman"/>
        </w:rPr>
        <w:t>3.35</w:t>
      </w:r>
      <w:r>
        <w:rPr>
          <w:rFonts w:hint="default" w:ascii="Times New Roman" w:hAnsi="Times New Roman" w:cs="Times New Roman"/>
          <w:lang w:val="en-US" w:eastAsia="zh-CN"/>
        </w:rPr>
        <w:t>万元，完成预算</w:t>
      </w:r>
      <w:r>
        <w:rPr>
          <w:rFonts w:hint="default" w:ascii="Times New Roman" w:hAnsi="Times New Roman" w:cs="Times New Roman"/>
        </w:rPr>
        <w:t>100</w:t>
      </w:r>
      <w:r>
        <w:rPr>
          <w:rFonts w:hint="default" w:ascii="Times New Roman" w:hAnsi="Times New Roman" w:cs="Times New Roman"/>
          <w:lang w:val="en-US" w:eastAsia="zh-CN"/>
        </w:rPr>
        <w:t>%，较上年度</w:t>
      </w:r>
      <w:r>
        <w:rPr>
          <w:rFonts w:hint="default" w:ascii="Times New Roman" w:hAnsi="Times New Roman" w:cs="Times New Roman"/>
          <w:lang w:eastAsia="zh-CN"/>
        </w:rPr>
        <w:t>增加</w:t>
      </w:r>
      <w:r>
        <w:rPr>
          <w:rFonts w:hint="default" w:ascii="Times New Roman" w:hAnsi="Times New Roman" w:cs="Times New Roman"/>
          <w:lang w:val="en-US" w:eastAsia="zh-CN"/>
        </w:rPr>
        <w:t>0.86万元，增长34.54%。决算数与预算数持平。</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74"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74"/>
    </w:p>
    <w:p>
      <w:pPr>
        <w:rPr>
          <w:rFonts w:hint="default" w:ascii="Times New Roman" w:hAnsi="Times New Roman" w:cs="Times New Roman"/>
          <w:lang w:val="en-US" w:eastAsia="zh-CN"/>
        </w:rPr>
      </w:pPr>
      <w:r>
        <w:rPr>
          <w:rFonts w:hint="default" w:ascii="Times New Roman" w:hAnsi="Times New Roman" w:cs="Times New Roman"/>
          <w:lang w:val="en-US" w:eastAsia="zh-CN"/>
        </w:rPr>
        <w:t>2024年度“三公”经费财政拨款支出决算中，因公出国（境）费支出决算</w:t>
      </w:r>
      <w:r>
        <w:rPr>
          <w:rFonts w:hint="default" w:ascii="Times New Roman" w:hAnsi="Times New Roman" w:cs="Times New Roman"/>
        </w:rPr>
        <w:t>0</w:t>
      </w:r>
      <w:r>
        <w:rPr>
          <w:rFonts w:hint="default" w:ascii="Times New Roman" w:hAnsi="Times New Roman" w:cs="Times New Roman"/>
          <w:lang w:val="en-US" w:eastAsia="zh-CN"/>
        </w:rPr>
        <w:t>万元，占0%；公务用车购置及运行维护费支出决算</w:t>
      </w:r>
      <w:r>
        <w:rPr>
          <w:rFonts w:hint="default" w:ascii="Times New Roman" w:hAnsi="Times New Roman" w:cs="Times New Roman"/>
        </w:rPr>
        <w:t>3.35</w:t>
      </w:r>
      <w:r>
        <w:rPr>
          <w:rFonts w:hint="default" w:ascii="Times New Roman" w:hAnsi="Times New Roman" w:cs="Times New Roman"/>
          <w:lang w:val="en-US" w:eastAsia="zh-CN"/>
        </w:rPr>
        <w:t>万元，占100%；公务接待费支出决算</w:t>
      </w:r>
      <w:r>
        <w:rPr>
          <w:rFonts w:hint="default" w:ascii="Times New Roman" w:hAnsi="Times New Roman" w:cs="Times New Roman"/>
        </w:rPr>
        <w:t>0</w:t>
      </w:r>
      <w:r>
        <w:rPr>
          <w:rFonts w:hint="default" w:ascii="Times New Roman" w:hAnsi="Times New Roman" w:cs="Times New Roman"/>
          <w:lang w:val="en-US" w:eastAsia="zh-CN"/>
        </w:rPr>
        <w:t>万元，占0%。具体情况如下：</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Times New Roman" w:hAnsi="Times New Roman" w:eastAsia="仿宋_GB2312" w:cs="Times New Roman"/>
          <w:b/>
          <w:bCs/>
          <w:color w:val="auto"/>
          <w:kern w:val="2"/>
          <w:sz w:val="22"/>
          <w:szCs w:val="22"/>
          <w:highlight w:val="none"/>
          <w:lang w:val="en-US" w:eastAsia="zh-CN" w:bidi="ar-SA"/>
        </w:rPr>
      </w:pPr>
      <w:r>
        <w:rPr>
          <w:rFonts w:hint="default" w:ascii="Times New Roman" w:hAnsi="Times New Roman" w:cs="Times New Roman"/>
          <w:sz w:val="22"/>
          <w:szCs w:val="20"/>
        </w:rPr>
        <w:drawing>
          <wp:anchor distT="0" distB="0" distL="114300" distR="114300" simplePos="0" relativeHeight="251662336" behindDoc="0" locked="0" layoutInCell="1" allowOverlap="1">
            <wp:simplePos x="0" y="0"/>
            <wp:positionH relativeFrom="column">
              <wp:posOffset>304165</wp:posOffset>
            </wp:positionH>
            <wp:positionV relativeFrom="page">
              <wp:posOffset>1431290</wp:posOffset>
            </wp:positionV>
            <wp:extent cx="4982210" cy="3049905"/>
            <wp:effectExtent l="4445" t="4445" r="12065" b="8890"/>
            <wp:wrapSquare wrapText="bothSides"/>
            <wp:docPr id="13" name="图表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（图7：“三公”经费财政拨款支出结构）</w:t>
      </w:r>
    </w:p>
    <w:p>
      <w:pPr>
        <w:rPr>
          <w:rFonts w:hint="default" w:ascii="Times New Roman" w:hAnsi="Times New Roman" w:cs="Times New Roman"/>
          <w:lang w:val="en-US" w:eastAsia="zh-CN"/>
        </w:rPr>
      </w:pPr>
      <w:r>
        <w:rPr>
          <w:rFonts w:hint="default" w:ascii="Times New Roman" w:hAnsi="Times New Roman" w:cs="Times New Roman"/>
          <w:lang w:val="en-US" w:eastAsia="zh-CN"/>
        </w:rPr>
        <w:t>1.因公出国（境）经费支出0万元，完成预算0%。全年安排因公出国（境）团组</w:t>
      </w:r>
      <w:r>
        <w:rPr>
          <w:rFonts w:hint="default" w:ascii="Times New Roman" w:hAnsi="Times New Roman" w:cs="Times New Roman"/>
        </w:rPr>
        <w:t>0</w:t>
      </w:r>
      <w:r>
        <w:rPr>
          <w:rFonts w:hint="default" w:ascii="Times New Roman" w:hAnsi="Times New Roman" w:cs="Times New Roman"/>
          <w:lang w:val="en-US" w:eastAsia="zh-CN"/>
        </w:rPr>
        <w:t>次，出国（境）</w:t>
      </w:r>
      <w:r>
        <w:rPr>
          <w:rFonts w:hint="default" w:ascii="Times New Roman" w:hAnsi="Times New Roman" w:cs="Times New Roman"/>
        </w:rPr>
        <w:t>0</w:t>
      </w:r>
      <w:r>
        <w:rPr>
          <w:rFonts w:hint="default" w:ascii="Times New Roman" w:hAnsi="Times New Roman" w:cs="Times New Roman"/>
          <w:lang w:val="en-US" w:eastAsia="zh-CN"/>
        </w:rPr>
        <w:t>人。因公出国（境）支出决算比2023年持平。</w:t>
      </w:r>
    </w:p>
    <w:p>
      <w:pPr>
        <w:rPr>
          <w:rFonts w:hint="default" w:ascii="Times New Roman" w:hAnsi="Times New Roman" w:cs="Times New Roman"/>
          <w:lang w:val="en-US" w:eastAsia="zh-CN"/>
        </w:rPr>
      </w:pPr>
      <w:r>
        <w:rPr>
          <w:rFonts w:hint="default" w:ascii="Times New Roman" w:hAnsi="Times New Roman" w:cs="Times New Roman"/>
          <w:lang w:val="en-US" w:eastAsia="zh-CN"/>
        </w:rPr>
        <w:t>2.公务用车购置及运行维护费支出3.35万元，完成预算100%。公务用车购置及运行维护费支出决算比2023年度增加0.86万元，增长34.54%。主要原因是相比2023年度新增一辆公务用车，两辆公务用车，费用增加。</w:t>
      </w:r>
    </w:p>
    <w:p>
      <w:pPr>
        <w:rPr>
          <w:rFonts w:hint="default" w:ascii="Times New Roman" w:hAnsi="Times New Roman" w:cs="Times New Roman"/>
          <w:lang w:val="en-US" w:eastAsia="zh-CN"/>
        </w:rPr>
      </w:pPr>
      <w:r>
        <w:rPr>
          <w:rFonts w:hint="default" w:ascii="Times New Roman" w:hAnsi="Times New Roman" w:cs="Times New Roman"/>
          <w:lang w:val="en-US" w:eastAsia="zh-CN"/>
        </w:rPr>
        <w:t>其中：公务用车购置支出</w:t>
      </w:r>
      <w:r>
        <w:rPr>
          <w:rFonts w:hint="default" w:ascii="Times New Roman" w:hAnsi="Times New Roman" w:cs="Times New Roman"/>
        </w:rPr>
        <w:t>0</w:t>
      </w:r>
      <w:r>
        <w:rPr>
          <w:rFonts w:hint="default" w:ascii="Times New Roman" w:hAnsi="Times New Roman" w:cs="Times New Roman"/>
          <w:lang w:val="en-US" w:eastAsia="zh-CN"/>
        </w:rPr>
        <w:t>万元。全年按规定更新购置公务用车0辆，其中：轿车0辆、金额0万元，越野车0辆、金额0万元，载客汽车0辆、金额0元0。截至2024年12月31日，单位共有公务用车2辆，其中：轿车0辆、越野车0辆、载客汽车0辆，皮卡车2辆。</w:t>
      </w:r>
    </w:p>
    <w:p>
      <w:pPr>
        <w:rPr>
          <w:rFonts w:hint="default" w:ascii="Times New Roman" w:hAnsi="Times New Roman" w:cs="Times New Roman"/>
          <w:lang w:val="en-US" w:eastAsia="zh-CN"/>
        </w:rPr>
      </w:pPr>
      <w:r>
        <w:rPr>
          <w:rFonts w:hint="default" w:ascii="Times New Roman" w:hAnsi="Times New Roman" w:cs="Times New Roman"/>
          <w:lang w:val="en-US" w:eastAsia="zh-CN"/>
        </w:rPr>
        <w:t>公务用车运行维护费支出</w:t>
      </w:r>
      <w:r>
        <w:rPr>
          <w:rFonts w:hint="default" w:ascii="Times New Roman" w:hAnsi="Times New Roman" w:cs="Times New Roman"/>
        </w:rPr>
        <w:t>3.35</w:t>
      </w:r>
      <w:r>
        <w:rPr>
          <w:rFonts w:hint="default" w:ascii="Times New Roman" w:hAnsi="Times New Roman" w:cs="Times New Roman"/>
          <w:lang w:val="en-US" w:eastAsia="zh-CN"/>
        </w:rPr>
        <w:t>万元。主要用于党建、宣传、应急、安全、森林草原防灭火、维稳、计生、居民救助等所需的公务用车燃料费、维修费、过路过桥费、保险费等支出。</w:t>
      </w:r>
    </w:p>
    <w:p>
      <w:pPr>
        <w:rPr>
          <w:rFonts w:hint="default" w:ascii="Times New Roman" w:hAnsi="Times New Roman" w:cs="Times New Roman"/>
          <w:lang w:val="en-US" w:eastAsia="zh-CN"/>
        </w:rPr>
      </w:pPr>
      <w:r>
        <w:rPr>
          <w:rFonts w:hint="default" w:ascii="Times New Roman" w:hAnsi="Times New Roman" w:cs="Times New Roman"/>
          <w:lang w:val="en-US" w:eastAsia="zh-CN"/>
        </w:rPr>
        <w:t>3.公务接待费支出0万元，完成预算0%。公务接待费支出决算比2023年度持平。</w:t>
      </w:r>
    </w:p>
    <w:p>
      <w:pPr>
        <w:rPr>
          <w:rFonts w:hint="default" w:ascii="Times New Roman" w:hAnsi="Times New Roman" w:cs="Times New Roman"/>
          <w:lang w:val="en-US" w:eastAsia="zh-CN"/>
        </w:rPr>
      </w:pPr>
      <w:r>
        <w:rPr>
          <w:rFonts w:hint="default" w:ascii="Times New Roman" w:hAnsi="Times New Roman" w:cs="Times New Roman"/>
          <w:lang w:val="en-US" w:eastAsia="zh-CN"/>
        </w:rPr>
        <w:t>国内公务接待支出</w:t>
      </w:r>
      <w:r>
        <w:rPr>
          <w:rFonts w:hint="default" w:ascii="Times New Roman" w:hAnsi="Times New Roman" w:cs="Times New Roman"/>
        </w:rPr>
        <w:t>0</w:t>
      </w:r>
      <w:r>
        <w:rPr>
          <w:rFonts w:hint="default" w:ascii="Times New Roman" w:hAnsi="Times New Roman" w:cs="Times New Roman"/>
          <w:lang w:val="en-US" w:eastAsia="zh-CN"/>
        </w:rPr>
        <w:t>万元。</w:t>
      </w:r>
    </w:p>
    <w:p>
      <w:pPr>
        <w:rPr>
          <w:rFonts w:hint="default" w:ascii="Times New Roman" w:hAnsi="Times New Roman" w:cs="Times New Roman"/>
          <w:lang w:val="en-US" w:eastAsia="zh-CN"/>
        </w:rPr>
      </w:pPr>
      <w:r>
        <w:rPr>
          <w:rFonts w:hint="default" w:ascii="Times New Roman" w:hAnsi="Times New Roman" w:cs="Times New Roman"/>
          <w:lang w:val="en-US" w:eastAsia="zh-CN"/>
        </w:rPr>
        <w:t>外事接待支出</w:t>
      </w:r>
      <w:r>
        <w:rPr>
          <w:rFonts w:hint="default" w:ascii="Times New Roman" w:hAnsi="Times New Roman" w:cs="Times New Roman"/>
        </w:rPr>
        <w:t>0</w:t>
      </w:r>
      <w:r>
        <w:rPr>
          <w:rFonts w:hint="default" w:ascii="Times New Roman" w:hAnsi="Times New Roman" w:cs="Times New Roman"/>
          <w:lang w:val="en-US" w:eastAsia="zh-CN"/>
        </w:rPr>
        <w:t>万元。</w:t>
      </w:r>
      <w:bookmarkStart w:id="75" w:name="_Toc15396610"/>
      <w:bookmarkStart w:id="76" w:name="_Toc15377218"/>
    </w:p>
    <w:p>
      <w:pPr>
        <w:pStyle w:val="5"/>
        <w:rPr>
          <w:rFonts w:hint="default"/>
        </w:rPr>
      </w:pPr>
      <w:bookmarkStart w:id="77" w:name="_Toc9839"/>
      <w:bookmarkStart w:id="78" w:name="_Toc21319"/>
      <w:bookmarkStart w:id="79" w:name="_Toc16785"/>
      <w:r>
        <w:rPr>
          <w:rFonts w:hint="default"/>
        </w:rPr>
        <w:t>八、政府性基金预算支出决算情况说明</w:t>
      </w:r>
      <w:bookmarkEnd w:id="75"/>
      <w:bookmarkEnd w:id="76"/>
      <w:bookmarkEnd w:id="77"/>
      <w:bookmarkEnd w:id="78"/>
      <w:bookmarkEnd w:id="79"/>
    </w:p>
    <w:p>
      <w:pPr>
        <w:rPr>
          <w:rFonts w:hint="default" w:ascii="Times New Roman" w:hAnsi="Times New Roman" w:cs="Times New Roman"/>
          <w:lang w:val="en-US" w:eastAsia="zh-CN"/>
        </w:rPr>
      </w:pPr>
      <w:r>
        <w:rPr>
          <w:rFonts w:hint="default" w:ascii="Times New Roman" w:hAnsi="Times New Roman" w:cs="Times New Roman"/>
          <w:lang w:val="en-US" w:eastAsia="zh-CN"/>
        </w:rPr>
        <w:t>2024年度政府性基金预算财政拨款支出</w:t>
      </w:r>
      <w:r>
        <w:rPr>
          <w:rFonts w:hint="default" w:ascii="Times New Roman" w:hAnsi="Times New Roman" w:cs="Times New Roman"/>
        </w:rPr>
        <w:t>77.16</w:t>
      </w:r>
      <w:r>
        <w:rPr>
          <w:rFonts w:hint="default" w:ascii="Times New Roman" w:hAnsi="Times New Roman" w:cs="Times New Roman"/>
          <w:lang w:val="en-US" w:eastAsia="zh-CN"/>
        </w:rPr>
        <w:t>万元，占本年支出合计的</w:t>
      </w:r>
      <w:r>
        <w:rPr>
          <w:rFonts w:hint="default" w:ascii="Times New Roman" w:hAnsi="Times New Roman" w:cs="Times New Roman"/>
        </w:rPr>
        <w:t>3.4</w:t>
      </w:r>
      <w:r>
        <w:rPr>
          <w:rFonts w:hint="default" w:ascii="Times New Roman" w:hAnsi="Times New Roman" w:cs="Times New Roman"/>
          <w:lang w:val="en-US" w:eastAsia="zh-CN"/>
        </w:rPr>
        <w:t>1%。与2023年度相比，政府性基金预算财政拨款支出增加55.18万元，增长251.05%。主要变动原因是福彩公益金、争取资金工作经费等经费。</w:t>
      </w:r>
    </w:p>
    <w:p>
      <w:pPr>
        <w:pStyle w:val="5"/>
        <w:rPr>
          <w:rFonts w:hint="default"/>
        </w:rPr>
      </w:pPr>
      <w:bookmarkStart w:id="80" w:name="_Toc7181"/>
      <w:bookmarkStart w:id="81" w:name="_Toc23449"/>
      <w:bookmarkStart w:id="82" w:name="_Toc15377219"/>
      <w:bookmarkStart w:id="83" w:name="_Toc21082"/>
      <w:bookmarkStart w:id="84" w:name="_Toc15396611"/>
      <w:r>
        <w:rPr>
          <w:rFonts w:hint="default"/>
          <w:lang w:eastAsia="zh-CN"/>
        </w:rPr>
        <w:t>九、</w:t>
      </w:r>
      <w:r>
        <w:rPr>
          <w:rFonts w:hint="default"/>
        </w:rPr>
        <w:t>国有资本经营预算支出决算情况说明</w:t>
      </w:r>
      <w:bookmarkEnd w:id="80"/>
      <w:bookmarkEnd w:id="81"/>
      <w:bookmarkEnd w:id="82"/>
      <w:bookmarkEnd w:id="83"/>
      <w:bookmarkEnd w:id="84"/>
    </w:p>
    <w:p>
      <w:pPr>
        <w:rPr>
          <w:rFonts w:hint="default" w:ascii="Times New Roman" w:hAnsi="Times New Roman" w:cs="Times New Roman"/>
          <w:lang w:val="en-US" w:eastAsia="zh-CN"/>
        </w:rPr>
      </w:pPr>
      <w:r>
        <w:rPr>
          <w:rFonts w:hint="default" w:ascii="Times New Roman" w:hAnsi="Times New Roman" w:cs="Times New Roman"/>
          <w:lang w:val="en-US" w:eastAsia="zh-CN"/>
        </w:rPr>
        <w:t>2024年度国有资本经营预算财政拨款支出</w:t>
      </w:r>
      <w:r>
        <w:rPr>
          <w:rFonts w:hint="default" w:ascii="Times New Roman" w:hAnsi="Times New Roman" w:cs="Times New Roman"/>
        </w:rPr>
        <w:t>9.17</w:t>
      </w:r>
      <w:r>
        <w:rPr>
          <w:rFonts w:hint="default" w:ascii="Times New Roman" w:hAnsi="Times New Roman" w:cs="Times New Roman"/>
          <w:lang w:val="en-US" w:eastAsia="zh-CN"/>
        </w:rPr>
        <w:t>万元，占本年支出合计的</w:t>
      </w:r>
      <w:r>
        <w:rPr>
          <w:rFonts w:hint="default" w:ascii="Times New Roman" w:hAnsi="Times New Roman" w:cs="Times New Roman"/>
        </w:rPr>
        <w:t>0.4</w:t>
      </w:r>
      <w:r>
        <w:rPr>
          <w:rFonts w:hint="default" w:ascii="Times New Roman" w:hAnsi="Times New Roman" w:cs="Times New Roman"/>
          <w:lang w:val="en-US" w:eastAsia="zh-CN"/>
        </w:rPr>
        <w:t>%。与2023年度相比，国有资本经营预算财政拨款支出增加9.17万元，增长100%。主要变动原因是增加国有企业退休人员社会化管理补助支出经费。</w:t>
      </w:r>
    </w:p>
    <w:p>
      <w:pPr>
        <w:pStyle w:val="5"/>
        <w:rPr>
          <w:rFonts w:hint="default"/>
        </w:rPr>
      </w:pPr>
      <w:bookmarkStart w:id="85" w:name="_Toc23861"/>
      <w:bookmarkStart w:id="86" w:name="_Toc15377221"/>
      <w:bookmarkStart w:id="87" w:name="_Toc2712"/>
      <w:bookmarkStart w:id="88" w:name="_Toc15396612"/>
      <w:bookmarkStart w:id="89" w:name="_Toc3265"/>
      <w:r>
        <w:rPr>
          <w:rFonts w:hint="default"/>
          <w:lang w:eastAsia="zh-CN"/>
        </w:rPr>
        <w:t>十、</w:t>
      </w:r>
      <w:r>
        <w:rPr>
          <w:rFonts w:hint="default"/>
        </w:rPr>
        <w:t>其他重要事项的情况说明</w:t>
      </w:r>
      <w:bookmarkEnd w:id="85"/>
      <w:bookmarkEnd w:id="86"/>
      <w:bookmarkEnd w:id="87"/>
      <w:bookmarkEnd w:id="88"/>
      <w:bookmarkEnd w:id="89"/>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90" w:name="_Toc15377222"/>
      <w:r>
        <w:rPr>
          <w:rFonts w:hint="default" w:ascii="Times New Roman" w:hAnsi="Times New Roman" w:eastAsia="楷体_GB2312" w:cs="Times New Roman"/>
          <w:b/>
          <w:color w:val="auto"/>
          <w:sz w:val="32"/>
          <w:szCs w:val="32"/>
          <w:highlight w:val="none"/>
        </w:rPr>
        <w:t>（一）机关运行经费支出情况</w:t>
      </w:r>
      <w:bookmarkEnd w:id="90"/>
    </w:p>
    <w:p>
      <w:pPr>
        <w:rPr>
          <w:rFonts w:hint="default" w:ascii="Times New Roman" w:hAnsi="Times New Roman" w:cs="Times New Roman"/>
          <w:lang w:val="en-US" w:eastAsia="zh-CN"/>
        </w:rPr>
      </w:pPr>
      <w:r>
        <w:rPr>
          <w:rFonts w:hint="default" w:ascii="Times New Roman" w:hAnsi="Times New Roman" w:cs="Times New Roman"/>
          <w:lang w:val="en-US" w:eastAsia="zh-CN"/>
        </w:rPr>
        <w:t>2024年度，</w:t>
      </w:r>
      <w:r>
        <w:rPr>
          <w:rFonts w:hint="default" w:ascii="Times New Roman" w:hAnsi="Times New Roman" w:cs="Times New Roman"/>
        </w:rPr>
        <w:t>攀枝花市西区陶家渡街道办事处</w:t>
      </w:r>
      <w:r>
        <w:rPr>
          <w:rFonts w:hint="default" w:ascii="Times New Roman" w:hAnsi="Times New Roman" w:cs="Times New Roman"/>
          <w:lang w:val="en-US" w:eastAsia="zh-CN"/>
        </w:rPr>
        <w:t>机关运行经费支出</w:t>
      </w:r>
      <w:r>
        <w:rPr>
          <w:rFonts w:hint="default" w:ascii="Times New Roman" w:hAnsi="Times New Roman" w:cs="Times New Roman"/>
        </w:rPr>
        <w:t>24.85</w:t>
      </w:r>
      <w:r>
        <w:rPr>
          <w:rFonts w:hint="default" w:ascii="Times New Roman" w:hAnsi="Times New Roman" w:cs="Times New Roman"/>
          <w:lang w:val="en-US" w:eastAsia="zh-CN"/>
        </w:rPr>
        <w:t>万元，比2023年度增加1.34万元，增加5.7%。主要原因是支付2023年度部分水电费用。</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91" w:name="_Toc15377223"/>
      <w:r>
        <w:rPr>
          <w:rFonts w:hint="default" w:ascii="Times New Roman" w:hAnsi="Times New Roman" w:eastAsia="楷体_GB2312" w:cs="Times New Roman"/>
          <w:b/>
          <w:color w:val="auto"/>
          <w:sz w:val="32"/>
          <w:szCs w:val="32"/>
          <w:highlight w:val="none"/>
        </w:rPr>
        <w:t>（二）政府采购支出情况</w:t>
      </w:r>
      <w:bookmarkEnd w:id="91"/>
    </w:p>
    <w:p>
      <w:pPr>
        <w:rPr>
          <w:rFonts w:hint="default" w:ascii="Times New Roman" w:hAnsi="Times New Roman" w:cs="Times New Roman"/>
          <w:lang w:val="en-US" w:eastAsia="zh-CN"/>
        </w:rPr>
      </w:pPr>
      <w:r>
        <w:rPr>
          <w:rFonts w:hint="default" w:ascii="Times New Roman" w:hAnsi="Times New Roman" w:cs="Times New Roman"/>
          <w:lang w:val="en-US" w:eastAsia="zh-CN"/>
        </w:rPr>
        <w:t>2024年度，</w:t>
      </w:r>
      <w:r>
        <w:rPr>
          <w:rFonts w:hint="default" w:ascii="Times New Roman" w:hAnsi="Times New Roman" w:cs="Times New Roman"/>
        </w:rPr>
        <w:t>攀枝花市西区陶家渡街道办事处</w:t>
      </w:r>
      <w:r>
        <w:rPr>
          <w:rFonts w:hint="default" w:ascii="Times New Roman" w:hAnsi="Times New Roman" w:cs="Times New Roman"/>
          <w:lang w:val="en-US" w:eastAsia="zh-CN"/>
        </w:rPr>
        <w:t>政府采购支出总额</w:t>
      </w:r>
      <w:r>
        <w:rPr>
          <w:rFonts w:hint="default" w:ascii="Times New Roman" w:hAnsi="Times New Roman" w:cs="Times New Roman"/>
        </w:rPr>
        <w:t>445.47</w:t>
      </w:r>
      <w:r>
        <w:rPr>
          <w:rFonts w:hint="default" w:ascii="Times New Roman" w:hAnsi="Times New Roman" w:cs="Times New Roman"/>
          <w:lang w:val="en-US" w:eastAsia="zh-CN"/>
        </w:rPr>
        <w:t>万元，其中：政府采购货物支出</w:t>
      </w:r>
      <w:r>
        <w:rPr>
          <w:rFonts w:hint="default" w:ascii="Times New Roman" w:hAnsi="Times New Roman" w:cs="Times New Roman"/>
        </w:rPr>
        <w:t>6.4</w:t>
      </w:r>
      <w:r>
        <w:rPr>
          <w:rFonts w:hint="default" w:ascii="Times New Roman" w:hAnsi="Times New Roman" w:cs="Times New Roman"/>
          <w:lang w:val="en-US" w:eastAsia="zh-CN"/>
        </w:rPr>
        <w:t>万元、政府采购工程支出</w:t>
      </w:r>
      <w:r>
        <w:rPr>
          <w:rFonts w:hint="default" w:ascii="Times New Roman" w:hAnsi="Times New Roman" w:cs="Times New Roman"/>
        </w:rPr>
        <w:t>360.26</w:t>
      </w:r>
      <w:r>
        <w:rPr>
          <w:rFonts w:hint="default" w:ascii="Times New Roman" w:hAnsi="Times New Roman" w:cs="Times New Roman"/>
          <w:lang w:val="en-US" w:eastAsia="zh-CN"/>
        </w:rPr>
        <w:t>万元、政府采购服务支出</w:t>
      </w:r>
      <w:r>
        <w:rPr>
          <w:rFonts w:hint="default" w:ascii="Times New Roman" w:hAnsi="Times New Roman" w:cs="Times New Roman"/>
        </w:rPr>
        <w:t>78.81</w:t>
      </w:r>
      <w:r>
        <w:rPr>
          <w:rFonts w:hint="default" w:ascii="Times New Roman" w:hAnsi="Times New Roman" w:cs="Times New Roman"/>
          <w:lang w:val="en-US" w:eastAsia="zh-CN"/>
        </w:rPr>
        <w:t>万元。主要用于老旧小区改造项目监理采购服务、示范性老年助餐网络建设项目物品采购等。授予中小企业合同金额</w:t>
      </w:r>
      <w:r>
        <w:rPr>
          <w:rFonts w:hint="default" w:ascii="Times New Roman" w:hAnsi="Times New Roman" w:cs="Times New Roman"/>
        </w:rPr>
        <w:t>444.96</w:t>
      </w:r>
      <w:r>
        <w:rPr>
          <w:rFonts w:hint="default" w:ascii="Times New Roman" w:hAnsi="Times New Roman" w:cs="Times New Roman"/>
          <w:lang w:val="en-US" w:eastAsia="zh-CN"/>
        </w:rPr>
        <w:t>万元，占政府采购支出总额的</w:t>
      </w:r>
      <w:r>
        <w:rPr>
          <w:rFonts w:hint="default" w:ascii="Times New Roman" w:hAnsi="Times New Roman" w:cs="Times New Roman"/>
        </w:rPr>
        <w:t>99.8</w:t>
      </w:r>
      <w:r>
        <w:rPr>
          <w:rFonts w:hint="default" w:ascii="Times New Roman" w:hAnsi="Times New Roman" w:cs="Times New Roman"/>
          <w:lang w:val="en-US" w:eastAsia="zh-CN"/>
        </w:rPr>
        <w:t>9%，其中：授予小微企业合同金额</w:t>
      </w:r>
      <w:r>
        <w:rPr>
          <w:rFonts w:hint="default" w:ascii="Times New Roman" w:hAnsi="Times New Roman" w:cs="Times New Roman"/>
        </w:rPr>
        <w:t>406.45</w:t>
      </w:r>
      <w:r>
        <w:rPr>
          <w:rFonts w:hint="default" w:ascii="Times New Roman" w:hAnsi="Times New Roman" w:cs="Times New Roman"/>
          <w:lang w:val="en-US" w:eastAsia="zh-CN"/>
        </w:rPr>
        <w:t>万元，占政府采购支出总额的</w:t>
      </w:r>
      <w:r>
        <w:rPr>
          <w:rFonts w:hint="default" w:ascii="Times New Roman" w:hAnsi="Times New Roman" w:cs="Times New Roman"/>
        </w:rPr>
        <w:t>91.24</w:t>
      </w:r>
      <w:r>
        <w:rPr>
          <w:rFonts w:hint="default" w:ascii="Times New Roman" w:hAnsi="Times New Roman" w:cs="Times New Roman"/>
          <w:lang w:val="en-US" w:eastAsia="zh-CN"/>
        </w:rPr>
        <w:t>%。</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92" w:name="_Toc15377224"/>
      <w:r>
        <w:rPr>
          <w:rFonts w:hint="default" w:ascii="Times New Roman" w:hAnsi="Times New Roman" w:eastAsia="楷体_GB2312" w:cs="Times New Roman"/>
          <w:b/>
          <w:color w:val="auto"/>
          <w:sz w:val="32"/>
          <w:szCs w:val="32"/>
          <w:highlight w:val="none"/>
        </w:rPr>
        <w:t>（三）国有资产占有使用情况</w:t>
      </w:r>
      <w:bookmarkEnd w:id="92"/>
    </w:p>
    <w:p>
      <w:pPr>
        <w:rPr>
          <w:rFonts w:hint="default" w:ascii="Times New Roman" w:hAnsi="Times New Roman" w:cs="Times New Roman"/>
          <w:lang w:val="en-US" w:eastAsia="zh-CN"/>
        </w:rPr>
      </w:pPr>
      <w:r>
        <w:rPr>
          <w:rFonts w:hint="default" w:ascii="Times New Roman" w:hAnsi="Times New Roman" w:cs="Times New Roman"/>
          <w:lang w:val="en-US" w:eastAsia="zh-CN"/>
        </w:rPr>
        <w:t>截至2024年12月31日，攀枝花市西区陶家渡街道办事处共有车辆2辆，其中：主要负责人用车0辆、机要通信用车0辆、应急保障用车0辆、其他用车0辆，其他用车主要是用于街办开展党建、宣传、应急、安全、森林草原防灭火、维稳、计生、居民救助等工作。单价100万元（含）以上设备（不含车辆）0台（套）。</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rPr>
          <w:rFonts w:hint="default" w:ascii="Times New Roman" w:hAnsi="Times New Roman" w:cs="Times New Roman"/>
          <w:lang w:val="en-US" w:eastAsia="zh-CN"/>
        </w:rPr>
      </w:pPr>
      <w:r>
        <w:rPr>
          <w:rFonts w:hint="default" w:ascii="Times New Roman" w:hAnsi="Times New Roman" w:eastAsia="仿宋_GB2312" w:cs="Times New Roman"/>
          <w:color w:val="auto"/>
          <w:kern w:val="2"/>
          <w:szCs w:val="32"/>
          <w:highlight w:val="none"/>
          <w:lang w:val="en-US" w:eastAsia="zh-CN" w:bidi="ar-SA"/>
        </w:rPr>
        <w:t>根据预算绩效管理要求，陶家渡街办在2024年度预算编制阶段，组织对“人大代表之家”工作经费项目、社会管理专项经费（包含人民防空、安全生产等）等5个项目开展了预算事前绩效评估，对40个项目编制了绩效目标，预算执行过程中，选取40</w:t>
      </w:r>
      <w:r>
        <w:rPr>
          <w:rFonts w:hint="default" w:ascii="Times New Roman" w:hAnsi="Times New Roman" w:cs="Times New Roman"/>
          <w:lang w:val="en-US" w:eastAsia="zh-CN"/>
        </w:rPr>
        <w:t>个项目开展绩效监控。</w:t>
      </w:r>
    </w:p>
    <w:p>
      <w:pPr>
        <w:rPr>
          <w:rFonts w:hint="default" w:ascii="Times New Roman" w:hAnsi="Times New Roman" w:cs="Times New Roman"/>
          <w:lang w:val="en-US" w:eastAsia="zh-CN"/>
        </w:rPr>
      </w:pPr>
      <w:r>
        <w:rPr>
          <w:rFonts w:hint="default" w:ascii="Times New Roman" w:hAnsi="Times New Roman" w:cs="Times New Roman"/>
          <w:lang w:val="en-US" w:eastAsia="zh-CN"/>
        </w:rPr>
        <w:t>组织对2024年度一般公共预算、政府性基金预算、国有资本经营预算、社会保险基金预算以及资本资产、债券资金等全面开展绩效自评，形成陶家渡街道办事处部门整体（含部门预算项目）绩效自评报告、专项预算项目绩效自评报告，其中，陶家渡街道办事处部门整体（含部门预算项目）绩效自评得分为97.4分；陶家渡街道办事处专项预算项目绩效自评得分为98分。绩效自评报告详见附件。</w:t>
      </w:r>
    </w:p>
    <w:p>
      <w:pPr>
        <w:pStyle w:val="3"/>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4"/>
        <w:rPr>
          <w:rFonts w:hint="default"/>
        </w:rPr>
      </w:pPr>
      <w:bookmarkStart w:id="93" w:name="_Toc15377225"/>
      <w:bookmarkStart w:id="94" w:name="_Toc16865"/>
      <w:bookmarkStart w:id="95" w:name="_Toc15396613"/>
      <w:bookmarkStart w:id="96" w:name="_Toc27969"/>
      <w:bookmarkStart w:id="97" w:name="_Toc7268"/>
      <w:r>
        <w:rPr>
          <w:rFonts w:hint="default"/>
        </w:rPr>
        <w:t>第</w:t>
      </w:r>
      <w:r>
        <w:rPr>
          <w:rFonts w:hint="default"/>
          <w:lang w:eastAsia="zh-CN"/>
        </w:rPr>
        <w:t>三</w:t>
      </w:r>
      <w:r>
        <w:rPr>
          <w:rFonts w:hint="default"/>
        </w:rPr>
        <w:t>部分</w:t>
      </w:r>
      <w:r>
        <w:rPr>
          <w:rFonts w:hint="default"/>
          <w:lang w:val="en-US" w:eastAsia="zh-CN"/>
        </w:rPr>
        <w:t xml:space="preserve">  </w:t>
      </w:r>
      <w:r>
        <w:rPr>
          <w:rFonts w:hint="default"/>
        </w:rPr>
        <w:t>名词解释</w:t>
      </w:r>
      <w:bookmarkEnd w:id="93"/>
      <w:bookmarkEnd w:id="94"/>
      <w:bookmarkEnd w:id="95"/>
      <w:bookmarkEnd w:id="96"/>
      <w:bookmarkEnd w:id="97"/>
    </w:p>
    <w:p>
      <w:pPr>
        <w:rPr>
          <w:rFonts w:hint="default" w:ascii="Times New Roman" w:hAnsi="Times New Roman" w:cs="Times New Roman"/>
        </w:rPr>
      </w:pPr>
    </w:p>
    <w:p>
      <w:pPr>
        <w:rPr>
          <w:rFonts w:hint="default" w:ascii="Times New Roman" w:hAnsi="Times New Roman" w:cs="Times New Roman"/>
          <w:lang w:val="en-US" w:eastAsia="zh-CN"/>
        </w:rPr>
      </w:pPr>
      <w:r>
        <w:rPr>
          <w:rFonts w:hint="default" w:ascii="Times New Roman" w:hAnsi="Times New Roman" w:cs="Times New Roman"/>
          <w:lang w:val="en-US" w:eastAsia="zh-CN"/>
        </w:rPr>
        <w:t>1.财政拨款收入：指单位从同级财政部门取得的财政预算资金。</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2.年初结转和结余：指以前年度尚未完成、结转到本年按有关规定继续使用的资金。 </w:t>
      </w:r>
    </w:p>
    <w:p>
      <w:pPr>
        <w:rPr>
          <w:rFonts w:hint="default" w:ascii="Times New Roman" w:hAnsi="Times New Roman" w:cs="Times New Roman"/>
          <w:lang w:val="en-US" w:eastAsia="zh-CN"/>
        </w:rPr>
      </w:pPr>
      <w:r>
        <w:rPr>
          <w:rFonts w:hint="default" w:ascii="Times New Roman" w:hAnsi="Times New Roman" w:cs="Times New Roman"/>
          <w:lang w:val="en-US" w:eastAsia="zh-CN"/>
        </w:rPr>
        <w:t>3.年末结转和结余：指单位按有关规定结转到下年或以后年度继续使用的资金。</w:t>
      </w:r>
    </w:p>
    <w:p>
      <w:pPr>
        <w:rPr>
          <w:rFonts w:hint="default" w:ascii="Times New Roman" w:hAnsi="Times New Roman" w:cs="Times New Roman"/>
          <w:lang w:val="en-US" w:eastAsia="zh-CN"/>
        </w:rPr>
      </w:pPr>
      <w:r>
        <w:rPr>
          <w:rFonts w:hint="default" w:ascii="Times New Roman" w:hAnsi="Times New Roman" w:cs="Times New Roman"/>
          <w:lang w:val="en-US" w:eastAsia="zh-CN"/>
        </w:rPr>
        <w:t>4.一般公共服务支出（类）政府办公厅（室）及相关机构事务（款）行政运行（项）：指行政单位的基本支出。</w:t>
      </w:r>
    </w:p>
    <w:p>
      <w:pPr>
        <w:rPr>
          <w:rFonts w:hint="default" w:ascii="Times New Roman" w:hAnsi="Times New Roman" w:cs="Times New Roman"/>
          <w:lang w:val="en-US" w:eastAsia="zh-CN"/>
        </w:rPr>
      </w:pPr>
      <w:r>
        <w:rPr>
          <w:rFonts w:hint="default" w:ascii="Times New Roman" w:hAnsi="Times New Roman" w:cs="Times New Roman"/>
          <w:lang w:val="en-US" w:eastAsia="zh-CN"/>
        </w:rPr>
        <w:t>5.一般公共服务支出（类）政府办公厅（室）及相关机构事务（款）一般行政管理事务（项）：指行政单位未单独设置项级科目的其他项目支出。</w:t>
      </w:r>
    </w:p>
    <w:p>
      <w:pPr>
        <w:rPr>
          <w:rFonts w:hint="default" w:ascii="Times New Roman" w:hAnsi="Times New Roman" w:cs="Times New Roman"/>
          <w:lang w:val="en-US" w:eastAsia="zh-CN"/>
        </w:rPr>
      </w:pPr>
      <w:r>
        <w:rPr>
          <w:rFonts w:hint="default" w:ascii="Times New Roman" w:hAnsi="Times New Roman" w:cs="Times New Roman"/>
          <w:lang w:val="en-US" w:eastAsia="zh-CN"/>
        </w:rPr>
        <w:t>6.一般公共服务支出（类）政府办公厅（室）及相关机构事务（款）事业运行（项）：指事业单位的基本支出。</w:t>
      </w:r>
    </w:p>
    <w:p>
      <w:pPr>
        <w:rPr>
          <w:rFonts w:hint="default" w:ascii="Times New Roman" w:hAnsi="Times New Roman" w:cs="Times New Roman"/>
          <w:lang w:val="en-US" w:eastAsia="zh-CN"/>
        </w:rPr>
      </w:pPr>
      <w:r>
        <w:rPr>
          <w:rFonts w:hint="default" w:ascii="Times New Roman" w:hAnsi="Times New Roman" w:cs="Times New Roman"/>
          <w:lang w:val="en-US" w:eastAsia="zh-CN"/>
        </w:rPr>
        <w:t>7.一般公共服务支出（类）政府办公厅（室）及相关机构事务（款）其他政府办公厅（室）及相关机构事务支出（项）：指除行政运行、一般行政管理事务、机关服务、专项服务、专项业务及机关事务管理、政务公开审批、信访事务、参事事务、事业运行以外的其他政府办公厅及相关机构事务支出。</w:t>
      </w:r>
    </w:p>
    <w:p>
      <w:pPr>
        <w:rPr>
          <w:rFonts w:hint="default" w:ascii="Times New Roman" w:hAnsi="Times New Roman" w:cs="Times New Roman"/>
          <w:lang w:val="en-US" w:eastAsia="zh-CN"/>
        </w:rPr>
      </w:pPr>
      <w:r>
        <w:rPr>
          <w:rFonts w:hint="default" w:ascii="Times New Roman" w:hAnsi="Times New Roman" w:cs="Times New Roman"/>
          <w:lang w:val="en-US" w:eastAsia="zh-CN"/>
        </w:rPr>
        <w:t>8.一般公共服务支出（类）统计信息事务（款）专项统计业务（项）：指反映各级统计机关在日常业务之外开展专项统计工作的支出。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9.一般公共服务支出（类）纪检监察事务（款）其他纪检监察事务支出（项）：指主要用于纪检监察机关的其他事务支出。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10.一般公共服务支出（类）群众团体事务（款）一般行政管理事务（项）：反映行政单位未单独设置项级科目的其他项目支出。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11.一般公共服务支出（类）宣传事务（款）其他宣传事务支出（项）：指反映除行政管理、一般行政管理事务、机关服务、宣传管理、事业运行以外其他用于中国共产党宣传部门的事务支出。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12.文化旅游体育与传媒支出（类）文化和旅游（款）其他文化和旅游支出（项）：指反映除行政管理、一般行政管理事务、机关服务、宣传管理、事业运行以外其他用于中国共产党宣传部门的事务支出。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13.文化旅游体育与传媒支出（类）其他文化旅游体育与传媒支出（款）其他文化旅游体育与传媒支出（项）：指反映除上述项目以外其他用于文化旅游体育与传媒方面的支出。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14.社会保障和就业（类）民政管理事务（款）基层政权建设和社区治理（项）：指反映开展城乡社区治理、城乡社区服务（乡村便民服务）、乡镇（街道）服务能力建设等基层政权建设和社区治理工作的支出。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15.社会保障和就业（类）行政事业单位养老支出（款）行政单位离退休（项）：指行政单位开支的离退休缴费。</w:t>
      </w:r>
    </w:p>
    <w:p>
      <w:pPr>
        <w:rPr>
          <w:rFonts w:hint="default" w:ascii="Times New Roman" w:hAnsi="Times New Roman" w:cs="Times New Roman"/>
          <w:lang w:val="en-US" w:eastAsia="zh-CN"/>
        </w:rPr>
      </w:pPr>
      <w:r>
        <w:rPr>
          <w:rFonts w:hint="default" w:ascii="Times New Roman" w:hAnsi="Times New Roman" w:cs="Times New Roman"/>
          <w:lang w:val="en-US" w:eastAsia="zh-CN"/>
        </w:rPr>
        <w:t>16.社会保障和就业（类）行政事业单位养老支出（款）机关事业单位基本养老保险缴费支出（项）：指反映机关事业单位实施养老保险制度由单位缴纳的基本养老保险支出。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17.社会保障和就业（类）行政事业单位养老支出（款）机关事业单位职业年金缴费支出（项）：指反映机关事业单位实施养老保险制度由单位实际缴纳的职业年金支出。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18.社会保障和就业支出（类）社会福利（款）养老服务（项）：指反映财政在养老服务方面的补助支出，包括支持居家养老服务、社区养老服务和机构养老服务的支出，对养老服务机构的运营、建设补助支出等，不包括对社会福利事业单位的补助支出。</w:t>
      </w:r>
    </w:p>
    <w:p>
      <w:pPr>
        <w:rPr>
          <w:rFonts w:hint="default" w:ascii="Times New Roman" w:hAnsi="Times New Roman" w:cs="Times New Roman"/>
          <w:lang w:val="en-US" w:eastAsia="zh-CN"/>
        </w:rPr>
      </w:pPr>
      <w:r>
        <w:rPr>
          <w:rFonts w:hint="default" w:ascii="Times New Roman" w:hAnsi="Times New Roman" w:cs="Times New Roman"/>
          <w:lang w:val="en-US" w:eastAsia="zh-CN"/>
        </w:rPr>
        <w:t>19.社会保障和就业支出（类）退役军人管理事务（款）拥军拥属（项）:指反映开展拥军优属活动的支出。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20.卫生健康支出（类）公共卫生（款）重大公共卫生服务（项）：指反映重大疾病、重大传染病预防控制等重大公共卫生服务项目支出。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21.卫生健康支出（类）行政事业单位医疗（款）行政单位医疗（项）：指财政部门集中安排的行政单位基本医疗保险缴费经费。</w:t>
      </w:r>
    </w:p>
    <w:p>
      <w:pPr>
        <w:rPr>
          <w:rFonts w:hint="default" w:ascii="Times New Roman" w:hAnsi="Times New Roman" w:cs="Times New Roman"/>
          <w:lang w:val="en-US" w:eastAsia="zh-CN"/>
        </w:rPr>
      </w:pPr>
      <w:r>
        <w:rPr>
          <w:rFonts w:hint="default" w:ascii="Times New Roman" w:hAnsi="Times New Roman" w:cs="Times New Roman"/>
          <w:lang w:val="en-US" w:eastAsia="zh-CN"/>
        </w:rPr>
        <w:t>22.卫生健康支出（类）行政事业单位医疗（款）事业单位医疗（项）：指财政部门集中安排的事业单位基本医疗保险缴费经费。</w:t>
      </w:r>
    </w:p>
    <w:p>
      <w:pPr>
        <w:rPr>
          <w:rFonts w:hint="default" w:ascii="Times New Roman" w:hAnsi="Times New Roman" w:cs="Times New Roman"/>
          <w:lang w:val="en-US" w:eastAsia="zh-CN"/>
        </w:rPr>
      </w:pPr>
      <w:r>
        <w:rPr>
          <w:rFonts w:hint="default" w:ascii="Times New Roman" w:hAnsi="Times New Roman" w:cs="Times New Roman"/>
          <w:lang w:val="en-US" w:eastAsia="zh-CN"/>
        </w:rPr>
        <w:t>23.卫生健康支出（类）行政事业单位医疗（款）公务员医疗补助（项）：指财政部门集中安排的公务员医疗补助经费。</w:t>
      </w:r>
    </w:p>
    <w:p>
      <w:pPr>
        <w:rPr>
          <w:rFonts w:hint="default" w:ascii="Times New Roman" w:hAnsi="Times New Roman" w:cs="Times New Roman"/>
          <w:lang w:val="en-US" w:eastAsia="zh-CN"/>
        </w:rPr>
      </w:pPr>
      <w:r>
        <w:rPr>
          <w:rFonts w:hint="default" w:ascii="Times New Roman" w:hAnsi="Times New Roman" w:cs="Times New Roman"/>
          <w:lang w:val="en-US" w:eastAsia="zh-CN"/>
        </w:rPr>
        <w:t>24.卫生健康支出（类）行政事业单位医疗（款）其他行政事业单位医疗支出（项）：指反映除行政单位医疗、事业单位医疗、公务员医疗补助以外的其他用于行政事业单位医疗方面的支出。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25.城乡社区支出（类）城乡社区管理事务（款）其他城乡社区管理事务支出（项）：指反映除行政运行、一般行政管理事务、机关服务、城管执法、工程建设标准规范编制与监管、工程建设管理、市政公用行业时常监管、住房建设与房地产市场监管、职业资格注册、资质审查以外其他用于城乡社区管理事务方面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26.农林水支出（类）林业和草原（款）其他林业和草原支出（项）：指反映除行政运行、一般行政管理事务、机关服务、事业机构、森林资源培育以外其他用于林业和草原方面的支出。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27.农林水支出（类）农村综合改革（款）对村民委员会和村党支部的补助（项）：指反映各级财政对村民委员会和村党支部的补助支出，以及支持建立县级基本财力保障机制安排的村级组织运转奖补资金。</w:t>
      </w:r>
    </w:p>
    <w:p>
      <w:pPr>
        <w:rPr>
          <w:rFonts w:hint="default" w:ascii="Times New Roman" w:hAnsi="Times New Roman" w:cs="Times New Roman"/>
          <w:lang w:val="en-US" w:eastAsia="zh-CN"/>
        </w:rPr>
      </w:pPr>
      <w:r>
        <w:rPr>
          <w:rFonts w:hint="default" w:ascii="Times New Roman" w:hAnsi="Times New Roman" w:cs="Times New Roman"/>
          <w:lang w:val="en-US" w:eastAsia="zh-CN"/>
        </w:rPr>
        <w:t>28.资源勘探工业信息等支出（类）工业和信息产业监督（款）一般行政管理事务（项）：指反映行政单位未单独设置项级科目的其他项目支出。</w:t>
      </w:r>
    </w:p>
    <w:p>
      <w:pPr>
        <w:rPr>
          <w:rFonts w:hint="default" w:ascii="Times New Roman" w:hAnsi="Times New Roman" w:cs="Times New Roman"/>
          <w:lang w:val="en-US" w:eastAsia="zh-CN"/>
        </w:rPr>
      </w:pPr>
      <w:r>
        <w:rPr>
          <w:rFonts w:hint="default" w:ascii="Times New Roman" w:hAnsi="Times New Roman" w:cs="Times New Roman"/>
          <w:lang w:val="en-US" w:eastAsia="zh-CN"/>
        </w:rPr>
        <w:t>29.资源勘探工业信息等支出（类）支持中小企业发展和管理支出（款）中小企业发展专项（项）：指反映用于支出中小企业培育、公共服务体系和融资服务体系建设等方面的支出。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30.住房保障支出（类）住房改革支出（款）住房公积金（项）：指反映行政事业单位按人事、财政部门规定的基本工资和津贴补贴以及规定比例为职工缴纳的住房公积金。</w:t>
      </w:r>
    </w:p>
    <w:p>
      <w:pPr>
        <w:rPr>
          <w:rFonts w:hint="default" w:ascii="Times New Roman" w:hAnsi="Times New Roman" w:cs="Times New Roman"/>
          <w:lang w:val="en-US" w:eastAsia="zh-CN"/>
        </w:rPr>
      </w:pPr>
      <w:r>
        <w:rPr>
          <w:rFonts w:hint="default" w:ascii="Times New Roman" w:hAnsi="Times New Roman" w:cs="Times New Roman"/>
          <w:lang w:val="en-US" w:eastAsia="zh-CN"/>
        </w:rPr>
        <w:t>31.基本支出：指为保障机构正常运转、完成日常工作任务而发生的人员支出和公用支出。</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32.项目支出：指在基本支出之外为完成特定行政任务和事业发展目标所发生的支出。 </w:t>
      </w:r>
    </w:p>
    <w:p>
      <w:pPr>
        <w:rPr>
          <w:rFonts w:hint="default" w:ascii="Times New Roman" w:hAnsi="Times New Roman" w:cs="Times New Roman"/>
          <w:lang w:val="en-US" w:eastAsia="zh-CN"/>
        </w:rPr>
      </w:pPr>
      <w:r>
        <w:rPr>
          <w:rFonts w:hint="default" w:ascii="Times New Roman" w:hAnsi="Times New Roman" w:cs="Times New Roman"/>
          <w:lang w:val="en-US" w:eastAsia="zh-CN"/>
        </w:rPr>
        <w:t>33.经营支出：指事业单位在专业业务活动及其辅助活动之外开展非独立核算经营活动发生的支出。</w:t>
      </w:r>
    </w:p>
    <w:p>
      <w:pPr>
        <w:rPr>
          <w:rFonts w:hint="default" w:ascii="Times New Roman" w:hAnsi="Times New Roman" w:cs="Times New Roman"/>
          <w:lang w:val="en-US" w:eastAsia="zh-CN"/>
        </w:rPr>
      </w:pPr>
      <w:r>
        <w:rPr>
          <w:rFonts w:hint="default" w:ascii="Times New Roman" w:hAnsi="Times New Roman" w:cs="Times New Roman"/>
          <w:lang w:val="en-US" w:eastAsia="zh-CN"/>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hint="default" w:ascii="Times New Roman" w:hAnsi="Times New Roman" w:cs="Times New Roman"/>
          <w:lang w:val="en-US" w:eastAsia="zh-CN"/>
        </w:rPr>
      </w:pPr>
      <w:r>
        <w:rPr>
          <w:rFonts w:hint="default" w:ascii="Times New Roman" w:hAnsi="Times New Roman" w:cs="Times New Roman"/>
          <w:lang w:val="en-US" w:eastAsia="zh-CN"/>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1"/>
          <w:rFonts w:hint="default"/>
          <w:lang w:eastAsia="zh-CN"/>
        </w:rPr>
      </w:pPr>
      <w:bookmarkStart w:id="98"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99" w:name="_Toc23758"/>
      <w:bookmarkStart w:id="100" w:name="_Toc15396614"/>
      <w:bookmarkStart w:id="101" w:name="_Toc391"/>
      <w:bookmarkStart w:id="102" w:name="_Toc5094"/>
      <w:r>
        <w:rPr>
          <w:rStyle w:val="21"/>
          <w:rFonts w:hint="default"/>
        </w:rPr>
        <w:t>第四部分</w:t>
      </w:r>
      <w:r>
        <w:rPr>
          <w:rStyle w:val="21"/>
          <w:rFonts w:hint="default"/>
          <w:lang w:val="en-US" w:eastAsia="zh-CN"/>
        </w:rPr>
        <w:t xml:space="preserve"> </w:t>
      </w:r>
      <w:r>
        <w:rPr>
          <w:rStyle w:val="21"/>
          <w:rFonts w:hint="default"/>
        </w:rPr>
        <w:t xml:space="preserve"> 附件</w:t>
      </w:r>
      <w:bookmarkEnd w:id="99"/>
      <w:bookmarkEnd w:id="100"/>
      <w:bookmarkEnd w:id="101"/>
    </w:p>
    <w:bookmarkEnd w:id="102"/>
    <w:p>
      <w:pPr>
        <w:rPr>
          <w:rFonts w:hint="default"/>
        </w:rPr>
      </w:pPr>
    </w:p>
    <w:p>
      <w:pPr>
        <w:ind w:left="0" w:leftChars="0"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1</w:t>
      </w:r>
    </w:p>
    <w:p>
      <w:pPr>
        <w:rPr>
          <w:rFonts w:hint="default"/>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b w:val="0"/>
          <w:bCs w:val="0"/>
          <w:sz w:val="44"/>
          <w:szCs w:val="44"/>
        </w:rPr>
      </w:pPr>
      <w:bookmarkStart w:id="103" w:name="_Toc20446"/>
      <w:bookmarkStart w:id="104" w:name="_Toc13475"/>
      <w:r>
        <w:rPr>
          <w:rFonts w:hint="eastAsia" w:ascii="方正小标宋_GBK" w:hAnsi="方正小标宋_GBK" w:eastAsia="方正小标宋_GBK" w:cs="方正小标宋_GBK"/>
          <w:b w:val="0"/>
          <w:bCs w:val="0"/>
          <w:sz w:val="44"/>
          <w:szCs w:val="44"/>
        </w:rPr>
        <w:t>部门</w:t>
      </w:r>
      <w:r>
        <w:rPr>
          <w:rFonts w:hint="eastAsia" w:ascii="方正小标宋_GBK" w:hAnsi="方正小标宋_GBK" w:eastAsia="方正小标宋_GBK" w:cs="方正小标宋_GBK"/>
          <w:b w:val="0"/>
          <w:bCs w:val="0"/>
          <w:sz w:val="44"/>
          <w:szCs w:val="44"/>
          <w:lang w:eastAsia="zh-CN"/>
        </w:rPr>
        <w:t>预算</w:t>
      </w:r>
      <w:r>
        <w:rPr>
          <w:rFonts w:hint="eastAsia" w:ascii="方正小标宋_GBK" w:hAnsi="方正小标宋_GBK" w:eastAsia="方正小标宋_GBK" w:cs="方正小标宋_GBK"/>
          <w:b w:val="0"/>
          <w:bCs w:val="0"/>
          <w:sz w:val="44"/>
          <w:szCs w:val="44"/>
        </w:rPr>
        <w:t>绩效</w:t>
      </w:r>
      <w:r>
        <w:rPr>
          <w:rFonts w:hint="eastAsia" w:ascii="方正小标宋_GBK" w:hAnsi="方正小标宋_GBK" w:eastAsia="方正小标宋_GBK" w:cs="方正小标宋_GBK"/>
          <w:b w:val="0"/>
          <w:bCs w:val="0"/>
          <w:sz w:val="44"/>
          <w:szCs w:val="44"/>
          <w:lang w:eastAsia="zh-CN"/>
        </w:rPr>
        <w:t>评价</w:t>
      </w:r>
      <w:r>
        <w:rPr>
          <w:rFonts w:hint="eastAsia" w:ascii="方正小标宋_GBK" w:hAnsi="方正小标宋_GBK" w:eastAsia="方正小标宋_GBK" w:cs="方正小标宋_GBK"/>
          <w:b w:val="0"/>
          <w:bCs w:val="0"/>
          <w:sz w:val="44"/>
          <w:szCs w:val="44"/>
        </w:rPr>
        <w:t>报告</w:t>
      </w:r>
      <w:bookmarkEnd w:id="103"/>
      <w:bookmarkEnd w:id="104"/>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（报告范围包括机关和下属单位）</w:t>
      </w:r>
    </w:p>
    <w:p>
      <w:pPr>
        <w:rPr>
          <w:rFonts w:hint="default"/>
        </w:rPr>
      </w:pPr>
    </w:p>
    <w:p>
      <w:pPr>
        <w:rPr>
          <w:rFonts w:hint="eastAsia" w:ascii="黑体" w:hAnsi="黑体" w:eastAsia="黑体" w:cs="黑体"/>
          <w:lang w:val="zh-CN"/>
        </w:rPr>
      </w:pPr>
      <w:bookmarkStart w:id="105" w:name="_Toc7547"/>
      <w:bookmarkStart w:id="106" w:name="_Toc3890"/>
      <w:r>
        <w:rPr>
          <w:rFonts w:hint="eastAsia" w:ascii="黑体" w:hAnsi="黑体" w:eastAsia="黑体" w:cs="黑体"/>
          <w:lang w:val="zh-CN"/>
        </w:rPr>
        <w:t>一、部门基本情况</w:t>
      </w:r>
      <w:bookmarkEnd w:id="105"/>
      <w:bookmarkEnd w:id="106"/>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（一）机构组成。</w:t>
      </w:r>
    </w:p>
    <w:p>
      <w:pPr>
        <w:rPr>
          <w:rFonts w:hint="default"/>
          <w:lang w:val="en-US" w:eastAsia="zh-CN"/>
        </w:rPr>
      </w:pPr>
      <w:r>
        <w:rPr>
          <w:rFonts w:hint="default"/>
          <w:lang w:val="en-US" w:eastAsia="zh-CN"/>
        </w:rPr>
        <w:t>陶家渡街道办事处设立两个事业单位机构，分别为综合事务中心、便民服务中心。</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（二）机构职能。</w:t>
      </w:r>
    </w:p>
    <w:p>
      <w:pPr>
        <w:rPr>
          <w:rFonts w:hint="default"/>
          <w:lang w:val="en-US" w:eastAsia="zh-CN"/>
        </w:rPr>
      </w:pPr>
      <w:r>
        <w:rPr>
          <w:rFonts w:hint="default"/>
          <w:lang w:val="en-US" w:eastAsia="zh-CN"/>
        </w:rPr>
        <w:t>陶家渡街道办事处是西区人民政府的派出机构，其主要职能是：</w:t>
      </w:r>
    </w:p>
    <w:p>
      <w:pPr>
        <w:rPr>
          <w:rFonts w:hint="default"/>
          <w:lang w:val="en-US" w:eastAsia="zh-CN"/>
        </w:rPr>
      </w:pPr>
      <w:r>
        <w:rPr>
          <w:rFonts w:hint="default"/>
          <w:lang w:val="en-US" w:eastAsia="zh-CN"/>
        </w:rPr>
        <w:t>⑴宣传贯彻党的路线、方针、政策和国家的法律、法规，执行区委、区政府的决议、决定；组织党员群众保证区委、区政府各项任务在辖区内顺利实施。</w:t>
      </w:r>
    </w:p>
    <w:p>
      <w:pPr>
        <w:rPr>
          <w:rFonts w:hint="default"/>
          <w:lang w:val="en-US" w:eastAsia="zh-CN"/>
        </w:rPr>
      </w:pPr>
      <w:r>
        <w:rPr>
          <w:rFonts w:hint="default"/>
          <w:lang w:val="en-US" w:eastAsia="zh-CN"/>
        </w:rPr>
        <w:t>⑵代表西区人民政府授权对本辖区内的政府职能管理权。</w:t>
      </w:r>
    </w:p>
    <w:p>
      <w:pPr>
        <w:rPr>
          <w:rFonts w:hint="default"/>
          <w:lang w:val="en-US" w:eastAsia="zh-CN"/>
        </w:rPr>
      </w:pPr>
      <w:r>
        <w:rPr>
          <w:rFonts w:hint="default"/>
          <w:lang w:val="en-US" w:eastAsia="zh-CN"/>
        </w:rPr>
        <w:t>⑶负责本辖区内精神文明建设、社会治安综合治理、爱国卫生、计划生育、普及法律知识等工作，做好民政、妇联、司法、城建、卫生保健、武装等工作，配合市、区有关部门搞好城市规划、土地、环保、卫生、园林绿化等工作。组织、协调、引导、发展街办经济，不断壮大街办的经济实力。</w:t>
      </w:r>
    </w:p>
    <w:p>
      <w:pPr>
        <w:rPr>
          <w:rFonts w:hint="default"/>
          <w:lang w:val="en-US" w:eastAsia="zh-CN"/>
        </w:rPr>
      </w:pPr>
      <w:r>
        <w:rPr>
          <w:rFonts w:hint="default"/>
          <w:lang w:val="en-US" w:eastAsia="zh-CN"/>
        </w:rPr>
        <w:t>⑷按照《城市居民委员会组织法》的要求，组建辖区居民委员会，并指导、帮助、支持社区居民委员会的工作。</w:t>
      </w:r>
    </w:p>
    <w:p>
      <w:pPr>
        <w:rPr>
          <w:rFonts w:hint="default"/>
          <w:lang w:val="zh-CN"/>
        </w:rPr>
      </w:pPr>
      <w:r>
        <w:rPr>
          <w:rFonts w:hint="default"/>
          <w:lang w:val="en-US" w:eastAsia="zh-CN"/>
        </w:rPr>
        <w:t>⑸反映居民的意见和要求，发挥政府联系居民的桥梁和纽带作用。</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（三）人员概况。</w:t>
      </w:r>
    </w:p>
    <w:p>
      <w:pPr>
        <w:rPr>
          <w:rFonts w:hint="default"/>
          <w:lang w:val="en-US" w:eastAsia="zh-CN"/>
        </w:rPr>
      </w:pPr>
      <w:r>
        <w:rPr>
          <w:rFonts w:hint="default"/>
          <w:lang w:val="en-US" w:eastAsia="zh-CN"/>
        </w:rPr>
        <w:t>攀枝花市西区陶家渡街道2024年年末在编在岗行政人员6人，事业人员13人，总计19人。对比2023年，事业人员调出1人。</w:t>
      </w:r>
    </w:p>
    <w:p>
      <w:pPr>
        <w:rPr>
          <w:rFonts w:hint="eastAsia" w:ascii="黑体" w:hAnsi="黑体" w:eastAsia="黑体" w:cs="黑体"/>
          <w:lang w:val="zh-CN" w:eastAsia="zh-CN"/>
        </w:rPr>
      </w:pPr>
      <w:bookmarkStart w:id="107" w:name="_Toc9884"/>
      <w:bookmarkStart w:id="108" w:name="_Toc10074"/>
      <w:r>
        <w:rPr>
          <w:rFonts w:hint="eastAsia" w:ascii="黑体" w:hAnsi="黑体" w:eastAsia="黑体" w:cs="黑体"/>
          <w:lang w:val="zh-CN" w:eastAsia="zh-CN"/>
        </w:rPr>
        <w:t>二、部门资金收支情况</w:t>
      </w:r>
      <w:bookmarkEnd w:id="107"/>
      <w:bookmarkEnd w:id="108"/>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（一）收入情况。</w:t>
      </w:r>
    </w:p>
    <w:p>
      <w:pPr>
        <w:rPr>
          <w:rFonts w:hint="default"/>
          <w:lang w:val="en-US" w:eastAsia="zh-CN"/>
        </w:rPr>
      </w:pPr>
      <w:r>
        <w:rPr>
          <w:rFonts w:hint="default"/>
          <w:lang w:val="en-US" w:eastAsia="zh-CN"/>
        </w:rPr>
        <w:t>陶家渡街道2024年年初预算收入798.48万元，其中一般公共预算财政拨款收入779.48万元，政府性基金预算财政拨款收入19万元；决算报表收入2204万元，其中一般公共预算财政拨款收入2117.68万元，政府性基金预算财政拨款收入77.16万元，国有资本经营预算财政拨款收入9.17万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（二）支出情况。</w:t>
      </w:r>
    </w:p>
    <w:p>
      <w:pPr>
        <w:rPr>
          <w:rFonts w:hint="default"/>
          <w:lang w:val="en-US" w:eastAsia="zh-CN"/>
        </w:rPr>
      </w:pPr>
      <w:r>
        <w:rPr>
          <w:rFonts w:hint="default"/>
          <w:lang w:val="en-US" w:eastAsia="zh-CN"/>
        </w:rPr>
        <w:t>陶家渡街道2024年年初预算支出798.48万元，其中一般公共服务支出687.01万元，社会保障和就业支出42.97万元，卫生健康支出21.32万元，城乡社区支出19万元，住房保障支出28.18万元；决算报表支出2263.49，其中一般公共服务支出712.35万元，文化旅游体育与传媒支出13.4万元，社会保障和就业支出184.47万元，卫生健康支出32.79万元，城乡社区支出74.63万元，农林水支出9.9万元，资源勘探工业信息等支出0.28万元，住房保障支出1194.95万元，国有资本经营预算支出9.17万元，其他支出31.55万元。</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rPr>
        <w:t>（三）结余分配和结转结余情况</w:t>
      </w:r>
      <w:r>
        <w:rPr>
          <w:rFonts w:hint="eastAsia" w:ascii="楷体_GB2312" w:hAnsi="楷体_GB2312" w:eastAsia="楷体_GB2312" w:cs="楷体_GB2312"/>
          <w:b/>
          <w:bCs/>
          <w:lang w:val="zh-CN" w:eastAsia="zh-CN"/>
        </w:rPr>
        <w:t>。</w:t>
      </w:r>
    </w:p>
    <w:p>
      <w:pPr>
        <w:rPr>
          <w:rFonts w:hint="default"/>
          <w:lang w:val="zh-CN" w:eastAsia="zh-CN"/>
        </w:rPr>
      </w:pPr>
      <w:r>
        <w:rPr>
          <w:rFonts w:hint="default"/>
          <w:lang w:val="en-US" w:eastAsia="zh-CN"/>
        </w:rPr>
        <w:t>陶家渡街道2024年初结转结余92.39万元，支出59.49万元，年末结转结余32.9万元。</w:t>
      </w:r>
    </w:p>
    <w:p>
      <w:pPr>
        <w:rPr>
          <w:rFonts w:hint="eastAsia" w:ascii="黑体" w:hAnsi="黑体" w:eastAsia="黑体" w:cs="黑体"/>
          <w:lang w:val="zh-CN" w:eastAsia="zh-CN"/>
        </w:rPr>
      </w:pPr>
      <w:bookmarkStart w:id="109" w:name="_Toc8621"/>
      <w:bookmarkStart w:id="110" w:name="_Toc15720"/>
      <w:r>
        <w:rPr>
          <w:rFonts w:hint="eastAsia" w:ascii="黑体" w:hAnsi="黑体" w:eastAsia="黑体" w:cs="黑体"/>
          <w:lang w:val="zh-CN" w:eastAsia="zh-CN"/>
        </w:rPr>
        <w:t>三、部门预算绩效分析</w:t>
      </w:r>
      <w:bookmarkEnd w:id="109"/>
      <w:bookmarkEnd w:id="110"/>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rPr>
        <w:t>（一）部门预算总体绩效分析。</w:t>
      </w:r>
    </w:p>
    <w:p>
      <w:pPr>
        <w:rPr>
          <w:rFonts w:hint="default"/>
          <w:lang w:val="zh-CN" w:eastAsia="zh-CN"/>
        </w:rPr>
      </w:pPr>
      <w:r>
        <w:rPr>
          <w:rFonts w:hint="default"/>
          <w:lang w:val="en-US" w:eastAsia="zh-CN"/>
        </w:rPr>
        <w:t>1.</w:t>
      </w:r>
      <w:r>
        <w:rPr>
          <w:rFonts w:hint="default"/>
          <w:lang w:val="zh-CN" w:eastAsia="zh-CN"/>
        </w:rPr>
        <w:t>履职效能。</w:t>
      </w:r>
    </w:p>
    <w:p>
      <w:pPr>
        <w:rPr>
          <w:rFonts w:hint="default"/>
          <w:lang w:val="en-US" w:eastAsia="zh-CN"/>
        </w:rPr>
      </w:pPr>
      <w:r>
        <w:rPr>
          <w:rFonts w:hint="default"/>
          <w:lang w:val="zh-CN" w:eastAsia="zh-CN"/>
        </w:rPr>
        <w:t>在过去的202</w:t>
      </w:r>
      <w:r>
        <w:rPr>
          <w:rFonts w:hint="default"/>
          <w:lang w:val="en-US" w:eastAsia="zh-CN"/>
        </w:rPr>
        <w:t>4</w:t>
      </w:r>
      <w:r>
        <w:rPr>
          <w:rFonts w:hint="default"/>
          <w:lang w:val="zh-CN" w:eastAsia="zh-CN"/>
        </w:rPr>
        <w:t>年</w:t>
      </w:r>
      <w:r>
        <w:rPr>
          <w:rFonts w:hint="default"/>
          <w:lang w:val="en-US" w:eastAsia="zh-CN"/>
        </w:rPr>
        <w:t>度</w:t>
      </w:r>
      <w:r>
        <w:rPr>
          <w:rFonts w:hint="default"/>
          <w:lang w:val="zh-CN" w:eastAsia="zh-CN"/>
        </w:rPr>
        <w:t>中，街办顺利完成了项目预算执行任务。通过各项指标的监测和分析，工作效率得到了提高。</w:t>
      </w:r>
      <w:r>
        <w:rPr>
          <w:rFonts w:hint="default"/>
          <w:lang w:val="en-US" w:eastAsia="zh-CN"/>
        </w:rPr>
        <w:t>项目建设方面一是主动作为，统筹推进经济任务。固定资产投资1—10月完成68350万元；工业投资1—9月完成30265万元, 制造业投资1—9月目5874万元；社会消费品零售总额1—10月完成10069.8万元，同比增长17.2%；批发业12553.1万元，同比增长42.31%；招商引资1—9月国内总到位资金，1—9月完成23487万元；省外到位资金10105万元。</w:t>
      </w:r>
      <w:r>
        <w:rPr>
          <w:rFonts w:hint="default"/>
          <w:lang w:val="zh-CN" w:eastAsia="zh-CN"/>
        </w:rPr>
        <w:t>二是持续强化项目管理，全力推进项目建设。新建老旧小区项目2个，分别为攀枝花市西区2024年江南片区老旧小区改造项目和攀枝花市西区花山西路片区老旧小区改造项目，总投资共计2788.56万</w:t>
      </w:r>
      <w:r>
        <w:rPr>
          <w:rFonts w:hint="default"/>
          <w:lang w:val="en-US" w:eastAsia="zh-CN"/>
        </w:rPr>
        <w:t>元</w:t>
      </w:r>
      <w:r>
        <w:rPr>
          <w:rFonts w:hint="default"/>
          <w:lang w:val="zh-CN" w:eastAsia="zh-CN"/>
        </w:rPr>
        <w:t>。主要完善防水7000㎡、污水管网改造约3100m、道路改造约30800㎡、人行道改造约22300㎡，打造居民活动广场5处，以及</w:t>
      </w:r>
      <w:r>
        <w:rPr>
          <w:rFonts w:hint="default"/>
          <w:lang w:val="en-US" w:eastAsia="zh-CN"/>
        </w:rPr>
        <w:t>对</w:t>
      </w:r>
      <w:r>
        <w:rPr>
          <w:rFonts w:hint="default"/>
          <w:lang w:val="zh-CN" w:eastAsia="zh-CN"/>
        </w:rPr>
        <w:t>休息椅、文化宣传栏、堡坎、围栏、房屋外墙、楼梯步道等基础设施进行改造。两个项目目前分别完成7%、30%的工程量。</w:t>
      </w:r>
      <w:r>
        <w:rPr>
          <w:rFonts w:hint="default"/>
          <w:lang w:val="en-US" w:eastAsia="zh-CN"/>
        </w:rPr>
        <w:t>法治建设方面</w:t>
      </w:r>
      <w:r>
        <w:rPr>
          <w:rFonts w:hint="default"/>
          <w:lang w:val="zh-CN" w:eastAsia="zh-CN"/>
        </w:rPr>
        <w:t>一是落实依法行政，开展普法宣传。按照八五普法规划，结合“法律七进”活动，采取各种形式，加强普法宣传教育。今年以来，组织各类法治讲座和培训11次，法律知识宣传30余次，张贴法律宣传标语20条，设置法律阅读服务点（书架）8个，悬挂横幅10余条，张贴海报1000余张，出板报21期，更换宣传专栏内容30余期，发放宣传资料13000余份，LED播放宣传标语42条，接受现场咨询500余人次，解答涉法问题16个。二是防控涉稳风险，化解社会矛盾。按照信访维稳工作的要求，制定稳控方案，明确责任领导和责任人，切实做好辖区重点人员的教育疏导及稳控工作。今年以来，召开走访群体沟通对接会15次，提醒约谈会3次；开展接访78次，赴蓉进京接访8次；矛盾纠纷285件，12345政务服务平台反馈的问题案件128件，数字化城管采集和处置案件2800余件。截至目前，案件全部按时处理完毕，完成率100%，未发生“民转刑”案件。</w:t>
      </w:r>
      <w:r>
        <w:rPr>
          <w:rFonts w:hint="default"/>
          <w:lang w:val="en-US" w:eastAsia="zh-CN"/>
        </w:rPr>
        <w:t>安全、环保方面</w:t>
      </w:r>
      <w:r>
        <w:rPr>
          <w:rFonts w:hint="default"/>
          <w:lang w:val="zh-CN" w:eastAsia="zh-CN"/>
        </w:rPr>
        <w:t>一是落实责任，守好安全生产环境。全面落实安全生产监管责任，认真筑牢街道安全工作第一防线。今年以来，召开各类安全会议共18次；开展交通安全知识宣传41余次；开展洗选企业、工贸行业、危化行业、建筑工地、烟花爆竹销售点位、KTV等安全检查43次，共检查出隐患20条，整改20条；开展消防安全检查18次，检查出问题13处，完成整改13处；开展燃气安全隐患排查整治3次，完成“瓶改电”26户，完成电表改装12户；完成食品安全督导率及督导整改率100%。二是未雨绸缪，提升防火、防灾能力。严格落实防火、防汛各项要求。今年以来，开展防火、防灾减灾应急演练7次；观看警示教育片6次；宣传防灾知识4次；更换补充应急物资30余个；开展重点区域可燃物清理5次；联合仁和区太平乡开展防火巡查6次；重点场所卡点值守4次；发布预警信息20余条，转移危险区人员3次，累计转移61户次122人次；开展地质灾害隐患检查120余次，排查整治隐患9条，排查隐患点位16处，完善补充警示标识标牌20副，发放“两卡一表”60余份，编制应急预案3份。三是强化日常监管，做好环保工作。建立“横向到边、纵向到底”的网格化环境监管体系。今年以来，召开环保工作会议12次；劝导、规范乱停乱放车辆50余辆；规范施工工地扬尘污染5处；开展垃圾堆放点垃圾整治行动12余次，清运垃圾8吨；清理和规范流动商贩及越门占道经营31次，拆除破损、老旧不规范店招、店牌、宣传广告牌3个；整治规范夜间烧烤摊2次，整改规范经营2家。出动巡查人员100人，巡查餐饮店、烧烤经营户、早餐店60家。</w:t>
      </w:r>
    </w:p>
    <w:p>
      <w:pPr>
        <w:rPr>
          <w:rFonts w:hint="default"/>
        </w:rPr>
      </w:pPr>
      <w:r>
        <w:rPr>
          <w:rFonts w:hint="default"/>
          <w:lang w:val="en-US" w:eastAsia="zh-CN"/>
        </w:rPr>
        <w:t>2.</w:t>
      </w:r>
      <w:r>
        <w:rPr>
          <w:rFonts w:hint="default"/>
          <w:lang w:val="zh-CN" w:eastAsia="zh-CN"/>
        </w:rPr>
        <w:t>预算管理。</w:t>
      </w:r>
    </w:p>
    <w:p>
      <w:pPr>
        <w:rPr>
          <w:rFonts w:hint="default"/>
        </w:rPr>
      </w:pPr>
      <w:r>
        <w:rPr>
          <w:rFonts w:hint="default"/>
          <w:lang w:eastAsia="zh-CN"/>
        </w:rPr>
        <w:t>（</w:t>
      </w:r>
      <w:r>
        <w:rPr>
          <w:rFonts w:hint="default"/>
          <w:lang w:val="en-US" w:eastAsia="zh-CN"/>
        </w:rPr>
        <w:t>1</w:t>
      </w:r>
      <w:r>
        <w:rPr>
          <w:rFonts w:hint="default"/>
          <w:lang w:eastAsia="zh-CN"/>
        </w:rPr>
        <w:t>）</w:t>
      </w:r>
      <w:r>
        <w:rPr>
          <w:rFonts w:hint="default"/>
        </w:rPr>
        <w:t>在预算编制质量管控方面，</w:t>
      </w:r>
      <w:r>
        <w:rPr>
          <w:rFonts w:hint="default"/>
          <w:lang w:val="en-US" w:eastAsia="zh-CN"/>
        </w:rPr>
        <w:t>街办</w:t>
      </w:r>
      <w:r>
        <w:rPr>
          <w:rFonts w:hint="default"/>
        </w:rPr>
        <w:t>始终坚持“科学精准、量入为出、绩效导向”原则，规范开展年初部门预算编制工作。编制过程中，以年度核心目标任为导向，系统梳理历年预算编制数据，深入分析上年度预算执行率、资金使用效益及结余结转情况，同时结合当年工作规划，对人员经费、公用经费、项目经费进行分项测算。切实提升预算编制的科学性、合理性和可执行性。</w:t>
      </w:r>
    </w:p>
    <w:p>
      <w:pPr>
        <w:rPr>
          <w:rFonts w:hint="default"/>
        </w:rPr>
      </w:pPr>
      <w:r>
        <w:rPr>
          <w:rFonts w:hint="default"/>
        </w:rPr>
        <w:t>（2）</w:t>
      </w:r>
      <w:r>
        <w:rPr>
          <w:rFonts w:hint="default"/>
          <w:lang w:val="en-US" w:eastAsia="zh-CN"/>
        </w:rPr>
        <w:t>街办</w:t>
      </w:r>
      <w:r>
        <w:rPr>
          <w:rFonts w:hint="default"/>
        </w:rPr>
        <w:t>收入全部来源于财政</w:t>
      </w:r>
      <w:r>
        <w:rPr>
          <w:rFonts w:hint="eastAsia"/>
          <w:lang w:eastAsia="zh-CN"/>
        </w:rPr>
        <w:t>拨款</w:t>
      </w:r>
      <w:r>
        <w:rPr>
          <w:rFonts w:hint="default"/>
        </w:rPr>
        <w:t>，无事业收入、经营收入，其他收入等自有资金来源，因此未开展单位收入统筹相关工作。该情况符合《部门预算绩效评价指标体系》中“无收入统筹事项时，可按其基础分值全额计分”的规定。我单位严格执行财政资金管理要求，收入来源清晰合规，未发生违规统筹或者截留收入等情况。</w:t>
      </w:r>
    </w:p>
    <w:p>
      <w:pPr>
        <w:rPr>
          <w:rFonts w:hint="default"/>
        </w:rPr>
      </w:pPr>
      <w:r>
        <w:rPr>
          <w:rFonts w:hint="default"/>
        </w:rPr>
        <w:t>（3）2024年，</w:t>
      </w:r>
      <w:r>
        <w:rPr>
          <w:rFonts w:hint="default"/>
          <w:lang w:val="en-US" w:eastAsia="zh-CN"/>
        </w:rPr>
        <w:t>街办</w:t>
      </w:r>
      <w:r>
        <w:rPr>
          <w:rFonts w:hint="default"/>
        </w:rPr>
        <w:t>经费全年预算数为</w:t>
      </w:r>
      <w:r>
        <w:rPr>
          <w:rFonts w:hint="default"/>
          <w:lang w:val="en-US" w:eastAsia="zh-CN"/>
        </w:rPr>
        <w:t>2296.39</w:t>
      </w:r>
      <w:r>
        <w:rPr>
          <w:rFonts w:hint="default"/>
        </w:rPr>
        <w:t>万元，预算执行数为</w:t>
      </w:r>
      <w:r>
        <w:rPr>
          <w:rFonts w:hint="default"/>
          <w:lang w:val="en-US" w:eastAsia="zh-CN"/>
        </w:rPr>
        <w:t>2296.39</w:t>
      </w:r>
      <w:r>
        <w:rPr>
          <w:rFonts w:hint="default"/>
        </w:rPr>
        <w:t>万元，执行率为</w:t>
      </w:r>
      <w:r>
        <w:rPr>
          <w:rFonts w:hint="default"/>
          <w:lang w:val="en-US" w:eastAsia="zh-CN"/>
        </w:rPr>
        <w:t>100</w:t>
      </w:r>
      <w:r>
        <w:rPr>
          <w:rFonts w:hint="default"/>
        </w:rPr>
        <w:t>%。预算执行过程规范有序。</w:t>
      </w:r>
    </w:p>
    <w:p>
      <w:pPr>
        <w:rPr>
          <w:rFonts w:hint="default"/>
        </w:rPr>
      </w:pPr>
      <w:r>
        <w:rPr>
          <w:rFonts w:hint="default"/>
        </w:rPr>
        <w:t>（4）</w:t>
      </w:r>
      <w:r>
        <w:rPr>
          <w:rFonts w:hint="default"/>
          <w:lang w:val="en-US" w:eastAsia="zh-CN"/>
        </w:rPr>
        <w:t>街办</w:t>
      </w:r>
      <w:r>
        <w:rPr>
          <w:rFonts w:hint="default"/>
        </w:rPr>
        <w:t>全年预算数为</w:t>
      </w:r>
      <w:r>
        <w:rPr>
          <w:rFonts w:hint="default"/>
          <w:lang w:val="en-US" w:eastAsia="zh-CN"/>
        </w:rPr>
        <w:t>2296.39</w:t>
      </w:r>
      <w:r>
        <w:rPr>
          <w:rFonts w:hint="default"/>
        </w:rPr>
        <w:t>万元，年终额度回收金额为</w:t>
      </w:r>
      <w:r>
        <w:rPr>
          <w:rFonts w:hint="default"/>
          <w:lang w:val="en-US" w:eastAsia="zh-CN"/>
        </w:rPr>
        <w:t>0</w:t>
      </w:r>
      <w:r>
        <w:rPr>
          <w:rFonts w:hint="default"/>
        </w:rPr>
        <w:t>万元，预算执行率达</w:t>
      </w:r>
      <w:r>
        <w:rPr>
          <w:rFonts w:hint="default"/>
          <w:lang w:val="en-US" w:eastAsia="zh-CN"/>
        </w:rPr>
        <w:t>100</w:t>
      </w:r>
      <w:r>
        <w:rPr>
          <w:rFonts w:hint="default"/>
        </w:rPr>
        <w:t>%。</w:t>
      </w:r>
    </w:p>
    <w:p>
      <w:pPr>
        <w:rPr>
          <w:rFonts w:hint="default"/>
          <w:lang w:val="zh-CN" w:eastAsia="zh-CN"/>
        </w:rPr>
      </w:pPr>
      <w:r>
        <w:rPr>
          <w:rFonts w:hint="default"/>
        </w:rPr>
        <w:t>（5）</w:t>
      </w:r>
      <w:r>
        <w:rPr>
          <w:rFonts w:hint="default"/>
          <w:lang w:val="en-US" w:eastAsia="zh-CN"/>
        </w:rPr>
        <w:t>街办</w:t>
      </w:r>
      <w:r>
        <w:rPr>
          <w:rFonts w:hint="default"/>
        </w:rPr>
        <w:t>的“三公”经费、会议、培训等一般性支出全年预算数为</w:t>
      </w:r>
      <w:r>
        <w:rPr>
          <w:rFonts w:hint="default"/>
          <w:lang w:val="en-US" w:eastAsia="zh-CN"/>
        </w:rPr>
        <w:t>3.55</w:t>
      </w:r>
      <w:r>
        <w:rPr>
          <w:rFonts w:hint="default"/>
        </w:rPr>
        <w:t>万元，较上年</w:t>
      </w:r>
      <w:r>
        <w:rPr>
          <w:rFonts w:hint="default"/>
          <w:lang w:val="en-US" w:eastAsia="zh-CN"/>
        </w:rPr>
        <w:t>增加0.86万元，增长34.54%。主要原因是相比2023年度新增一辆公务用车，两辆公务用车，费用增加。</w:t>
      </w:r>
    </w:p>
    <w:p>
      <w:pPr>
        <w:rPr>
          <w:rFonts w:hint="default"/>
          <w:lang w:val="zh-CN" w:eastAsia="zh-CN"/>
        </w:rPr>
      </w:pPr>
      <w:r>
        <w:rPr>
          <w:rFonts w:hint="default"/>
          <w:lang w:val="en-US" w:eastAsia="zh-CN"/>
        </w:rPr>
        <w:t>3.</w:t>
      </w:r>
      <w:r>
        <w:rPr>
          <w:rFonts w:hint="default"/>
          <w:lang w:val="zh-CN" w:eastAsia="zh-CN"/>
        </w:rPr>
        <w:t>财务管理。</w:t>
      </w:r>
    </w:p>
    <w:p>
      <w:pPr>
        <w:rPr>
          <w:rFonts w:hint="default"/>
          <w:lang w:val="zh-CN" w:eastAsia="zh-CN"/>
        </w:rPr>
      </w:pPr>
      <w:r>
        <w:rPr>
          <w:rFonts w:hint="default"/>
        </w:rPr>
        <w:t>为全面提升预算管理效能，</w:t>
      </w:r>
      <w:r>
        <w:rPr>
          <w:rFonts w:hint="default"/>
          <w:lang w:val="en-US" w:eastAsia="zh-CN"/>
        </w:rPr>
        <w:t>街办</w:t>
      </w:r>
      <w:r>
        <w:rPr>
          <w:rFonts w:hint="default"/>
        </w:rPr>
        <w:t>始终将规范预算执行作为财务管理的核心环节。严格贯彻落实《预算法》等国家及地方政策法规，精准执行上级部门下发的专项文件要求，确保预算编制、执行、调整各环节与政策导向高度契合。在预算执行过程中，以单位《攀枝花市</w:t>
      </w:r>
      <w:r>
        <w:rPr>
          <w:rFonts w:hint="default"/>
          <w:lang w:val="en-US" w:eastAsia="zh-CN"/>
        </w:rPr>
        <w:t>西区陶家渡街道办事处</w:t>
      </w:r>
      <w:r>
        <w:rPr>
          <w:rFonts w:hint="default"/>
        </w:rPr>
        <w:t>财务管理制度》为根本遵循，严格落实财务收支审批制度、资金动态监管制度及绩效评价制度，通过全流程闭环管理保障资金使用合法合规、精准高效。在组织架构建设方面，设置会计、出纳等财务工作岗位，通过职责分工明确各岗位职责边界，严格执行不相</w:t>
      </w:r>
      <w:bookmarkStart w:id="244" w:name="_GoBack"/>
      <w:bookmarkEnd w:id="244"/>
      <w:r>
        <w:rPr>
          <w:rFonts w:hint="default"/>
        </w:rPr>
        <w:t>容岗位分离制度，形成预算编制与审核、资金支付与复核、会计核算与监督的相互制约机制。</w:t>
      </w:r>
    </w:p>
    <w:p>
      <w:pPr>
        <w:rPr>
          <w:rFonts w:hint="default"/>
          <w:lang w:val="zh-CN" w:eastAsia="zh-CN"/>
        </w:rPr>
      </w:pPr>
      <w:r>
        <w:rPr>
          <w:rFonts w:hint="eastAsia"/>
          <w:lang w:val="en-US" w:eastAsia="zh-CN"/>
        </w:rPr>
        <w:t>4.</w:t>
      </w:r>
      <w:r>
        <w:rPr>
          <w:rFonts w:hint="default"/>
          <w:lang w:val="zh-CN" w:eastAsia="zh-CN"/>
        </w:rPr>
        <w:t>资产管理。</w:t>
      </w:r>
    </w:p>
    <w:p>
      <w:pPr>
        <w:rPr>
          <w:rFonts w:hint="default"/>
          <w:lang w:val="zh-CN" w:eastAsia="zh-CN"/>
        </w:rPr>
      </w:pPr>
      <w:r>
        <w:rPr>
          <w:rFonts w:hint="default"/>
          <w:lang w:val="zh-CN" w:eastAsia="zh-CN"/>
        </w:rPr>
        <w:t>一是人均资产变化率，</w:t>
      </w:r>
      <w:r>
        <w:rPr>
          <w:rFonts w:hint="default"/>
          <w:lang w:val="en-US" w:eastAsia="zh-CN"/>
        </w:rPr>
        <w:t>2024年年初街办和社区工作人员总数88人，年末人数93人增加5人，资产总计期初827.35万元、期末865.03万元，2024年期初人均资产率为940.17%，期末930.14%，</w:t>
      </w:r>
      <w:r>
        <w:rPr>
          <w:rFonts w:hint="default"/>
          <w:lang w:val="zh-CN" w:eastAsia="zh-CN"/>
        </w:rPr>
        <w:t>人均资产变化率</w:t>
      </w:r>
      <w:r>
        <w:rPr>
          <w:rFonts w:hint="default"/>
          <w:lang w:val="en-US" w:eastAsia="zh-CN"/>
        </w:rPr>
        <w:t>-10.03%，这是由于街办在2024年底人员增长导致。二是</w:t>
      </w:r>
      <w:r>
        <w:rPr>
          <w:rFonts w:hint="default"/>
          <w:lang w:val="zh-CN" w:eastAsia="zh-CN"/>
        </w:rPr>
        <w:t>资产利用率，高度重视闲置资产管理，</w:t>
      </w:r>
      <w:r>
        <w:rPr>
          <w:rFonts w:hint="default"/>
          <w:lang w:val="en-US" w:eastAsia="zh-CN"/>
        </w:rPr>
        <w:t>对达到报废条件的资产进行清查并报财政局进行报废流程</w:t>
      </w:r>
      <w:r>
        <w:rPr>
          <w:rFonts w:hint="default"/>
          <w:lang w:val="zh-CN" w:eastAsia="zh-CN"/>
        </w:rPr>
        <w:t>。</w:t>
      </w:r>
      <w:r>
        <w:rPr>
          <w:rFonts w:hint="default"/>
          <w:lang w:val="en-US" w:eastAsia="zh-CN"/>
        </w:rPr>
        <w:t>三是</w:t>
      </w:r>
      <w:r>
        <w:rPr>
          <w:rFonts w:hint="default"/>
          <w:lang w:val="zh-CN" w:eastAsia="zh-CN"/>
        </w:rPr>
        <w:t>资产盘活率方面，明确各股室和人员在资产管理中的职责和权限，规范资产管理流程，确保资产的安全、完整和有效使用，加强对固定资产的日常维护保养，延长资产使用寿命，提高资产的使用性能和价值。</w:t>
      </w:r>
    </w:p>
    <w:p>
      <w:pPr>
        <w:rPr>
          <w:rFonts w:hint="default"/>
          <w:lang w:val="zh-CN" w:eastAsia="zh-CN"/>
        </w:rPr>
      </w:pPr>
      <w:r>
        <w:rPr>
          <w:rFonts w:hint="eastAsia"/>
          <w:lang w:val="en-US" w:eastAsia="zh-CN"/>
        </w:rPr>
        <w:t>5.</w:t>
      </w:r>
      <w:r>
        <w:rPr>
          <w:rFonts w:hint="default"/>
          <w:lang w:val="zh-CN" w:eastAsia="zh-CN"/>
        </w:rPr>
        <w:t>采购管理。</w:t>
      </w:r>
    </w:p>
    <w:p>
      <w:pPr>
        <w:rPr>
          <w:rFonts w:hint="default"/>
          <w:lang w:val="zh-CN" w:eastAsia="zh-CN"/>
        </w:rPr>
      </w:pPr>
      <w:r>
        <w:rPr>
          <w:rFonts w:hint="default"/>
          <w:lang w:val="zh-CN" w:eastAsia="zh-CN"/>
        </w:rPr>
        <w:t>一是支持中小企业发展，</w:t>
      </w:r>
      <w:r>
        <w:rPr>
          <w:rFonts w:hint="default"/>
          <w:lang w:val="en-US" w:eastAsia="zh-CN"/>
        </w:rPr>
        <w:t>2024年街办政府采购总计445.47万元，授予中小企业444.96元。其中438.56万元为老旧小区改造工程，6.4万元为儿童救助保护示范站建设项目和示范性老年助餐网络建设项目办公设备购买。整体完成度较好，切实履行了支持中小企业发展的政策部署。二是</w:t>
      </w:r>
      <w:r>
        <w:rPr>
          <w:rFonts w:hint="default"/>
          <w:lang w:val="zh-CN" w:eastAsia="zh-CN"/>
        </w:rPr>
        <w:t>采购执行率，</w:t>
      </w:r>
      <w:r>
        <w:rPr>
          <w:rFonts w:hint="default"/>
          <w:lang w:val="en-US" w:eastAsia="zh-CN"/>
        </w:rPr>
        <w:t>2024年</w:t>
      </w:r>
      <w:r>
        <w:rPr>
          <w:rFonts w:hint="default"/>
          <w:lang w:val="zh-CN" w:eastAsia="zh-CN"/>
        </w:rPr>
        <w:t>政</w:t>
      </w:r>
      <w:r>
        <w:rPr>
          <w:rFonts w:hint="default"/>
          <w:lang w:val="zh-CN"/>
        </w:rPr>
        <w:t>府采购执行率为</w:t>
      </w:r>
      <w:r>
        <w:rPr>
          <w:rFonts w:hint="default"/>
          <w:lang w:val="en-US" w:eastAsia="zh-CN"/>
        </w:rPr>
        <w:t>0，这是因为2024年年初暂无预算指标，老旧小区改造项目、儿童救助保护示范站建设项目和示范性老年助餐网络建设项目为年中任务目标，通过年中追加采购预算的方式进行支付采购。2024年涉及政府采购的工作均按照文件规定，先向区财政就追加采购预算，待区财政局同意批复后再完成采购工作。综上整体所述，采购管理较好较好。</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（二）部门预算项目绩效分析。</w:t>
      </w:r>
    </w:p>
    <w:p>
      <w:pPr>
        <w:rPr>
          <w:rFonts w:hint="default"/>
          <w:lang w:val="zh-CN" w:eastAsia="zh-CN"/>
        </w:rPr>
      </w:pPr>
      <w:r>
        <w:rPr>
          <w:rFonts w:hint="default"/>
          <w:lang w:val="en-US" w:eastAsia="zh-CN"/>
        </w:rPr>
        <w:t>常年项目绩效分析。</w:t>
      </w:r>
      <w:r>
        <w:rPr>
          <w:rFonts w:hint="default"/>
          <w:lang w:val="zh-CN" w:eastAsia="zh-CN"/>
        </w:rPr>
        <w:t>该类项目总数</w:t>
      </w:r>
      <w:r>
        <w:rPr>
          <w:rFonts w:hint="default"/>
          <w:lang w:val="en-US" w:eastAsia="zh-CN"/>
        </w:rPr>
        <w:t>25</w:t>
      </w:r>
      <w:r>
        <w:rPr>
          <w:rFonts w:hint="default"/>
          <w:lang w:val="zh-CN" w:eastAsia="zh-CN"/>
        </w:rPr>
        <w:t>个，涉及预算总金额</w:t>
      </w:r>
      <w:r>
        <w:rPr>
          <w:rFonts w:hint="default"/>
          <w:lang w:val="en-US" w:eastAsia="zh-CN"/>
        </w:rPr>
        <w:t>161.16</w:t>
      </w:r>
      <w:r>
        <w:rPr>
          <w:rFonts w:hint="default"/>
          <w:lang w:val="zh-CN" w:eastAsia="zh-CN"/>
        </w:rPr>
        <w:t>万元，1—12月预算执行总体进度为</w:t>
      </w:r>
      <w:r>
        <w:rPr>
          <w:rFonts w:hint="default"/>
          <w:lang w:val="en-US" w:eastAsia="zh-CN"/>
        </w:rPr>
        <w:t>100</w:t>
      </w:r>
      <w:r>
        <w:rPr>
          <w:rFonts w:hint="default"/>
          <w:lang w:val="zh-CN" w:eastAsia="zh-CN"/>
        </w:rPr>
        <w:t>%，其中：预算结余率大于10%的项目共计</w:t>
      </w:r>
      <w:r>
        <w:rPr>
          <w:rFonts w:hint="default"/>
          <w:lang w:val="en-US" w:eastAsia="zh-CN"/>
        </w:rPr>
        <w:t>0</w:t>
      </w:r>
      <w:r>
        <w:rPr>
          <w:rFonts w:hint="default"/>
          <w:lang w:val="zh-CN" w:eastAsia="zh-CN"/>
        </w:rPr>
        <w:t>个。</w:t>
      </w:r>
    </w:p>
    <w:p>
      <w:pPr>
        <w:rPr>
          <w:rFonts w:hint="default"/>
          <w:lang w:val="zh-CN" w:eastAsia="zh-CN"/>
        </w:rPr>
      </w:pPr>
      <w:r>
        <w:rPr>
          <w:rFonts w:hint="default"/>
          <w:lang w:val="en-US" w:eastAsia="zh-CN"/>
        </w:rPr>
        <w:t>阶段（一次性）项目绩效分析。</w:t>
      </w:r>
      <w:r>
        <w:rPr>
          <w:rFonts w:hint="default"/>
          <w:lang w:val="zh-CN" w:eastAsia="zh-CN"/>
        </w:rPr>
        <w:t>该类项目总数</w:t>
      </w:r>
      <w:r>
        <w:rPr>
          <w:rFonts w:hint="default"/>
          <w:lang w:val="en-US" w:eastAsia="zh-CN"/>
        </w:rPr>
        <w:t>15</w:t>
      </w:r>
      <w:r>
        <w:rPr>
          <w:rFonts w:hint="default"/>
          <w:lang w:val="zh-CN" w:eastAsia="zh-CN"/>
        </w:rPr>
        <w:t>个，涉及预算总金额</w:t>
      </w:r>
      <w:r>
        <w:rPr>
          <w:rFonts w:hint="default"/>
          <w:lang w:val="en-US" w:eastAsia="zh-CN"/>
        </w:rPr>
        <w:t>1364.85</w:t>
      </w:r>
      <w:r>
        <w:rPr>
          <w:rFonts w:hint="default"/>
          <w:lang w:val="zh-CN" w:eastAsia="zh-CN"/>
        </w:rPr>
        <w:t>万元，1—12月预算执行总体进度为</w:t>
      </w:r>
      <w:r>
        <w:rPr>
          <w:rFonts w:hint="default"/>
          <w:lang w:val="en-US" w:eastAsia="zh-CN"/>
        </w:rPr>
        <w:t>100</w:t>
      </w:r>
      <w:r>
        <w:rPr>
          <w:rFonts w:hint="default"/>
          <w:lang w:val="zh-CN" w:eastAsia="zh-CN"/>
        </w:rPr>
        <w:t>%，其中：预算结余率大于10%的项目共计</w:t>
      </w:r>
      <w:r>
        <w:rPr>
          <w:rFonts w:hint="default"/>
          <w:lang w:val="en-US" w:eastAsia="zh-CN"/>
        </w:rPr>
        <w:t>0</w:t>
      </w:r>
      <w:r>
        <w:rPr>
          <w:rFonts w:hint="default"/>
          <w:lang w:val="zh-CN" w:eastAsia="zh-CN"/>
        </w:rPr>
        <w:t>个</w:t>
      </w:r>
      <w:r>
        <w:rPr>
          <w:rFonts w:hint="eastAsia"/>
          <w:lang w:val="zh-CN" w:eastAsia="zh-CN"/>
        </w:rPr>
        <w:t>。</w:t>
      </w:r>
    </w:p>
    <w:p>
      <w:pPr>
        <w:rPr>
          <w:rFonts w:hint="default"/>
          <w:lang w:val="en-US" w:eastAsia="zh-CN"/>
        </w:rPr>
      </w:pPr>
      <w:r>
        <w:rPr>
          <w:rFonts w:hint="eastAsia"/>
          <w:lang w:val="en-US" w:eastAsia="zh-CN"/>
        </w:rPr>
        <w:t>1.</w:t>
      </w:r>
      <w:r>
        <w:rPr>
          <w:rFonts w:hint="default"/>
          <w:lang w:val="zh-CN" w:eastAsia="zh-CN"/>
        </w:rPr>
        <w:t>项目决策。一是决策程序，</w:t>
      </w:r>
      <w:r>
        <w:rPr>
          <w:rFonts w:hint="default"/>
          <w:lang w:val="en-US" w:eastAsia="zh-CN"/>
        </w:rPr>
        <w:t>领导班子集体决策制定2024年总体工作规划，从党建引领、招商引资项目包装、解决民生实事</w:t>
      </w:r>
      <w:r>
        <w:rPr>
          <w:rFonts w:hint="default"/>
          <w:lang w:val="zh-CN" w:eastAsia="zh-CN"/>
        </w:rPr>
        <w:t>、预防管控辖区安全、协调解决矛盾纠纷、盘活利用闲置资源、完善辖区公共设施等方面入手，</w:t>
      </w:r>
      <w:r>
        <w:rPr>
          <w:rFonts w:hint="default"/>
          <w:lang w:val="en-US" w:eastAsia="zh-CN"/>
        </w:rPr>
        <w:t>积极对接上级部门，向上争取工作经费。二是</w:t>
      </w:r>
      <w:r>
        <w:rPr>
          <w:rFonts w:hint="default"/>
          <w:lang w:val="zh-CN" w:eastAsia="zh-CN"/>
        </w:rPr>
        <w:t>目标设置，根据每个项目具体实施工程，从投入经济性、立项必要性、筹资合理性、绩效目标合理开展前期项目论证工作，制定包含产出指标、效益指标、成本指标和满意度指标的绩效目标表，真正做到一项目一管理，让项目资金合理利用。三是项目入库，</w:t>
      </w:r>
      <w:r>
        <w:rPr>
          <w:rFonts w:hint="default"/>
          <w:lang w:val="en-US" w:eastAsia="zh-CN"/>
        </w:rPr>
        <w:t>2024年新增项目24个，严格把控项目的数量与质量。</w:t>
      </w:r>
    </w:p>
    <w:p>
      <w:pPr>
        <w:rPr>
          <w:rFonts w:hint="default"/>
          <w:lang w:val="zh-CN" w:eastAsia="zh-CN"/>
        </w:rPr>
      </w:pPr>
      <w:r>
        <w:rPr>
          <w:rFonts w:hint="default"/>
          <w:lang w:val="en-US" w:eastAsia="zh-CN"/>
        </w:rPr>
        <w:t>2.项目执行</w:t>
      </w:r>
      <w:r>
        <w:rPr>
          <w:rFonts w:hint="default"/>
          <w:lang w:val="zh-CN" w:eastAsia="zh-CN"/>
        </w:rPr>
        <w:t>。一是资金执行同向，街办的工作规划与区委区政府保持一致，项目追加经费由区政府和区财政审核批复后再使用，项目资金的使用符合省委省政府、市委市政府、区委区政府的重点任务要求和发展规划、与单位的长期规划目标和年度工作目标相一致；二是项目调整，</w:t>
      </w:r>
      <w:r>
        <w:rPr>
          <w:rFonts w:hint="default"/>
          <w:lang w:val="en-US" w:eastAsia="zh-CN"/>
        </w:rPr>
        <w:t>2024年项目调整35个，均为年中追加项目经费，主要用于保障街办专项工作的开展，如老旧小区改造</w:t>
      </w:r>
      <w:r>
        <w:rPr>
          <w:rFonts w:hint="default"/>
          <w:lang w:val="zh-CN" w:eastAsia="zh-CN"/>
        </w:rPr>
        <w:t>、走访慰问困难群众和退役军人、打造共同富裕点位等，与去年相比，其中年初预算项目均为</w:t>
      </w:r>
      <w:r>
        <w:rPr>
          <w:rFonts w:hint="default"/>
          <w:lang w:val="en-US" w:eastAsia="zh-CN"/>
        </w:rPr>
        <w:t>5个，19万元；年中追加经费由于受当年工作规划的影响，存在变动合理；三是</w:t>
      </w:r>
      <w:r>
        <w:rPr>
          <w:rFonts w:hint="default"/>
          <w:lang w:val="zh-CN" w:eastAsia="zh-CN"/>
        </w:rPr>
        <w:t>执行结果，</w:t>
      </w:r>
      <w:r>
        <w:rPr>
          <w:rFonts w:hint="default"/>
          <w:lang w:val="en-US" w:eastAsia="zh-CN"/>
        </w:rPr>
        <w:t>2024年申请项目经费1526.01万元，实际使用1526.01万元，</w:t>
      </w:r>
      <w:r>
        <w:rPr>
          <w:rFonts w:hint="default"/>
          <w:lang w:val="zh-CN" w:eastAsia="zh-CN"/>
        </w:rPr>
        <w:t>预算执行总体进度为</w:t>
      </w:r>
      <w:r>
        <w:rPr>
          <w:rFonts w:hint="default"/>
          <w:lang w:val="en-US" w:eastAsia="zh-CN"/>
        </w:rPr>
        <w:t>100</w:t>
      </w:r>
      <w:r>
        <w:rPr>
          <w:rFonts w:hint="default"/>
          <w:lang w:val="zh-CN" w:eastAsia="zh-CN"/>
        </w:rPr>
        <w:t>%，预算结余率大于</w:t>
      </w:r>
      <w:r>
        <w:rPr>
          <w:rFonts w:hint="default"/>
          <w:lang w:val="en-US" w:eastAsia="zh-CN"/>
        </w:rPr>
        <w:t>10%</w:t>
      </w:r>
      <w:r>
        <w:rPr>
          <w:rFonts w:hint="default"/>
          <w:lang w:val="zh-CN" w:eastAsia="zh-CN"/>
        </w:rPr>
        <w:t>的项目共计</w:t>
      </w:r>
      <w:r>
        <w:rPr>
          <w:rFonts w:hint="default"/>
          <w:lang w:val="en-US" w:eastAsia="zh-CN"/>
        </w:rPr>
        <w:t>0</w:t>
      </w:r>
      <w:r>
        <w:rPr>
          <w:rFonts w:hint="default"/>
          <w:lang w:val="zh-CN" w:eastAsia="zh-CN"/>
        </w:rPr>
        <w:t>个</w:t>
      </w:r>
      <w:r>
        <w:rPr>
          <w:rFonts w:hint="default"/>
          <w:lang w:val="en-US" w:eastAsia="zh-CN"/>
        </w:rPr>
        <w:t>。</w:t>
      </w:r>
      <w:r>
        <w:rPr>
          <w:rFonts w:hint="default"/>
          <w:lang w:val="zh-CN" w:eastAsia="zh-CN"/>
        </w:rPr>
        <w:t>有序开展基层自治、对外宣传、组织文体活动、开展燃气安全等入户排查、对生病困难的党员同志和建档立卡困户走访慰问、对辖区重点人群开展谈心谈话重点稳控，接受省、市、区各业务主管部门工作指导及检查监督，完善街办各类制度，优化健全各类办事流程。</w:t>
      </w:r>
    </w:p>
    <w:p>
      <w:pPr>
        <w:rPr>
          <w:rFonts w:hint="default"/>
          <w:lang w:val="en-US" w:eastAsia="zh-CN"/>
        </w:rPr>
      </w:pPr>
      <w:r>
        <w:rPr>
          <w:rFonts w:hint="default"/>
          <w:lang w:val="en-US" w:eastAsia="zh-CN"/>
        </w:rPr>
        <w:t>3.</w:t>
      </w:r>
      <w:r>
        <w:rPr>
          <w:rFonts w:hint="default"/>
          <w:lang w:val="zh-CN" w:eastAsia="zh-CN"/>
        </w:rPr>
        <w:t>目标实现。</w:t>
      </w:r>
      <w:r>
        <w:rPr>
          <w:rFonts w:hint="default"/>
          <w:lang w:val="en-US" w:eastAsia="zh-CN"/>
        </w:rPr>
        <w:t>2024年街办预算资金1526.01万元由区财政局纳入一体化管理平台统一管理，专款专用，资金拨付执行审批程序，使用规范，入账手续齐全。</w:t>
      </w:r>
    </w:p>
    <w:p>
      <w:pPr>
        <w:rPr>
          <w:rFonts w:hint="default"/>
          <w:lang w:val="en-US" w:eastAsia="zh-CN"/>
        </w:rPr>
      </w:pPr>
      <w:r>
        <w:rPr>
          <w:rFonts w:hint="default"/>
          <w:lang w:val="en-US" w:eastAsia="zh-CN"/>
        </w:rPr>
        <w:t>省级部门对2024年度一般公共预算、政府性基金预算、国有资本经营预算安排的常年项目、阶段项目绩效目标完成情况，以及债券资金、政府购买服务有关情况进行梳理阐述。</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w:t>
      </w:r>
      <w:r>
        <w:rPr>
          <w:rFonts w:hint="eastAsia" w:ascii="楷体_GB2312" w:hAnsi="楷体_GB2312" w:eastAsia="楷体_GB2312" w:cs="楷体_GB2312"/>
          <w:b/>
          <w:bCs/>
          <w:lang w:val="en-US" w:eastAsia="zh-CN"/>
        </w:rPr>
        <w:t>三</w:t>
      </w:r>
      <w:r>
        <w:rPr>
          <w:rFonts w:hint="eastAsia" w:ascii="楷体_GB2312" w:hAnsi="楷体_GB2312" w:eastAsia="楷体_GB2312" w:cs="楷体_GB2312"/>
          <w:b/>
          <w:bCs/>
          <w:lang w:val="zh-CN" w:eastAsia="zh-CN"/>
        </w:rPr>
        <w:t>）绩效结果应用情况。</w:t>
      </w:r>
    </w:p>
    <w:p>
      <w:pPr>
        <w:rPr>
          <w:rFonts w:hint="default"/>
        </w:rPr>
      </w:pPr>
      <w:r>
        <w:rPr>
          <w:rFonts w:hint="default"/>
          <w:lang w:val="zh-CN" w:eastAsia="zh-CN"/>
        </w:rPr>
        <w:t>一是内部应用，</w:t>
      </w:r>
      <w:r>
        <w:rPr>
          <w:rFonts w:hint="default"/>
          <w:lang w:val="en-US" w:eastAsia="zh-CN"/>
        </w:rPr>
        <w:t>街办加强绩效管理工作制度化、规范化建设，积极开展事前绩效评估、绩效目标管理、绩效运行监控、绩效评价等工作。</w:t>
      </w:r>
      <w:r>
        <w:rPr>
          <w:rFonts w:hint="default"/>
          <w:lang w:val="zh-CN" w:eastAsia="zh-CN"/>
        </w:rPr>
        <w:t>二是信息公开</w:t>
      </w:r>
      <w:r>
        <w:rPr>
          <w:rFonts w:hint="default"/>
          <w:lang w:val="en-US" w:eastAsia="zh-CN"/>
        </w:rPr>
        <w:t>，已按照规定时间、内容及时收集、整理、分析与部门整体阶段性资金支出及绩效目标完成相关的数据、信息并上报，按时限要求公开单位预算决算信息。三是</w:t>
      </w:r>
      <w:r>
        <w:rPr>
          <w:rFonts w:hint="default"/>
          <w:lang w:val="zh-CN" w:eastAsia="zh-CN"/>
        </w:rPr>
        <w:t>整改反馈，</w:t>
      </w:r>
      <w:r>
        <w:rPr>
          <w:rFonts w:hint="default"/>
          <w:lang w:val="en-US" w:eastAsia="zh-CN"/>
        </w:rPr>
        <w:t>严格对照项目支出绩效评价发现的问题，查找管理漏洞，强化结果应用，将评价结果用于制定政策、完善内控管理制度，对近三年内纪检监察、审计、财政等部门的各项检查、绩效评价等发现的立即整改问题已全部规范整改。</w:t>
      </w:r>
    </w:p>
    <w:p>
      <w:pPr>
        <w:rPr>
          <w:rFonts w:hint="eastAsia" w:ascii="黑体" w:hAnsi="黑体" w:eastAsia="黑体" w:cs="黑体"/>
          <w:lang w:val="zh-CN"/>
        </w:rPr>
      </w:pPr>
      <w:bookmarkStart w:id="111" w:name="_Toc31966"/>
      <w:bookmarkStart w:id="112" w:name="_Toc2257"/>
      <w:r>
        <w:rPr>
          <w:rFonts w:hint="eastAsia" w:ascii="黑体" w:hAnsi="黑体" w:eastAsia="黑体" w:cs="黑体"/>
          <w:lang w:val="zh-CN" w:eastAsia="zh-CN"/>
        </w:rPr>
        <w:t>四、</w:t>
      </w:r>
      <w:r>
        <w:rPr>
          <w:rFonts w:hint="eastAsia" w:ascii="黑体" w:hAnsi="黑体" w:eastAsia="黑体" w:cs="黑体"/>
          <w:lang w:val="zh-CN"/>
        </w:rPr>
        <w:t>评价结论及建议</w:t>
      </w:r>
      <w:bookmarkEnd w:id="111"/>
      <w:bookmarkEnd w:id="112"/>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（一）评价结论。</w:t>
      </w:r>
    </w:p>
    <w:p>
      <w:pPr>
        <w:rPr>
          <w:rFonts w:hint="default"/>
          <w:lang w:val="zh-CN" w:eastAsia="zh-CN"/>
        </w:rPr>
      </w:pPr>
      <w:r>
        <w:rPr>
          <w:rFonts w:hint="default"/>
          <w:lang w:val="zh-CN" w:eastAsia="zh-CN"/>
        </w:rPr>
        <w:t>根据部门整体支出绩效评价指标规定的内容，经我街道认真自评，2024年度部门整体绩效评价得分为</w:t>
      </w:r>
      <w:r>
        <w:rPr>
          <w:rFonts w:hint="default"/>
          <w:lang w:val="en-US" w:eastAsia="zh-CN"/>
        </w:rPr>
        <w:t>97.4</w:t>
      </w:r>
      <w:r>
        <w:rPr>
          <w:rFonts w:hint="default"/>
          <w:lang w:val="zh-CN" w:eastAsia="zh-CN"/>
        </w:rPr>
        <w:t>分。按照区级部门预算编制通知和有关要求，按时完成预算编制准确。部门整体绩效目标编制完整、合理，项目绩效目标编制明确、量化。按要求严格预算执行管理。及时足额将非税收入缴入财政国库。严格执行“三公”经费预算，没有产生债务。按要求及时公开预算、决算、绩效等信息。按要求及时、准确、全面开展资产清查工作，上报国有资产报表数据的真实性、准确性、全面性。内部控制制度健全完整并执行良好。</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（二）存在问题。</w:t>
      </w:r>
    </w:p>
    <w:p>
      <w:pPr>
        <w:rPr>
          <w:rFonts w:hint="default"/>
          <w:lang w:val="zh-CN" w:eastAsia="zh-CN"/>
        </w:rPr>
      </w:pPr>
      <w:r>
        <w:rPr>
          <w:rFonts w:hint="default"/>
          <w:lang w:val="zh-CN" w:eastAsia="zh-CN"/>
        </w:rPr>
        <w:t>一是内控制度需进一步完善，随着资金管理改革的进一步推进，我街道内部机构进行了相应的优化，建立健全了财务管理制度、费用报销规程等制度，但仍需进一步强化财务约束监督体制。二是除政策性因素以外，由于部分临时、紧急或突发的工作任务导致追加预算。三是业务能力有待加强，同时缺乏相应的专业知识，对预算绩效管理的相关业务培训需要进一步加强。</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（三）改进建议。</w:t>
      </w:r>
      <w:bookmarkStart w:id="113" w:name="_Hlk110546638"/>
    </w:p>
    <w:p>
      <w:pPr>
        <w:rPr>
          <w:rFonts w:hint="default"/>
          <w:lang w:val="zh-CN" w:eastAsia="zh-CN"/>
        </w:rPr>
      </w:pPr>
      <w:r>
        <w:rPr>
          <w:rFonts w:hint="default"/>
          <w:lang w:val="en-US" w:eastAsia="zh-CN"/>
        </w:rPr>
        <w:t>细化预算编制工作，认真做好预算的编制。严格按照预算编制的相关制度和要求进行预算编制。加强财务管理，严格财务审核。加强单位财务管理，健全单位财务管理制度体系，规范单位财务行为。完善资产管理，抓好“三公”经费控制。严格控制“三公”经费规模和比例，把关“三公”经费支出的审核、审批，杜绝挪用和挤占其他预算资金行为；进一步细化“三公”经费的管理，合理压缩“三公”经费支出。</w:t>
      </w:r>
      <w:bookmarkEnd w:id="113"/>
    </w:p>
    <w:p>
      <w:pPr>
        <w:rPr>
          <w:rFonts w:hint="default"/>
          <w:lang w:val="zh-CN" w:eastAsia="zh-CN"/>
        </w:rPr>
      </w:pPr>
    </w:p>
    <w:p>
      <w:pPr>
        <w:rPr>
          <w:rFonts w:hint="default"/>
          <w:lang w:val="zh-CN" w:eastAsia="zh-CN"/>
        </w:rPr>
      </w:pPr>
      <w:r>
        <w:rPr>
          <w:rFonts w:hint="default"/>
          <w:lang w:val="zh-CN" w:eastAsia="zh-CN"/>
        </w:rPr>
        <w:t>附表：</w:t>
      </w:r>
      <w:r>
        <w:rPr>
          <w:rFonts w:hint="default"/>
          <w:lang w:val="en-US" w:eastAsia="zh-CN"/>
        </w:rPr>
        <w:t>部门预算项目支出绩效自评表（2024年度）</w:t>
      </w:r>
    </w:p>
    <w:p>
      <w:pPr>
        <w:rPr>
          <w:rFonts w:hint="default"/>
          <w:lang w:val="zh-CN"/>
        </w:rPr>
      </w:pPr>
      <w:r>
        <w:rPr>
          <w:rFonts w:hint="default"/>
          <w:lang w:val="zh-CN"/>
        </w:rPr>
        <w:br w:type="page"/>
      </w:r>
    </w:p>
    <w:p>
      <w:pPr>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zh-CN"/>
        </w:rPr>
        <w:t>附件</w:t>
      </w:r>
      <w:r>
        <w:rPr>
          <w:rFonts w:hint="default" w:ascii="Times New Roman" w:hAnsi="Times New Roman" w:eastAsia="黑体" w:cs="Times New Roman"/>
          <w:lang w:val="en-US" w:eastAsia="zh-CN"/>
        </w:rPr>
        <w:t>2</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14" w:name="_Toc14161"/>
      <w:r>
        <w:rPr>
          <w:rFonts w:hint="eastAsia" w:ascii="方正小标宋_GBK" w:hAnsi="方正小标宋_GBK" w:eastAsia="方正小标宋_GBK" w:cs="方正小标宋_GBK"/>
          <w:b/>
          <w:bCs/>
          <w:sz w:val="44"/>
          <w:szCs w:val="44"/>
          <w:lang w:val="en-US" w:eastAsia="zh-CN"/>
        </w:rPr>
        <w:t>保障性安居工程（老旧小区改造）专项预算</w:t>
      </w:r>
      <w:bookmarkEnd w:id="114"/>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15" w:name="_Toc31035"/>
      <w:r>
        <w:rPr>
          <w:rFonts w:hint="eastAsia" w:ascii="方正小标宋_GBK" w:hAnsi="方正小标宋_GBK" w:eastAsia="方正小标宋_GBK" w:cs="方正小标宋_GBK"/>
          <w:b/>
          <w:bCs/>
          <w:sz w:val="44"/>
          <w:szCs w:val="44"/>
          <w:lang w:val="en-US" w:eastAsia="zh-CN"/>
        </w:rPr>
        <w:t>项目绩效评价报告</w:t>
      </w:r>
      <w:bookmarkEnd w:id="115"/>
    </w:p>
    <w:p>
      <w:pPr>
        <w:rPr>
          <w:rFonts w:hint="default"/>
        </w:rPr>
      </w:pPr>
    </w:p>
    <w:p>
      <w:pPr>
        <w:rPr>
          <w:rFonts w:hint="eastAsia" w:ascii="黑体" w:hAnsi="黑体" w:eastAsia="黑体" w:cs="黑体"/>
          <w:lang w:val="zh-CN"/>
        </w:rPr>
      </w:pPr>
      <w:bookmarkStart w:id="116" w:name="_Toc8111"/>
      <w:bookmarkStart w:id="117" w:name="_Toc8718"/>
      <w:r>
        <w:rPr>
          <w:rFonts w:hint="eastAsia" w:ascii="黑体" w:hAnsi="黑体" w:eastAsia="黑体" w:cs="黑体"/>
        </w:rPr>
        <w:t>一、</w:t>
      </w:r>
      <w:r>
        <w:rPr>
          <w:rFonts w:hint="eastAsia" w:ascii="黑体" w:hAnsi="黑体" w:eastAsia="黑体" w:cs="黑体"/>
          <w:lang w:val="zh-CN"/>
        </w:rPr>
        <w:t>项目概况</w:t>
      </w:r>
      <w:bookmarkEnd w:id="116"/>
      <w:bookmarkEnd w:id="117"/>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（一）设立背景及基本情况。</w:t>
      </w:r>
    </w:p>
    <w:p>
      <w:pPr>
        <w:rPr>
          <w:rFonts w:hint="default"/>
          <w:lang w:val="zh-CN" w:eastAsia="zh-CN"/>
        </w:rPr>
      </w:pPr>
      <w:r>
        <w:rPr>
          <w:rFonts w:hint="default"/>
          <w:lang w:val="zh-CN" w:eastAsia="zh-CN"/>
        </w:rPr>
        <w:t>项目内房屋多为70年代～90年代所建，道路、路灯、围栏、绿化、休闲娱乐设施等基础设施陈旧、落后，环境亟需改善、提高，也存在极大的安全隐患，居民对老旧小区改造的呼声较大。本项目是对老旧小区进行改造，包括污水管网改造、道路改造、屋面防水改造、边坡及挡墙改造、路灯及配套电力设施改造、环卫基础设施改造、消防设施改造、安全防护设施改造、环境基础设施改造。</w:t>
      </w:r>
    </w:p>
    <w:p>
      <w:pPr>
        <w:rPr>
          <w:rFonts w:hint="default"/>
          <w:lang w:val="en-US" w:eastAsia="zh-CN"/>
        </w:rPr>
      </w:pPr>
      <w:r>
        <w:rPr>
          <w:rFonts w:hint="default"/>
          <w:lang w:val="zh-CN" w:eastAsia="zh-CN"/>
        </w:rPr>
        <w:t>立项依据：根据《国务院办公厅关于全面推进城镇老旧小区改造工作的指导意见》，完善基础设施、改善人居</w:t>
      </w:r>
      <w:r>
        <w:rPr>
          <w:rFonts w:hint="default"/>
          <w:lang w:val="en-US" w:eastAsia="zh-CN"/>
        </w:rPr>
        <w:t xml:space="preserve">环境。 </w:t>
      </w:r>
    </w:p>
    <w:p>
      <w:pPr>
        <w:rPr>
          <w:rFonts w:hint="default"/>
          <w:lang w:val="zh-CN" w:eastAsia="zh-CN"/>
        </w:rPr>
      </w:pPr>
      <w:r>
        <w:rPr>
          <w:rFonts w:hint="default"/>
          <w:lang w:val="zh-CN" w:eastAsia="zh-CN"/>
        </w:rPr>
        <w:t>资金申报依据：经区住建局审核，纳入2024年中央及省级保障性安居工程专项资金计划，按程序报区财政局批复。</w:t>
      </w:r>
    </w:p>
    <w:p>
      <w:pPr>
        <w:rPr>
          <w:rFonts w:hint="default"/>
          <w:lang w:val="zh-CN" w:eastAsia="zh-CN"/>
        </w:rPr>
      </w:pPr>
      <w:r>
        <w:rPr>
          <w:rFonts w:hint="default"/>
          <w:lang w:val="zh-CN" w:eastAsia="zh-CN"/>
        </w:rPr>
        <w:t>项目主管部门为区住建局，负责统筹保障性安居工程专项资金的分配与监管，指导街办规范使用资金，推动老旧小区改造工作，提升居民居住环境质量。</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（二）实施目的及支持方向。</w:t>
      </w:r>
    </w:p>
    <w:p>
      <w:pPr>
        <w:rPr>
          <w:rFonts w:hint="default"/>
          <w:lang w:val="zh-CN" w:eastAsia="zh-CN"/>
        </w:rPr>
      </w:pPr>
      <w:r>
        <w:rPr>
          <w:rFonts w:hint="default"/>
          <w:lang w:val="en-US" w:eastAsia="zh-CN"/>
        </w:rPr>
        <w:t>项目的实施是改善城市环境的需要。小区作为城市组成的基本单元，小区的环境直接影响着城市的整体形象。老旧小区建设时间较早，大多处在城市中心地区，对城市的整体环境尤为重要。因此，推进老旧小区综合整治工作可以改变小区现状的整体情况，改变城市整体形象，使之融入城市的发展。通过本项目的实施，可以改善西区陶家渡片区的整体环境，提升居住内在品质，使小区旧貌换新颜，以及改善西区城市发展环境的需要。</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en-US" w:eastAsia="zh-CN"/>
        </w:rPr>
        <w:t>（三）预算安排及分配管理</w:t>
      </w:r>
      <w:r>
        <w:rPr>
          <w:rFonts w:hint="eastAsia" w:ascii="楷体_GB2312" w:hAnsi="楷体_GB2312" w:eastAsia="楷体_GB2312" w:cs="楷体_GB2312"/>
          <w:b/>
          <w:bCs/>
          <w:lang w:val="zh-CN" w:eastAsia="zh-CN"/>
        </w:rPr>
        <w:t>。</w:t>
      </w:r>
    </w:p>
    <w:p>
      <w:pPr>
        <w:rPr>
          <w:rFonts w:hint="default"/>
          <w:lang w:val="en-US" w:eastAsia="zh-CN"/>
        </w:rPr>
      </w:pPr>
      <w:r>
        <w:rPr>
          <w:rFonts w:hint="default"/>
          <w:lang w:val="zh-CN" w:eastAsia="zh-CN"/>
        </w:rPr>
        <w:t>申报金额</w:t>
      </w:r>
      <w:r>
        <w:rPr>
          <w:rFonts w:hint="default"/>
          <w:lang w:val="en-US" w:eastAsia="zh-CN"/>
        </w:rPr>
        <w:t>1277.71</w:t>
      </w:r>
      <w:r>
        <w:rPr>
          <w:rFonts w:hint="default"/>
          <w:lang w:val="zh-CN" w:eastAsia="zh-CN"/>
        </w:rPr>
        <w:t>万元，经区住建局、财政局审核后全额批复，无预算调整。</w:t>
      </w:r>
      <w:r>
        <w:rPr>
          <w:rFonts w:hint="default"/>
          <w:lang w:val="en-US" w:eastAsia="zh-CN"/>
        </w:rPr>
        <w:t>2024年江南片区老旧西区改造项目共1032.76万元，花山西路老旧西区改造项目共244.95万元。</w:t>
      </w:r>
    </w:p>
    <w:p>
      <w:pPr>
        <w:ind w:left="0" w:leftChars="0" w:firstLine="642" w:firstLineChars="200"/>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（四）项目绩效目标设置。</w:t>
      </w:r>
    </w:p>
    <w:p>
      <w:pPr>
        <w:rPr>
          <w:rFonts w:hint="default"/>
          <w:lang w:val="zh-CN" w:eastAsia="zh-CN"/>
        </w:rPr>
      </w:pPr>
      <w:r>
        <w:rPr>
          <w:rFonts w:hint="default"/>
          <w:lang w:val="zh-CN" w:eastAsia="zh-CN"/>
        </w:rPr>
        <w:t>1.项目主要内容。</w:t>
      </w:r>
    </w:p>
    <w:p>
      <w:pPr>
        <w:rPr>
          <w:rFonts w:hint="default"/>
          <w:lang w:val="zh-CN" w:eastAsia="zh-CN"/>
        </w:rPr>
      </w:pPr>
      <w:r>
        <w:rPr>
          <w:rFonts w:hint="default"/>
          <w:lang w:val="zh-CN" w:eastAsia="zh-CN"/>
        </w:rPr>
        <w:t>基础设施改造：修复破损道路、更新排水管网、修缮建筑外立面及屋顶防水层；</w:t>
      </w:r>
    </w:p>
    <w:p>
      <w:pPr>
        <w:rPr>
          <w:rFonts w:hint="default"/>
          <w:lang w:val="zh-CN" w:eastAsia="zh-CN"/>
        </w:rPr>
      </w:pPr>
      <w:r>
        <w:rPr>
          <w:rFonts w:hint="default"/>
          <w:lang w:val="zh-CN" w:eastAsia="zh-CN"/>
        </w:rPr>
        <w:t>公共设施完善：新建居民活动广场、增设健身器材及安防设施；</w:t>
      </w:r>
    </w:p>
    <w:p>
      <w:pPr>
        <w:rPr>
          <w:rFonts w:hint="default"/>
          <w:lang w:val="zh-CN" w:eastAsia="zh-CN"/>
        </w:rPr>
      </w:pPr>
      <w:r>
        <w:rPr>
          <w:rFonts w:hint="default"/>
          <w:lang w:val="zh-CN" w:eastAsia="zh-CN"/>
        </w:rPr>
        <w:t>环境整治：绿化提升、垃圾分类设施安装、违建拆除。</w:t>
      </w:r>
    </w:p>
    <w:p>
      <w:pPr>
        <w:rPr>
          <w:rFonts w:hint="default"/>
          <w:lang w:val="zh-CN" w:eastAsia="zh-CN"/>
        </w:rPr>
      </w:pPr>
      <w:r>
        <w:rPr>
          <w:rFonts w:hint="default"/>
          <w:lang w:val="zh-CN" w:eastAsia="zh-CN"/>
        </w:rPr>
        <w:t>2.项目应实现的具体绩效目标。</w:t>
      </w:r>
    </w:p>
    <w:p>
      <w:pPr>
        <w:rPr>
          <w:rFonts w:hint="default"/>
          <w:lang w:val="zh-CN" w:eastAsia="zh-CN"/>
        </w:rPr>
      </w:pPr>
      <w:r>
        <w:rPr>
          <w:rFonts w:hint="default"/>
          <w:lang w:val="zh-CN" w:eastAsia="zh-CN"/>
        </w:rPr>
        <w:t>量化目标：改造污水管网、道路及人行道、新建活动广场；绿化提升、惠及江南片区老旧小区居民。</w:t>
      </w:r>
    </w:p>
    <w:p>
      <w:pPr>
        <w:rPr>
          <w:rFonts w:hint="default"/>
          <w:lang w:val="zh-CN" w:eastAsia="zh-CN"/>
        </w:rPr>
      </w:pPr>
      <w:r>
        <w:rPr>
          <w:rFonts w:hint="default"/>
          <w:lang w:val="zh-CN" w:eastAsia="zh-CN"/>
        </w:rPr>
        <w:t>进度计划：按照工程进度拨付资金。</w:t>
      </w:r>
    </w:p>
    <w:p>
      <w:pPr>
        <w:rPr>
          <w:rFonts w:hint="default"/>
          <w:lang w:val="zh-CN" w:eastAsia="zh-CN"/>
        </w:rPr>
      </w:pPr>
      <w:r>
        <w:rPr>
          <w:rFonts w:hint="default"/>
          <w:lang w:val="zh-CN" w:eastAsia="zh-CN"/>
        </w:rPr>
        <w:t>3.分析评价申报内容是否与实际相符，申报目标是否合理可行。</w:t>
      </w:r>
    </w:p>
    <w:p>
      <w:pPr>
        <w:rPr>
          <w:rFonts w:hint="default"/>
          <w:lang w:val="zh-CN" w:eastAsia="zh-CN"/>
        </w:rPr>
      </w:pPr>
      <w:r>
        <w:rPr>
          <w:rFonts w:hint="default"/>
          <w:lang w:val="zh-CN" w:eastAsia="zh-CN"/>
        </w:rPr>
        <w:t>目标基于社区需求调研及历史改造数据，资金规模覆盖基础设施改造及环境整治成本，实施计划符合工程周期规律。</w:t>
      </w:r>
    </w:p>
    <w:p>
      <w:pPr>
        <w:rPr>
          <w:rFonts w:hint="eastAsia" w:ascii="黑体" w:hAnsi="黑体" w:eastAsia="黑体" w:cs="黑体"/>
          <w:lang w:eastAsia="zh-CN"/>
        </w:rPr>
      </w:pPr>
      <w:bookmarkStart w:id="118" w:name="_Toc3704"/>
      <w:bookmarkStart w:id="119" w:name="_Toc10864"/>
      <w:r>
        <w:rPr>
          <w:rFonts w:hint="eastAsia" w:ascii="黑体" w:hAnsi="黑体" w:eastAsia="黑体" w:cs="黑体"/>
        </w:rPr>
        <w:t>二、</w:t>
      </w:r>
      <w:r>
        <w:rPr>
          <w:rFonts w:hint="eastAsia" w:ascii="黑体" w:hAnsi="黑体" w:eastAsia="黑体" w:cs="黑体"/>
          <w:lang w:eastAsia="zh-CN"/>
        </w:rPr>
        <w:t>评价实施</w:t>
      </w:r>
      <w:bookmarkEnd w:id="118"/>
      <w:bookmarkEnd w:id="119"/>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（一）评价目的。</w:t>
      </w:r>
    </w:p>
    <w:p>
      <w:pPr>
        <w:rPr>
          <w:rFonts w:hint="default"/>
          <w:lang w:val="zh-CN" w:eastAsia="zh-CN"/>
        </w:rPr>
      </w:pPr>
      <w:r>
        <w:rPr>
          <w:rFonts w:hint="default"/>
          <w:lang w:val="en-US" w:eastAsia="zh-CN"/>
        </w:rPr>
        <w:t>研究制定实施方案、资金预算表和项目进度表。在项目实施周期内，按照项目进度表推进各项目的落实，确保各实施阶段的完工质量、进度等指标达到预期要求。</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（二）预设问题及评价重点。</w:t>
      </w:r>
    </w:p>
    <w:p>
      <w:pPr>
        <w:rPr>
          <w:rFonts w:hint="default"/>
          <w:lang w:val="zh-CN" w:eastAsia="zh-CN"/>
        </w:rPr>
      </w:pPr>
      <w:r>
        <w:rPr>
          <w:rFonts w:hint="default"/>
          <w:lang w:eastAsia="zh-CN"/>
        </w:rPr>
        <w:t>本项目</w:t>
      </w:r>
      <w:r>
        <w:rPr>
          <w:rFonts w:hint="default"/>
          <w:lang w:val="zh-CN" w:eastAsia="zh-CN"/>
        </w:rPr>
        <w:t>符合国家、省市关于老旧小区改造配套基础设施的相关政策，符合</w:t>
      </w:r>
      <w:r>
        <w:rPr>
          <w:rFonts w:hint="default"/>
          <w:lang w:eastAsia="zh-CN"/>
        </w:rPr>
        <w:t>攀枝花市、西区</w:t>
      </w:r>
      <w:r>
        <w:rPr>
          <w:rFonts w:hint="default"/>
          <w:lang w:val="zh-CN" w:eastAsia="zh-CN"/>
        </w:rPr>
        <w:t>发展总体规划，</w:t>
      </w:r>
      <w:r>
        <w:rPr>
          <w:rFonts w:hint="default"/>
          <w:lang w:eastAsia="zh-CN"/>
        </w:rPr>
        <w:t>属于公益性、服务性事业项目，以追求社会效益为主要目的，</w:t>
      </w:r>
      <w:r>
        <w:rPr>
          <w:rFonts w:hint="default"/>
          <w:lang w:val="zh-CN" w:eastAsia="zh-CN"/>
        </w:rPr>
        <w:t>项目的实施将完善项目区</w:t>
      </w:r>
      <w:r>
        <w:rPr>
          <w:rFonts w:hint="default"/>
          <w:lang w:eastAsia="zh-CN"/>
        </w:rPr>
        <w:t>的</w:t>
      </w:r>
      <w:r>
        <w:rPr>
          <w:rFonts w:hint="default"/>
          <w:lang w:val="zh-CN" w:eastAsia="zh-CN"/>
        </w:rPr>
        <w:t>道路、给排水、</w:t>
      </w:r>
      <w:r>
        <w:rPr>
          <w:rFonts w:hint="default"/>
          <w:lang w:eastAsia="zh-CN"/>
        </w:rPr>
        <w:t>绿化</w:t>
      </w:r>
      <w:r>
        <w:rPr>
          <w:rFonts w:hint="default"/>
          <w:lang w:val="zh-CN" w:eastAsia="zh-CN"/>
        </w:rPr>
        <w:t>等基础设施建设</w:t>
      </w:r>
      <w:r>
        <w:rPr>
          <w:rFonts w:hint="default"/>
          <w:lang w:eastAsia="zh-CN"/>
        </w:rPr>
        <w:t>，能够</w:t>
      </w:r>
      <w:r>
        <w:rPr>
          <w:rFonts w:hint="default"/>
          <w:lang w:val="zh-CN" w:eastAsia="zh-CN"/>
        </w:rPr>
        <w:t>改善居民的生活条件和居住环境，提高生活水平，</w:t>
      </w:r>
      <w:r>
        <w:rPr>
          <w:rFonts w:hint="default"/>
          <w:lang w:eastAsia="zh-CN"/>
        </w:rPr>
        <w:t>具有</w:t>
      </w:r>
      <w:r>
        <w:rPr>
          <w:rFonts w:hint="default"/>
          <w:lang w:val="zh-CN" w:eastAsia="zh-CN"/>
        </w:rPr>
        <w:t>明显</w:t>
      </w:r>
      <w:r>
        <w:rPr>
          <w:rFonts w:hint="default"/>
          <w:lang w:eastAsia="zh-CN"/>
        </w:rPr>
        <w:t>的</w:t>
      </w:r>
      <w:r>
        <w:rPr>
          <w:rFonts w:hint="default"/>
          <w:lang w:val="zh-CN" w:eastAsia="zh-CN"/>
        </w:rPr>
        <w:t>社会效益。</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（三）评价选点。</w:t>
      </w:r>
    </w:p>
    <w:p>
      <w:pPr>
        <w:rPr>
          <w:rFonts w:hint="default"/>
          <w:lang w:val="zh-CN" w:eastAsia="zh-CN"/>
        </w:rPr>
      </w:pPr>
      <w:r>
        <w:rPr>
          <w:rFonts w:hint="default"/>
          <w:lang w:val="zh-CN" w:eastAsia="zh-CN"/>
        </w:rPr>
        <w:t>街办通过定期和不定期开展实地查看，核查项目资料。</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（四）评价方法。</w:t>
      </w:r>
    </w:p>
    <w:p>
      <w:pPr>
        <w:rPr>
          <w:rFonts w:hint="default"/>
          <w:lang w:val="zh-CN" w:eastAsia="zh-CN"/>
        </w:rPr>
      </w:pPr>
      <w:r>
        <w:rPr>
          <w:rFonts w:hint="default"/>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（五）评价组织。</w:t>
      </w:r>
    </w:p>
    <w:p>
      <w:pPr>
        <w:rPr>
          <w:rFonts w:hint="default"/>
          <w:lang w:eastAsia="zh-CN"/>
        </w:rPr>
      </w:pPr>
      <w:r>
        <w:rPr>
          <w:rFonts w:hint="default"/>
          <w:lang w:val="zh-CN" w:eastAsia="zh-CN"/>
        </w:rPr>
        <w:t>评价组人员由实施该项目的具体负责业务股室、财务室及街办纪工委构成。</w:t>
      </w:r>
    </w:p>
    <w:p>
      <w:pPr>
        <w:rPr>
          <w:rFonts w:hint="eastAsia" w:ascii="黑体" w:hAnsi="黑体" w:eastAsia="黑体" w:cs="黑体"/>
          <w:lang w:val="zh-CN"/>
        </w:rPr>
      </w:pPr>
      <w:bookmarkStart w:id="120" w:name="_Toc24890"/>
      <w:bookmarkStart w:id="121" w:name="_Toc1989"/>
      <w:r>
        <w:rPr>
          <w:rFonts w:hint="eastAsia" w:ascii="黑体" w:hAnsi="黑体" w:eastAsia="黑体" w:cs="黑体"/>
        </w:rPr>
        <w:t>三、</w:t>
      </w:r>
      <w:r>
        <w:rPr>
          <w:rFonts w:hint="eastAsia" w:ascii="黑体" w:hAnsi="黑体" w:eastAsia="黑体" w:cs="黑体"/>
          <w:lang w:eastAsia="zh-CN"/>
        </w:rPr>
        <w:t>绩效分析</w:t>
      </w:r>
      <w:bookmarkEnd w:id="120"/>
      <w:bookmarkEnd w:id="121"/>
      <w:r>
        <w:rPr>
          <w:rFonts w:hint="eastAsia" w:ascii="黑体" w:hAnsi="黑体" w:eastAsia="黑体" w:cs="黑体"/>
          <w:lang w:val="zh-CN"/>
        </w:rPr>
        <w:tab/>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（一）</w:t>
      </w:r>
      <w:r>
        <w:rPr>
          <w:rFonts w:hint="eastAsia" w:ascii="楷体_GB2312" w:hAnsi="楷体_GB2312" w:eastAsia="楷体_GB2312" w:cs="楷体_GB2312"/>
          <w:b/>
          <w:bCs/>
          <w:lang w:val="en-US" w:eastAsia="zh-CN"/>
        </w:rPr>
        <w:t>通用指标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w:t>
      </w:r>
      <w:r>
        <w:rPr>
          <w:rFonts w:hint="default"/>
          <w:lang w:val="zh-CN" w:eastAsia="zh-CN"/>
        </w:rPr>
        <w:t>项目决策。</w:t>
      </w:r>
      <w:r>
        <w:rPr>
          <w:rFonts w:hint="eastAsia"/>
          <w:lang w:val="en-US" w:eastAsia="zh-CN"/>
        </w:rPr>
        <w:t>该项目</w:t>
      </w:r>
      <w:r>
        <w:rPr>
          <w:rFonts w:hint="eastAsia"/>
        </w:rPr>
        <w:t>及时、</w:t>
      </w:r>
      <w:r>
        <w:rPr>
          <w:rFonts w:hint="default"/>
        </w:rPr>
        <w:t>准确的在人民政府网站上进行公开，各项经费的开支都以批复为准，均以实际工作进展情况执行预算管理，以节约为本，严格控制各项经费的开支，积极执行绩效管理。</w:t>
      </w:r>
    </w:p>
    <w:p>
      <w:pPr>
        <w:rPr>
          <w:rFonts w:hint="default"/>
          <w:lang w:val="zh-CN"/>
        </w:rPr>
      </w:pPr>
      <w:r>
        <w:rPr>
          <w:rFonts w:hint="default"/>
          <w:lang w:val="en-US" w:eastAsia="zh-CN"/>
        </w:rPr>
        <w:t>2.</w:t>
      </w:r>
      <w:r>
        <w:rPr>
          <w:rFonts w:hint="default"/>
          <w:lang w:val="zh-CN" w:eastAsia="zh-CN"/>
        </w:rPr>
        <w:t>项目管理。</w:t>
      </w:r>
      <w:r>
        <w:rPr>
          <w:rFonts w:hint="default"/>
          <w:lang w:val="zh-CN"/>
        </w:rPr>
        <w:t>该项目由街办项目股室具体负责管理，定期和不定期对项目具体情况进行检查，街办财务室按照财务管理制度，审核票据，拨付资金，对票据资料规范管理，配合区财政对于该项目资金使用情况进行检查。</w:t>
      </w:r>
    </w:p>
    <w:p>
      <w:pPr>
        <w:rPr>
          <w:rFonts w:hint="default"/>
          <w:lang w:val="zh-CN" w:eastAsia="zh-CN"/>
        </w:rPr>
      </w:pPr>
      <w:r>
        <w:rPr>
          <w:rFonts w:hint="default"/>
          <w:lang w:val="en-US" w:eastAsia="zh-CN"/>
        </w:rPr>
        <w:t>3.项目实施。</w:t>
      </w:r>
      <w:r>
        <w:rPr>
          <w:rFonts w:hint="default"/>
          <w:lang w:val="zh-CN"/>
        </w:rPr>
        <w:t>按项目施工进度及时拨付</w:t>
      </w:r>
      <w:r>
        <w:rPr>
          <w:rFonts w:hint="default"/>
        </w:rPr>
        <w:t>。</w:t>
      </w:r>
    </w:p>
    <w:p>
      <w:pPr>
        <w:rPr>
          <w:rFonts w:hint="default"/>
          <w:lang w:val="zh-CN" w:eastAsia="zh-CN"/>
        </w:rPr>
      </w:pPr>
      <w:r>
        <w:rPr>
          <w:rFonts w:hint="default"/>
          <w:lang w:val="en-US" w:eastAsia="zh-CN"/>
        </w:rPr>
        <w:t>4.项目结果。</w:t>
      </w:r>
      <w:r>
        <w:rPr>
          <w:rFonts w:hint="default"/>
          <w:lang w:val="zh-CN"/>
        </w:rPr>
        <w:t>该项目目标完成情况好，时效可控</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w:t>
      </w:r>
      <w:r>
        <w:rPr>
          <w:rFonts w:hint="eastAsia" w:ascii="楷体_GB2312" w:hAnsi="楷体_GB2312" w:eastAsia="楷体_GB2312" w:cs="楷体_GB2312"/>
          <w:b/>
          <w:bCs/>
          <w:lang w:val="en-US" w:eastAsia="zh-CN"/>
        </w:rPr>
        <w:t>专用指标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1.产业发展。符合国家长期政策，大力发展西区银发经济。</w:t>
      </w:r>
    </w:p>
    <w:p>
      <w:pPr>
        <w:rPr>
          <w:rFonts w:hint="default"/>
          <w:lang w:val="en-US" w:eastAsia="zh-CN"/>
        </w:rPr>
      </w:pPr>
      <w:r>
        <w:rPr>
          <w:rFonts w:hint="default"/>
          <w:lang w:val="en-US" w:eastAsia="zh-CN"/>
        </w:rPr>
        <w:t>2.</w:t>
      </w:r>
      <w:r>
        <w:rPr>
          <w:rFonts w:hint="default"/>
          <w:lang w:val="zh-CN" w:eastAsia="zh-CN"/>
        </w:rPr>
        <w:t>民生保障。完善基础设施、改善人居环境。</w:t>
      </w:r>
    </w:p>
    <w:p>
      <w:pPr>
        <w:rPr>
          <w:rFonts w:hint="default"/>
          <w:lang w:val="zh-CN"/>
        </w:rPr>
      </w:pPr>
      <w:r>
        <w:rPr>
          <w:rFonts w:hint="default"/>
          <w:lang w:val="en-US" w:eastAsia="zh-CN"/>
        </w:rPr>
        <w:t>3.基础设施。</w:t>
      </w:r>
      <w:r>
        <w:rPr>
          <w:rFonts w:hint="default"/>
          <w:lang w:val="zh-CN"/>
        </w:rPr>
        <w:t>：修复破损道路、更新排水管网、修缮建筑外立面及屋顶防水层。</w:t>
      </w:r>
    </w:p>
    <w:p>
      <w:pPr>
        <w:rPr>
          <w:rFonts w:hint="default"/>
          <w:lang w:val="en-US" w:eastAsia="zh-CN"/>
        </w:rPr>
      </w:pPr>
      <w:r>
        <w:rPr>
          <w:rFonts w:hint="default"/>
          <w:lang w:val="en-US" w:eastAsia="zh-CN"/>
        </w:rPr>
        <w:t>4.</w:t>
      </w:r>
      <w:r>
        <w:rPr>
          <w:rFonts w:hint="default"/>
          <w:lang w:val="zh-CN" w:eastAsia="zh-CN"/>
        </w:rPr>
        <w:t>行政运转。</w:t>
      </w:r>
      <w:r>
        <w:rPr>
          <w:rFonts w:hint="default"/>
          <w:lang w:val="en-US" w:eastAsia="zh-CN"/>
        </w:rPr>
        <w:t>该项目</w:t>
      </w:r>
      <w:r>
        <w:rPr>
          <w:rFonts w:hint="default"/>
          <w:lang w:val="zh-CN" w:eastAsia="zh-CN"/>
        </w:rPr>
        <w:t>用途合规、程序合规、</w:t>
      </w:r>
      <w:r>
        <w:rPr>
          <w:rFonts w:hint="default"/>
        </w:rPr>
        <w:t>不存在违规记录</w:t>
      </w:r>
      <w:r>
        <w:rPr>
          <w:rFonts w:hint="default"/>
          <w:lang w:val="zh-CN"/>
        </w:rPr>
        <w:t>等情况</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w:t>
      </w:r>
      <w:r>
        <w:rPr>
          <w:rFonts w:hint="eastAsia" w:ascii="楷体_GB2312" w:hAnsi="楷体_GB2312" w:eastAsia="楷体_GB2312" w:cs="楷体_GB2312"/>
          <w:b/>
          <w:bCs/>
          <w:lang w:val="en-US" w:eastAsia="zh-CN"/>
        </w:rPr>
        <w:t>个性指标</w:t>
      </w:r>
      <w:r>
        <w:rPr>
          <w:rFonts w:hint="eastAsia" w:ascii="楷体_GB2312" w:hAnsi="楷体_GB2312" w:eastAsia="楷体_GB2312" w:cs="楷体_GB2312"/>
          <w:b/>
          <w:bCs/>
          <w:lang w:val="zh-CN"/>
        </w:rPr>
        <w:t>绩效分析。</w:t>
      </w:r>
    </w:p>
    <w:p>
      <w:pPr>
        <w:rPr>
          <w:rFonts w:hint="default"/>
          <w:lang w:val="en-US" w:eastAsia="zh-CN"/>
        </w:rPr>
      </w:pPr>
      <w:r>
        <w:rPr>
          <w:rFonts w:hint="default"/>
          <w:lang w:val="zh-CN"/>
        </w:rPr>
        <w:t>该项目有专业的代建公司以及监理公司，经评价，报告质量高。</w:t>
      </w:r>
    </w:p>
    <w:p>
      <w:pPr>
        <w:rPr>
          <w:rFonts w:hint="eastAsia" w:ascii="黑体" w:hAnsi="黑体" w:eastAsia="黑体" w:cs="黑体"/>
          <w:lang w:val="en-US" w:eastAsia="zh-CN"/>
        </w:rPr>
      </w:pPr>
      <w:bookmarkStart w:id="122" w:name="_Toc23841"/>
      <w:bookmarkStart w:id="123" w:name="_Toc20269"/>
      <w:r>
        <w:rPr>
          <w:rFonts w:hint="eastAsia" w:ascii="黑体" w:hAnsi="黑体" w:eastAsia="黑体" w:cs="黑体"/>
          <w:lang w:val="en-US" w:eastAsia="zh-CN"/>
        </w:rPr>
        <w:t>四、评价结论</w:t>
      </w:r>
      <w:bookmarkEnd w:id="122"/>
      <w:bookmarkEnd w:id="123"/>
    </w:p>
    <w:p>
      <w:pPr>
        <w:rPr>
          <w:rFonts w:hint="default"/>
          <w:lang w:val="zh-CN" w:eastAsia="zh-CN"/>
        </w:rPr>
      </w:pPr>
      <w:r>
        <w:rPr>
          <w:rFonts w:hint="default"/>
          <w:lang w:val="zh-CN" w:eastAsia="zh-CN"/>
        </w:rPr>
        <w:t>项目资金使用规范高效，改造任务全面完成，居民生活环境显著改善，绩效评价等级为“优”。</w:t>
      </w:r>
    </w:p>
    <w:p>
      <w:pPr>
        <w:rPr>
          <w:rFonts w:hint="eastAsia" w:ascii="黑体" w:hAnsi="黑体" w:eastAsia="黑体" w:cs="黑体"/>
          <w:lang w:val="en-US" w:eastAsia="zh-CN"/>
        </w:rPr>
      </w:pPr>
      <w:bookmarkStart w:id="124" w:name="_Toc4656"/>
      <w:bookmarkStart w:id="125" w:name="_Toc6230"/>
      <w:r>
        <w:rPr>
          <w:rFonts w:hint="eastAsia" w:ascii="黑体" w:hAnsi="黑体" w:eastAsia="黑体" w:cs="黑体"/>
          <w:lang w:val="en-US" w:eastAsia="zh-CN"/>
        </w:rPr>
        <w:t>五、存在主要问题</w:t>
      </w:r>
      <w:bookmarkEnd w:id="124"/>
      <w:bookmarkEnd w:id="125"/>
    </w:p>
    <w:p>
      <w:pPr>
        <w:rPr>
          <w:rFonts w:hint="default"/>
          <w:lang w:val="zh-CN" w:eastAsia="zh-CN"/>
        </w:rPr>
      </w:pPr>
      <w:r>
        <w:rPr>
          <w:rFonts w:hint="default"/>
          <w:lang w:val="zh-CN" w:eastAsia="zh-CN"/>
        </w:rPr>
        <w:t>项目受客观条件限制，环节多，时限较长。</w:t>
      </w:r>
    </w:p>
    <w:p>
      <w:pPr>
        <w:rPr>
          <w:rFonts w:hint="eastAsia" w:ascii="黑体" w:hAnsi="黑体" w:eastAsia="黑体" w:cs="黑体"/>
          <w:lang w:val="zh-CN" w:eastAsia="zh-CN"/>
        </w:rPr>
      </w:pPr>
      <w:bookmarkStart w:id="126" w:name="_Toc5926"/>
      <w:bookmarkStart w:id="127" w:name="_Toc30628"/>
      <w:r>
        <w:rPr>
          <w:rFonts w:hint="eastAsia" w:ascii="黑体" w:hAnsi="黑体" w:eastAsia="黑体" w:cs="黑体"/>
          <w:lang w:val="zh-CN" w:eastAsia="zh-CN"/>
        </w:rPr>
        <w:t>六、改进建议</w:t>
      </w:r>
      <w:bookmarkEnd w:id="126"/>
      <w:bookmarkEnd w:id="127"/>
    </w:p>
    <w:p>
      <w:pPr>
        <w:rPr>
          <w:rFonts w:hint="default"/>
        </w:rPr>
      </w:pPr>
      <w:r>
        <w:rPr>
          <w:rFonts w:hint="default"/>
          <w:lang w:val="en-US" w:eastAsia="zh-CN"/>
        </w:rPr>
        <w:t>无，该项目</w:t>
      </w:r>
      <w:r>
        <w:rPr>
          <w:rFonts w:hint="default"/>
        </w:rPr>
        <w:t>按照相关工作执行情况，在经费保障下，可以完成预期目标。</w:t>
      </w:r>
    </w:p>
    <w:p>
      <w:pPr>
        <w:rPr>
          <w:rFonts w:hint="default"/>
        </w:rPr>
      </w:pPr>
      <w:r>
        <w:rPr>
          <w:rFonts w:hint="default"/>
        </w:rPr>
        <w:br w:type="page"/>
      </w:r>
    </w:p>
    <w:p>
      <w:pPr>
        <w:ind w:left="0" w:leftChars="0" w:firstLine="0" w:firstLineChars="0"/>
        <w:rPr>
          <w:rFonts w:hint="eastAsia" w:ascii="黑体" w:hAnsi="黑体" w:eastAsia="黑体" w:cs="黑体"/>
          <w:lang w:val="en-US" w:eastAsia="zh-CN"/>
        </w:rPr>
      </w:pPr>
      <w:r>
        <w:rPr>
          <w:rFonts w:hint="eastAsia" w:ascii="黑体" w:hAnsi="黑体" w:eastAsia="黑体" w:cs="黑体"/>
          <w:lang w:val="zh-CN"/>
        </w:rPr>
        <w:t>附件</w:t>
      </w:r>
      <w:r>
        <w:rPr>
          <w:rFonts w:hint="eastAsia" w:ascii="黑体" w:hAnsi="黑体" w:eastAsia="黑体" w:cs="黑体"/>
          <w:lang w:val="en-US" w:eastAsia="zh-CN"/>
        </w:rPr>
        <w:t>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28" w:name="_Toc4403"/>
      <w:r>
        <w:rPr>
          <w:rFonts w:hint="eastAsia" w:ascii="方正小标宋_GBK" w:hAnsi="方正小标宋_GBK" w:eastAsia="方正小标宋_GBK" w:cs="方正小标宋_GBK"/>
          <w:b/>
          <w:bCs/>
          <w:sz w:val="44"/>
          <w:szCs w:val="44"/>
          <w:lang w:val="en-US" w:eastAsia="zh-CN"/>
        </w:rPr>
        <w:t>城镇保障性安居工程补助资金（奖励资金）</w:t>
      </w:r>
      <w:bookmarkEnd w:id="128"/>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29" w:name="_Toc28525"/>
      <w:r>
        <w:rPr>
          <w:rFonts w:hint="eastAsia" w:ascii="方正小标宋_GBK" w:hAnsi="方正小标宋_GBK" w:eastAsia="方正小标宋_GBK" w:cs="方正小标宋_GBK"/>
          <w:b/>
          <w:bCs/>
          <w:sz w:val="44"/>
          <w:szCs w:val="44"/>
          <w:lang w:val="en-US" w:eastAsia="zh-CN"/>
        </w:rPr>
        <w:t>（中央）专项预算项目绩效评价报告</w:t>
      </w:r>
      <w:bookmarkEnd w:id="129"/>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zh-CN"/>
        </w:rPr>
      </w:pPr>
      <w:bookmarkStart w:id="130" w:name="_Toc3555"/>
      <w:bookmarkStart w:id="131" w:name="_Toc31246"/>
      <w:r>
        <w:rPr>
          <w:rFonts w:hint="eastAsia" w:ascii="黑体" w:hAnsi="黑体" w:eastAsia="黑体" w:cs="黑体"/>
        </w:rPr>
        <w:t>一、</w:t>
      </w:r>
      <w:r>
        <w:rPr>
          <w:rFonts w:hint="eastAsia" w:ascii="黑体" w:hAnsi="黑体" w:eastAsia="黑体" w:cs="黑体"/>
          <w:lang w:val="zh-CN"/>
        </w:rPr>
        <w:t>项目概况</w:t>
      </w:r>
      <w:bookmarkEnd w:id="130"/>
      <w:bookmarkEnd w:id="13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项目内房屋多为70年代～90年代所建，道路、路灯、围栏、绿化、休闲娱乐设施等基础设施陈旧、落后，环境亟需改善、提高，也存在极大的安全隐患，居民对老旧小区改造的呼声较大。本项目是对老旧小区进行改造，包括污水管网改造、道路改造、屋面防水改造、边坡及挡墙改造、路灯及配套电力设施改造、环卫基础设施改造、消防设施改造、安全防护设施改造、环境基础设施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r>
        <w:rPr>
          <w:rFonts w:hint="default"/>
          <w:lang w:val="zh-CN" w:eastAsia="zh-CN"/>
        </w:rPr>
        <w:t>立项依据：根据《国务院办公厅关于全面推进城镇老旧小区改造工作的指导意见》，完善基础设施、改善人居</w:t>
      </w:r>
      <w:r>
        <w:rPr>
          <w:rFonts w:hint="default"/>
          <w:lang w:val="en-US" w:eastAsia="zh-CN"/>
        </w:rPr>
        <w:t xml:space="preserve">环境。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资金申报依据：经区住建局审核，纳入2024年中央及省级保障性安居工程专项资金计划，按程序报区财政局批复。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rPr>
      </w:pPr>
      <w:r>
        <w:rPr>
          <w:rFonts w:hint="default"/>
          <w:lang w:val="zh-CN" w:eastAsia="zh-CN"/>
        </w:rPr>
        <w:t>项目主管部门为区住建局，负责统筹保障性安居工程专项资金的分配与监管，指导街办规范使用资金，推动老旧小区改造工作，提升居民居住环境质量。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（二）实施目的及支持方向。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en-US" w:eastAsia="zh-CN"/>
        </w:rPr>
        <w:t>项目的实施是改善城市环境的需要。小区作为城市组成的基本单元，小区的环境直接影响着城市的整体形象。老旧小区建设时间较早，大多处在城市中心地区，对城市的整体环境尤为重要。因此，推进老旧小区综合整治工作可以改变小区现状的整体情况，改变城市整体形象，使之融入城市的发展。通过本项目的实施，可以改善西区陶家渡片区的整体环境，提升居住内在品质，使小区旧貌换新颜，以及改善西区城市发展环境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en-US" w:eastAsia="zh-CN"/>
        </w:rPr>
        <w:t>（三）预算安排及分配管理</w:t>
      </w:r>
      <w:r>
        <w:rPr>
          <w:rFonts w:hint="eastAsia" w:ascii="楷体_GB2312" w:hAnsi="楷体_GB2312" w:eastAsia="楷体_GB2312" w:cs="楷体_GB2312"/>
          <w:b/>
          <w:bCs/>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申报金额</w:t>
      </w:r>
      <w:r>
        <w:rPr>
          <w:rFonts w:hint="default"/>
          <w:lang w:val="en-US" w:eastAsia="zh-CN"/>
        </w:rPr>
        <w:t>78.27</w:t>
      </w:r>
      <w:r>
        <w:rPr>
          <w:rFonts w:hint="default"/>
          <w:lang w:val="zh-CN" w:eastAsia="zh-CN"/>
        </w:rPr>
        <w:t>万元，经区住建局、财政局审核后全额批复，无预算调整。</w:t>
      </w:r>
      <w:r>
        <w:rPr>
          <w:rFonts w:hint="default"/>
          <w:lang w:val="en-US" w:eastAsia="zh-CN"/>
        </w:rPr>
        <w:t>2024年江南片区老旧西区改造项目共63.27万元，花山西路老旧西区改造项目共15万元。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1.项目主要内容。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基础设施改造：修复破损道路、更新排水管网、修缮建筑外立面及屋顶防水层；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公共设施完善：新建居民活动广场、增设健身器材及安防设施；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环境整治：绿化提升、垃圾分类设施安装、违建拆除。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2.项目应实现的具体绩效目标。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量化目标：改造污水管网、道路及人行道、新建活动广场；绿化提升、惠及江南片区老旧小区居民。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进度计划：按照工程进度拨付资金。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目标基于社区需求调研及历史改造数据，资金规模覆盖基础设施改造及环境整治成本，实施计划符合工程周期规律。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eastAsia="zh-CN"/>
        </w:rPr>
      </w:pPr>
      <w:bookmarkStart w:id="132" w:name="_Toc2793"/>
      <w:bookmarkStart w:id="133" w:name="_Toc14811"/>
      <w:r>
        <w:rPr>
          <w:rFonts w:hint="eastAsia" w:ascii="黑体" w:hAnsi="黑体" w:eastAsia="黑体" w:cs="黑体"/>
        </w:rPr>
        <w:t>二、</w:t>
      </w:r>
      <w:r>
        <w:rPr>
          <w:rFonts w:hint="eastAsia" w:ascii="黑体" w:hAnsi="黑体" w:eastAsia="黑体" w:cs="黑体"/>
          <w:lang w:eastAsia="zh-CN"/>
        </w:rPr>
        <w:t>评价实施</w:t>
      </w:r>
      <w:bookmarkEnd w:id="132"/>
      <w:bookmarkEnd w:id="133"/>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en-US" w:eastAsia="zh-CN"/>
        </w:rPr>
        <w:t>研究制定实施方案、资金预算表和项目进度表。在项目实施周期内，按照项目进度表推进各项目的落实，确保各实施阶段的完工质量、进度等指标达到预期要求。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eastAsia="zh-CN"/>
        </w:rPr>
        <w:t>本项目</w:t>
      </w:r>
      <w:r>
        <w:rPr>
          <w:rFonts w:hint="default"/>
          <w:lang w:val="zh-CN" w:eastAsia="zh-CN"/>
        </w:rPr>
        <w:t>符合国家、省市关于老旧小区改造配套基础设施的相关政策，符合</w:t>
      </w:r>
      <w:r>
        <w:rPr>
          <w:rFonts w:hint="default"/>
          <w:lang w:eastAsia="zh-CN"/>
        </w:rPr>
        <w:t>攀枝花市、西区</w:t>
      </w:r>
      <w:r>
        <w:rPr>
          <w:rFonts w:hint="default"/>
          <w:lang w:val="zh-CN" w:eastAsia="zh-CN"/>
        </w:rPr>
        <w:t>发展总体规划，</w:t>
      </w:r>
      <w:r>
        <w:rPr>
          <w:rFonts w:hint="default"/>
          <w:lang w:eastAsia="zh-CN"/>
        </w:rPr>
        <w:t>属于公益性、服务性事业项目，以追求社会效益为主要目的，</w:t>
      </w:r>
      <w:r>
        <w:rPr>
          <w:rFonts w:hint="default"/>
          <w:lang w:val="zh-CN" w:eastAsia="zh-CN"/>
        </w:rPr>
        <w:t>项目的实施将完善项目区</w:t>
      </w:r>
      <w:r>
        <w:rPr>
          <w:rFonts w:hint="default"/>
          <w:lang w:eastAsia="zh-CN"/>
        </w:rPr>
        <w:t>的</w:t>
      </w:r>
      <w:r>
        <w:rPr>
          <w:rFonts w:hint="default"/>
          <w:lang w:val="zh-CN" w:eastAsia="zh-CN"/>
        </w:rPr>
        <w:t>道路、给排水、</w:t>
      </w:r>
      <w:r>
        <w:rPr>
          <w:rFonts w:hint="default"/>
          <w:lang w:eastAsia="zh-CN"/>
        </w:rPr>
        <w:t>绿化</w:t>
      </w:r>
      <w:r>
        <w:rPr>
          <w:rFonts w:hint="default"/>
          <w:lang w:val="zh-CN" w:eastAsia="zh-CN"/>
        </w:rPr>
        <w:t>等基础设施建设</w:t>
      </w:r>
      <w:r>
        <w:rPr>
          <w:rFonts w:hint="default"/>
          <w:lang w:eastAsia="zh-CN"/>
        </w:rPr>
        <w:t>，能够</w:t>
      </w:r>
      <w:r>
        <w:rPr>
          <w:rFonts w:hint="default"/>
          <w:lang w:val="zh-CN" w:eastAsia="zh-CN"/>
        </w:rPr>
        <w:t>改善居民的生活条件和居住环境，提高生活水平，</w:t>
      </w:r>
      <w:r>
        <w:rPr>
          <w:rFonts w:hint="default"/>
          <w:lang w:eastAsia="zh-CN"/>
        </w:rPr>
        <w:t>具有</w:t>
      </w:r>
      <w:r>
        <w:rPr>
          <w:rFonts w:hint="default"/>
          <w:lang w:val="zh-CN" w:eastAsia="zh-CN"/>
        </w:rPr>
        <w:t>明显</w:t>
      </w:r>
      <w:r>
        <w:rPr>
          <w:rFonts w:hint="default"/>
          <w:lang w:eastAsia="zh-CN"/>
        </w:rPr>
        <w:t>的</w:t>
      </w:r>
      <w:r>
        <w:rPr>
          <w:rFonts w:hint="default"/>
          <w:lang w:val="zh-CN" w:eastAsia="zh-CN"/>
        </w:rPr>
        <w:t>社会效益。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三</w:t>
      </w:r>
      <w:r>
        <w:rPr>
          <w:rFonts w:hint="eastAsia" w:ascii="楷体_GB2312" w:hAnsi="楷体_GB2312" w:eastAsia="楷体_GB2312" w:cs="楷体_GB2312"/>
          <w:b/>
          <w:bCs/>
          <w:lang w:val="zh-CN"/>
        </w:rPr>
        <w:t>）评价选点。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街办通过定期和不定期开展实地查看，核查项目资料。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四</w:t>
      </w:r>
      <w:r>
        <w:rPr>
          <w:rFonts w:hint="eastAsia" w:ascii="楷体_GB2312" w:hAnsi="楷体_GB2312" w:eastAsia="楷体_GB2312" w:cs="楷体_GB2312"/>
          <w:b/>
          <w:bCs/>
          <w:lang w:val="zh-CN"/>
        </w:rPr>
        <w:t>）评价方法。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五</w:t>
      </w:r>
      <w:r>
        <w:rPr>
          <w:rFonts w:hint="eastAsia" w:ascii="楷体_GB2312" w:hAnsi="楷体_GB2312" w:eastAsia="楷体_GB2312" w:cs="楷体_GB2312"/>
          <w:b/>
          <w:bCs/>
          <w:lang w:val="zh-CN"/>
        </w:rPr>
        <w:t>）评价组织。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eastAsia="zh-CN"/>
        </w:rPr>
      </w:pPr>
      <w:r>
        <w:rPr>
          <w:rFonts w:hint="default"/>
          <w:lang w:val="zh-CN" w:eastAsia="zh-CN"/>
        </w:rPr>
        <w:t>评价组人员由实施该项目的具体负责业务股室、财务室及街办纪工委构成。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zh-CN"/>
        </w:rPr>
      </w:pPr>
      <w:bookmarkStart w:id="134" w:name="_Toc2118"/>
      <w:bookmarkStart w:id="135" w:name="_Toc9229"/>
      <w:r>
        <w:rPr>
          <w:rFonts w:hint="eastAsia" w:ascii="黑体" w:hAnsi="黑体" w:eastAsia="黑体" w:cs="黑体"/>
        </w:rPr>
        <w:t>三、</w:t>
      </w:r>
      <w:r>
        <w:rPr>
          <w:rFonts w:hint="eastAsia" w:ascii="黑体" w:hAnsi="黑体" w:eastAsia="黑体" w:cs="黑体"/>
          <w:lang w:eastAsia="zh-CN"/>
        </w:rPr>
        <w:t>绩效分析</w:t>
      </w:r>
      <w:bookmarkEnd w:id="134"/>
      <w:bookmarkEnd w:id="135"/>
      <w:r>
        <w:rPr>
          <w:rFonts w:hint="eastAsia" w:ascii="黑体" w:hAnsi="黑体" w:eastAsia="黑体" w:cs="黑体"/>
          <w:lang w:val="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（一）</w:t>
      </w:r>
      <w:r>
        <w:rPr>
          <w:rFonts w:hint="eastAsia" w:ascii="楷体_GB2312" w:hAnsi="楷体_GB2312" w:eastAsia="楷体_GB2312" w:cs="楷体_GB2312"/>
          <w:b/>
          <w:bCs/>
          <w:lang w:val="en-US" w:eastAsia="zh-CN"/>
        </w:rPr>
        <w:t>通用指标</w:t>
      </w:r>
      <w:r>
        <w:rPr>
          <w:rFonts w:hint="eastAsia" w:ascii="楷体_GB2312" w:hAnsi="楷体_GB2312" w:eastAsia="楷体_GB2312" w:cs="楷体_GB2312"/>
          <w:b/>
          <w:bCs/>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rPr>
      </w:pPr>
      <w:r>
        <w:rPr>
          <w:rFonts w:hint="default"/>
          <w:lang w:val="en-US" w:eastAsia="zh-CN"/>
        </w:rPr>
        <w:t>1.</w:t>
      </w:r>
      <w:r>
        <w:rPr>
          <w:rFonts w:hint="default"/>
          <w:lang w:val="zh-CN" w:eastAsia="zh-CN"/>
        </w:rPr>
        <w:t>项目决策。</w:t>
      </w:r>
      <w:r>
        <w:rPr>
          <w:rFonts w:hint="default"/>
          <w:lang w:val="en-US" w:eastAsia="zh-CN"/>
        </w:rPr>
        <w:t>该项目</w:t>
      </w:r>
      <w:r>
        <w:rPr>
          <w:rFonts w:hint="default"/>
        </w:rPr>
        <w:t>及时、准确的在人民政府网站上进行公开，各项经费的开支都以批复为准，均以实际工作进展情况执行预算管理，以节约为本，严格控制各项经费的开支，积极执行绩效管理。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rPr>
      </w:pPr>
      <w:r>
        <w:rPr>
          <w:rFonts w:hint="default"/>
          <w:lang w:val="en-US" w:eastAsia="zh-CN"/>
        </w:rPr>
        <w:t>2.</w:t>
      </w:r>
      <w:r>
        <w:rPr>
          <w:rFonts w:hint="default"/>
          <w:lang w:val="zh-CN" w:eastAsia="zh-CN"/>
        </w:rPr>
        <w:t>项目管理。</w:t>
      </w:r>
      <w:r>
        <w:rPr>
          <w:rFonts w:hint="default"/>
          <w:lang w:val="zh-CN"/>
        </w:rPr>
        <w:t>该项目由街办项目股室具体负责管理，定期和不定期对项目具体情况进行检查，街办财务室按照财务管理制度，审核票据，拨付资金，对票据资料规范管理，配合区财政对于该项目资金使用情况进行检查。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en-US" w:eastAsia="zh-CN"/>
        </w:rPr>
        <w:t>3.项目实施。</w:t>
      </w:r>
      <w:r>
        <w:rPr>
          <w:rFonts w:hint="default"/>
          <w:lang w:val="zh-CN"/>
        </w:rPr>
        <w:t>按项目施工进度及时拨付</w:t>
      </w:r>
      <w:r>
        <w:rPr>
          <w:rFonts w:hint="default"/>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en-US" w:eastAsia="zh-CN"/>
        </w:rPr>
        <w:t>4.项目结果。</w:t>
      </w:r>
      <w:r>
        <w:rPr>
          <w:rFonts w:hint="default"/>
          <w:lang w:val="zh-CN"/>
        </w:rPr>
        <w:t>该项目目标完成情况好，时效可控</w:t>
      </w:r>
      <w:r>
        <w:rPr>
          <w:rFonts w:hint="default"/>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w:t>
      </w:r>
      <w:r>
        <w:rPr>
          <w:rFonts w:hint="eastAsia" w:ascii="楷体_GB2312" w:hAnsi="楷体_GB2312" w:eastAsia="楷体_GB2312" w:cs="楷体_GB2312"/>
          <w:b/>
          <w:bCs/>
          <w:lang w:val="en-US" w:eastAsia="zh-CN"/>
        </w:rPr>
        <w:t>专用指标</w:t>
      </w:r>
      <w:r>
        <w:rPr>
          <w:rFonts w:hint="eastAsia" w:ascii="楷体_GB2312" w:hAnsi="楷体_GB2312" w:eastAsia="楷体_GB2312" w:cs="楷体_GB2312"/>
          <w:b/>
          <w:bCs/>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rPr>
      </w:pPr>
      <w:r>
        <w:rPr>
          <w:rFonts w:hint="default"/>
          <w:lang w:val="en-US" w:eastAsia="zh-CN"/>
        </w:rPr>
        <w:t>1.产业发展。符合国家长期政策，大力发展西区银发经济。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r>
        <w:rPr>
          <w:rFonts w:hint="default"/>
          <w:lang w:val="en-US" w:eastAsia="zh-CN"/>
        </w:rPr>
        <w:t>2.</w:t>
      </w:r>
      <w:r>
        <w:rPr>
          <w:rFonts w:hint="default"/>
          <w:lang w:val="zh-CN" w:eastAsia="zh-CN"/>
        </w:rPr>
        <w:t>民生保障。完善基础设施、改善人居环境。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rPr>
      </w:pPr>
      <w:r>
        <w:rPr>
          <w:rFonts w:hint="default"/>
          <w:lang w:val="en-US" w:eastAsia="zh-CN"/>
        </w:rPr>
        <w:t>3.基础设施。</w:t>
      </w:r>
      <w:r>
        <w:rPr>
          <w:rFonts w:hint="default"/>
          <w:lang w:val="zh-CN"/>
        </w:rPr>
        <w:t>：修复破损道路、更新排水管网、修缮建筑外立面及屋顶防水层。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r>
        <w:rPr>
          <w:rFonts w:hint="default"/>
          <w:lang w:val="en-US" w:eastAsia="zh-CN"/>
        </w:rPr>
        <w:t>4.</w:t>
      </w:r>
      <w:r>
        <w:rPr>
          <w:rFonts w:hint="default"/>
          <w:lang w:val="zh-CN" w:eastAsia="zh-CN"/>
        </w:rPr>
        <w:t>行政运转。</w:t>
      </w:r>
      <w:r>
        <w:rPr>
          <w:rFonts w:hint="default"/>
          <w:lang w:val="en-US" w:eastAsia="zh-CN"/>
        </w:rPr>
        <w:t>该项目</w:t>
      </w:r>
      <w:r>
        <w:rPr>
          <w:rFonts w:hint="default"/>
          <w:lang w:val="zh-CN" w:eastAsia="zh-CN"/>
        </w:rPr>
        <w:t>用途合规、程序合规、</w:t>
      </w:r>
      <w:r>
        <w:rPr>
          <w:rFonts w:hint="default"/>
        </w:rPr>
        <w:t>不存在违规记录</w:t>
      </w:r>
      <w:r>
        <w:rPr>
          <w:rFonts w:hint="default"/>
          <w:lang w:val="zh-CN"/>
        </w:rPr>
        <w:t>等情况</w:t>
      </w:r>
      <w:r>
        <w:rPr>
          <w:rFonts w:hint="default"/>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w:t>
      </w:r>
      <w:r>
        <w:rPr>
          <w:rFonts w:hint="eastAsia" w:ascii="楷体_GB2312" w:hAnsi="楷体_GB2312" w:eastAsia="楷体_GB2312" w:cs="楷体_GB2312"/>
          <w:b/>
          <w:bCs/>
          <w:lang w:val="en-US" w:eastAsia="zh-CN"/>
        </w:rPr>
        <w:t>个性指标</w:t>
      </w:r>
      <w:r>
        <w:rPr>
          <w:rFonts w:hint="eastAsia" w:ascii="楷体_GB2312" w:hAnsi="楷体_GB2312" w:eastAsia="楷体_GB2312" w:cs="楷体_GB2312"/>
          <w:b/>
          <w:bCs/>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r>
        <w:rPr>
          <w:rFonts w:hint="default"/>
          <w:lang w:val="zh-CN"/>
        </w:rPr>
        <w:t>该项目有专业的代建公司以及监理公司，经评价，报告质量高。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bookmarkStart w:id="136" w:name="_Toc2754"/>
      <w:bookmarkStart w:id="137" w:name="_Toc7096"/>
      <w:r>
        <w:rPr>
          <w:rFonts w:hint="eastAsia" w:ascii="黑体" w:hAnsi="黑体" w:eastAsia="黑体" w:cs="黑体"/>
          <w:lang w:val="en-US" w:eastAsia="zh-CN"/>
        </w:rPr>
        <w:t>四、评价结论</w:t>
      </w:r>
      <w:bookmarkEnd w:id="136"/>
      <w:bookmarkEnd w:id="137"/>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r>
        <w:rPr>
          <w:rFonts w:hint="default"/>
          <w:lang w:val="en-US" w:eastAsia="zh-CN"/>
        </w:rPr>
        <w:t>简要阐述专项预算项目绩效自评总体结论，包含评价总分、</w:t>
      </w:r>
      <w:r>
        <w:rPr>
          <w:rFonts w:hint="default"/>
          <w:lang w:val="zh-CN" w:eastAsia="zh-CN"/>
        </w:rPr>
        <w:t>项目实施情况。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bookmarkStart w:id="138" w:name="_Toc19465"/>
      <w:bookmarkStart w:id="139" w:name="_Toc14568"/>
      <w:r>
        <w:rPr>
          <w:rFonts w:hint="eastAsia" w:ascii="黑体" w:hAnsi="黑体" w:eastAsia="黑体" w:cs="黑体"/>
          <w:lang w:val="en-US" w:eastAsia="zh-CN"/>
        </w:rPr>
        <w:t>五、评价结论</w:t>
      </w:r>
      <w:bookmarkEnd w:id="138"/>
      <w:bookmarkEnd w:id="139"/>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项目资金使用规范高效，改造任务全面完成，居民生活环境显著改善，绩效评价等级为“优”。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en-US" w:eastAsia="zh-CN"/>
        </w:rPr>
      </w:pPr>
      <w:bookmarkStart w:id="140" w:name="_Toc14381"/>
      <w:bookmarkStart w:id="141" w:name="_Toc11376"/>
      <w:r>
        <w:rPr>
          <w:rFonts w:hint="eastAsia" w:ascii="黑体" w:hAnsi="黑体" w:eastAsia="黑体" w:cs="黑体"/>
          <w:lang w:val="en-US" w:eastAsia="zh-CN"/>
        </w:rPr>
        <w:t>五、存在主要问题</w:t>
      </w:r>
      <w:bookmarkEnd w:id="140"/>
      <w:bookmarkEnd w:id="14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zh-CN" w:eastAsia="zh-CN"/>
        </w:rPr>
      </w:pPr>
      <w:r>
        <w:rPr>
          <w:rFonts w:hint="default"/>
          <w:lang w:val="zh-CN" w:eastAsia="zh-CN"/>
        </w:rPr>
        <w:t>项目受客观条件限制，环节多，时限较长。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val="zh-CN" w:eastAsia="zh-CN"/>
        </w:rPr>
      </w:pPr>
      <w:bookmarkStart w:id="142" w:name="_Toc1348"/>
      <w:bookmarkStart w:id="143" w:name="_Toc10621"/>
      <w:r>
        <w:rPr>
          <w:rFonts w:hint="eastAsia" w:ascii="黑体" w:hAnsi="黑体" w:eastAsia="黑体" w:cs="黑体"/>
          <w:lang w:val="zh-CN" w:eastAsia="zh-CN"/>
        </w:rPr>
        <w:t>六、改进建议</w:t>
      </w:r>
      <w:bookmarkEnd w:id="142"/>
      <w:bookmarkEnd w:id="143"/>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rPr>
      </w:pPr>
      <w:r>
        <w:rPr>
          <w:rFonts w:hint="default"/>
          <w:lang w:val="en-US" w:eastAsia="zh-CN"/>
        </w:rPr>
        <w:t>无，该项目</w:t>
      </w:r>
      <w:r>
        <w:rPr>
          <w:rFonts w:hint="default"/>
        </w:rPr>
        <w:t>按照相关工作执行情况，在经费保障下，可以完成预期目标。</w:t>
      </w:r>
    </w:p>
    <w:p>
      <w:pPr>
        <w:rPr>
          <w:rFonts w:hint="default"/>
        </w:rPr>
      </w:pPr>
      <w:r>
        <w:rPr>
          <w:rFonts w:hint="default"/>
        </w:rPr>
        <w:br w:type="page"/>
      </w:r>
    </w:p>
    <w:p>
      <w:pPr>
        <w:ind w:left="0" w:leftChars="0" w:firstLine="0" w:firstLineChars="0"/>
        <w:rPr>
          <w:rFonts w:hint="eastAsia" w:ascii="黑体" w:hAnsi="黑体" w:eastAsia="黑体" w:cs="黑体"/>
          <w:lang w:val="en-US" w:eastAsia="zh-CN"/>
        </w:rPr>
      </w:pPr>
      <w:r>
        <w:rPr>
          <w:rFonts w:hint="eastAsia" w:ascii="黑体" w:hAnsi="黑体" w:eastAsia="黑体" w:cs="黑体"/>
          <w:lang w:val="zh-CN"/>
        </w:rPr>
        <w:t>附件</w:t>
      </w:r>
      <w:r>
        <w:rPr>
          <w:rFonts w:hint="eastAsia" w:ascii="黑体" w:hAnsi="黑体" w:eastAsia="黑体" w:cs="黑体"/>
          <w:lang w:val="en-US" w:eastAsia="zh-CN"/>
        </w:rPr>
        <w:t>2</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bookmarkStart w:id="144" w:name="_Toc16540"/>
      <w:bookmarkStart w:id="145" w:name="_Toc17703"/>
      <w:r>
        <w:rPr>
          <w:rFonts w:hint="eastAsia" w:ascii="方正小标宋_GBK" w:hAnsi="方正小标宋_GBK" w:eastAsia="方正小标宋_GBK" w:cs="方正小标宋_GBK"/>
          <w:sz w:val="44"/>
          <w:szCs w:val="44"/>
          <w:lang w:val="en-US" w:eastAsia="zh-CN"/>
        </w:rPr>
        <w:t>城镇保障性安居工程补助资金（奖励资金）</w:t>
      </w:r>
      <w:bookmarkEnd w:id="144"/>
      <w:bookmarkEnd w:id="145"/>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bookmarkStart w:id="146" w:name="_Toc15609"/>
      <w:bookmarkStart w:id="147" w:name="_Toc20702"/>
      <w:r>
        <w:rPr>
          <w:rFonts w:hint="eastAsia" w:ascii="方正小标宋_GBK" w:hAnsi="方正小标宋_GBK" w:eastAsia="方正小标宋_GBK" w:cs="方正小标宋_GBK"/>
          <w:sz w:val="44"/>
          <w:szCs w:val="44"/>
          <w:lang w:val="en-US" w:eastAsia="zh-CN"/>
        </w:rPr>
        <w:t>（省级）专项预算项目绩效评价报告</w:t>
      </w:r>
      <w:bookmarkEnd w:id="146"/>
      <w:bookmarkEnd w:id="147"/>
    </w:p>
    <w:p>
      <w:pPr>
        <w:rPr>
          <w:rFonts w:hint="default"/>
        </w:rPr>
      </w:pPr>
    </w:p>
    <w:p>
      <w:pPr>
        <w:rPr>
          <w:rFonts w:hint="eastAsia" w:ascii="黑体" w:hAnsi="黑体" w:eastAsia="黑体" w:cs="黑体"/>
          <w:lang w:val="zh-CN"/>
        </w:rPr>
      </w:pPr>
      <w:bookmarkStart w:id="148" w:name="_Toc26687"/>
      <w:bookmarkStart w:id="149" w:name="_Toc24039"/>
      <w:r>
        <w:rPr>
          <w:rFonts w:hint="eastAsia" w:ascii="黑体" w:hAnsi="黑体" w:eastAsia="黑体" w:cs="黑体"/>
        </w:rPr>
        <w:t>一、</w:t>
      </w:r>
      <w:r>
        <w:rPr>
          <w:rFonts w:hint="eastAsia" w:ascii="黑体" w:hAnsi="黑体" w:eastAsia="黑体" w:cs="黑体"/>
          <w:lang w:val="zh-CN"/>
        </w:rPr>
        <w:t>项目概况</w:t>
      </w:r>
      <w:bookmarkEnd w:id="148"/>
      <w:bookmarkEnd w:id="149"/>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（一）设立背景及基本情况。</w:t>
      </w:r>
    </w:p>
    <w:p>
      <w:pPr>
        <w:rPr>
          <w:rFonts w:hint="default"/>
          <w:lang w:val="zh-CN" w:eastAsia="zh-CN"/>
        </w:rPr>
      </w:pPr>
      <w:r>
        <w:rPr>
          <w:rFonts w:hint="default"/>
          <w:lang w:val="zh-CN" w:eastAsia="zh-CN"/>
        </w:rPr>
        <w:t>项目内房屋多为70年代～90年代所建，道路、路灯、围栏、绿化、休闲娱乐设施等基础设施陈旧、落后，环境亟需改善、提高，也存在极大的安全隐患，居民对老旧小区改造的呼声较大。本项目是对老旧小区进行改造，包括污水管网改造、道路改造、屋面防水改造、边坡及挡墙改造、路灯及配套电力设施改造、环卫基础设施改造、消防设施改造、安全防护设施改造、环境基础设施改造。</w:t>
      </w:r>
    </w:p>
    <w:p>
      <w:pPr>
        <w:rPr>
          <w:rFonts w:hint="default"/>
          <w:lang w:val="en-US" w:eastAsia="zh-CN"/>
        </w:rPr>
      </w:pPr>
      <w:r>
        <w:rPr>
          <w:rFonts w:hint="default"/>
          <w:lang w:val="zh-CN" w:eastAsia="zh-CN"/>
        </w:rPr>
        <w:t>立项依据：根据《国务院办公厅关于全面推进城镇老旧小区改造工作的指导意见》，完善基础设施、改善人居</w:t>
      </w:r>
      <w:r>
        <w:rPr>
          <w:rFonts w:hint="default"/>
          <w:lang w:val="en-US" w:eastAsia="zh-CN"/>
        </w:rPr>
        <w:t xml:space="preserve">环境。 </w:t>
      </w:r>
    </w:p>
    <w:p>
      <w:pPr>
        <w:rPr>
          <w:rFonts w:hint="default"/>
          <w:lang w:val="zh-CN" w:eastAsia="zh-CN"/>
        </w:rPr>
      </w:pPr>
      <w:r>
        <w:rPr>
          <w:rFonts w:hint="default"/>
          <w:lang w:val="zh-CN" w:eastAsia="zh-CN"/>
        </w:rPr>
        <w:t>资金申报依据：经区住建局审核，纳入2024年中央及省级保障性安居工程专项资金计划，按程序报区财政局批复。</w:t>
      </w:r>
    </w:p>
    <w:p>
      <w:pPr>
        <w:rPr>
          <w:rFonts w:hint="default"/>
          <w:lang w:val="zh-CN"/>
        </w:rPr>
      </w:pPr>
      <w:r>
        <w:rPr>
          <w:rFonts w:hint="default"/>
          <w:lang w:val="zh-CN" w:eastAsia="zh-CN"/>
        </w:rPr>
        <w:t>项目主管部门为区住建局，负责统筹保障性安居工程专项资金的分配与监管，指导街办规范使用资金，推动老旧小区改造工作，提升居民居住环境质量。</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（二）实施目的及支持方向。</w:t>
      </w:r>
    </w:p>
    <w:p>
      <w:pPr>
        <w:rPr>
          <w:rFonts w:hint="default"/>
          <w:lang w:val="zh-CN" w:eastAsia="zh-CN"/>
        </w:rPr>
      </w:pPr>
      <w:r>
        <w:rPr>
          <w:rFonts w:hint="default"/>
          <w:lang w:val="en-US" w:eastAsia="zh-CN"/>
        </w:rPr>
        <w:t>项目的实施是改善城市环境的需要。小区作为城市组成的基本单元，小区的环境直接影响着城市的整体形象。老旧小区建设时间较早，大多处在城市中心地区，对城市的整体环境尤为重要。因此，推进老旧小区综合整治工作可以改变小区现状的整体情况，改变城市整体形象，使之融入城市的发展。通过本项目的实施，可以改善西区陶家渡片区的整体环境，提升居住内在品质，使小区旧貌换新颜，以及改善西区城市发展环境的需要。</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en-US" w:eastAsia="zh-CN"/>
        </w:rPr>
        <w:t>（三）预算安排及分配管理</w:t>
      </w:r>
      <w:r>
        <w:rPr>
          <w:rFonts w:hint="eastAsia" w:ascii="楷体_GB2312" w:hAnsi="楷体_GB2312" w:eastAsia="楷体_GB2312" w:cs="楷体_GB2312"/>
          <w:b/>
          <w:bCs/>
          <w:lang w:val="zh-CN" w:eastAsia="zh-CN"/>
        </w:rPr>
        <w:t>。</w:t>
      </w:r>
    </w:p>
    <w:p>
      <w:pPr>
        <w:rPr>
          <w:rFonts w:hint="default"/>
          <w:lang w:val="zh-CN" w:eastAsia="zh-CN"/>
        </w:rPr>
      </w:pPr>
      <w:r>
        <w:rPr>
          <w:rFonts w:hint="default"/>
          <w:lang w:val="zh-CN" w:eastAsia="zh-CN"/>
        </w:rPr>
        <w:t>申报金额</w:t>
      </w:r>
      <w:r>
        <w:rPr>
          <w:rFonts w:hint="default"/>
          <w:lang w:val="en-US" w:eastAsia="zh-CN"/>
        </w:rPr>
        <w:t>78.27</w:t>
      </w:r>
      <w:r>
        <w:rPr>
          <w:rFonts w:hint="default"/>
          <w:lang w:val="zh-CN" w:eastAsia="zh-CN"/>
        </w:rPr>
        <w:t>万元，经区住建局、财政局审核后全额批复，无预算调整。</w:t>
      </w:r>
      <w:r>
        <w:rPr>
          <w:rFonts w:hint="default"/>
          <w:lang w:val="en-US" w:eastAsia="zh-CN"/>
        </w:rPr>
        <w:t>2024年江南片区老旧西区改造项目共63.27万元，花山西路老旧西区改造项目共15万元。</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w:t>
      </w:r>
      <w:r>
        <w:rPr>
          <w:rFonts w:hint="eastAsia" w:ascii="楷体_GB2312" w:hAnsi="楷体_GB2312" w:eastAsia="楷体_GB2312" w:cs="楷体_GB2312"/>
          <w:b/>
          <w:bCs/>
          <w:lang w:val="en-US" w:eastAsia="zh-CN"/>
        </w:rPr>
        <w:t>四</w:t>
      </w:r>
      <w:r>
        <w:rPr>
          <w:rFonts w:hint="eastAsia" w:ascii="楷体_GB2312" w:hAnsi="楷体_GB2312" w:eastAsia="楷体_GB2312" w:cs="楷体_GB2312"/>
          <w:b/>
          <w:bCs/>
          <w:lang w:val="zh-CN" w:eastAsia="zh-CN"/>
        </w:rPr>
        <w:t>）项目绩效目标设置。</w:t>
      </w:r>
    </w:p>
    <w:p>
      <w:pPr>
        <w:rPr>
          <w:rFonts w:hint="default"/>
          <w:lang w:val="zh-CN" w:eastAsia="zh-CN"/>
        </w:rPr>
      </w:pPr>
      <w:r>
        <w:rPr>
          <w:rFonts w:hint="default"/>
          <w:lang w:val="zh-CN" w:eastAsia="zh-CN"/>
        </w:rPr>
        <w:t>1.项目主要内容。</w:t>
      </w:r>
    </w:p>
    <w:p>
      <w:pPr>
        <w:rPr>
          <w:rFonts w:hint="default"/>
          <w:lang w:val="zh-CN" w:eastAsia="zh-CN"/>
        </w:rPr>
      </w:pPr>
      <w:r>
        <w:rPr>
          <w:rFonts w:hint="default"/>
          <w:lang w:val="zh-CN" w:eastAsia="zh-CN"/>
        </w:rPr>
        <w:t>基础设施改造：修复破损道路、更新排水管网、修缮建筑外立面及屋顶防水层；</w:t>
      </w:r>
    </w:p>
    <w:p>
      <w:pPr>
        <w:rPr>
          <w:rFonts w:hint="default"/>
          <w:lang w:val="zh-CN" w:eastAsia="zh-CN"/>
        </w:rPr>
      </w:pPr>
      <w:r>
        <w:rPr>
          <w:rFonts w:hint="default"/>
          <w:lang w:val="zh-CN" w:eastAsia="zh-CN"/>
        </w:rPr>
        <w:t>公共设施完善：新建居民活动广场、增设健身器材及安防设施；</w:t>
      </w:r>
    </w:p>
    <w:p>
      <w:pPr>
        <w:rPr>
          <w:rFonts w:hint="default"/>
          <w:lang w:val="zh-CN" w:eastAsia="zh-CN"/>
        </w:rPr>
      </w:pPr>
      <w:r>
        <w:rPr>
          <w:rFonts w:hint="default"/>
          <w:lang w:val="zh-CN" w:eastAsia="zh-CN"/>
        </w:rPr>
        <w:t>环境整治：绿化提升、垃圾分类设施安装、违建拆除。</w:t>
      </w:r>
    </w:p>
    <w:p>
      <w:pPr>
        <w:rPr>
          <w:rFonts w:hint="default"/>
          <w:lang w:val="zh-CN" w:eastAsia="zh-CN"/>
        </w:rPr>
      </w:pPr>
      <w:r>
        <w:rPr>
          <w:rFonts w:hint="default"/>
          <w:lang w:val="zh-CN" w:eastAsia="zh-CN"/>
        </w:rPr>
        <w:t>2.项目应实现的具体绩效目标。</w:t>
      </w:r>
    </w:p>
    <w:p>
      <w:pPr>
        <w:rPr>
          <w:rFonts w:hint="default"/>
          <w:lang w:val="zh-CN" w:eastAsia="zh-CN"/>
        </w:rPr>
      </w:pPr>
      <w:r>
        <w:rPr>
          <w:rFonts w:hint="default"/>
          <w:lang w:val="zh-CN" w:eastAsia="zh-CN"/>
        </w:rPr>
        <w:t>量化目标：改造污水管网、道路及人行道、新建活动广场；绿化提升、惠及江南片区老旧小区居民。</w:t>
      </w:r>
    </w:p>
    <w:p>
      <w:pPr>
        <w:rPr>
          <w:rFonts w:hint="default"/>
          <w:lang w:val="zh-CN" w:eastAsia="zh-CN"/>
        </w:rPr>
      </w:pPr>
      <w:r>
        <w:rPr>
          <w:rFonts w:hint="default"/>
          <w:lang w:val="zh-CN" w:eastAsia="zh-CN"/>
        </w:rPr>
        <w:t>进度计划：按照工程进度拨付资金。</w:t>
      </w:r>
    </w:p>
    <w:p>
      <w:pPr>
        <w:rPr>
          <w:rFonts w:hint="default"/>
          <w:lang w:val="zh-CN" w:eastAsia="zh-CN"/>
        </w:rPr>
      </w:pPr>
      <w:r>
        <w:rPr>
          <w:rFonts w:hint="default"/>
          <w:lang w:val="zh-CN" w:eastAsia="zh-CN"/>
        </w:rPr>
        <w:t>3.分析评价申报内容是否与实际相符，申报目标是否合理可行。</w:t>
      </w:r>
    </w:p>
    <w:p>
      <w:pPr>
        <w:rPr>
          <w:rFonts w:hint="default"/>
          <w:lang w:val="zh-CN" w:eastAsia="zh-CN"/>
        </w:rPr>
      </w:pPr>
      <w:r>
        <w:rPr>
          <w:rFonts w:hint="default"/>
          <w:lang w:val="zh-CN" w:eastAsia="zh-CN"/>
        </w:rPr>
        <w:t>目标基于社区需求调研及历史改造数据，资金规模覆盖基础设施改造及环境整治成本，实施计划符合工程周期规律。</w:t>
      </w:r>
    </w:p>
    <w:p>
      <w:pPr>
        <w:rPr>
          <w:rFonts w:hint="eastAsia" w:ascii="黑体" w:hAnsi="黑体" w:eastAsia="黑体" w:cs="黑体"/>
          <w:lang w:eastAsia="zh-CN"/>
        </w:rPr>
      </w:pPr>
      <w:bookmarkStart w:id="150" w:name="_Toc17069"/>
      <w:bookmarkStart w:id="151" w:name="_Toc331"/>
      <w:r>
        <w:rPr>
          <w:rFonts w:hint="eastAsia" w:ascii="黑体" w:hAnsi="黑体" w:eastAsia="黑体" w:cs="黑体"/>
        </w:rPr>
        <w:t>二、</w:t>
      </w:r>
      <w:r>
        <w:rPr>
          <w:rFonts w:hint="eastAsia" w:ascii="黑体" w:hAnsi="黑体" w:eastAsia="黑体" w:cs="黑体"/>
          <w:lang w:eastAsia="zh-CN"/>
        </w:rPr>
        <w:t>评价实施</w:t>
      </w:r>
      <w:bookmarkEnd w:id="150"/>
      <w:bookmarkEnd w:id="151"/>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（一）评价目的。</w:t>
      </w:r>
    </w:p>
    <w:p>
      <w:pPr>
        <w:rPr>
          <w:rFonts w:hint="default"/>
          <w:lang w:val="zh-CN" w:eastAsia="zh-CN"/>
        </w:rPr>
      </w:pPr>
      <w:r>
        <w:rPr>
          <w:rFonts w:hint="default"/>
          <w:lang w:val="en-US" w:eastAsia="zh-CN"/>
        </w:rPr>
        <w:t>研究制定实施方案、资金预算表和项目进度表。在项目实施周期内，按照项目进度表推进各项目的落实，确保各实施阶段的完工质量、进度等指标达到预期要求。</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二</w:t>
      </w:r>
      <w:r>
        <w:rPr>
          <w:rFonts w:hint="eastAsia" w:ascii="楷体_GB2312" w:hAnsi="楷体_GB2312" w:eastAsia="楷体_GB2312" w:cs="楷体_GB2312"/>
          <w:b/>
          <w:bCs/>
          <w:lang w:val="zh-CN"/>
        </w:rPr>
        <w:t>）预设问题及评价重点。</w:t>
      </w:r>
    </w:p>
    <w:p>
      <w:pPr>
        <w:rPr>
          <w:rFonts w:hint="default"/>
          <w:lang w:val="zh-CN" w:eastAsia="zh-CN"/>
        </w:rPr>
      </w:pPr>
      <w:r>
        <w:rPr>
          <w:rFonts w:hint="default"/>
          <w:lang w:eastAsia="zh-CN"/>
        </w:rPr>
        <w:t>本项目</w:t>
      </w:r>
      <w:r>
        <w:rPr>
          <w:rFonts w:hint="default"/>
          <w:lang w:val="zh-CN" w:eastAsia="zh-CN"/>
        </w:rPr>
        <w:t>符合国家、省市关于老旧小区改造配套基础设施的相关政策，符合</w:t>
      </w:r>
      <w:r>
        <w:rPr>
          <w:rFonts w:hint="default"/>
          <w:lang w:eastAsia="zh-CN"/>
        </w:rPr>
        <w:t>攀枝花市、西区</w:t>
      </w:r>
      <w:r>
        <w:rPr>
          <w:rFonts w:hint="default"/>
          <w:lang w:val="zh-CN" w:eastAsia="zh-CN"/>
        </w:rPr>
        <w:t>发展总体规划，</w:t>
      </w:r>
      <w:r>
        <w:rPr>
          <w:rFonts w:hint="default"/>
          <w:lang w:eastAsia="zh-CN"/>
        </w:rPr>
        <w:t>属于公益性、服务性事业项目，以追求社会效益为主要目的，</w:t>
      </w:r>
      <w:r>
        <w:rPr>
          <w:rFonts w:hint="default"/>
          <w:lang w:val="zh-CN" w:eastAsia="zh-CN"/>
        </w:rPr>
        <w:t>项目的实施将完善项目区</w:t>
      </w:r>
      <w:r>
        <w:rPr>
          <w:rFonts w:hint="default"/>
          <w:lang w:eastAsia="zh-CN"/>
        </w:rPr>
        <w:t>的</w:t>
      </w:r>
      <w:r>
        <w:rPr>
          <w:rFonts w:hint="default"/>
          <w:lang w:val="zh-CN" w:eastAsia="zh-CN"/>
        </w:rPr>
        <w:t>道路、给排水、</w:t>
      </w:r>
      <w:r>
        <w:rPr>
          <w:rFonts w:hint="default"/>
          <w:lang w:eastAsia="zh-CN"/>
        </w:rPr>
        <w:t>绿化</w:t>
      </w:r>
      <w:r>
        <w:rPr>
          <w:rFonts w:hint="default"/>
          <w:lang w:val="zh-CN" w:eastAsia="zh-CN"/>
        </w:rPr>
        <w:t>等基础设施建设</w:t>
      </w:r>
      <w:r>
        <w:rPr>
          <w:rFonts w:hint="default"/>
          <w:lang w:eastAsia="zh-CN"/>
        </w:rPr>
        <w:t>，能够</w:t>
      </w:r>
      <w:r>
        <w:rPr>
          <w:rFonts w:hint="default"/>
          <w:lang w:val="zh-CN" w:eastAsia="zh-CN"/>
        </w:rPr>
        <w:t>改善居民的生活条件和居住环境，提高生活水平，</w:t>
      </w:r>
      <w:r>
        <w:rPr>
          <w:rFonts w:hint="default"/>
          <w:lang w:eastAsia="zh-CN"/>
        </w:rPr>
        <w:t>具有</w:t>
      </w:r>
      <w:r>
        <w:rPr>
          <w:rFonts w:hint="default"/>
          <w:lang w:val="zh-CN" w:eastAsia="zh-CN"/>
        </w:rPr>
        <w:t>明显</w:t>
      </w:r>
      <w:r>
        <w:rPr>
          <w:rFonts w:hint="default"/>
          <w:lang w:eastAsia="zh-CN"/>
        </w:rPr>
        <w:t>的</w:t>
      </w:r>
      <w:r>
        <w:rPr>
          <w:rFonts w:hint="default"/>
          <w:lang w:val="zh-CN" w:eastAsia="zh-CN"/>
        </w:rPr>
        <w:t>社会效益。</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三</w:t>
      </w:r>
      <w:r>
        <w:rPr>
          <w:rFonts w:hint="eastAsia" w:ascii="楷体_GB2312" w:hAnsi="楷体_GB2312" w:eastAsia="楷体_GB2312" w:cs="楷体_GB2312"/>
          <w:b/>
          <w:bCs/>
          <w:lang w:val="zh-CN"/>
        </w:rPr>
        <w:t>）评价选点。</w:t>
      </w:r>
    </w:p>
    <w:p>
      <w:pPr>
        <w:rPr>
          <w:rFonts w:hint="default"/>
          <w:lang w:val="zh-CN" w:eastAsia="zh-CN"/>
        </w:rPr>
      </w:pPr>
      <w:r>
        <w:rPr>
          <w:rFonts w:hint="default"/>
          <w:lang w:val="zh-CN" w:eastAsia="zh-CN"/>
        </w:rPr>
        <w:t>街办通过定期和不定期开展实地查看，核查项目资料。</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四</w:t>
      </w:r>
      <w:r>
        <w:rPr>
          <w:rFonts w:hint="eastAsia" w:ascii="楷体_GB2312" w:hAnsi="楷体_GB2312" w:eastAsia="楷体_GB2312" w:cs="楷体_GB2312"/>
          <w:b/>
          <w:bCs/>
          <w:lang w:val="zh-CN"/>
        </w:rPr>
        <w:t>）评价方法。</w:t>
      </w:r>
    </w:p>
    <w:p>
      <w:pPr>
        <w:rPr>
          <w:rFonts w:hint="default"/>
          <w:lang w:val="zh-CN" w:eastAsia="zh-CN"/>
        </w:rPr>
      </w:pPr>
      <w:r>
        <w:rPr>
          <w:rFonts w:hint="default"/>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五</w:t>
      </w:r>
      <w:r>
        <w:rPr>
          <w:rFonts w:hint="eastAsia" w:ascii="楷体_GB2312" w:hAnsi="楷体_GB2312" w:eastAsia="楷体_GB2312" w:cs="楷体_GB2312"/>
          <w:b/>
          <w:bCs/>
          <w:lang w:val="zh-CN"/>
        </w:rPr>
        <w:t>）评价组织。</w:t>
      </w:r>
    </w:p>
    <w:p>
      <w:pPr>
        <w:rPr>
          <w:rFonts w:hint="default"/>
          <w:lang w:eastAsia="zh-CN"/>
        </w:rPr>
      </w:pPr>
      <w:r>
        <w:rPr>
          <w:rFonts w:hint="default"/>
          <w:lang w:val="zh-CN" w:eastAsia="zh-CN"/>
        </w:rPr>
        <w:t>评价组人员由实施该项目的具体负责业务股室、财务室及街办纪工委构成。</w:t>
      </w:r>
    </w:p>
    <w:p>
      <w:pPr>
        <w:rPr>
          <w:rFonts w:hint="eastAsia" w:ascii="黑体" w:hAnsi="黑体" w:eastAsia="黑体" w:cs="黑体"/>
          <w:lang w:val="zh-CN"/>
        </w:rPr>
      </w:pPr>
      <w:bookmarkStart w:id="152" w:name="_Toc8529"/>
      <w:bookmarkStart w:id="153" w:name="_Toc27602"/>
      <w:r>
        <w:rPr>
          <w:rFonts w:hint="eastAsia" w:ascii="黑体" w:hAnsi="黑体" w:eastAsia="黑体" w:cs="黑体"/>
        </w:rPr>
        <w:t>三、</w:t>
      </w:r>
      <w:r>
        <w:rPr>
          <w:rFonts w:hint="eastAsia" w:ascii="黑体" w:hAnsi="黑体" w:eastAsia="黑体" w:cs="黑体"/>
          <w:lang w:eastAsia="zh-CN"/>
        </w:rPr>
        <w:t>绩效分析</w:t>
      </w:r>
      <w:bookmarkEnd w:id="152"/>
      <w:bookmarkEnd w:id="153"/>
      <w:r>
        <w:rPr>
          <w:rFonts w:hint="eastAsia" w:ascii="黑体" w:hAnsi="黑体" w:eastAsia="黑体" w:cs="黑体"/>
          <w:lang w:val="zh-CN"/>
        </w:rPr>
        <w:tab/>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（一）</w:t>
      </w:r>
      <w:r>
        <w:rPr>
          <w:rFonts w:hint="eastAsia" w:ascii="楷体_GB2312" w:hAnsi="楷体_GB2312" w:eastAsia="楷体_GB2312" w:cs="楷体_GB2312"/>
          <w:b/>
          <w:bCs/>
          <w:lang w:val="en-US" w:eastAsia="zh-CN"/>
        </w:rPr>
        <w:t>通用指标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w:t>
      </w:r>
      <w:r>
        <w:rPr>
          <w:rFonts w:hint="default"/>
          <w:lang w:val="zh-CN" w:eastAsia="zh-CN"/>
        </w:rPr>
        <w:t>项目决策。</w:t>
      </w:r>
      <w:r>
        <w:rPr>
          <w:rFonts w:hint="default"/>
          <w:lang w:val="en-US" w:eastAsia="zh-CN"/>
        </w:rPr>
        <w:t>该项目</w:t>
      </w:r>
      <w:r>
        <w:rPr>
          <w:rFonts w:hint="default"/>
        </w:rPr>
        <w:t>及时、准确的在人民政府网站上进行公开，各项经费的开支都以批复为准，均以实际工作进展情况执行预算管理，以节约为本，严格控制各项经费的开支，积极执行绩效管理。</w:t>
      </w:r>
    </w:p>
    <w:p>
      <w:pPr>
        <w:rPr>
          <w:rFonts w:hint="default"/>
          <w:lang w:val="zh-CN"/>
        </w:rPr>
      </w:pPr>
      <w:r>
        <w:rPr>
          <w:rFonts w:hint="default"/>
          <w:lang w:val="en-US" w:eastAsia="zh-CN"/>
        </w:rPr>
        <w:t>2.</w:t>
      </w:r>
      <w:r>
        <w:rPr>
          <w:rFonts w:hint="default"/>
          <w:lang w:val="zh-CN" w:eastAsia="zh-CN"/>
        </w:rPr>
        <w:t>项目管理。</w:t>
      </w:r>
      <w:r>
        <w:rPr>
          <w:rFonts w:hint="default"/>
          <w:lang w:val="zh-CN"/>
        </w:rPr>
        <w:t>该项目由街办项目股室具体负责管理，定期和不定期对项目具体情况进行检查，街办财务室按照财务管理制度，审核票据，拨付资金，对票据资料规范管理，配合区财政对于该项目资金使用情况进行检查。</w:t>
      </w:r>
    </w:p>
    <w:p>
      <w:pPr>
        <w:rPr>
          <w:rFonts w:hint="default"/>
          <w:lang w:val="zh-CN" w:eastAsia="zh-CN"/>
        </w:rPr>
      </w:pPr>
      <w:r>
        <w:rPr>
          <w:rFonts w:hint="default"/>
          <w:lang w:val="en-US" w:eastAsia="zh-CN"/>
        </w:rPr>
        <w:t>3.项目实施。</w:t>
      </w:r>
      <w:r>
        <w:rPr>
          <w:rFonts w:hint="default"/>
          <w:lang w:val="zh-CN"/>
        </w:rPr>
        <w:t>按项目施工进度及时拨付</w:t>
      </w:r>
      <w:r>
        <w:rPr>
          <w:rFonts w:hint="default"/>
        </w:rPr>
        <w:t>。</w:t>
      </w:r>
    </w:p>
    <w:p>
      <w:pPr>
        <w:rPr>
          <w:rFonts w:hint="default"/>
          <w:lang w:val="zh-CN" w:eastAsia="zh-CN"/>
        </w:rPr>
      </w:pPr>
      <w:r>
        <w:rPr>
          <w:rFonts w:hint="default"/>
          <w:lang w:val="en-US" w:eastAsia="zh-CN"/>
        </w:rPr>
        <w:t>4.项目结果。</w:t>
      </w:r>
      <w:r>
        <w:rPr>
          <w:rFonts w:hint="default"/>
          <w:lang w:val="zh-CN"/>
        </w:rPr>
        <w:t>该项目目标完成情况好，时效可控</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w:t>
      </w:r>
      <w:r>
        <w:rPr>
          <w:rFonts w:hint="eastAsia" w:ascii="楷体_GB2312" w:hAnsi="楷体_GB2312" w:eastAsia="楷体_GB2312" w:cs="楷体_GB2312"/>
          <w:b/>
          <w:bCs/>
          <w:lang w:val="en-US" w:eastAsia="zh-CN"/>
        </w:rPr>
        <w:t>专用指标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1.产业发展。符合国家长期政策，大力发展西区银发经济。</w:t>
      </w:r>
    </w:p>
    <w:p>
      <w:pPr>
        <w:rPr>
          <w:rFonts w:hint="default"/>
          <w:lang w:val="en-US" w:eastAsia="zh-CN"/>
        </w:rPr>
      </w:pPr>
      <w:r>
        <w:rPr>
          <w:rFonts w:hint="default"/>
          <w:lang w:val="en-US" w:eastAsia="zh-CN"/>
        </w:rPr>
        <w:t>2.</w:t>
      </w:r>
      <w:r>
        <w:rPr>
          <w:rFonts w:hint="default"/>
          <w:lang w:val="zh-CN" w:eastAsia="zh-CN"/>
        </w:rPr>
        <w:t>民生保障。完善基础设施、改善人居环境。</w:t>
      </w:r>
    </w:p>
    <w:p>
      <w:pPr>
        <w:rPr>
          <w:rFonts w:hint="default"/>
          <w:lang w:val="zh-CN"/>
        </w:rPr>
      </w:pPr>
      <w:r>
        <w:rPr>
          <w:rFonts w:hint="default"/>
          <w:lang w:val="en-US" w:eastAsia="zh-CN"/>
        </w:rPr>
        <w:t>3.基础设施。</w:t>
      </w:r>
      <w:r>
        <w:rPr>
          <w:rFonts w:hint="default"/>
          <w:lang w:val="zh-CN"/>
        </w:rPr>
        <w:t>：修复破损道路、更新排水管网、修缮建筑外立面及屋顶防水层。</w:t>
      </w:r>
    </w:p>
    <w:p>
      <w:pPr>
        <w:rPr>
          <w:rFonts w:hint="default"/>
          <w:lang w:val="en-US" w:eastAsia="zh-CN"/>
        </w:rPr>
      </w:pPr>
      <w:r>
        <w:rPr>
          <w:rFonts w:hint="default"/>
          <w:lang w:val="en-US" w:eastAsia="zh-CN"/>
        </w:rPr>
        <w:t>4.</w:t>
      </w:r>
      <w:r>
        <w:rPr>
          <w:rFonts w:hint="default"/>
          <w:lang w:val="zh-CN" w:eastAsia="zh-CN"/>
        </w:rPr>
        <w:t>行政运转。</w:t>
      </w:r>
      <w:r>
        <w:rPr>
          <w:rFonts w:hint="default"/>
          <w:lang w:val="en-US" w:eastAsia="zh-CN"/>
        </w:rPr>
        <w:t>该项目</w:t>
      </w:r>
      <w:r>
        <w:rPr>
          <w:rFonts w:hint="default"/>
          <w:lang w:val="zh-CN" w:eastAsia="zh-CN"/>
        </w:rPr>
        <w:t>用途合规、程序合规、</w:t>
      </w:r>
      <w:r>
        <w:rPr>
          <w:rFonts w:hint="default"/>
        </w:rPr>
        <w:t>不存在违规记录</w:t>
      </w:r>
      <w:r>
        <w:rPr>
          <w:rFonts w:hint="default"/>
          <w:lang w:val="zh-CN"/>
        </w:rPr>
        <w:t>等情况</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w:t>
      </w:r>
      <w:r>
        <w:rPr>
          <w:rFonts w:hint="eastAsia" w:ascii="楷体_GB2312" w:hAnsi="楷体_GB2312" w:eastAsia="楷体_GB2312" w:cs="楷体_GB2312"/>
          <w:b/>
          <w:bCs/>
          <w:lang w:val="en-US" w:eastAsia="zh-CN"/>
        </w:rPr>
        <w:t>个性指标</w:t>
      </w:r>
      <w:r>
        <w:rPr>
          <w:rFonts w:hint="eastAsia" w:ascii="楷体_GB2312" w:hAnsi="楷体_GB2312" w:eastAsia="楷体_GB2312" w:cs="楷体_GB2312"/>
          <w:b/>
          <w:bCs/>
          <w:lang w:val="zh-CN"/>
        </w:rPr>
        <w:t>绩效分析。</w:t>
      </w:r>
    </w:p>
    <w:p>
      <w:pPr>
        <w:rPr>
          <w:rFonts w:hint="default"/>
          <w:lang w:val="en-US" w:eastAsia="zh-CN"/>
        </w:rPr>
      </w:pPr>
      <w:r>
        <w:rPr>
          <w:rFonts w:hint="default"/>
          <w:lang w:val="zh-CN"/>
        </w:rPr>
        <w:t>该项目有专业的代建公司以及监理公司，经评价，报告质量高。</w:t>
      </w:r>
    </w:p>
    <w:p>
      <w:pPr>
        <w:rPr>
          <w:rFonts w:hint="eastAsia" w:ascii="黑体" w:hAnsi="黑体" w:eastAsia="黑体" w:cs="黑体"/>
          <w:lang w:val="en-US" w:eastAsia="zh-CN"/>
        </w:rPr>
      </w:pPr>
      <w:bookmarkStart w:id="154" w:name="_Toc20888"/>
      <w:bookmarkStart w:id="155" w:name="_Toc29581"/>
      <w:r>
        <w:rPr>
          <w:rFonts w:hint="eastAsia" w:ascii="黑体" w:hAnsi="黑体" w:eastAsia="黑体" w:cs="黑体"/>
          <w:lang w:val="en-US" w:eastAsia="zh-CN"/>
        </w:rPr>
        <w:t>四、评价结论</w:t>
      </w:r>
      <w:bookmarkEnd w:id="154"/>
      <w:bookmarkEnd w:id="155"/>
    </w:p>
    <w:p>
      <w:pPr>
        <w:rPr>
          <w:rFonts w:hint="default"/>
          <w:lang w:val="zh-CN" w:eastAsia="zh-CN"/>
        </w:rPr>
      </w:pPr>
      <w:r>
        <w:rPr>
          <w:rFonts w:hint="default"/>
          <w:lang w:val="zh-CN" w:eastAsia="zh-CN"/>
        </w:rPr>
        <w:t>项目资金使用规范高效，改造任务全面完成，居民生活环境显著改善，绩效评价等级为“优”。</w:t>
      </w:r>
    </w:p>
    <w:p>
      <w:pPr>
        <w:rPr>
          <w:rFonts w:hint="eastAsia" w:ascii="黑体" w:hAnsi="黑体" w:eastAsia="黑体" w:cs="黑体"/>
          <w:lang w:val="en-US" w:eastAsia="zh-CN"/>
        </w:rPr>
      </w:pPr>
      <w:bookmarkStart w:id="156" w:name="_Toc1511"/>
      <w:bookmarkStart w:id="157" w:name="_Toc19087"/>
      <w:r>
        <w:rPr>
          <w:rFonts w:hint="eastAsia" w:ascii="黑体" w:hAnsi="黑体" w:eastAsia="黑体" w:cs="黑体"/>
          <w:lang w:val="en-US" w:eastAsia="zh-CN"/>
        </w:rPr>
        <w:t>五、存在主要问题</w:t>
      </w:r>
      <w:bookmarkEnd w:id="156"/>
      <w:bookmarkEnd w:id="157"/>
    </w:p>
    <w:p>
      <w:pPr>
        <w:rPr>
          <w:rFonts w:hint="default"/>
          <w:lang w:val="zh-CN" w:eastAsia="zh-CN"/>
        </w:rPr>
      </w:pPr>
      <w:r>
        <w:rPr>
          <w:rFonts w:hint="default"/>
          <w:lang w:val="zh-CN" w:eastAsia="zh-CN"/>
        </w:rPr>
        <w:t>项目受客观条件限制，环节多，时限较长。</w:t>
      </w:r>
    </w:p>
    <w:p>
      <w:pPr>
        <w:rPr>
          <w:rFonts w:hint="eastAsia" w:ascii="黑体" w:hAnsi="黑体" w:eastAsia="黑体" w:cs="黑体"/>
          <w:lang w:val="zh-CN" w:eastAsia="zh-CN"/>
        </w:rPr>
      </w:pPr>
      <w:bookmarkStart w:id="158" w:name="_Toc30466"/>
      <w:bookmarkStart w:id="159" w:name="_Toc21460"/>
      <w:r>
        <w:rPr>
          <w:rFonts w:hint="eastAsia" w:ascii="黑体" w:hAnsi="黑体" w:eastAsia="黑体" w:cs="黑体"/>
          <w:lang w:val="zh-CN" w:eastAsia="zh-CN"/>
        </w:rPr>
        <w:t>六、改进建议</w:t>
      </w:r>
      <w:bookmarkEnd w:id="158"/>
      <w:bookmarkEnd w:id="159"/>
    </w:p>
    <w:p>
      <w:pPr>
        <w:rPr>
          <w:rFonts w:hint="default"/>
        </w:rPr>
      </w:pPr>
      <w:r>
        <w:rPr>
          <w:rFonts w:hint="default"/>
          <w:lang w:val="en-US" w:eastAsia="zh-CN"/>
        </w:rPr>
        <w:t>无，该项目</w:t>
      </w:r>
      <w:r>
        <w:rPr>
          <w:rFonts w:hint="default"/>
        </w:rPr>
        <w:t>按照相关工作执行情况，在经费保障下，可以完成预期目标。</w:t>
      </w:r>
    </w:p>
    <w:p>
      <w:pPr>
        <w:rPr>
          <w:rFonts w:hint="default"/>
          <w:lang w:val="zh-CN"/>
        </w:rPr>
      </w:pPr>
      <w:r>
        <w:rPr>
          <w:rFonts w:hint="default"/>
          <w:lang w:val="zh-CN"/>
        </w:rPr>
        <w:br w:type="page"/>
      </w:r>
    </w:p>
    <w:p>
      <w:pPr>
        <w:ind w:left="0" w:leftChars="0" w:firstLine="0" w:firstLineChars="0"/>
        <w:rPr>
          <w:rFonts w:hint="eastAsia" w:ascii="黑体" w:hAnsi="黑体" w:eastAsia="黑体" w:cs="黑体"/>
          <w:lang w:val="en-US" w:eastAsia="zh-CN"/>
        </w:rPr>
      </w:pPr>
      <w:r>
        <w:rPr>
          <w:rFonts w:hint="eastAsia" w:ascii="黑体" w:hAnsi="黑体" w:eastAsia="黑体" w:cs="黑体"/>
          <w:lang w:val="zh-CN"/>
        </w:rPr>
        <w:t>附件</w:t>
      </w:r>
      <w:r>
        <w:rPr>
          <w:rFonts w:hint="eastAsia" w:ascii="黑体" w:hAnsi="黑体" w:eastAsia="黑体" w:cs="黑体"/>
          <w:lang w:val="en-US" w:eastAsia="zh-CN"/>
        </w:rPr>
        <w:t>2</w:t>
      </w:r>
    </w:p>
    <w:p>
      <w:pPr>
        <w:rPr>
          <w:rFonts w:hint="default"/>
          <w:lang w:val="en-US" w:eastAsia="zh-CN"/>
        </w:rPr>
      </w:pPr>
    </w:p>
    <w:p>
      <w:pPr>
        <w:ind w:left="0" w:leftChars="0" w:firstLine="0" w:firstLineChars="0"/>
        <w:rPr>
          <w:rFonts w:hint="eastAsia" w:ascii="方正小标宋_GBK" w:hAnsi="方正小标宋_GBK" w:eastAsia="方正小标宋_GBK" w:cs="方正小标宋_GBK"/>
          <w:b/>
          <w:bCs/>
          <w:sz w:val="44"/>
          <w:szCs w:val="44"/>
          <w:lang w:val="en-US" w:eastAsia="zh-CN"/>
        </w:rPr>
      </w:pPr>
      <w:bookmarkStart w:id="160" w:name="_Toc31949"/>
      <w:bookmarkStart w:id="161" w:name="_Toc26325"/>
      <w:r>
        <w:rPr>
          <w:rFonts w:hint="eastAsia" w:ascii="方正小标宋_GBK" w:hAnsi="方正小标宋_GBK" w:eastAsia="方正小标宋_GBK" w:cs="方正小标宋_GBK"/>
          <w:b/>
          <w:bCs/>
          <w:sz w:val="44"/>
          <w:szCs w:val="44"/>
          <w:lang w:val="en-US" w:eastAsia="zh-CN"/>
        </w:rPr>
        <w:t>农贸市场管理经费专项预算项目绩效评价报告</w:t>
      </w:r>
      <w:bookmarkEnd w:id="160"/>
      <w:bookmarkEnd w:id="161"/>
    </w:p>
    <w:p>
      <w:pPr>
        <w:rPr>
          <w:rFonts w:hint="default"/>
        </w:rPr>
      </w:pPr>
    </w:p>
    <w:p>
      <w:pPr>
        <w:rPr>
          <w:rFonts w:hint="eastAsia" w:ascii="黑体" w:hAnsi="黑体" w:eastAsia="黑体" w:cs="黑体"/>
          <w:lang w:val="zh-CN"/>
        </w:rPr>
      </w:pPr>
      <w:bookmarkStart w:id="162" w:name="_Toc5770"/>
      <w:bookmarkStart w:id="163" w:name="_Toc21587"/>
      <w:r>
        <w:rPr>
          <w:rFonts w:hint="eastAsia" w:ascii="黑体" w:hAnsi="黑体" w:eastAsia="黑体" w:cs="黑体"/>
        </w:rPr>
        <w:t>一、</w:t>
      </w:r>
      <w:r>
        <w:rPr>
          <w:rFonts w:hint="eastAsia" w:ascii="黑体" w:hAnsi="黑体" w:eastAsia="黑体" w:cs="黑体"/>
          <w:lang w:val="zh-CN"/>
        </w:rPr>
        <w:t>项目概况</w:t>
      </w:r>
      <w:bookmarkEnd w:id="162"/>
      <w:bookmarkEnd w:id="163"/>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（一）设立背景及基本情况。</w:t>
      </w:r>
    </w:p>
    <w:p>
      <w:pPr>
        <w:rPr>
          <w:rFonts w:hint="default"/>
          <w:lang w:val="zh-CN"/>
        </w:rPr>
      </w:pPr>
      <w:r>
        <w:rPr>
          <w:rFonts w:hint="default"/>
        </w:rPr>
        <w:t>剥离国有企业办社会职能和加快</w:t>
      </w:r>
      <w:r>
        <w:rPr>
          <w:rFonts w:hint="default"/>
          <w:lang w:eastAsia="zh-CN"/>
        </w:rPr>
        <w:t>推进国有企业“三供一业”资产分离移交</w:t>
      </w:r>
      <w:r>
        <w:rPr>
          <w:rFonts w:hint="default"/>
        </w:rPr>
        <w:t>是党中央、国务院的重大决策部署，是贯彻落实省委、省政府要求，加快国企改革步伐的有力举措，更是国有企业和地方政府艰巨而光荣的政治使命。这一重大举措，既有利于国有企业减轻负担、轻装前行，集中精力发展主业，也有利于地方政府整合资源，改造提升基础设施，进一步改善辖区居民生活环境。2021年4月1日起，</w:t>
      </w:r>
      <w:r>
        <w:rPr>
          <w:rFonts w:hint="default"/>
          <w:lang w:eastAsia="zh-CN"/>
        </w:rPr>
        <w:t>陶家渡街办</w:t>
      </w:r>
      <w:r>
        <w:rPr>
          <w:rFonts w:hint="default"/>
        </w:rPr>
        <w:t>正式接收攀煤陶家渡农贸市场、渡江公园等“三供一业”分离移交资产，且于2022年7月起，正式接收太平农贸市场。这部分资产具有较强的市政设施属性及公益服务职能，为辖区群众提供了就近买菜、购物、休闲等服务，提升了辖区群众的生活质量。</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（二）实施目的及支持方向。</w:t>
      </w:r>
    </w:p>
    <w:p>
      <w:pPr>
        <w:rPr>
          <w:rFonts w:hint="default"/>
          <w:lang w:val="zh-CN" w:eastAsia="zh-CN"/>
        </w:rPr>
      </w:pPr>
      <w:r>
        <w:rPr>
          <w:rFonts w:hint="default"/>
          <w:lang w:val="en-US" w:eastAsia="zh-CN"/>
        </w:rPr>
        <w:t>对陶家渡农贸市场和太平农贸市场进行规范管理，</w:t>
      </w:r>
      <w:r>
        <w:rPr>
          <w:rFonts w:hint="default"/>
        </w:rPr>
        <w:t>使市场环境更加优美，基础设施更加完善</w:t>
      </w:r>
      <w:r>
        <w:rPr>
          <w:rFonts w:hint="default"/>
          <w:lang w:eastAsia="zh-CN"/>
        </w:rPr>
        <w:t>，</w:t>
      </w:r>
      <w:r>
        <w:rPr>
          <w:rFonts w:hint="default"/>
        </w:rPr>
        <w:t>为辖区群众提供了就近买菜、购物、休闲等服务，提升了辖区群众的生活质量</w:t>
      </w:r>
      <w:r>
        <w:rPr>
          <w:rFonts w:hint="default"/>
          <w:lang w:val="zh-CN" w:eastAsia="zh-CN"/>
        </w:rPr>
        <w:t>。</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（三）</w:t>
      </w:r>
      <w:r>
        <w:rPr>
          <w:rFonts w:hint="eastAsia" w:ascii="楷体_GB2312" w:hAnsi="楷体_GB2312" w:eastAsia="楷体_GB2312" w:cs="楷体_GB2312"/>
          <w:b/>
          <w:bCs/>
          <w:lang w:val="en-US" w:eastAsia="zh-CN"/>
        </w:rPr>
        <w:t>预算安排及分配管理</w:t>
      </w:r>
      <w:r>
        <w:rPr>
          <w:rFonts w:hint="eastAsia" w:ascii="楷体_GB2312" w:hAnsi="楷体_GB2312" w:eastAsia="楷体_GB2312" w:cs="楷体_GB2312"/>
          <w:b/>
          <w:bCs/>
          <w:lang w:val="zh-CN" w:eastAsia="zh-CN"/>
        </w:rPr>
        <w:t>。</w:t>
      </w:r>
    </w:p>
    <w:p>
      <w:pPr>
        <w:rPr>
          <w:rFonts w:hint="default"/>
          <w:lang w:val="zh-CN" w:eastAsia="zh-CN"/>
        </w:rPr>
      </w:pPr>
      <w:r>
        <w:rPr>
          <w:rFonts w:hint="default"/>
          <w:lang w:val="zh-CN" w:eastAsia="zh-CN"/>
        </w:rPr>
        <w:t>项目预算安排</w:t>
      </w:r>
      <w:r>
        <w:rPr>
          <w:rFonts w:hint="default"/>
          <w:lang w:val="en-US" w:eastAsia="zh-CN"/>
        </w:rPr>
        <w:t>51.51万元</w:t>
      </w:r>
      <w:r>
        <w:rPr>
          <w:rFonts w:hint="default"/>
          <w:lang w:val="zh-CN"/>
        </w:rPr>
        <w:t>资金到位及时，资金到位率100%</w:t>
      </w:r>
      <w:r>
        <w:rPr>
          <w:rFonts w:hint="default"/>
          <w:lang w:val="zh-CN" w:eastAsia="zh-CN"/>
        </w:rPr>
        <w:t>，</w:t>
      </w:r>
      <w:r>
        <w:rPr>
          <w:rFonts w:hint="default"/>
          <w:lang w:val="zh-CN"/>
        </w:rPr>
        <w:t>资金支付依据合规合法，资金支付与预算相符，不存在无预算超预算支出的情况。</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（四）项目绩效目标设置。</w:t>
      </w:r>
    </w:p>
    <w:p>
      <w:pPr>
        <w:rPr>
          <w:rFonts w:hint="default"/>
          <w:lang w:val="zh-CN" w:eastAsia="zh-CN"/>
        </w:rPr>
      </w:pPr>
      <w:r>
        <w:rPr>
          <w:rFonts w:hint="default"/>
          <w:lang w:val="zh-CN" w:eastAsia="zh-CN"/>
        </w:rPr>
        <w:t>根据</w:t>
      </w:r>
      <w:r>
        <w:rPr>
          <w:rFonts w:hint="default"/>
          <w:lang w:val="en-US" w:eastAsia="zh-CN"/>
        </w:rPr>
        <w:t>项目具体实施方案</w:t>
      </w:r>
      <w:r>
        <w:rPr>
          <w:rFonts w:hint="default"/>
          <w:lang w:val="zh-CN" w:eastAsia="zh-CN"/>
        </w:rPr>
        <w:t>，设置了产出、成本、效益和满意度等绩效指标，并对每项绩效指标进行细化分级，在每年末开展相关绩效目标的自评工作，经自评相关绩效指标均以达到预期目标。</w:t>
      </w:r>
    </w:p>
    <w:p>
      <w:pPr>
        <w:rPr>
          <w:rFonts w:hint="eastAsia" w:ascii="黑体" w:hAnsi="黑体" w:eastAsia="黑体" w:cs="黑体"/>
          <w:lang w:eastAsia="zh-CN"/>
        </w:rPr>
      </w:pPr>
      <w:bookmarkStart w:id="164" w:name="_Toc16265"/>
      <w:bookmarkStart w:id="165" w:name="_Toc25765"/>
      <w:r>
        <w:rPr>
          <w:rFonts w:hint="eastAsia" w:ascii="黑体" w:hAnsi="黑体" w:eastAsia="黑体" w:cs="黑体"/>
        </w:rPr>
        <w:t>二、</w:t>
      </w:r>
      <w:r>
        <w:rPr>
          <w:rFonts w:hint="eastAsia" w:ascii="黑体" w:hAnsi="黑体" w:eastAsia="黑体" w:cs="黑体"/>
          <w:lang w:eastAsia="zh-CN"/>
        </w:rPr>
        <w:t>评价实施</w:t>
      </w:r>
      <w:bookmarkEnd w:id="164"/>
      <w:bookmarkEnd w:id="165"/>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（一）评价目的。</w:t>
      </w:r>
    </w:p>
    <w:p>
      <w:pPr>
        <w:rPr>
          <w:rFonts w:hint="default"/>
          <w:lang w:val="zh-CN" w:eastAsia="zh-CN"/>
        </w:rPr>
      </w:pPr>
      <w:r>
        <w:rPr>
          <w:rFonts w:hint="default"/>
          <w:lang w:val="zh-CN" w:eastAsia="zh-CN"/>
        </w:rPr>
        <w:t>辖区群众提供基本生活服务，提升辖区群众生活质量。</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w:t>
      </w:r>
      <w:r>
        <w:rPr>
          <w:rFonts w:hint="eastAsia" w:ascii="楷体_GB2312" w:hAnsi="楷体_GB2312" w:eastAsia="楷体_GB2312" w:cs="楷体_GB2312"/>
          <w:b/>
          <w:bCs/>
          <w:lang w:val="en-US" w:eastAsia="zh-CN"/>
        </w:rPr>
        <w:t>二</w:t>
      </w:r>
      <w:r>
        <w:rPr>
          <w:rFonts w:hint="eastAsia" w:ascii="楷体_GB2312" w:hAnsi="楷体_GB2312" w:eastAsia="楷体_GB2312" w:cs="楷体_GB2312"/>
          <w:b/>
          <w:bCs/>
          <w:lang w:val="zh-CN"/>
        </w:rPr>
        <w:t>）预设问题及评价重点。</w:t>
      </w:r>
    </w:p>
    <w:p>
      <w:pPr>
        <w:rPr>
          <w:rFonts w:hint="default"/>
          <w:lang w:val="zh-CN" w:eastAsia="zh-CN"/>
        </w:rPr>
      </w:pPr>
      <w:r>
        <w:rPr>
          <w:rFonts w:hint="default"/>
          <w:lang w:val="en-US" w:eastAsia="zh-CN"/>
        </w:rPr>
        <w:t>该项目资金主要是市场管理经费，使农贸市场管理更加规范，</w:t>
      </w:r>
      <w:r>
        <w:rPr>
          <w:rFonts w:hint="default"/>
        </w:rPr>
        <w:t>提升了辖区群众的生活质量</w:t>
      </w:r>
      <w:r>
        <w:rPr>
          <w:rFonts w:hint="default"/>
          <w:lang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（三）评价选点。</w:t>
      </w:r>
    </w:p>
    <w:p>
      <w:pPr>
        <w:rPr>
          <w:rFonts w:hint="default"/>
          <w:lang w:val="zh-CN" w:eastAsia="zh-CN"/>
        </w:rPr>
      </w:pPr>
      <w:r>
        <w:rPr>
          <w:rFonts w:hint="default"/>
          <w:lang w:val="zh-CN" w:eastAsia="zh-CN"/>
        </w:rPr>
        <w:t>街办通过定期和不定期开展实地查看，核查项目资料。</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（四）评价方法。</w:t>
      </w:r>
    </w:p>
    <w:p>
      <w:pPr>
        <w:rPr>
          <w:rFonts w:hint="default"/>
          <w:lang w:val="zh-CN" w:eastAsia="zh-CN"/>
        </w:rPr>
      </w:pPr>
      <w:r>
        <w:rPr>
          <w:rFonts w:hint="default"/>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（五）评价组织。</w:t>
      </w:r>
    </w:p>
    <w:p>
      <w:pPr>
        <w:rPr>
          <w:rFonts w:hint="default"/>
          <w:lang w:eastAsia="zh-CN"/>
        </w:rPr>
      </w:pPr>
      <w:r>
        <w:rPr>
          <w:rFonts w:hint="default"/>
          <w:lang w:val="zh-CN"/>
        </w:rPr>
        <w:t>评价组人员由实施该项目的具体负责业务股室、财务室及街办纪工委构成。</w:t>
      </w:r>
    </w:p>
    <w:p>
      <w:pPr>
        <w:rPr>
          <w:rFonts w:hint="eastAsia" w:ascii="黑体" w:hAnsi="黑体" w:eastAsia="黑体" w:cs="黑体"/>
          <w:lang w:val="zh-CN"/>
        </w:rPr>
      </w:pPr>
      <w:bookmarkStart w:id="166" w:name="_Toc4686"/>
      <w:bookmarkStart w:id="167" w:name="_Toc11592"/>
      <w:r>
        <w:rPr>
          <w:rFonts w:hint="eastAsia" w:ascii="黑体" w:hAnsi="黑体" w:eastAsia="黑体" w:cs="黑体"/>
        </w:rPr>
        <w:t>三、</w:t>
      </w:r>
      <w:r>
        <w:rPr>
          <w:rFonts w:hint="eastAsia" w:ascii="黑体" w:hAnsi="黑体" w:eastAsia="黑体" w:cs="黑体"/>
          <w:lang w:eastAsia="zh-CN"/>
        </w:rPr>
        <w:t>绩效分析</w:t>
      </w:r>
      <w:bookmarkEnd w:id="166"/>
      <w:bookmarkEnd w:id="167"/>
      <w:r>
        <w:rPr>
          <w:rFonts w:hint="eastAsia" w:ascii="黑体" w:hAnsi="黑体" w:eastAsia="黑体" w:cs="黑体"/>
          <w:lang w:val="zh-CN"/>
        </w:rPr>
        <w:tab/>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（一）</w:t>
      </w:r>
      <w:r>
        <w:rPr>
          <w:rFonts w:hint="eastAsia" w:ascii="楷体_GB2312" w:hAnsi="楷体_GB2312" w:eastAsia="楷体_GB2312" w:cs="楷体_GB2312"/>
          <w:b/>
          <w:bCs/>
          <w:lang w:val="en-US" w:eastAsia="zh-CN"/>
        </w:rPr>
        <w:t>通用指标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w:t>
      </w:r>
      <w:r>
        <w:rPr>
          <w:rFonts w:hint="default"/>
          <w:lang w:val="zh-CN" w:eastAsia="zh-CN"/>
        </w:rPr>
        <w:t>项目决策。</w:t>
      </w:r>
      <w:r>
        <w:rPr>
          <w:rFonts w:hint="default"/>
          <w:lang w:val="en-US" w:eastAsia="zh-CN"/>
        </w:rPr>
        <w:t>该项目</w:t>
      </w:r>
      <w:r>
        <w:rPr>
          <w:rFonts w:hint="default"/>
        </w:rPr>
        <w:t>及时、准确的在人民政府网站上进行公开，各项经费的开支都以批复为准，均以实际工作进展情况执行预算管理，以节约为本，严格控制各项经费的开支，积极执行绩效管理。</w:t>
      </w:r>
    </w:p>
    <w:p>
      <w:pPr>
        <w:rPr>
          <w:rFonts w:hint="default"/>
          <w:lang w:val="zh-CN"/>
        </w:rPr>
      </w:pPr>
      <w:r>
        <w:rPr>
          <w:rFonts w:hint="default"/>
          <w:lang w:val="en-US" w:eastAsia="zh-CN"/>
        </w:rPr>
        <w:t>2.</w:t>
      </w:r>
      <w:r>
        <w:rPr>
          <w:rFonts w:hint="default"/>
          <w:lang w:val="zh-CN" w:eastAsia="zh-CN"/>
        </w:rPr>
        <w:t>项目管理。</w:t>
      </w:r>
      <w:r>
        <w:rPr>
          <w:rFonts w:hint="default"/>
          <w:lang w:val="zh-CN"/>
        </w:rPr>
        <w:t>该项目由街办项目股室具体负责管理，定期和不定期对项目具体情况进行检查，街办财务室按照财务管理制度，审核票据，拨付资金，对票据资料规范管理，配合区财政对于该项目资金使用情况进行检查。</w:t>
      </w:r>
    </w:p>
    <w:p>
      <w:pPr>
        <w:rPr>
          <w:rFonts w:hint="default"/>
          <w:lang w:val="zh-CN" w:eastAsia="zh-CN"/>
        </w:rPr>
      </w:pPr>
      <w:r>
        <w:rPr>
          <w:rFonts w:hint="default"/>
          <w:lang w:val="en-US" w:eastAsia="zh-CN"/>
        </w:rPr>
        <w:t>3.项目实施。</w:t>
      </w:r>
      <w:r>
        <w:rPr>
          <w:rFonts w:hint="default"/>
          <w:lang w:val="zh-CN"/>
        </w:rPr>
        <w:t>按项目施工进度及时拨付</w:t>
      </w:r>
      <w:r>
        <w:rPr>
          <w:rFonts w:hint="default"/>
        </w:rPr>
        <w:t>。</w:t>
      </w:r>
    </w:p>
    <w:p>
      <w:pPr>
        <w:rPr>
          <w:rFonts w:hint="default"/>
          <w:lang w:val="zh-CN" w:eastAsia="zh-CN"/>
        </w:rPr>
      </w:pPr>
      <w:r>
        <w:rPr>
          <w:rFonts w:hint="default"/>
          <w:lang w:val="en-US" w:eastAsia="zh-CN"/>
        </w:rPr>
        <w:t>4.项目结果。</w:t>
      </w:r>
      <w:r>
        <w:rPr>
          <w:rFonts w:hint="default"/>
          <w:lang w:val="zh-CN"/>
        </w:rPr>
        <w:t>该项目目标完成情况好，时效可控</w:t>
      </w:r>
      <w:r>
        <w:rPr>
          <w:rFonts w:hint="default"/>
          <w:lang w:val="zh-CN" w:eastAsia="zh-CN"/>
        </w:rPr>
        <w:t>。</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rPr>
        <w:t>（二）</w:t>
      </w:r>
      <w:r>
        <w:rPr>
          <w:rFonts w:hint="eastAsia" w:ascii="楷体_GB2312" w:hAnsi="楷体_GB2312" w:eastAsia="楷体_GB2312" w:cs="楷体_GB2312"/>
          <w:b/>
          <w:bCs/>
          <w:lang w:val="en-US" w:eastAsia="zh-CN"/>
        </w:rPr>
        <w:t>专用指标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1.产业发展。符合国家长期政策，大力发展西区银发经济。</w:t>
      </w:r>
    </w:p>
    <w:p>
      <w:pPr>
        <w:rPr>
          <w:rFonts w:hint="default"/>
          <w:lang w:val="en-US" w:eastAsia="zh-CN"/>
        </w:rPr>
      </w:pPr>
      <w:r>
        <w:rPr>
          <w:rFonts w:hint="default"/>
          <w:lang w:val="en-US" w:eastAsia="zh-CN"/>
        </w:rPr>
        <w:t>2.</w:t>
      </w:r>
      <w:r>
        <w:rPr>
          <w:rFonts w:hint="default"/>
          <w:lang w:val="zh-CN" w:eastAsia="zh-CN"/>
        </w:rPr>
        <w:t>民生保障。完善基础设施、改善人居环境。</w:t>
      </w:r>
    </w:p>
    <w:p>
      <w:pPr>
        <w:rPr>
          <w:rFonts w:hint="default"/>
          <w:lang w:val="zh-CN"/>
        </w:rPr>
      </w:pPr>
      <w:r>
        <w:rPr>
          <w:rFonts w:hint="default"/>
          <w:lang w:val="en-US" w:eastAsia="zh-CN"/>
        </w:rPr>
        <w:t>3.基础设施。</w:t>
      </w:r>
      <w:r>
        <w:rPr>
          <w:rFonts w:hint="default"/>
          <w:lang w:val="zh-CN"/>
        </w:rPr>
        <w:t>：修复</w:t>
      </w:r>
      <w:r>
        <w:rPr>
          <w:rFonts w:hint="default"/>
          <w:lang w:val="en-US" w:eastAsia="zh-CN"/>
        </w:rPr>
        <w:t>农贸市场破损设施设备</w:t>
      </w:r>
      <w:r>
        <w:rPr>
          <w:rFonts w:hint="default"/>
          <w:lang w:val="zh-CN"/>
        </w:rPr>
        <w:t>。</w:t>
      </w:r>
    </w:p>
    <w:p>
      <w:pPr>
        <w:rPr>
          <w:rFonts w:hint="default"/>
          <w:lang w:val="en-US" w:eastAsia="zh-CN"/>
        </w:rPr>
      </w:pPr>
      <w:r>
        <w:rPr>
          <w:rFonts w:hint="default"/>
          <w:lang w:val="en-US" w:eastAsia="zh-CN"/>
        </w:rPr>
        <w:t>4.</w:t>
      </w:r>
      <w:r>
        <w:rPr>
          <w:rFonts w:hint="default"/>
          <w:lang w:val="zh-CN" w:eastAsia="zh-CN"/>
        </w:rPr>
        <w:t>行政运转。</w:t>
      </w:r>
      <w:r>
        <w:rPr>
          <w:rFonts w:hint="default"/>
          <w:lang w:val="en-US" w:eastAsia="zh-CN"/>
        </w:rPr>
        <w:t>该项目</w:t>
      </w:r>
      <w:r>
        <w:rPr>
          <w:rFonts w:hint="default"/>
          <w:lang w:val="zh-CN" w:eastAsia="zh-CN"/>
        </w:rPr>
        <w:t>用途合规、程序合规、</w:t>
      </w:r>
      <w:r>
        <w:rPr>
          <w:rFonts w:hint="default"/>
        </w:rPr>
        <w:t>不存在违规记录</w:t>
      </w:r>
      <w:r>
        <w:rPr>
          <w:rFonts w:hint="default"/>
          <w:lang w:val="zh-CN"/>
        </w:rPr>
        <w:t>等情况</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w:t>
      </w:r>
      <w:r>
        <w:rPr>
          <w:rFonts w:hint="eastAsia" w:ascii="楷体_GB2312" w:hAnsi="楷体_GB2312" w:eastAsia="楷体_GB2312" w:cs="楷体_GB2312"/>
          <w:b/>
          <w:bCs/>
          <w:lang w:val="en-US" w:eastAsia="zh-CN"/>
        </w:rPr>
        <w:t>个性指标</w:t>
      </w:r>
      <w:r>
        <w:rPr>
          <w:rFonts w:hint="eastAsia" w:ascii="楷体_GB2312" w:hAnsi="楷体_GB2312" w:eastAsia="楷体_GB2312" w:cs="楷体_GB2312"/>
          <w:b/>
          <w:bCs/>
          <w:lang w:val="zh-CN"/>
        </w:rPr>
        <w:t>绩效分析。</w:t>
      </w:r>
    </w:p>
    <w:p>
      <w:pPr>
        <w:rPr>
          <w:rFonts w:hint="default"/>
          <w:lang w:val="en-US" w:eastAsia="zh-CN"/>
        </w:rPr>
      </w:pPr>
      <w:r>
        <w:rPr>
          <w:rFonts w:hint="default"/>
          <w:lang w:val="zh-CN"/>
        </w:rPr>
        <w:t>该项目有专业的代建公司以及监理公司，经评价，报告质量高。</w:t>
      </w:r>
    </w:p>
    <w:p>
      <w:pPr>
        <w:rPr>
          <w:rFonts w:hint="eastAsia" w:ascii="黑体" w:hAnsi="黑体" w:eastAsia="黑体" w:cs="黑体"/>
          <w:lang w:val="en-US" w:eastAsia="zh-CN"/>
        </w:rPr>
      </w:pPr>
      <w:bookmarkStart w:id="168" w:name="_Toc13976"/>
      <w:bookmarkStart w:id="169" w:name="_Toc17299"/>
      <w:r>
        <w:rPr>
          <w:rFonts w:hint="eastAsia" w:ascii="黑体" w:hAnsi="黑体" w:eastAsia="黑体" w:cs="黑体"/>
          <w:lang w:val="en-US" w:eastAsia="zh-CN"/>
        </w:rPr>
        <w:t>四、评价结论</w:t>
      </w:r>
      <w:bookmarkEnd w:id="168"/>
      <w:bookmarkEnd w:id="169"/>
    </w:p>
    <w:p>
      <w:pPr>
        <w:rPr>
          <w:rFonts w:hint="default"/>
          <w:lang w:val="zh-CN" w:eastAsia="zh-CN"/>
        </w:rPr>
      </w:pPr>
      <w:r>
        <w:rPr>
          <w:rFonts w:hint="default"/>
          <w:lang w:val="zh-CN" w:eastAsia="zh-CN"/>
        </w:rPr>
        <w:t>项目资金使用规范高效，改造任务全面完成，居民生活环境显著改善，绩效评价等级为“优”。</w:t>
      </w:r>
    </w:p>
    <w:p>
      <w:pPr>
        <w:rPr>
          <w:rFonts w:hint="eastAsia" w:ascii="黑体" w:hAnsi="黑体" w:eastAsia="黑体" w:cs="黑体"/>
          <w:lang w:val="en-US" w:eastAsia="zh-CN"/>
        </w:rPr>
      </w:pPr>
      <w:bookmarkStart w:id="170" w:name="_Toc14966"/>
      <w:bookmarkStart w:id="171" w:name="_Toc16619"/>
      <w:r>
        <w:rPr>
          <w:rFonts w:hint="eastAsia" w:ascii="黑体" w:hAnsi="黑体" w:eastAsia="黑体" w:cs="黑体"/>
          <w:lang w:val="en-US" w:eastAsia="zh-CN"/>
        </w:rPr>
        <w:t>五、存在主要问题</w:t>
      </w:r>
      <w:bookmarkEnd w:id="170"/>
      <w:bookmarkEnd w:id="171"/>
    </w:p>
    <w:p>
      <w:pPr>
        <w:rPr>
          <w:rFonts w:hint="default"/>
          <w:lang w:val="zh-CN" w:eastAsia="zh-CN"/>
        </w:rPr>
      </w:pPr>
      <w:r>
        <w:rPr>
          <w:rFonts w:hint="default"/>
          <w:lang w:val="zh-CN" w:eastAsia="zh-CN"/>
        </w:rPr>
        <w:t>项目受客观条件限制，环节多，时限较长。</w:t>
      </w:r>
    </w:p>
    <w:p>
      <w:pPr>
        <w:rPr>
          <w:rFonts w:hint="eastAsia" w:ascii="黑体" w:hAnsi="黑体" w:eastAsia="黑体" w:cs="黑体"/>
          <w:lang w:val="zh-CN" w:eastAsia="zh-CN"/>
        </w:rPr>
      </w:pPr>
      <w:bookmarkStart w:id="172" w:name="_Toc5463"/>
      <w:bookmarkStart w:id="173" w:name="_Toc18794"/>
      <w:r>
        <w:rPr>
          <w:rFonts w:hint="eastAsia" w:ascii="黑体" w:hAnsi="黑体" w:eastAsia="黑体" w:cs="黑体"/>
          <w:lang w:val="zh-CN" w:eastAsia="zh-CN"/>
        </w:rPr>
        <w:t>六、改进建议</w:t>
      </w:r>
      <w:bookmarkEnd w:id="172"/>
      <w:bookmarkEnd w:id="173"/>
    </w:p>
    <w:p>
      <w:pPr>
        <w:rPr>
          <w:rFonts w:hint="default"/>
        </w:rPr>
      </w:pPr>
      <w:r>
        <w:rPr>
          <w:rFonts w:hint="default"/>
          <w:lang w:val="en-US" w:eastAsia="zh-CN"/>
        </w:rPr>
        <w:t>无，该项目</w:t>
      </w:r>
      <w:r>
        <w:rPr>
          <w:rFonts w:hint="default"/>
        </w:rPr>
        <w:t>按照相关工作执行情况，在经费保障下，可以完成预期目标。</w:t>
      </w:r>
    </w:p>
    <w:p>
      <w:pPr>
        <w:rPr>
          <w:rFonts w:hint="default"/>
          <w:lang w:val="zh-CN"/>
        </w:rPr>
      </w:pPr>
      <w:r>
        <w:rPr>
          <w:rFonts w:hint="default"/>
          <w:lang w:val="zh-CN"/>
        </w:rPr>
        <w:br w:type="page"/>
      </w:r>
    </w:p>
    <w:p>
      <w:pPr>
        <w:ind w:left="0" w:leftChars="0" w:firstLine="0" w:firstLineChars="0"/>
        <w:rPr>
          <w:rFonts w:hint="eastAsia" w:ascii="黑体" w:hAnsi="黑体" w:eastAsia="黑体" w:cs="黑体"/>
          <w:lang w:val="en-US" w:eastAsia="zh-CN"/>
        </w:rPr>
      </w:pPr>
      <w:r>
        <w:rPr>
          <w:rFonts w:hint="eastAsia" w:ascii="黑体" w:hAnsi="黑体" w:eastAsia="黑体" w:cs="黑体"/>
          <w:lang w:val="zh-CN"/>
        </w:rPr>
        <w:t>附件</w:t>
      </w:r>
      <w:r>
        <w:rPr>
          <w:rFonts w:hint="eastAsia" w:ascii="黑体" w:hAnsi="黑体" w:eastAsia="黑体" w:cs="黑体"/>
          <w:lang w:val="en-US" w:eastAsia="zh-CN"/>
        </w:rPr>
        <w:t>2</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74" w:name="_Toc18089"/>
      <w:r>
        <w:rPr>
          <w:rFonts w:hint="eastAsia" w:ascii="方正小标宋_GBK" w:hAnsi="方正小标宋_GBK" w:eastAsia="方正小标宋_GBK" w:cs="方正小标宋_GBK"/>
          <w:b/>
          <w:bCs/>
          <w:sz w:val="44"/>
          <w:szCs w:val="44"/>
          <w:lang w:val="en-US" w:eastAsia="zh-CN"/>
        </w:rPr>
        <w:t>养老服务业发展补助资金（省级）专项</w:t>
      </w:r>
      <w:bookmarkEnd w:id="174"/>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bookmarkStart w:id="175" w:name="_Toc460"/>
      <w:r>
        <w:rPr>
          <w:rFonts w:hint="eastAsia" w:ascii="方正小标宋_GBK" w:hAnsi="方正小标宋_GBK" w:eastAsia="方正小标宋_GBK" w:cs="方正小标宋_GBK"/>
          <w:b/>
          <w:bCs/>
          <w:sz w:val="44"/>
          <w:szCs w:val="44"/>
          <w:lang w:val="en-US" w:eastAsia="zh-CN"/>
        </w:rPr>
        <w:t>预算项目绩效评价报告</w:t>
      </w:r>
      <w:bookmarkEnd w:id="175"/>
    </w:p>
    <w:p>
      <w:pPr>
        <w:rPr>
          <w:rFonts w:hint="default"/>
        </w:rPr>
      </w:pPr>
    </w:p>
    <w:p>
      <w:pPr>
        <w:rPr>
          <w:rFonts w:hint="eastAsia" w:ascii="黑体" w:hAnsi="黑体" w:eastAsia="黑体" w:cs="黑体"/>
          <w:lang w:val="zh-CN"/>
        </w:rPr>
      </w:pPr>
      <w:bookmarkStart w:id="176" w:name="_Toc19286"/>
      <w:bookmarkStart w:id="177" w:name="_Toc25650"/>
      <w:r>
        <w:rPr>
          <w:rFonts w:hint="eastAsia" w:ascii="黑体" w:hAnsi="黑体" w:eastAsia="黑体" w:cs="黑体"/>
        </w:rPr>
        <w:t>一、</w:t>
      </w:r>
      <w:r>
        <w:rPr>
          <w:rFonts w:hint="eastAsia" w:ascii="黑体" w:hAnsi="黑体" w:eastAsia="黑体" w:cs="黑体"/>
          <w:lang w:val="zh-CN"/>
        </w:rPr>
        <w:t>项目概况</w:t>
      </w:r>
      <w:bookmarkEnd w:id="176"/>
      <w:bookmarkEnd w:id="177"/>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（一）设立背景及基本情况。</w:t>
      </w:r>
    </w:p>
    <w:p>
      <w:pPr>
        <w:rPr>
          <w:rFonts w:hint="default"/>
          <w:lang w:val="zh-CN"/>
        </w:rPr>
      </w:pPr>
      <w:r>
        <w:rPr>
          <w:rFonts w:hint="default"/>
          <w:lang w:eastAsia="zh-CN"/>
        </w:rPr>
        <w:t>示范性</w:t>
      </w:r>
      <w:r>
        <w:rPr>
          <w:rFonts w:hint="default"/>
        </w:rPr>
        <w:t>老年助餐网络建设是</w:t>
      </w:r>
      <w:r>
        <w:rPr>
          <w:rFonts w:hint="default"/>
          <w:lang w:eastAsia="zh-CN"/>
        </w:rPr>
        <w:t>综合利用社区养老服务设施和现有资源，打造一批食材可溯、安全卫生、价格公道的标准化社区老年食堂，按照</w:t>
      </w:r>
      <w:r>
        <w:rPr>
          <w:rFonts w:hint="default"/>
        </w:rPr>
        <w:t>“1+N”</w:t>
      </w:r>
      <w:r>
        <w:rPr>
          <w:rFonts w:hint="default"/>
          <w:lang w:eastAsia="zh-CN"/>
        </w:rPr>
        <w:t>形式（即</w:t>
      </w:r>
      <w:r>
        <w:rPr>
          <w:rFonts w:hint="default"/>
          <w:lang w:val="en-US" w:eastAsia="zh-CN"/>
        </w:rPr>
        <w:t>1个“中心厨房”，N个“助餐点位”</w:t>
      </w:r>
      <w:r>
        <w:rPr>
          <w:rFonts w:hint="default"/>
          <w:lang w:eastAsia="zh-CN"/>
        </w:rPr>
        <w:t>）规划建设老年助餐网络</w:t>
      </w:r>
      <w:r>
        <w:rPr>
          <w:rFonts w:hint="default"/>
        </w:rPr>
        <w:t>，提升资源使用效能达到集约化、规模化，进一步丰富和完善现有社区助餐服务体系，起到“扩范围、补盲点”的重要作用，满足社区老年人多层次、多样化就餐需求。</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（二）实施目的及支持方向。</w:t>
      </w:r>
    </w:p>
    <w:p>
      <w:pPr>
        <w:rPr>
          <w:rFonts w:hint="default"/>
          <w:lang w:val="zh-CN" w:eastAsia="zh-CN"/>
        </w:rPr>
      </w:pPr>
      <w:r>
        <w:rPr>
          <w:rFonts w:hint="default"/>
          <w:lang w:eastAsia="zh-CN"/>
        </w:rPr>
        <w:t>老年助餐网络建设项目旨在为老年人提供方便、健康、营养的餐饮服务，解决他们在饮食方面的困难。通过建立覆盖社区的助餐点，提供送餐服务，以及开展营养健康教育等措施，实现信息连接和资源共享，满足老年人的助餐需求，提高老年人的饮食水平和生活质量。</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en-US" w:eastAsia="zh-CN"/>
        </w:rPr>
        <w:t>（三）预算安排及分配管理</w:t>
      </w:r>
      <w:r>
        <w:rPr>
          <w:rFonts w:hint="eastAsia" w:ascii="楷体_GB2312" w:hAnsi="楷体_GB2312" w:eastAsia="楷体_GB2312" w:cs="楷体_GB2312"/>
          <w:b/>
          <w:bCs/>
          <w:lang w:val="zh-CN" w:eastAsia="zh-CN"/>
        </w:rPr>
        <w:t>。</w:t>
      </w:r>
    </w:p>
    <w:p>
      <w:pPr>
        <w:rPr>
          <w:rFonts w:hint="default"/>
          <w:lang w:val="zh-CN" w:eastAsia="zh-CN"/>
        </w:rPr>
      </w:pPr>
      <w:r>
        <w:rPr>
          <w:rFonts w:hint="default"/>
          <w:lang w:val="zh-CN" w:eastAsia="zh-CN"/>
        </w:rPr>
        <w:t>项目预算安排</w:t>
      </w:r>
      <w:r>
        <w:rPr>
          <w:rFonts w:hint="default"/>
          <w:lang w:val="en-US" w:eastAsia="zh-CN"/>
        </w:rPr>
        <w:t>80万元，资金到达率100%</w:t>
      </w:r>
      <w:r>
        <w:rPr>
          <w:rFonts w:hint="default"/>
          <w:lang w:val="zh-CN" w:eastAsia="zh-CN"/>
        </w:rPr>
        <w:t>。</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（四）项目绩效目标设置。</w:t>
      </w:r>
    </w:p>
    <w:p>
      <w:pPr>
        <w:rPr>
          <w:rFonts w:hint="default"/>
          <w:lang w:val="zh-CN" w:eastAsia="zh-CN"/>
        </w:rPr>
      </w:pPr>
      <w:r>
        <w:rPr>
          <w:rFonts w:hint="default"/>
          <w:lang w:val="en-US" w:eastAsia="zh-CN"/>
        </w:rPr>
        <w:t>项目绩效目标为老年人提供安全、方便、实惠的助餐服务，</w:t>
      </w:r>
      <w:r>
        <w:rPr>
          <w:rFonts w:hint="default"/>
        </w:rPr>
        <w:t>此项工作纳入街道重点工作，</w:t>
      </w:r>
      <w:r>
        <w:rPr>
          <w:rFonts w:hint="default"/>
          <w:lang w:eastAsia="zh-CN"/>
        </w:rPr>
        <w:t>根据《</w:t>
      </w:r>
      <w:r>
        <w:rPr>
          <w:rFonts w:hint="default"/>
        </w:rPr>
        <w:t>四川省示范性老年助餐网络建设导则（试行）</w:t>
      </w:r>
      <w:r>
        <w:rPr>
          <w:rFonts w:hint="default"/>
          <w:lang w:eastAsia="zh-CN"/>
        </w:rPr>
        <w:t>》</w:t>
      </w:r>
      <w:r>
        <w:rPr>
          <w:rFonts w:hint="default"/>
          <w:lang w:val="en-US" w:eastAsia="zh-CN"/>
        </w:rPr>
        <w:t>规定的目标的基础上，结合辖区情况，绩效目标符合辖区实际。</w:t>
      </w:r>
    </w:p>
    <w:p>
      <w:pPr>
        <w:rPr>
          <w:rFonts w:hint="eastAsia" w:ascii="黑体" w:hAnsi="黑体" w:eastAsia="黑体" w:cs="黑体"/>
          <w:lang w:eastAsia="zh-CN"/>
        </w:rPr>
      </w:pPr>
      <w:bookmarkStart w:id="178" w:name="_Toc15427"/>
      <w:bookmarkStart w:id="179" w:name="_Toc10050"/>
      <w:r>
        <w:rPr>
          <w:rFonts w:hint="eastAsia" w:ascii="黑体" w:hAnsi="黑体" w:eastAsia="黑体" w:cs="黑体"/>
        </w:rPr>
        <w:t>二、</w:t>
      </w:r>
      <w:r>
        <w:rPr>
          <w:rFonts w:hint="eastAsia" w:ascii="黑体" w:hAnsi="黑体" w:eastAsia="黑体" w:cs="黑体"/>
          <w:lang w:eastAsia="zh-CN"/>
        </w:rPr>
        <w:t>评价实施</w:t>
      </w:r>
      <w:bookmarkEnd w:id="178"/>
      <w:bookmarkEnd w:id="179"/>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（一）评价目的。</w:t>
      </w:r>
    </w:p>
    <w:p>
      <w:pPr>
        <w:rPr>
          <w:rFonts w:hint="default"/>
          <w:lang w:val="zh-CN" w:eastAsia="zh-CN"/>
        </w:rPr>
      </w:pPr>
      <w:r>
        <w:rPr>
          <w:rFonts w:hint="default"/>
          <w:lang w:eastAsia="zh-CN"/>
        </w:rPr>
        <w:t>老年助餐网络建设项目旨在为老年人提供方便、健康、营养的餐饮服务，解决他们在饮食方面的困难。</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（二）预设问题及评价重点。</w:t>
      </w:r>
    </w:p>
    <w:p>
      <w:pPr>
        <w:rPr>
          <w:rFonts w:hint="default"/>
          <w:lang w:val="zh-CN" w:eastAsia="zh-CN"/>
        </w:rPr>
      </w:pPr>
      <w:r>
        <w:rPr>
          <w:rFonts w:hint="default"/>
          <w:lang w:val="en-US" w:eastAsia="zh-CN"/>
        </w:rPr>
        <w:t>该项目资金主要是</w:t>
      </w:r>
      <w:r>
        <w:rPr>
          <w:rFonts w:hint="default"/>
          <w:lang w:eastAsia="zh-CN"/>
        </w:rPr>
        <w:t>老年助餐网络建设</w:t>
      </w:r>
      <w:r>
        <w:rPr>
          <w:rFonts w:hint="default"/>
          <w:lang w:val="en-US" w:eastAsia="zh-CN"/>
        </w:rPr>
        <w:t>经费，</w:t>
      </w:r>
      <w:r>
        <w:rPr>
          <w:rFonts w:hint="default"/>
          <w:lang w:eastAsia="zh-CN"/>
        </w:rPr>
        <w:t>建立覆盖社区的助餐点，提供送餐服务</w:t>
      </w:r>
      <w:r>
        <w:rPr>
          <w:rFonts w:hint="default"/>
          <w:lang w:val="en-US" w:eastAsia="zh-CN"/>
        </w:rPr>
        <w:t>，</w:t>
      </w:r>
      <w:r>
        <w:rPr>
          <w:rFonts w:hint="default"/>
        </w:rPr>
        <w:t>提升了辖区</w:t>
      </w:r>
      <w:r>
        <w:rPr>
          <w:rFonts w:hint="default"/>
          <w:lang w:val="en-US" w:eastAsia="zh-CN"/>
        </w:rPr>
        <w:t>老年人</w:t>
      </w:r>
      <w:r>
        <w:rPr>
          <w:rFonts w:hint="default"/>
        </w:rPr>
        <w:t>的生活质量</w:t>
      </w:r>
      <w:r>
        <w:rPr>
          <w:rFonts w:hint="default"/>
          <w:lang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（三）评价选点。</w:t>
      </w:r>
    </w:p>
    <w:p>
      <w:pPr>
        <w:rPr>
          <w:rFonts w:hint="default"/>
          <w:lang w:val="zh-CN" w:eastAsia="zh-CN"/>
        </w:rPr>
      </w:pPr>
      <w:r>
        <w:rPr>
          <w:rFonts w:hint="default"/>
          <w:lang w:val="zh-CN" w:eastAsia="zh-CN"/>
        </w:rPr>
        <w:t>街办通过定期和不定期开展实地查看，核查项目资料。</w:t>
      </w:r>
    </w:p>
    <w:p>
      <w:pPr>
        <w:numPr>
          <w:ilvl w:val="0"/>
          <w:numId w:val="0"/>
        </w:numPr>
        <w:ind w:firstLine="642" w:firstLineChars="200"/>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（四）评价方法。</w:t>
      </w:r>
    </w:p>
    <w:p>
      <w:pPr>
        <w:numPr>
          <w:ilvl w:val="0"/>
          <w:numId w:val="0"/>
        </w:numPr>
        <w:ind w:firstLine="640" w:firstLineChars="200"/>
        <w:rPr>
          <w:rFonts w:hint="default"/>
          <w:lang w:val="zh-CN" w:eastAsia="zh-CN"/>
        </w:rPr>
      </w:pPr>
      <w:r>
        <w:rPr>
          <w:rFonts w:hint="default"/>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（五）评价组织。</w:t>
      </w:r>
    </w:p>
    <w:p>
      <w:pPr>
        <w:rPr>
          <w:rFonts w:hint="default"/>
          <w:lang w:eastAsia="zh-CN"/>
        </w:rPr>
      </w:pPr>
      <w:r>
        <w:rPr>
          <w:rFonts w:hint="default"/>
          <w:lang w:val="zh-CN" w:eastAsia="zh-CN"/>
        </w:rPr>
        <w:t>评价组人员由实施该项目的具体负责业务股室、财务室及街办纪工委构成。</w:t>
      </w:r>
    </w:p>
    <w:p>
      <w:pPr>
        <w:rPr>
          <w:rFonts w:hint="eastAsia" w:ascii="黑体" w:hAnsi="黑体" w:eastAsia="黑体" w:cs="黑体"/>
          <w:lang w:val="zh-CN"/>
        </w:rPr>
      </w:pPr>
      <w:bookmarkStart w:id="180" w:name="_Toc4785"/>
      <w:bookmarkStart w:id="181" w:name="_Toc17974"/>
      <w:r>
        <w:rPr>
          <w:rFonts w:hint="eastAsia" w:ascii="黑体" w:hAnsi="黑体" w:eastAsia="黑体" w:cs="黑体"/>
        </w:rPr>
        <w:t>三、</w:t>
      </w:r>
      <w:r>
        <w:rPr>
          <w:rFonts w:hint="eastAsia" w:ascii="黑体" w:hAnsi="黑体" w:eastAsia="黑体" w:cs="黑体"/>
          <w:lang w:eastAsia="zh-CN"/>
        </w:rPr>
        <w:t>绩效分析</w:t>
      </w:r>
      <w:bookmarkEnd w:id="180"/>
      <w:bookmarkEnd w:id="181"/>
      <w:r>
        <w:rPr>
          <w:rFonts w:hint="eastAsia" w:ascii="黑体" w:hAnsi="黑体" w:eastAsia="黑体" w:cs="黑体"/>
          <w:lang w:val="zh-CN"/>
        </w:rPr>
        <w:tab/>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zh-CN"/>
        </w:rPr>
        <w:t>（一）</w:t>
      </w:r>
      <w:r>
        <w:rPr>
          <w:rFonts w:hint="eastAsia" w:ascii="楷体_GB2312" w:hAnsi="楷体_GB2312" w:eastAsia="楷体_GB2312" w:cs="楷体_GB2312"/>
          <w:b/>
          <w:bCs/>
          <w:lang w:val="en-US" w:eastAsia="zh-CN"/>
        </w:rPr>
        <w:t>通用指标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w:t>
      </w:r>
      <w:r>
        <w:rPr>
          <w:rFonts w:hint="default"/>
          <w:lang w:val="zh-CN" w:eastAsia="zh-CN"/>
        </w:rPr>
        <w:t>项目决策。</w:t>
      </w:r>
      <w:r>
        <w:rPr>
          <w:rFonts w:hint="default"/>
          <w:lang w:val="en-US" w:eastAsia="zh-CN"/>
        </w:rPr>
        <w:t>该项目</w:t>
      </w:r>
      <w:r>
        <w:rPr>
          <w:rFonts w:hint="default"/>
        </w:rPr>
        <w:t>及时、准确的在人民政府网站上进行公开，各项经费的开支都以批复为准，均以实际工作进展情况执行预算管理，以节约为本，严格控制各项经费的开支，积极执行绩效管理。</w:t>
      </w:r>
    </w:p>
    <w:p>
      <w:pPr>
        <w:rPr>
          <w:rFonts w:hint="default"/>
          <w:lang w:val="zh-CN"/>
        </w:rPr>
      </w:pPr>
      <w:r>
        <w:rPr>
          <w:rFonts w:hint="default"/>
          <w:lang w:val="en-US" w:eastAsia="zh-CN"/>
        </w:rPr>
        <w:t>2.</w:t>
      </w:r>
      <w:r>
        <w:rPr>
          <w:rFonts w:hint="default"/>
          <w:lang w:val="zh-CN" w:eastAsia="zh-CN"/>
        </w:rPr>
        <w:t>项目管理。</w:t>
      </w:r>
      <w:r>
        <w:rPr>
          <w:rFonts w:hint="default"/>
          <w:lang w:val="zh-CN"/>
        </w:rPr>
        <w:t>该项目由街办项目股室具体负责管理，定期和不定期对项目具体情况进行检查，街办财务室按照财务管理制度，审核票据，拨付资金，对票据资料规范管理，配合区财政对于该项目资金使用情况进行检查。</w:t>
      </w:r>
    </w:p>
    <w:p>
      <w:pPr>
        <w:rPr>
          <w:rFonts w:hint="default"/>
          <w:lang w:val="zh-CN" w:eastAsia="zh-CN"/>
        </w:rPr>
      </w:pPr>
      <w:r>
        <w:rPr>
          <w:rFonts w:hint="default"/>
          <w:lang w:val="en-US" w:eastAsia="zh-CN"/>
        </w:rPr>
        <w:t>3.项目实施。</w:t>
      </w:r>
      <w:r>
        <w:rPr>
          <w:rFonts w:hint="default"/>
          <w:lang w:val="zh-CN"/>
        </w:rPr>
        <w:t>按项目施工进度及时拨付</w:t>
      </w:r>
      <w:r>
        <w:rPr>
          <w:rFonts w:hint="default"/>
        </w:rPr>
        <w:t>。</w:t>
      </w:r>
    </w:p>
    <w:p>
      <w:pPr>
        <w:rPr>
          <w:rFonts w:hint="default"/>
          <w:lang w:val="zh-CN" w:eastAsia="zh-CN"/>
        </w:rPr>
      </w:pPr>
      <w:r>
        <w:rPr>
          <w:rFonts w:hint="default"/>
          <w:lang w:val="en-US" w:eastAsia="zh-CN"/>
        </w:rPr>
        <w:t>4.项目结果。</w:t>
      </w:r>
      <w:r>
        <w:rPr>
          <w:rFonts w:hint="default"/>
          <w:lang w:val="zh-CN"/>
        </w:rPr>
        <w:t>该项目目标完成情况好，时效可控</w:t>
      </w:r>
      <w:r>
        <w:rPr>
          <w:rFonts w:hint="default"/>
          <w:lang w:val="zh-CN" w:eastAsia="zh-CN"/>
        </w:rPr>
        <w:t>。</w:t>
      </w:r>
    </w:p>
    <w:p>
      <w:pPr>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rPr>
        <w:t>（二）</w:t>
      </w:r>
      <w:r>
        <w:rPr>
          <w:rFonts w:hint="eastAsia" w:ascii="楷体_GB2312" w:hAnsi="楷体_GB2312" w:eastAsia="楷体_GB2312" w:cs="楷体_GB2312"/>
          <w:b/>
          <w:bCs/>
          <w:lang w:val="en-US" w:eastAsia="zh-CN"/>
        </w:rPr>
        <w:t>专用指标</w:t>
      </w:r>
      <w:r>
        <w:rPr>
          <w:rFonts w:hint="eastAsia" w:ascii="楷体_GB2312" w:hAnsi="楷体_GB2312" w:eastAsia="楷体_GB2312" w:cs="楷体_GB2312"/>
          <w:b/>
          <w:bCs/>
          <w:lang w:val="zh-CN"/>
        </w:rPr>
        <w:t>绩效分析。</w:t>
      </w:r>
    </w:p>
    <w:p>
      <w:pPr>
        <w:rPr>
          <w:rFonts w:hint="default"/>
        </w:rPr>
      </w:pPr>
      <w:r>
        <w:rPr>
          <w:rFonts w:hint="default"/>
          <w:lang w:val="en-US" w:eastAsia="zh-CN"/>
        </w:rPr>
        <w:t>1.产业发展。符合国家长期政策，大力发展西区银发经济。</w:t>
      </w:r>
    </w:p>
    <w:p>
      <w:pPr>
        <w:rPr>
          <w:rFonts w:hint="default"/>
          <w:lang w:val="en-US" w:eastAsia="zh-CN"/>
        </w:rPr>
      </w:pPr>
      <w:r>
        <w:rPr>
          <w:rFonts w:hint="default"/>
          <w:lang w:val="en-US" w:eastAsia="zh-CN"/>
        </w:rPr>
        <w:t>2.</w:t>
      </w:r>
      <w:r>
        <w:rPr>
          <w:rFonts w:hint="default"/>
          <w:lang w:val="zh-CN" w:eastAsia="zh-CN"/>
        </w:rPr>
        <w:t>民生保障。</w:t>
      </w:r>
      <w:r>
        <w:rPr>
          <w:rFonts w:hint="default"/>
          <w:lang w:val="en-US" w:eastAsia="zh-CN"/>
        </w:rPr>
        <w:t>为老年人提供安全、方便、实惠的助餐服务</w:t>
      </w:r>
      <w:r>
        <w:rPr>
          <w:rFonts w:hint="default"/>
          <w:lang w:val="zh-CN" w:eastAsia="zh-CN"/>
        </w:rPr>
        <w:t>。</w:t>
      </w:r>
    </w:p>
    <w:p>
      <w:pPr>
        <w:rPr>
          <w:rFonts w:hint="default"/>
          <w:lang w:val="zh-CN"/>
        </w:rPr>
      </w:pPr>
      <w:r>
        <w:rPr>
          <w:rFonts w:hint="default"/>
          <w:lang w:val="en-US" w:eastAsia="zh-CN"/>
        </w:rPr>
        <w:t>3.基础设施。</w:t>
      </w:r>
      <w:r>
        <w:rPr>
          <w:rFonts w:hint="default"/>
          <w:lang w:val="zh-CN"/>
        </w:rPr>
        <w:t>：</w:t>
      </w:r>
      <w:r>
        <w:rPr>
          <w:rFonts w:hint="default"/>
          <w:lang w:eastAsia="zh-CN"/>
        </w:rPr>
        <w:t>建立覆盖社区的助餐点，提供送餐服务</w:t>
      </w:r>
      <w:r>
        <w:rPr>
          <w:rFonts w:hint="default"/>
          <w:lang w:val="en-US" w:eastAsia="zh-CN"/>
        </w:rPr>
        <w:t>，</w:t>
      </w:r>
      <w:r>
        <w:rPr>
          <w:rFonts w:hint="default"/>
        </w:rPr>
        <w:t>提升了辖区</w:t>
      </w:r>
      <w:r>
        <w:rPr>
          <w:rFonts w:hint="default"/>
          <w:lang w:val="en-US" w:eastAsia="zh-CN"/>
        </w:rPr>
        <w:t>老年人</w:t>
      </w:r>
      <w:r>
        <w:rPr>
          <w:rFonts w:hint="default"/>
        </w:rPr>
        <w:t>的生活质量</w:t>
      </w:r>
      <w:r>
        <w:rPr>
          <w:rFonts w:hint="default"/>
          <w:lang w:val="zh-CN"/>
        </w:rPr>
        <w:t>。</w:t>
      </w:r>
    </w:p>
    <w:p>
      <w:pPr>
        <w:rPr>
          <w:rFonts w:hint="default"/>
          <w:lang w:val="en-US" w:eastAsia="zh-CN"/>
        </w:rPr>
      </w:pPr>
      <w:r>
        <w:rPr>
          <w:rFonts w:hint="default"/>
          <w:lang w:val="en-US" w:eastAsia="zh-CN"/>
        </w:rPr>
        <w:t>4.</w:t>
      </w:r>
      <w:r>
        <w:rPr>
          <w:rFonts w:hint="default"/>
          <w:lang w:val="zh-CN" w:eastAsia="zh-CN"/>
        </w:rPr>
        <w:t>行政运转。</w:t>
      </w:r>
      <w:r>
        <w:rPr>
          <w:rFonts w:hint="default"/>
          <w:lang w:val="en-US" w:eastAsia="zh-CN"/>
        </w:rPr>
        <w:t>该项目</w:t>
      </w:r>
      <w:r>
        <w:rPr>
          <w:rFonts w:hint="default"/>
          <w:lang w:val="zh-CN" w:eastAsia="zh-CN"/>
        </w:rPr>
        <w:t>用途合规、程序合规、</w:t>
      </w:r>
      <w:r>
        <w:rPr>
          <w:rFonts w:hint="default"/>
        </w:rPr>
        <w:t>不存在违规记录</w:t>
      </w:r>
      <w:r>
        <w:rPr>
          <w:rFonts w:hint="default"/>
          <w:lang w:val="zh-CN"/>
        </w:rPr>
        <w:t>等情况</w:t>
      </w:r>
      <w:r>
        <w:rPr>
          <w:rFonts w:hint="default"/>
          <w:lang w:val="zh-CN" w:eastAsia="zh-CN"/>
        </w:rPr>
        <w:t>。</w:t>
      </w:r>
    </w:p>
    <w:p>
      <w:pPr>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w:t>
      </w:r>
      <w:r>
        <w:rPr>
          <w:rFonts w:hint="eastAsia" w:ascii="楷体_GB2312" w:hAnsi="楷体_GB2312" w:eastAsia="楷体_GB2312" w:cs="楷体_GB2312"/>
          <w:b/>
          <w:bCs/>
          <w:lang w:val="en-US" w:eastAsia="zh-CN"/>
        </w:rPr>
        <w:t>个性指标</w:t>
      </w:r>
      <w:r>
        <w:rPr>
          <w:rFonts w:hint="eastAsia" w:ascii="楷体_GB2312" w:hAnsi="楷体_GB2312" w:eastAsia="楷体_GB2312" w:cs="楷体_GB2312"/>
          <w:b/>
          <w:bCs/>
          <w:lang w:val="zh-CN"/>
        </w:rPr>
        <w:t>绩效分析。</w:t>
      </w:r>
    </w:p>
    <w:p>
      <w:pPr>
        <w:rPr>
          <w:rFonts w:hint="default"/>
          <w:lang w:val="en-US" w:eastAsia="zh-CN"/>
        </w:rPr>
      </w:pPr>
      <w:r>
        <w:rPr>
          <w:rFonts w:hint="default"/>
          <w:lang w:val="zh-CN"/>
        </w:rPr>
        <w:t>该项目有专业的代建公司以及监理公司，经评价，报告质量高。</w:t>
      </w:r>
    </w:p>
    <w:p>
      <w:pPr>
        <w:rPr>
          <w:rFonts w:hint="eastAsia" w:ascii="黑体" w:hAnsi="黑体" w:eastAsia="黑体" w:cs="黑体"/>
          <w:lang w:val="en-US" w:eastAsia="zh-CN"/>
        </w:rPr>
      </w:pPr>
      <w:bookmarkStart w:id="182" w:name="_Toc536"/>
      <w:bookmarkStart w:id="183" w:name="_Toc10234"/>
      <w:r>
        <w:rPr>
          <w:rFonts w:hint="eastAsia" w:ascii="黑体" w:hAnsi="黑体" w:eastAsia="黑体" w:cs="黑体"/>
          <w:lang w:val="en-US" w:eastAsia="zh-CN"/>
        </w:rPr>
        <w:t>四、评价结论</w:t>
      </w:r>
      <w:bookmarkEnd w:id="182"/>
      <w:bookmarkEnd w:id="183"/>
    </w:p>
    <w:p>
      <w:pPr>
        <w:rPr>
          <w:rFonts w:hint="default"/>
          <w:lang w:val="zh-CN" w:eastAsia="zh-CN"/>
        </w:rPr>
      </w:pPr>
      <w:r>
        <w:rPr>
          <w:rFonts w:hint="default"/>
          <w:lang w:val="zh-CN" w:eastAsia="zh-CN"/>
        </w:rPr>
        <w:t>项目资金使用规范高效，改造任务全面完成，</w:t>
      </w:r>
      <w:r>
        <w:rPr>
          <w:rFonts w:hint="default"/>
          <w:lang w:val="en-US" w:eastAsia="zh-CN"/>
        </w:rPr>
        <w:t>老年人就餐</w:t>
      </w:r>
      <w:r>
        <w:rPr>
          <w:rFonts w:hint="default"/>
          <w:lang w:val="zh-CN" w:eastAsia="zh-CN"/>
        </w:rPr>
        <w:t>环境显著改善，绩效评价等级为“优”。</w:t>
      </w:r>
    </w:p>
    <w:p>
      <w:pPr>
        <w:rPr>
          <w:rFonts w:hint="eastAsia" w:ascii="黑体" w:hAnsi="黑体" w:eastAsia="黑体" w:cs="黑体"/>
          <w:lang w:val="en-US" w:eastAsia="zh-CN"/>
        </w:rPr>
      </w:pPr>
      <w:bookmarkStart w:id="184" w:name="_Toc8655"/>
      <w:bookmarkStart w:id="185" w:name="_Toc20651"/>
      <w:r>
        <w:rPr>
          <w:rFonts w:hint="eastAsia" w:ascii="黑体" w:hAnsi="黑体" w:eastAsia="黑体" w:cs="黑体"/>
          <w:lang w:val="en-US" w:eastAsia="zh-CN"/>
        </w:rPr>
        <w:t>五、存在主要问题</w:t>
      </w:r>
      <w:bookmarkEnd w:id="184"/>
      <w:bookmarkEnd w:id="185"/>
    </w:p>
    <w:p>
      <w:pPr>
        <w:rPr>
          <w:rFonts w:hint="default"/>
          <w:lang w:val="zh-CN" w:eastAsia="zh-CN"/>
        </w:rPr>
      </w:pPr>
      <w:r>
        <w:rPr>
          <w:rFonts w:hint="default"/>
          <w:lang w:val="zh-CN" w:eastAsia="zh-CN"/>
        </w:rPr>
        <w:t>项目受客观条件限制，环节多，时限较长。</w:t>
      </w:r>
    </w:p>
    <w:p>
      <w:pPr>
        <w:rPr>
          <w:rFonts w:hint="eastAsia" w:ascii="黑体" w:hAnsi="黑体" w:eastAsia="黑体" w:cs="黑体"/>
          <w:lang w:val="zh-CN" w:eastAsia="zh-CN"/>
        </w:rPr>
      </w:pPr>
      <w:bookmarkStart w:id="186" w:name="_Toc28665"/>
      <w:bookmarkStart w:id="187" w:name="_Toc1520"/>
      <w:r>
        <w:rPr>
          <w:rFonts w:hint="eastAsia" w:ascii="黑体" w:hAnsi="黑体" w:eastAsia="黑体" w:cs="黑体"/>
          <w:lang w:val="zh-CN" w:eastAsia="zh-CN"/>
        </w:rPr>
        <w:t>六、改进建议</w:t>
      </w:r>
      <w:bookmarkEnd w:id="186"/>
      <w:bookmarkEnd w:id="187"/>
    </w:p>
    <w:p>
      <w:pPr>
        <w:rPr>
          <w:rFonts w:hint="default"/>
        </w:rPr>
      </w:pPr>
      <w:r>
        <w:rPr>
          <w:rFonts w:hint="default"/>
          <w:lang w:val="en-US" w:eastAsia="zh-CN"/>
        </w:rPr>
        <w:t>无，该项目</w:t>
      </w:r>
      <w:r>
        <w:rPr>
          <w:rFonts w:hint="default"/>
        </w:rPr>
        <w:t>按照相关工作执行情况，在经费保障下，可以完成预期目标。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188"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4"/>
        <w:rPr>
          <w:rFonts w:hint="default"/>
        </w:rPr>
      </w:pPr>
      <w:bookmarkStart w:id="189" w:name="_Toc10397"/>
      <w:bookmarkStart w:id="190" w:name="_Toc10265"/>
      <w:bookmarkStart w:id="191" w:name="_Toc31725"/>
      <w:r>
        <w:rPr>
          <w:rFonts w:hint="default"/>
        </w:rPr>
        <w:t>第五部分 附表</w:t>
      </w:r>
      <w:bookmarkEnd w:id="98"/>
      <w:bookmarkEnd w:id="188"/>
      <w:bookmarkEnd w:id="189"/>
      <w:bookmarkEnd w:id="190"/>
      <w:bookmarkEnd w:id="191"/>
      <w:bookmarkStart w:id="192" w:name="_Toc15396619"/>
    </w:p>
    <w:p>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p>
    <w:p>
      <w:pPr>
        <w:pStyle w:val="5"/>
        <w:rPr>
          <w:rFonts w:hint="default"/>
        </w:rPr>
      </w:pPr>
      <w:bookmarkStart w:id="193" w:name="_Toc29036"/>
      <w:bookmarkStart w:id="194" w:name="_Toc18330"/>
      <w:bookmarkStart w:id="195" w:name="_Toc14758"/>
      <w:r>
        <w:rPr>
          <w:rFonts w:hint="default"/>
        </w:rPr>
        <w:t>一、收入支出决算总表</w:t>
      </w:r>
      <w:bookmarkEnd w:id="192"/>
      <w:bookmarkEnd w:id="193"/>
      <w:bookmarkEnd w:id="194"/>
      <w:bookmarkEnd w:id="195"/>
    </w:p>
    <w:p>
      <w:pPr>
        <w:pStyle w:val="5"/>
        <w:rPr>
          <w:rFonts w:hint="default"/>
        </w:rPr>
      </w:pPr>
      <w:bookmarkStart w:id="196" w:name="_Toc15914"/>
      <w:bookmarkStart w:id="197" w:name="_Toc15396620"/>
      <w:bookmarkStart w:id="198" w:name="_Toc21918"/>
      <w:bookmarkStart w:id="199" w:name="_Toc14604"/>
      <w:r>
        <w:rPr>
          <w:rFonts w:hint="default"/>
        </w:rPr>
        <w:t>二、收入决算表</w:t>
      </w:r>
      <w:bookmarkEnd w:id="196"/>
      <w:bookmarkEnd w:id="197"/>
      <w:bookmarkEnd w:id="198"/>
      <w:bookmarkEnd w:id="199"/>
    </w:p>
    <w:p>
      <w:pPr>
        <w:pStyle w:val="5"/>
        <w:rPr>
          <w:rFonts w:hint="default"/>
        </w:rPr>
      </w:pPr>
      <w:bookmarkStart w:id="200" w:name="_Toc15396621"/>
      <w:bookmarkStart w:id="201" w:name="_Toc12978"/>
      <w:bookmarkStart w:id="202" w:name="_Toc4163"/>
      <w:bookmarkStart w:id="203" w:name="_Toc3882"/>
      <w:r>
        <w:rPr>
          <w:rFonts w:hint="default"/>
        </w:rPr>
        <w:t>三、支出决算表</w:t>
      </w:r>
      <w:bookmarkEnd w:id="200"/>
      <w:bookmarkEnd w:id="201"/>
      <w:bookmarkEnd w:id="202"/>
      <w:bookmarkEnd w:id="203"/>
    </w:p>
    <w:p>
      <w:pPr>
        <w:pStyle w:val="5"/>
        <w:rPr>
          <w:rFonts w:hint="default"/>
        </w:rPr>
      </w:pPr>
      <w:bookmarkStart w:id="204" w:name="_Toc24553"/>
      <w:bookmarkStart w:id="205" w:name="_Toc15396622"/>
      <w:bookmarkStart w:id="206" w:name="_Toc3175"/>
      <w:bookmarkStart w:id="207" w:name="_Toc28921"/>
      <w:r>
        <w:rPr>
          <w:rFonts w:hint="default"/>
        </w:rPr>
        <w:t>四、财政拨款收入支出决算总表</w:t>
      </w:r>
      <w:bookmarkEnd w:id="204"/>
      <w:bookmarkEnd w:id="205"/>
      <w:bookmarkEnd w:id="206"/>
      <w:bookmarkEnd w:id="207"/>
    </w:p>
    <w:p>
      <w:pPr>
        <w:pStyle w:val="5"/>
        <w:rPr>
          <w:rFonts w:hint="default"/>
        </w:rPr>
      </w:pPr>
      <w:bookmarkStart w:id="208" w:name="_Toc10243"/>
      <w:bookmarkStart w:id="209" w:name="_Toc21614"/>
      <w:bookmarkStart w:id="210" w:name="_Toc15396623"/>
      <w:bookmarkStart w:id="211" w:name="_Toc22810"/>
      <w:r>
        <w:rPr>
          <w:rFonts w:hint="default"/>
        </w:rPr>
        <w:t>五、财政拨款支出决算明细表</w:t>
      </w:r>
      <w:bookmarkEnd w:id="208"/>
      <w:bookmarkEnd w:id="209"/>
      <w:bookmarkEnd w:id="210"/>
      <w:bookmarkEnd w:id="211"/>
      <w:bookmarkStart w:id="212" w:name="_Toc15396624"/>
    </w:p>
    <w:p>
      <w:pPr>
        <w:pStyle w:val="5"/>
        <w:rPr>
          <w:rFonts w:hint="default"/>
        </w:rPr>
      </w:pPr>
      <w:bookmarkStart w:id="213" w:name="_Toc7214"/>
      <w:bookmarkStart w:id="214" w:name="_Toc7382"/>
      <w:bookmarkStart w:id="215" w:name="_Toc15971"/>
      <w:r>
        <w:rPr>
          <w:rFonts w:hint="default"/>
        </w:rPr>
        <w:t>六、一般公共预算财政拨款支出决算表</w:t>
      </w:r>
      <w:bookmarkEnd w:id="212"/>
      <w:bookmarkEnd w:id="213"/>
      <w:bookmarkEnd w:id="214"/>
      <w:bookmarkEnd w:id="215"/>
    </w:p>
    <w:p>
      <w:pPr>
        <w:pStyle w:val="5"/>
        <w:rPr>
          <w:rFonts w:hint="default"/>
        </w:rPr>
      </w:pPr>
      <w:bookmarkStart w:id="216" w:name="_Toc13332"/>
      <w:bookmarkStart w:id="217" w:name="_Toc31413"/>
      <w:bookmarkStart w:id="218" w:name="_Toc15396625"/>
      <w:bookmarkStart w:id="219" w:name="_Toc16443"/>
      <w:r>
        <w:rPr>
          <w:rFonts w:hint="default"/>
        </w:rPr>
        <w:t>七、一般公共预算财政拨款支出决算明细表</w:t>
      </w:r>
      <w:bookmarkEnd w:id="216"/>
      <w:bookmarkEnd w:id="217"/>
      <w:bookmarkEnd w:id="218"/>
      <w:bookmarkEnd w:id="219"/>
    </w:p>
    <w:p>
      <w:pPr>
        <w:pStyle w:val="5"/>
        <w:rPr>
          <w:rFonts w:hint="default"/>
        </w:rPr>
      </w:pPr>
      <w:bookmarkStart w:id="220" w:name="_Toc6621"/>
      <w:bookmarkStart w:id="221" w:name="_Toc29422"/>
      <w:bookmarkStart w:id="222" w:name="_Toc15396626"/>
      <w:bookmarkStart w:id="223" w:name="_Toc8542"/>
      <w:r>
        <w:rPr>
          <w:rFonts w:hint="default"/>
        </w:rPr>
        <w:t>八、一般公共预算财政拨款基本支出决算表</w:t>
      </w:r>
      <w:bookmarkEnd w:id="220"/>
      <w:bookmarkEnd w:id="221"/>
      <w:bookmarkEnd w:id="222"/>
      <w:bookmarkEnd w:id="223"/>
    </w:p>
    <w:p>
      <w:pPr>
        <w:pStyle w:val="5"/>
        <w:rPr>
          <w:rFonts w:hint="default"/>
        </w:rPr>
      </w:pPr>
      <w:bookmarkStart w:id="224" w:name="_Toc15396627"/>
      <w:bookmarkStart w:id="225" w:name="_Toc25840"/>
      <w:bookmarkStart w:id="226" w:name="_Toc26927"/>
      <w:bookmarkStart w:id="227" w:name="_Toc14332"/>
      <w:r>
        <w:rPr>
          <w:rFonts w:hint="default"/>
        </w:rPr>
        <w:t>九、一般公共预算财政拨款项目支出决算表</w:t>
      </w:r>
      <w:bookmarkEnd w:id="224"/>
      <w:bookmarkEnd w:id="225"/>
      <w:bookmarkEnd w:id="226"/>
      <w:bookmarkEnd w:id="227"/>
    </w:p>
    <w:p>
      <w:pPr>
        <w:pStyle w:val="5"/>
        <w:rPr>
          <w:rFonts w:hint="default"/>
        </w:rPr>
      </w:pPr>
      <w:bookmarkStart w:id="228" w:name="_Toc15396628"/>
      <w:bookmarkStart w:id="229" w:name="_Toc31914"/>
      <w:bookmarkStart w:id="230" w:name="_Toc17159"/>
      <w:bookmarkStart w:id="231" w:name="_Toc10363"/>
      <w:r>
        <w:rPr>
          <w:rFonts w:hint="default"/>
        </w:rPr>
        <w:t>十、</w:t>
      </w:r>
      <w:bookmarkEnd w:id="228"/>
      <w:r>
        <w:rPr>
          <w:rFonts w:hint="default"/>
        </w:rPr>
        <w:t>政府性基金预算财政拨款收入支出决算表</w:t>
      </w:r>
      <w:bookmarkEnd w:id="229"/>
      <w:bookmarkEnd w:id="230"/>
      <w:bookmarkEnd w:id="231"/>
    </w:p>
    <w:p>
      <w:pPr>
        <w:pStyle w:val="5"/>
        <w:rPr>
          <w:rFonts w:hint="default"/>
        </w:rPr>
      </w:pPr>
      <w:bookmarkStart w:id="232" w:name="_Toc15396629"/>
      <w:bookmarkStart w:id="233" w:name="_Toc23823"/>
      <w:bookmarkStart w:id="234" w:name="_Toc10528"/>
      <w:bookmarkStart w:id="235" w:name="_Toc16360"/>
      <w:r>
        <w:rPr>
          <w:rFonts w:hint="default"/>
        </w:rPr>
        <w:t>十一、</w:t>
      </w:r>
      <w:bookmarkEnd w:id="232"/>
      <w:r>
        <w:rPr>
          <w:rFonts w:hint="default"/>
        </w:rPr>
        <w:t>国有资本经营预算</w:t>
      </w:r>
      <w:r>
        <w:rPr>
          <w:rFonts w:hint="default"/>
          <w:lang w:eastAsia="zh-CN"/>
        </w:rPr>
        <w:t>财政拨款收入</w:t>
      </w:r>
      <w:r>
        <w:rPr>
          <w:rFonts w:hint="default"/>
        </w:rPr>
        <w:t>支出决算表</w:t>
      </w:r>
      <w:bookmarkEnd w:id="233"/>
      <w:bookmarkEnd w:id="234"/>
      <w:bookmarkEnd w:id="235"/>
    </w:p>
    <w:p>
      <w:pPr>
        <w:pStyle w:val="5"/>
        <w:rPr>
          <w:rFonts w:hint="default"/>
        </w:rPr>
      </w:pPr>
      <w:bookmarkStart w:id="236" w:name="_Toc15396630"/>
      <w:bookmarkStart w:id="237" w:name="_Toc7130"/>
      <w:bookmarkStart w:id="238" w:name="_Toc31446"/>
      <w:bookmarkStart w:id="239" w:name="_Toc991"/>
      <w:r>
        <w:rPr>
          <w:rFonts w:hint="default"/>
        </w:rPr>
        <w:t>十二、</w:t>
      </w:r>
      <w:bookmarkEnd w:id="236"/>
      <w:r>
        <w:rPr>
          <w:rFonts w:hint="default"/>
          <w:lang w:eastAsia="zh-CN"/>
        </w:rPr>
        <w:t>国有资本经营预算财政拨款支出决算表</w:t>
      </w:r>
      <w:bookmarkEnd w:id="237"/>
      <w:bookmarkEnd w:id="238"/>
      <w:bookmarkEnd w:id="239"/>
    </w:p>
    <w:p>
      <w:pPr>
        <w:pStyle w:val="5"/>
        <w:rPr>
          <w:rFonts w:hint="default"/>
          <w:lang w:eastAsia="zh-CN"/>
        </w:rPr>
      </w:pPr>
      <w:bookmarkStart w:id="240" w:name="_Toc15396631"/>
      <w:bookmarkStart w:id="241" w:name="_Toc2100"/>
      <w:bookmarkStart w:id="242" w:name="_Toc27812"/>
      <w:bookmarkStart w:id="243" w:name="_Toc11766"/>
      <w:r>
        <w:rPr>
          <w:rFonts w:hint="default"/>
        </w:rPr>
        <w:t>十三、</w:t>
      </w:r>
      <w:bookmarkEnd w:id="240"/>
      <w:r>
        <w:rPr>
          <w:rFonts w:hint="default"/>
          <w:lang w:eastAsia="zh-CN"/>
        </w:rPr>
        <w:t>财政拨款“三公”经费支出决算表</w:t>
      </w:r>
      <w:bookmarkEnd w:id="241"/>
      <w:bookmarkEnd w:id="242"/>
      <w:bookmarkEnd w:id="243"/>
    </w:p>
    <w:sectPr>
      <w:footerReference r:id="rId12" w:type="first"/>
      <w:footerReference r:id="rId11" w:type="default"/>
      <w:pgSz w:w="11906" w:h="16838"/>
      <w:pgMar w:top="2098" w:right="1474" w:bottom="1984" w:left="1587" w:header="907" w:footer="1644"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西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75"/>
        <w:tab w:val="center" w:pos="4213"/>
      </w:tabs>
      <w:jc w:val="left"/>
    </w:pPr>
    <w:r>
      <w:rPr>
        <w:rFonts w:hint="eastAsia"/>
        <w:sz w:val="18"/>
        <w:lang w:eastAsia="zh-CN"/>
      </w:rPr>
      <w:tab/>
    </w:r>
    <w:r>
      <w:rPr>
        <w:rFonts w:hint="eastAsia"/>
        <w:lang w:eastAsia="zh-CN"/>
      </w:rPr>
      <w:tab/>
    </w:r>
  </w:p>
  <w:p>
    <w:pPr>
      <w:pStyle w:val="11"/>
      <w:tabs>
        <w:tab w:val="left" w:pos="4763"/>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宋体"/>
        <w:sz w:val="32"/>
        <w:szCs w:val="32"/>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宋体"/>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9YuHZ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35E4A"/>
    <w:multiLevelType w:val="singleLevel"/>
    <w:tmpl w:val="F4735E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5E9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7D1C40"/>
    <w:rsid w:val="02FEBE30"/>
    <w:rsid w:val="04916F1E"/>
    <w:rsid w:val="061E35DE"/>
    <w:rsid w:val="066E0107"/>
    <w:rsid w:val="06B148F0"/>
    <w:rsid w:val="07996F6E"/>
    <w:rsid w:val="07DFD8BA"/>
    <w:rsid w:val="09704328"/>
    <w:rsid w:val="09867E8F"/>
    <w:rsid w:val="0A2032A3"/>
    <w:rsid w:val="0CA8290A"/>
    <w:rsid w:val="0CB71173"/>
    <w:rsid w:val="0D35B1ED"/>
    <w:rsid w:val="0E254B6B"/>
    <w:rsid w:val="0F98263C"/>
    <w:rsid w:val="101860EC"/>
    <w:rsid w:val="101F47CC"/>
    <w:rsid w:val="10C055FF"/>
    <w:rsid w:val="11694EBD"/>
    <w:rsid w:val="11772AA4"/>
    <w:rsid w:val="118107EC"/>
    <w:rsid w:val="12E24EE2"/>
    <w:rsid w:val="13D50BC4"/>
    <w:rsid w:val="14B17F78"/>
    <w:rsid w:val="14BFBF2B"/>
    <w:rsid w:val="165E0673"/>
    <w:rsid w:val="16B831D5"/>
    <w:rsid w:val="16BB723D"/>
    <w:rsid w:val="17E50567"/>
    <w:rsid w:val="186504BB"/>
    <w:rsid w:val="19A445FC"/>
    <w:rsid w:val="1BE8440E"/>
    <w:rsid w:val="1D155CEE"/>
    <w:rsid w:val="1D1638FE"/>
    <w:rsid w:val="1E312DEB"/>
    <w:rsid w:val="1E740ACF"/>
    <w:rsid w:val="1FF35744"/>
    <w:rsid w:val="1FF6BC77"/>
    <w:rsid w:val="1FFC7AB4"/>
    <w:rsid w:val="20B740EC"/>
    <w:rsid w:val="20EF37D9"/>
    <w:rsid w:val="2186353C"/>
    <w:rsid w:val="23860B96"/>
    <w:rsid w:val="240371BF"/>
    <w:rsid w:val="244F3473"/>
    <w:rsid w:val="24C97D99"/>
    <w:rsid w:val="251C6876"/>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9E295C"/>
    <w:rsid w:val="36AA5135"/>
    <w:rsid w:val="36BE0DA7"/>
    <w:rsid w:val="376B6AA6"/>
    <w:rsid w:val="376D39B2"/>
    <w:rsid w:val="37E16F03"/>
    <w:rsid w:val="37F53A3B"/>
    <w:rsid w:val="389B6C89"/>
    <w:rsid w:val="38D469F0"/>
    <w:rsid w:val="39627CCD"/>
    <w:rsid w:val="397BAF1F"/>
    <w:rsid w:val="3AB79AF3"/>
    <w:rsid w:val="3AE834C0"/>
    <w:rsid w:val="3B7EF35A"/>
    <w:rsid w:val="3B9FDB6C"/>
    <w:rsid w:val="3BCF6D19"/>
    <w:rsid w:val="3BF5BC2F"/>
    <w:rsid w:val="3CEBA265"/>
    <w:rsid w:val="3D98207C"/>
    <w:rsid w:val="3DEE7CF3"/>
    <w:rsid w:val="3E740A63"/>
    <w:rsid w:val="3E78745D"/>
    <w:rsid w:val="3EE17838"/>
    <w:rsid w:val="3F55381A"/>
    <w:rsid w:val="3F7F7599"/>
    <w:rsid w:val="3FF4CAE0"/>
    <w:rsid w:val="3FF7B227"/>
    <w:rsid w:val="41A965DF"/>
    <w:rsid w:val="429D2A39"/>
    <w:rsid w:val="4491133D"/>
    <w:rsid w:val="44E268DA"/>
    <w:rsid w:val="450D13D7"/>
    <w:rsid w:val="45506656"/>
    <w:rsid w:val="47D21C5A"/>
    <w:rsid w:val="486A6C7A"/>
    <w:rsid w:val="4A627F82"/>
    <w:rsid w:val="4B0E749A"/>
    <w:rsid w:val="4B2477C4"/>
    <w:rsid w:val="4B4F25DA"/>
    <w:rsid w:val="4BE068DB"/>
    <w:rsid w:val="4D577224"/>
    <w:rsid w:val="4DBF1CEB"/>
    <w:rsid w:val="4DF0007C"/>
    <w:rsid w:val="4EAB630A"/>
    <w:rsid w:val="4ECE2238"/>
    <w:rsid w:val="4F072852"/>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464"/>
    <w:rsid w:val="5FF67715"/>
    <w:rsid w:val="5FFB3FAA"/>
    <w:rsid w:val="62BF3928"/>
    <w:rsid w:val="63B3701E"/>
    <w:rsid w:val="647F5392"/>
    <w:rsid w:val="65E66580"/>
    <w:rsid w:val="664B1D71"/>
    <w:rsid w:val="664B4E8E"/>
    <w:rsid w:val="67277B67"/>
    <w:rsid w:val="67AA3209"/>
    <w:rsid w:val="68452C77"/>
    <w:rsid w:val="68D76A35"/>
    <w:rsid w:val="698D0931"/>
    <w:rsid w:val="699C299B"/>
    <w:rsid w:val="6A7FE5F3"/>
    <w:rsid w:val="6B053271"/>
    <w:rsid w:val="6B4560F8"/>
    <w:rsid w:val="6BDD78B3"/>
    <w:rsid w:val="6C4A05C8"/>
    <w:rsid w:val="6C8742B8"/>
    <w:rsid w:val="6DBF5E93"/>
    <w:rsid w:val="6DFF077E"/>
    <w:rsid w:val="6E714EF0"/>
    <w:rsid w:val="6E7E3605"/>
    <w:rsid w:val="6E7FDCC7"/>
    <w:rsid w:val="6ED6A62E"/>
    <w:rsid w:val="6EE00B15"/>
    <w:rsid w:val="6F0D5793"/>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D90FC9"/>
    <w:rsid w:val="7C1F3737"/>
    <w:rsid w:val="7CBFC87B"/>
    <w:rsid w:val="7CFE0F48"/>
    <w:rsid w:val="7D272ABC"/>
    <w:rsid w:val="7D7EC23E"/>
    <w:rsid w:val="7DA26E13"/>
    <w:rsid w:val="7E502FC8"/>
    <w:rsid w:val="7E8ADEBF"/>
    <w:rsid w:val="7EC8640A"/>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35683"/>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EFF3EB8D"/>
    <w:rsid w:val="F2BEBCB8"/>
    <w:rsid w:val="F36FB518"/>
    <w:rsid w:val="F3DE1A04"/>
    <w:rsid w:val="F3F722E5"/>
    <w:rsid w:val="F4FBCD07"/>
    <w:rsid w:val="F9FFFEB8"/>
    <w:rsid w:val="FA5F1E70"/>
    <w:rsid w:val="FA5FDB97"/>
    <w:rsid w:val="FB7F486A"/>
    <w:rsid w:val="FBFF5B2E"/>
    <w:rsid w:val="FD7FFE2B"/>
    <w:rsid w:val="FDEE196B"/>
    <w:rsid w:val="FDFE6575"/>
    <w:rsid w:val="FEDFDDC2"/>
    <w:rsid w:val="FEED32F6"/>
    <w:rsid w:val="FEF781DD"/>
    <w:rsid w:val="FF3F7E3F"/>
    <w:rsid w:val="FF736A97"/>
    <w:rsid w:val="FFBA12D7"/>
    <w:rsid w:val="FFCBD314"/>
    <w:rsid w:val="FFDFF91C"/>
    <w:rsid w:val="FFDFFAEE"/>
    <w:rsid w:val="FFEF6777"/>
    <w:rsid w:val="FFF062B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44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1"/>
    <w:qFormat/>
    <w:uiPriority w:val="9"/>
    <w:pPr>
      <w:keepNext/>
      <w:keepLines/>
      <w:spacing w:line="240" w:lineRule="auto"/>
      <w:ind w:firstLine="0" w:firstLineChars="0"/>
      <w:jc w:val="center"/>
      <w:outlineLvl w:val="0"/>
    </w:pPr>
    <w:rPr>
      <w:rFonts w:eastAsia="方正小标宋_GBK"/>
      <w:b/>
      <w:bCs/>
      <w:kern w:val="44"/>
      <w:sz w:val="44"/>
      <w:szCs w:val="44"/>
    </w:rPr>
  </w:style>
  <w:style w:type="paragraph" w:styleId="5">
    <w:name w:val="heading 2"/>
    <w:basedOn w:val="1"/>
    <w:next w:val="1"/>
    <w:link w:val="22"/>
    <w:unhideWhenUsed/>
    <w:qFormat/>
    <w:uiPriority w:val="9"/>
    <w:pPr>
      <w:keepNext/>
      <w:keepLines/>
      <w:spacing w:line="240" w:lineRule="auto"/>
      <w:ind w:firstLine="1440" w:firstLineChars="200"/>
      <w:outlineLvl w:val="1"/>
    </w:pPr>
    <w:rPr>
      <w:rFonts w:ascii="+西文标题" w:hAnsi="+西文标题" w:eastAsia="黑体" w:cstheme="majorBidi"/>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99"/>
    <w:pPr>
      <w:spacing w:beforeLines="30"/>
    </w:pPr>
    <w:rPr>
      <w:rFonts w:ascii="仿宋_GB2312" w:eastAsia="仿宋_GB2312"/>
      <w:kern w:val="0"/>
      <w:sz w:val="30"/>
    </w:rPr>
  </w:style>
  <w:style w:type="paragraph" w:customStyle="1" w:styleId="3">
    <w:name w:val="样式1"/>
    <w:basedOn w:val="1"/>
    <w:qFormat/>
    <w:uiPriority w:val="0"/>
    <w:rPr>
      <w:b/>
      <w:color w:val="538135"/>
      <w:sz w:val="28"/>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2"/>
    <w:next w:val="8"/>
    <w:qFormat/>
    <w:uiPriority w:val="0"/>
    <w:pPr>
      <w:ind w:firstLine="420" w:firstLineChars="100"/>
    </w:pPr>
    <w:rPr>
      <w:rFonts w:eastAsia="仿宋_GB231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rFonts w:ascii="Times New Roman" w:hAnsi="Times New Roman" w:eastAsia="方正小标宋_GBK"/>
      <w:b/>
      <w:bCs/>
      <w:kern w:val="44"/>
      <w:sz w:val="44"/>
      <w:szCs w:val="44"/>
    </w:rPr>
  </w:style>
  <w:style w:type="character" w:customStyle="1" w:styleId="22">
    <w:name w:val="标题 2 Char"/>
    <w:basedOn w:val="18"/>
    <w:link w:val="5"/>
    <w:qFormat/>
    <w:uiPriority w:val="9"/>
    <w:rPr>
      <w:rFonts w:ascii="+西文标题" w:hAnsi="+西文标题" w:eastAsia="黑体" w:cstheme="majorBidi"/>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style01"/>
    <w:basedOn w:val="18"/>
    <w:qFormat/>
    <w:uiPriority w:val="0"/>
    <w:rPr>
      <w:rFonts w:hint="eastAsia" w:ascii="仿宋_GB2312" w:eastAsia="仿宋_GB2312"/>
      <w:color w:val="000000"/>
      <w:sz w:val="32"/>
      <w:szCs w:val="32"/>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multiLvlStrRef>
              <c:f>'[新建 XLS 工作表.xls]Sheet1'!$B$12:$C$15</c:f>
              <c:multiLvlStrCache>
                <c:ptCount val="4"/>
                <c:lvl>
                  <c:pt idx="0">
                    <c:v>收入（万元）</c:v>
                  </c:pt>
                  <c:pt idx="1">
                    <c:v>支出（万元）</c:v>
                  </c:pt>
                  <c:pt idx="2">
                    <c:v>收入（万元）</c:v>
                  </c:pt>
                  <c:pt idx="3">
                    <c:v>支出（万元）</c:v>
                  </c:pt>
                </c:lvl>
                <c:lvl>
                  <c:pt idx="0">
                    <c:v>2023年度</c:v>
                  </c:pt>
                  <c:pt idx="2">
                    <c:v>2024年度</c:v>
                  </c:pt>
                </c:lvl>
              </c:multiLvlStrCache>
            </c:multiLvlStrRef>
          </c:cat>
          <c:val>
            <c:numRef>
              <c:f>'[新建 XLS 工作表.xls]Sheet1'!$D$12:$D$15</c:f>
              <c:numCache>
                <c:formatCode>General</c:formatCode>
                <c:ptCount val="4"/>
                <c:pt idx="0">
                  <c:v>1114.46</c:v>
                </c:pt>
                <c:pt idx="1">
                  <c:v>1114.46</c:v>
                </c:pt>
                <c:pt idx="2">
                  <c:v>2296.39</c:v>
                </c:pt>
                <c:pt idx="3">
                  <c:v>2296.39</c:v>
                </c:pt>
              </c:numCache>
            </c:numRef>
          </c:val>
        </c:ser>
        <c:dLbls>
          <c:showLegendKey val="0"/>
          <c:showVal val="1"/>
          <c:showCatName val="0"/>
          <c:showSerName val="0"/>
          <c:showPercent val="0"/>
          <c:showBubbleSize val="0"/>
        </c:dLbls>
        <c:gapWidth val="246"/>
        <c:overlap val="-28"/>
        <c:axId val="965153543"/>
        <c:axId val="177750303"/>
      </c:barChart>
      <c:catAx>
        <c:axId val="96515354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77750303"/>
        <c:crosses val="autoZero"/>
        <c:auto val="1"/>
        <c:lblAlgn val="ctr"/>
        <c:lblOffset val="100"/>
        <c:noMultiLvlLbl val="0"/>
      </c:catAx>
      <c:valAx>
        <c:axId val="17775030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6515354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dLbl>
              <c:idx val="1"/>
              <c:layout>
                <c:manualLayout>
                  <c:x val="-0.197844469167159"/>
                  <c:y val="0.05048770459357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9490043178107"/>
                  <c:y val="-0.0258760964273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68421052631579"/>
                  <c:y val="-0.02430555555555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8157894736842"/>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76315789473684"/>
                  <c:y val="-0.08680555555555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30263157894737"/>
                  <c:y val="-0.01041666666666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69736842105263"/>
                  <c:y val="0.03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工作表.xls]Sheet1'!$B$30:$B$37</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 工作表.xls]Sheet1'!$C$30:$C$37</c:f>
              <c:numCache>
                <c:formatCode>0.00%</c:formatCode>
                <c:ptCount val="8"/>
                <c:pt idx="0">
                  <c:v>0.9608</c:v>
                </c:pt>
                <c:pt idx="1">
                  <c:v>0.035</c:v>
                </c:pt>
                <c:pt idx="2">
                  <c:v>0.0041</c:v>
                </c:pt>
                <c:pt idx="3" c:formatCode="0%">
                  <c:v>0</c:v>
                </c:pt>
                <c:pt idx="4" c:formatCode="0%">
                  <c:v>0</c:v>
                </c:pt>
                <c:pt idx="5" c:formatCode="0%">
                  <c:v>0</c:v>
                </c:pt>
                <c:pt idx="6" c:formatCode="0%">
                  <c:v>0</c:v>
                </c:pt>
                <c:pt idx="7"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Lbls>
            <c:dLbl>
              <c:idx val="2"/>
              <c:layout>
                <c:manualLayout>
                  <c:x val="0.0828947368421053"/>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25"/>
                  <c:y val="0.0451388888888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91447368421053"/>
                  <c:y val="0.0208333333333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工作表.xls]Sheet1'!$B$42:$B$46</c:f>
              <c:strCache>
                <c:ptCount val="5"/>
                <c:pt idx="0">
                  <c:v>基本支出</c:v>
                </c:pt>
                <c:pt idx="1">
                  <c:v>项目支出</c:v>
                </c:pt>
                <c:pt idx="2">
                  <c:v>上缴上级支出</c:v>
                </c:pt>
                <c:pt idx="3">
                  <c:v>经营支出</c:v>
                </c:pt>
                <c:pt idx="4">
                  <c:v>对附属单位补助支出</c:v>
                </c:pt>
              </c:strCache>
            </c:strRef>
          </c:cat>
          <c:val>
            <c:numRef>
              <c:f>'[新建 XLS 工作表.xls]Sheet1'!$C$42:$C$46</c:f>
              <c:numCache>
                <c:formatCode>0.00%</c:formatCode>
                <c:ptCount val="5"/>
                <c:pt idx="0">
                  <c:v>0.3184</c:v>
                </c:pt>
                <c:pt idx="1">
                  <c:v>0.6816</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671409749670619"/>
          <c:y val="0.272545090180361"/>
          <c:w val="0.888063241106719"/>
          <c:h val="0.548067563698826"/>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multiLvlStrRef>
              <c:f>'[新建 XLS 工作表.xls]Sheet1'!$K$11:$L$14</c:f>
              <c:multiLvlStrCache>
                <c:ptCount val="4"/>
                <c:lvl>
                  <c:pt idx="0">
                    <c:v>收入（万元）</c:v>
                  </c:pt>
                  <c:pt idx="1">
                    <c:v>支出（万元）</c:v>
                  </c:pt>
                  <c:pt idx="2">
                    <c:v>收入（万元）</c:v>
                  </c:pt>
                  <c:pt idx="3">
                    <c:v>支出（万元）</c:v>
                  </c:pt>
                </c:lvl>
                <c:lvl>
                  <c:pt idx="0">
                    <c:v>2023年度</c:v>
                  </c:pt>
                  <c:pt idx="2">
                    <c:v>2024年度</c:v>
                  </c:pt>
                </c:lvl>
              </c:multiLvlStrCache>
            </c:multiLvlStrRef>
          </c:cat>
          <c:val>
            <c:numRef>
              <c:f>'[新建 XLS 工作表.xls]Sheet1'!$M$11:$M$14</c:f>
              <c:numCache>
                <c:formatCode>General</c:formatCode>
                <c:ptCount val="4"/>
                <c:pt idx="0">
                  <c:v>1114.46</c:v>
                </c:pt>
                <c:pt idx="1">
                  <c:v>1114.46</c:v>
                </c:pt>
                <c:pt idx="2">
                  <c:v>2296.39</c:v>
                </c:pt>
                <c:pt idx="3">
                  <c:v>2296.39</c:v>
                </c:pt>
              </c:numCache>
            </c:numRef>
          </c:val>
        </c:ser>
        <c:dLbls>
          <c:showLegendKey val="0"/>
          <c:showVal val="1"/>
          <c:showCatName val="0"/>
          <c:showSerName val="0"/>
          <c:showPercent val="0"/>
          <c:showBubbleSize val="0"/>
        </c:dLbls>
        <c:gapWidth val="246"/>
        <c:overlap val="-28"/>
        <c:axId val="943413822"/>
        <c:axId val="577752816"/>
      </c:barChart>
      <c:catAx>
        <c:axId val="94341382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77752816"/>
        <c:crosses val="autoZero"/>
        <c:auto val="1"/>
        <c:lblAlgn val="ctr"/>
        <c:lblOffset val="100"/>
        <c:noMultiLvlLbl val="0"/>
      </c:catAx>
      <c:valAx>
        <c:axId val="577752816"/>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43413822"/>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000000"/>
                </a:solidFill>
                <a:latin typeface="+mn-lt"/>
                <a:ea typeface="+mn-ea"/>
                <a:cs typeface="+mn-cs"/>
              </a:defRPr>
            </a:pPr>
            <a:r>
              <a:rPr>
                <a:solidFill>
                  <a:srgbClr val="000000"/>
                </a:solidFill>
              </a:rPr>
              <a:t>一般公共预算财政拨款支出决算变动情况</a:t>
            </a:r>
            <a:endParaRPr>
              <a:solidFill>
                <a:srgbClr val="000000"/>
              </a:solidFill>
            </a:endParaRPr>
          </a:p>
        </c:rich>
      </c:tx>
      <c:layout>
        <c:manualLayout>
          <c:xMode val="edge"/>
          <c:yMode val="edge"/>
          <c:x val="0.163570215862236"/>
          <c:y val="0.0287162162162162"/>
        </c:manualLayout>
      </c:layout>
      <c:overlay val="0"/>
      <c:spPr>
        <a:noFill/>
        <a:ln>
          <a:noFill/>
        </a:ln>
        <a:effectLst/>
      </c:spPr>
    </c:title>
    <c:autoTitleDeleted val="0"/>
    <c:plotArea>
      <c:layout>
        <c:manualLayout>
          <c:layoutTarget val="inner"/>
          <c:xMode val="edge"/>
          <c:yMode val="edge"/>
          <c:x val="0.0902045728038508"/>
          <c:y val="0.208488805970149"/>
          <c:w val="0.883321299638989"/>
          <c:h val="0.534841417910448"/>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multiLvlStrRef>
              <c:f>'[新建 XLS 工作表.xls]Sheet1'!$K$23:$L$28</c:f>
              <c:multiLvlStrCache>
                <c:ptCount val="6"/>
                <c:lvl>
                  <c:pt idx="0">
                    <c:v>人员经费支出</c:v>
                  </c:pt>
                  <c:pt idx="1">
                    <c:v>人员经费支出</c:v>
                  </c:pt>
                  <c:pt idx="2">
                    <c:v>公用经费支出</c:v>
                  </c:pt>
                  <c:pt idx="3">
                    <c:v>公用经费支出</c:v>
                  </c:pt>
                  <c:pt idx="4">
                    <c:v>项目经费支出</c:v>
                  </c:pt>
                  <c:pt idx="5">
                    <c:v>项目经费支出</c:v>
                  </c:pt>
                </c:lvl>
                <c:lvl>
                  <c:pt idx="0">
                    <c:v>2023年</c:v>
                  </c:pt>
                  <c:pt idx="1">
                    <c:v>2024年</c:v>
                  </c:pt>
                  <c:pt idx="2">
                    <c:v>2023年</c:v>
                  </c:pt>
                  <c:pt idx="3">
                    <c:v>2024年</c:v>
                  </c:pt>
                  <c:pt idx="4">
                    <c:v>2023年</c:v>
                  </c:pt>
                  <c:pt idx="5">
                    <c:v>2024年</c:v>
                  </c:pt>
                </c:lvl>
              </c:multiLvlStrCache>
            </c:multiLvlStrRef>
          </c:cat>
          <c:val>
            <c:numRef>
              <c:f>'[新建 XLS 工作表.xls]Sheet1'!$M$23:$M$28</c:f>
              <c:numCache>
                <c:formatCode>General</c:formatCode>
                <c:ptCount val="6"/>
                <c:pt idx="0">
                  <c:v>751.68</c:v>
                </c:pt>
                <c:pt idx="1">
                  <c:v>695.91</c:v>
                </c:pt>
                <c:pt idx="2">
                  <c:v>23.51</c:v>
                </c:pt>
                <c:pt idx="3">
                  <c:v>24.85</c:v>
                </c:pt>
                <c:pt idx="4">
                  <c:v>260.74</c:v>
                </c:pt>
                <c:pt idx="5">
                  <c:v>1456.4</c:v>
                </c:pt>
              </c:numCache>
            </c:numRef>
          </c:val>
        </c:ser>
        <c:dLbls>
          <c:showLegendKey val="0"/>
          <c:showVal val="1"/>
          <c:showCatName val="0"/>
          <c:showSerName val="0"/>
          <c:showPercent val="0"/>
          <c:showBubbleSize val="0"/>
        </c:dLbls>
        <c:gapWidth val="246"/>
        <c:overlap val="-28"/>
        <c:axId val="355586907"/>
        <c:axId val="208758440"/>
      </c:barChart>
      <c:catAx>
        <c:axId val="35558690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rgbClr val="000000"/>
                    </a:solidFill>
                    <a:latin typeface="+mn-lt"/>
                    <a:ea typeface="+mn-ea"/>
                    <a:cs typeface="+mn-cs"/>
                  </a:defRPr>
                </a:pPr>
                <a:r>
                  <a:rPr>
                    <a:solidFill>
                      <a:srgbClr val="000000"/>
                    </a:solidFill>
                  </a:rPr>
                  <a:t>单位：万元</a:t>
                </a:r>
                <a:endParaRPr>
                  <a:solidFill>
                    <a:srgbClr val="000000"/>
                  </a:solidFill>
                </a:endParaRPr>
              </a:p>
            </c:rich>
          </c:tx>
          <c:layout>
            <c:manualLayout>
              <c:xMode val="edge"/>
              <c:yMode val="edge"/>
              <c:x val="0.773479262672811"/>
              <c:y val="0.0468468468468468"/>
            </c:manualLayout>
          </c:layout>
          <c:overlay val="0"/>
          <c:spPr>
            <a:noFill/>
            <a:ln>
              <a:noFill/>
            </a:ln>
            <a:effectLst/>
          </c:spPr>
        </c:title>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000000"/>
                </a:solidFill>
                <a:latin typeface="+mn-lt"/>
                <a:ea typeface="+mn-ea"/>
                <a:cs typeface="+mn-cs"/>
              </a:defRPr>
            </a:pPr>
          </a:p>
        </c:txPr>
        <c:crossAx val="208758440"/>
        <c:crosses val="autoZero"/>
        <c:auto val="1"/>
        <c:lblAlgn val="ctr"/>
        <c:lblOffset val="100"/>
        <c:noMultiLvlLbl val="0"/>
      </c:catAx>
      <c:valAx>
        <c:axId val="208758440"/>
        <c:scaling>
          <c:orientation val="minMax"/>
        </c:scaling>
        <c:delete val="0"/>
        <c:axPos val="l"/>
        <c:majorGridlines>
          <c:spPr>
            <a:ln w="9525" cap="flat" cmpd="sng" algn="ctr">
              <a:solidFill>
                <a:srgbClr val="E6E6E6">
                  <a:lumMod val="90200"/>
                </a:srgbClr>
              </a:solidFill>
              <a:prstDash val="solid"/>
              <a:round/>
            </a:ln>
            <a:effectLst/>
          </c:spPr>
        </c:majorGridlines>
        <c:title>
          <c:layout>
            <c:manualLayout>
              <c:xMode val="edge"/>
              <c:yMode val="edge"/>
              <c:x val="0.0253456221198157"/>
              <c:y val="0.32976976976977"/>
            </c:manualLayout>
          </c:layout>
          <c:overlay val="0"/>
          <c:spPr>
            <a:noFill/>
            <a:ln>
              <a:noFill/>
            </a:ln>
            <a:effectLst/>
          </c:spPr>
          <c:tx>
            <c:rich>
              <a:bodyPr/>
              <a:lstStyle/>
              <a:p>
                <a:pPr>
                  <a:defRPr/>
                </a:pPr>
              </a:p>
            </c:rich>
          </c:tx>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000000"/>
                </a:solidFill>
                <a:latin typeface="+mn-lt"/>
                <a:ea typeface="+mn-ea"/>
                <a:cs typeface="+mn-cs"/>
              </a:defRPr>
            </a:pPr>
          </a:p>
        </c:txPr>
        <c:crossAx val="355586907"/>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solidFill>
            <a:srgbClr val="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Pt>
            <c:idx val="8"/>
            <c:bubble3D val="0"/>
            <c:spPr>
              <a:solidFill>
                <a:srgbClr val="5F7530">
                  <a:lumMod val="60000"/>
                </a:srgbClr>
              </a:solidFill>
              <a:ln>
                <a:solidFill>
                  <a:srgbClr val="FFFFFF"/>
                </a:solidFill>
              </a:ln>
              <a:effectLst/>
            </c:spPr>
          </c:dPt>
          <c:dLbls>
            <c:dLbl>
              <c:idx val="1"/>
              <c:layout>
                <c:manualLayout>
                  <c:x val="0.14424778655943"/>
                  <c:y val="-0.1902105531201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9526560368437"/>
                  <c:y val="-0.08274134072212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19422469575435"/>
                  <c:y val="0.03065959733958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216804962213125"/>
                  <c:y val="0.01830260809106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291728436233086"/>
                  <c:y val="-0.0169610164232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288028871689186"/>
                  <c:y val="-0.08022265573824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工作表.xls]Sheet1'!$K$35:$K$43</c:f>
              <c:strCache>
                <c:ptCount val="9"/>
                <c:pt idx="0">
                  <c:v>一般公共服务支出</c:v>
                </c:pt>
                <c:pt idx="1">
                  <c:v>文化旅游体育与传媒支出</c:v>
                </c:pt>
                <c:pt idx="2">
                  <c:v>社会保障和就业支出</c:v>
                </c:pt>
                <c:pt idx="3">
                  <c:v>卫生健康支出</c:v>
                </c:pt>
                <c:pt idx="4">
                  <c:v>城乡社区支出</c:v>
                </c:pt>
                <c:pt idx="5">
                  <c:v>农林水支出</c:v>
                </c:pt>
                <c:pt idx="6">
                  <c:v>资源勘探工业信息等支出</c:v>
                </c:pt>
                <c:pt idx="7">
                  <c:v>住房保障支出</c:v>
                </c:pt>
                <c:pt idx="8">
                  <c:v>其他支出</c:v>
                </c:pt>
              </c:strCache>
            </c:strRef>
          </c:cat>
          <c:val>
            <c:numRef>
              <c:f>'[新建 XLS 工作表.xls]Sheet1'!$L$35:$L$43</c:f>
              <c:numCache>
                <c:formatCode>0.00%</c:formatCode>
                <c:ptCount val="9"/>
                <c:pt idx="0">
                  <c:v>0.3272</c:v>
                </c:pt>
                <c:pt idx="1">
                  <c:v>0.0062</c:v>
                </c:pt>
                <c:pt idx="2">
                  <c:v>0.0847</c:v>
                </c:pt>
                <c:pt idx="3">
                  <c:v>0.0151</c:v>
                </c:pt>
                <c:pt idx="4">
                  <c:v>0.008</c:v>
                </c:pt>
                <c:pt idx="5">
                  <c:v>0.0045</c:v>
                </c:pt>
                <c:pt idx="6">
                  <c:v>0.0001</c:v>
                </c:pt>
                <c:pt idx="7">
                  <c:v>0.5489</c:v>
                </c:pt>
                <c:pt idx="8">
                  <c:v>0.0053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dLbl>
              <c:idx val="0"/>
              <c:layout>
                <c:manualLayout>
                  <c:x val="0.203289473684211"/>
                  <c:y val="-0.0138888888888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95394736842105"/>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工作表.xls]Sheet1'!$P$43:$P$45</c:f>
              <c:strCache>
                <c:ptCount val="3"/>
                <c:pt idx="0">
                  <c:v>因公出国（境）费支出决算</c:v>
                </c:pt>
                <c:pt idx="1">
                  <c:v>公务用车购置及运行维护费支出决算</c:v>
                </c:pt>
                <c:pt idx="2">
                  <c:v>公务接待费支出决算</c:v>
                </c:pt>
              </c:strCache>
            </c:strRef>
          </c:cat>
          <c:val>
            <c:numRef>
              <c:f>'[新建 XLS 工作表.xls]Sheet1'!$Q$43:$Q$45</c:f>
              <c:numCache>
                <c:formatCode>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15</Words>
  <Characters>18</Characters>
  <Lines>61</Lines>
  <Paragraphs>17</Paragraphs>
  <TotalTime>6</TotalTime>
  <ScaleCrop>false</ScaleCrop>
  <LinksUpToDate>false</LinksUpToDate>
  <CharactersWithSpaces>18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2025-10-30T17:16:39Z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F46AB12C80FFBFFCF72C0369EFAEBD6B</vt:lpwstr>
  </property>
  <property fmtid="{D5CDD505-2E9C-101B-9397-08002B2CF9AE}" pid="4" name="KSOTemplateDocerSaveRecord">
    <vt:lpwstr>eyJoZGlkIjoiNjM3OWI3MzFlZjE5YjFhOWQwNjQ1ZjgwNDMxYWI3MzYiLCJ1c2VySWQiOiIzMDQwODg5MTMifQ==</vt:lpwstr>
  </property>
</Properties>
</file>