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721"/>
        </w:tabs>
        <w:spacing w:line="600" w:lineRule="exact"/>
        <w:jc w:val="left"/>
        <w:outlineLvl w:val="0"/>
        <w:rPr>
          <w:rFonts w:eastAsia="方正小标宋简体"/>
          <w:szCs w:val="21"/>
        </w:rPr>
      </w:pPr>
      <w:bookmarkStart w:id="0" w:name="_Toc15306267"/>
      <w:r>
        <w:rPr>
          <w:rFonts w:eastAsia="方正小标宋简体"/>
          <w:szCs w:val="21"/>
        </w:rPr>
        <w:tab/>
      </w:r>
    </w:p>
    <w:p>
      <w:pPr>
        <w:spacing w:line="600" w:lineRule="exact"/>
        <w:jc w:val="center"/>
        <w:outlineLvl w:val="0"/>
        <w:rPr>
          <w:rFonts w:eastAsia="方正小标宋简体"/>
          <w:sz w:val="72"/>
          <w:szCs w:val="72"/>
        </w:rPr>
      </w:pPr>
    </w:p>
    <w:p>
      <w:pPr>
        <w:adjustRightInd w:val="0"/>
        <w:snapToGrid w:val="0"/>
        <w:spacing w:line="360" w:lineRule="auto"/>
        <w:jc w:val="center"/>
        <w:outlineLvl w:val="0"/>
        <w:rPr>
          <w:rFonts w:eastAsia="方正小标宋简体"/>
          <w:sz w:val="72"/>
          <w:szCs w:val="72"/>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default" w:ascii="Times New Roman" w:hAnsi="Times New Roman" w:eastAsia="方正小标宋_GBK" w:cs="Times New Roman"/>
          <w:b w:val="0"/>
          <w:bCs w:val="0"/>
          <w:color w:val="000000" w:themeColor="text1"/>
          <w:sz w:val="48"/>
          <w:szCs w:val="48"/>
          <w14:textFill>
            <w14:solidFill>
              <w14:schemeClr w14:val="tx1"/>
            </w14:solidFill>
          </w14:textFill>
        </w:rPr>
      </w:pPr>
      <w:bookmarkStart w:id="1" w:name="_Toc15396475"/>
      <w:bookmarkStart w:id="2" w:name="_Toc15396597"/>
      <w:bookmarkStart w:id="3" w:name="_Toc15377193"/>
      <w:bookmarkStart w:id="4" w:name="_Toc15378441"/>
      <w:bookmarkStart w:id="5" w:name="_Toc15377425"/>
      <w:r>
        <w:rPr>
          <w:rFonts w:hint="default" w:ascii="Times New Roman" w:hAnsi="Times New Roman" w:eastAsia="方正小标宋_GBK" w:cs="Times New Roman"/>
          <w:b w:val="0"/>
          <w:bCs w:val="0"/>
          <w:color w:val="000000" w:themeColor="text1"/>
          <w:sz w:val="48"/>
          <w:szCs w:val="48"/>
          <w14:textFill>
            <w14:solidFill>
              <w14:schemeClr w14:val="tx1"/>
            </w14:solidFill>
          </w14:textFill>
        </w:rPr>
        <w:t>202</w:t>
      </w:r>
      <w:r>
        <w:rPr>
          <w:rFonts w:hint="default"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t>4</w:t>
      </w:r>
      <w:r>
        <w:rPr>
          <w:rFonts w:hint="default" w:ascii="Times New Roman" w:hAnsi="Times New Roman" w:eastAsia="方正小标宋_GBK" w:cs="Times New Roman"/>
          <w:b w:val="0"/>
          <w:bCs w:val="0"/>
          <w:color w:val="000000" w:themeColor="text1"/>
          <w:sz w:val="48"/>
          <w:szCs w:val="48"/>
          <w14:textFill>
            <w14:solidFill>
              <w14:schemeClr w14:val="tx1"/>
            </w14:solidFill>
          </w14:textFill>
        </w:rPr>
        <w:t>年度</w:t>
      </w:r>
      <w:bookmarkEnd w:id="1"/>
      <w:bookmarkEnd w:id="2"/>
      <w:bookmarkEnd w:id="3"/>
      <w:bookmarkEnd w:id="4"/>
      <w:bookmarkEnd w:id="5"/>
      <w:bookmarkStart w:id="6" w:name="_Toc15378442"/>
      <w:bookmarkStart w:id="7" w:name="_Toc15377426"/>
      <w:bookmarkStart w:id="8" w:name="_Toc15396598"/>
      <w:bookmarkStart w:id="9" w:name="_Toc15377194"/>
      <w:bookmarkStart w:id="10" w:name="_Toc15396476"/>
    </w:p>
    <w:p>
      <w:pPr>
        <w:pStyle w:val="6"/>
        <w:keepNext w:val="0"/>
        <w:keepLines w:val="0"/>
        <w:pageBreakBefore w:val="0"/>
        <w:widowControl w:val="0"/>
        <w:kinsoku/>
        <w:wordWrap/>
        <w:overflowPunct/>
        <w:topLinePunct w:val="0"/>
        <w:autoSpaceDE/>
        <w:autoSpaceDN/>
        <w:bidi w:val="0"/>
        <w:spacing w:line="500" w:lineRule="exact"/>
        <w:textAlignment w:val="auto"/>
        <w:rPr>
          <w:rFonts w:hint="default"/>
        </w:rPr>
      </w:pPr>
    </w:p>
    <w:bookmarkEnd w:id="0"/>
    <w:bookmarkEnd w:id="6"/>
    <w:bookmarkEnd w:id="7"/>
    <w:bookmarkEnd w:id="8"/>
    <w:bookmarkEnd w:id="9"/>
    <w:bookmarkEnd w:id="10"/>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default"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t>四川省</w:t>
      </w:r>
      <w:r>
        <w:rPr>
          <w:rFonts w:hint="default"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t>攀枝花市西区妇幼保健服务中心</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default"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0"/>
        <w:rPr>
          <w:rFonts w:hint="default"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pPr>
      <w:r>
        <w:rPr>
          <w:rFonts w:hint="eastAsia" w:ascii="Times New Roman" w:hAnsi="Times New Roman" w:eastAsia="方正小标宋_GBK" w:cs="Times New Roman"/>
          <w:b w:val="0"/>
          <w:bCs w:val="0"/>
          <w:color w:val="000000" w:themeColor="text1"/>
          <w:sz w:val="48"/>
          <w:szCs w:val="48"/>
          <w:lang w:val="en-US" w:eastAsia="zh-CN"/>
          <w14:textFill>
            <w14:solidFill>
              <w14:schemeClr w14:val="tx1"/>
            </w14:solidFill>
          </w14:textFill>
        </w:rPr>
        <w:t>单位决算</w:t>
      </w: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pStyle w:val="6"/>
      </w:pPr>
    </w:p>
    <w:p>
      <w:pPr>
        <w:adjustRightInd w:val="0"/>
        <w:snapToGrid w:val="0"/>
        <w:spacing w:line="360" w:lineRule="auto"/>
        <w:jc w:val="center"/>
        <w:outlineLvl w:val="0"/>
        <w:rPr>
          <w:rFonts w:eastAsia="黑体"/>
          <w:color w:val="000000" w:themeColor="text1"/>
          <w:sz w:val="48"/>
          <w:szCs w:val="48"/>
          <w14:textFill>
            <w14:solidFill>
              <w14:schemeClr w14:val="tx1"/>
            </w14:solidFill>
          </w14:textFill>
        </w:rPr>
      </w:pPr>
    </w:p>
    <w:p>
      <w:pPr>
        <w:adjustRightInd w:val="0"/>
        <w:snapToGrid w:val="0"/>
        <w:spacing w:line="360" w:lineRule="auto"/>
        <w:jc w:val="center"/>
        <w:outlineLvl w:val="0"/>
        <w:rPr>
          <w:rFonts w:hint="eastAsia" w:ascii="方正小标宋_GBK" w:hAnsi="方正小标宋_GBK" w:eastAsia="方正小标宋_GBK" w:cs="方正小标宋_GBK"/>
          <w:b/>
          <w:bCs/>
          <w:color w:val="000000" w:themeColor="text1"/>
          <w:sz w:val="44"/>
          <w:szCs w:val="44"/>
          <w14:textFill>
            <w14:solidFill>
              <w14:schemeClr w14:val="tx1"/>
            </w14:solidFill>
          </w14:textFill>
        </w:rPr>
        <w:sectPr>
          <w:headerReference r:id="rId3" w:type="default"/>
          <w:footerReference r:id="rId4" w:type="default"/>
          <w:pgSz w:w="11906" w:h="16838"/>
          <w:pgMar w:top="2098" w:right="1474" w:bottom="1984" w:left="1588" w:header="907" w:footer="1644" w:gutter="0"/>
          <w:pgNumType w:fmt="decimal" w:start="1"/>
          <w:cols w:space="425" w:num="1"/>
          <w:titlePg/>
          <w:docGrid w:type="lines" w:linePitch="312" w:charSpace="0"/>
        </w:sectPr>
      </w:pPr>
    </w:p>
    <w:p>
      <w:pPr>
        <w:adjustRightInd w:val="0"/>
        <w:snapToGrid w:val="0"/>
        <w:spacing w:line="360" w:lineRule="auto"/>
        <w:jc w:val="center"/>
        <w:outlineLvl w:val="0"/>
        <w:rPr>
          <w:rFonts w:hint="eastAsia"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目录</w:t>
      </w:r>
    </w:p>
    <w:p>
      <w:pPr>
        <w:pStyle w:val="11"/>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公开时间：202</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楷体_GBK" w:cs="Times New Roman"/>
          <w:color w:val="000000" w:themeColor="text1"/>
          <w:sz w:val="32"/>
          <w:szCs w:val="32"/>
          <w14:textFill>
            <w14:solidFill>
              <w14:schemeClr w14:val="tx1"/>
            </w14:solidFill>
          </w14:textFill>
        </w:rPr>
        <w:t>年</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楷体_GBK" w:cs="Times New Roman"/>
          <w:color w:val="000000" w:themeColor="text1"/>
          <w:sz w:val="32"/>
          <w:szCs w:val="32"/>
          <w14:textFill>
            <w14:solidFill>
              <w14:schemeClr w14:val="tx1"/>
            </w14:solidFill>
          </w14:textFill>
        </w:rPr>
        <w:t>月</w:t>
      </w:r>
      <w:bookmarkStart w:id="66" w:name="_GoBack"/>
      <w:bookmarkEnd w:id="66"/>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30</w:t>
      </w:r>
      <w:r>
        <w:rPr>
          <w:rFonts w:hint="default" w:ascii="Times New Roman" w:hAnsi="Times New Roman" w:eastAsia="方正楷体_GBK" w:cs="Times New Roman"/>
          <w:color w:val="000000" w:themeColor="text1"/>
          <w:sz w:val="32"/>
          <w:szCs w:val="32"/>
          <w14:textFill>
            <w14:solidFill>
              <w14:schemeClr w14:val="tx1"/>
            </w14:solidFill>
          </w14:textFill>
        </w:rPr>
        <w:t>日</w:t>
      </w:r>
    </w:p>
    <w:p>
      <w:pPr>
        <w:pStyle w:val="11"/>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第一部分</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单位概况</w:t>
      </w:r>
      <w:r>
        <w:rPr>
          <w:rFonts w:hint="default" w:ascii="Times New Roman" w:hAnsi="Times New Roman" w:eastAsia="方正仿宋_GBK" w:cs="Times New Roman"/>
          <w:color w:val="000000" w:themeColor="text1"/>
          <w:sz w:val="24"/>
          <w14:textFill>
            <w14:solidFill>
              <w14:schemeClr w14:val="tx1"/>
            </w14:solidFill>
          </w14:textFill>
        </w:rPr>
        <w:t>……………………………………</w:t>
      </w:r>
      <w:r>
        <w:rPr>
          <w:rFonts w:hint="default" w:ascii="Times New Roman" w:hAnsi="Times New Roman" w:eastAsia="方正仿宋_GBK" w:cs="Times New Roman"/>
          <w:color w:val="000000" w:themeColor="text1"/>
          <w:sz w:val="24"/>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4</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一、主要职责…………………………………………</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4</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二、机构设置……………………………………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5</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 xml:space="preserve">第二部分 </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202</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z w:val="32"/>
          <w:szCs w:val="32"/>
          <w14:textFill>
            <w14:solidFill>
              <w14:schemeClr w14:val="tx1"/>
            </w14:solidFill>
          </w14:textFill>
        </w:rPr>
        <w:t>年度单位决算情况说明</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一、收入支出决算总体情况说明…………………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6</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二、收入决算情况说明………………………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三、支出决算情况说明……………………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…7</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四、财政拨款收入支出决算总体情况说明…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五、一般公共预算财政拨款支出决算情况说明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…8</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六、一般公共预算财政拨款基本支出决算情况说明…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七、财政拨款“三公”经费支出决算情况说明………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八、政府性基金预算支出决算情况说明……………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九、国有资本经营预算支出决算情况说明………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十、其他重要事项的情况说明…………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p>
    <w:p>
      <w:pPr>
        <w:pStyle w:val="11"/>
        <w:keepNext w:val="0"/>
        <w:keepLines w:val="0"/>
        <w:pageBreakBefore w:val="0"/>
        <w:kinsoku/>
        <w:wordWrap/>
        <w:overflowPunct/>
        <w:topLinePunct w:val="0"/>
        <w:autoSpaceDE/>
        <w:autoSpaceDN/>
        <w:bidi w:val="0"/>
        <w:adjustRightInd/>
        <w:snapToGrid/>
        <w:spacing w:before="0" w:line="240" w:lineRule="auto"/>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第三部分</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color w:val="000000" w:themeColor="text1"/>
          <w:sz w:val="32"/>
          <w:szCs w:val="32"/>
          <w14:textFill>
            <w14:solidFill>
              <w14:schemeClr w14:val="tx1"/>
            </w14:solidFill>
          </w14:textFill>
        </w:rPr>
        <w:t>名词解释</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p>
    <w:p>
      <w:pPr>
        <w:pStyle w:val="11"/>
        <w:keepNext w:val="0"/>
        <w:keepLines w:val="0"/>
        <w:pageBreakBefore w:val="0"/>
        <w:kinsoku/>
        <w:wordWrap/>
        <w:overflowPunct/>
        <w:topLinePunct w:val="0"/>
        <w:autoSpaceDE/>
        <w:autoSpaceDN/>
        <w:bidi w:val="0"/>
        <w:adjustRightInd/>
        <w:snapToGrid/>
        <w:spacing w:before="0" w:line="240" w:lineRule="auto"/>
        <w:jc w:val="left"/>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第四部分 附件</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…18</w:t>
      </w:r>
    </w:p>
    <w:p>
      <w:pPr>
        <w:pStyle w:val="11"/>
        <w:keepNext w:val="0"/>
        <w:keepLines w:val="0"/>
        <w:pageBreakBefore w:val="0"/>
        <w:kinsoku/>
        <w:wordWrap/>
        <w:overflowPunct/>
        <w:topLinePunct w:val="0"/>
        <w:autoSpaceDE/>
        <w:autoSpaceDN/>
        <w:bidi w:val="0"/>
        <w:adjustRightInd/>
        <w:snapToGrid/>
        <w:spacing w:before="0" w:line="240" w:lineRule="auto"/>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第五部分 附表</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一、收入支出决算总表……………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二、收入决算表………………………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三、支出决算表………………………………………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四、财政拨款收入支出决算总表……………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五、财政拨款支出决算明细表……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六、一般公共预算财政拨款支出决算表…………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七、一般公共预算财政拨款支出决算明细表………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八、一般公共预算财政拨款基本支出决算明细表……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九、一般公共预算财政拨款项目支出决算表………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十、政府性基金预算财政拨款收入支出决算表………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十一、国有资本经营预算财政拨款收入支出决算表…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十二、国有资本经营预算财政拨款支出决算表……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pStyle w:val="12"/>
        <w:keepNext w:val="0"/>
        <w:keepLines w:val="0"/>
        <w:pageBreakBefore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十三、财政拨款“三公”经费支出决算表………………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…19</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bCs/>
          <w:color w:val="000000" w:themeColor="text1"/>
          <w:kern w:val="44"/>
          <w:sz w:val="32"/>
          <w:szCs w:val="32"/>
          <w14:textFill>
            <w14:solidFill>
              <w14:schemeClr w14:val="tx1"/>
            </w14:solidFill>
          </w14:textFill>
        </w:rPr>
      </w:pPr>
      <w:bookmarkStart w:id="11" w:name="_Toc15377196"/>
      <w:bookmarkStart w:id="12" w:name="_Toc15396599"/>
      <w:r>
        <w:rPr>
          <w:rFonts w:hint="default" w:ascii="Times New Roman" w:hAnsi="Times New Roman" w:eastAsia="方正仿宋_GBK" w:cs="Times New Roman"/>
          <w:b/>
          <w:color w:val="000000" w:themeColor="text1"/>
          <w:sz w:val="32"/>
          <w:szCs w:val="32"/>
          <w14:textFill>
            <w14:solidFill>
              <w14:schemeClr w14:val="tx1"/>
            </w14:solidFill>
          </w14:textFill>
        </w:rPr>
        <w:br w:type="page"/>
      </w:r>
    </w:p>
    <w:p>
      <w:pPr>
        <w:pStyle w:val="4"/>
        <w:numPr>
          <w:ilvl w:val="0"/>
          <w:numId w:val="0"/>
        </w:numPr>
        <w:jc w:val="center"/>
        <w:rPr>
          <w:color w:val="000000" w:themeColor="text1"/>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lang w:val="en-US" w:eastAsia="zh-CN"/>
          <w14:textFill>
            <w14:solidFill>
              <w14:schemeClr w14:val="tx1"/>
            </w14:solidFill>
          </w14:textFill>
        </w:rPr>
        <w:t xml:space="preserve">第一部分  </w:t>
      </w: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单</w:t>
      </w:r>
      <w:r>
        <w:rPr>
          <w:rFonts w:hint="eastAsia" w:ascii="方正小标宋_GBK" w:hAnsi="方正小标宋_GBK" w:eastAsia="方正小标宋_GBK" w:cs="方正小标宋_GBK"/>
          <w:b/>
          <w:bCs w:val="0"/>
          <w:color w:val="000000" w:themeColor="text1"/>
          <w:sz w:val="44"/>
          <w:szCs w:val="44"/>
          <w14:textFill>
            <w14:solidFill>
              <w14:schemeClr w14:val="tx1"/>
            </w14:solidFill>
          </w14:textFill>
        </w:rPr>
        <w:t>位</w:t>
      </w:r>
      <w:r>
        <w:rPr>
          <w:rStyle w:val="16"/>
          <w:rFonts w:hint="eastAsia" w:ascii="方正小标宋_GBK" w:hAnsi="方正小标宋_GBK" w:eastAsia="方正小标宋_GBK" w:cs="方正小标宋_GBK"/>
          <w:b/>
          <w:bCs w:val="0"/>
          <w:color w:val="000000" w:themeColor="text1"/>
          <w:sz w:val="44"/>
          <w:szCs w:val="44"/>
          <w14:textFill>
            <w14:solidFill>
              <w14:schemeClr w14:val="tx1"/>
            </w14:solidFill>
          </w14:textFill>
        </w:rPr>
        <w:t>概况</w:t>
      </w:r>
      <w:bookmarkEnd w:id="11"/>
      <w:bookmarkEnd w:id="12"/>
    </w:p>
    <w:p>
      <w:pPr>
        <w:pStyle w:val="5"/>
        <w:pageBreakBefore w:val="0"/>
        <w:widowControl w:val="0"/>
        <w:numPr>
          <w:ilvl w:val="0"/>
          <w:numId w:val="1"/>
        </w:numPr>
        <w:wordWrap/>
        <w:topLinePunct w:val="0"/>
        <w:bidi w:val="0"/>
        <w:adjustRightInd/>
        <w:snapToGrid/>
        <w:spacing w:before="0" w:after="0" w:line="240" w:lineRule="auto"/>
        <w:ind w:firstLine="640" w:firstLineChars="200"/>
        <w:textAlignment w:val="auto"/>
        <w:rPr>
          <w:rStyle w:val="17"/>
          <w:rFonts w:hint="eastAsia" w:ascii="方正黑体_GBK" w:hAnsi="方正黑体_GBK" w:eastAsia="方正黑体_GBK" w:cs="方正黑体_GBK"/>
          <w:b w:val="0"/>
          <w:bCs w:val="0"/>
          <w:color w:val="000000" w:themeColor="text1"/>
          <w14:textFill>
            <w14:solidFill>
              <w14:schemeClr w14:val="tx1"/>
            </w14:solidFill>
          </w14:textFill>
        </w:rPr>
      </w:pPr>
      <w:bookmarkStart w:id="13" w:name="_Toc15377197"/>
      <w:bookmarkStart w:id="14" w:name="_Toc15396600"/>
      <w:r>
        <w:rPr>
          <w:rStyle w:val="17"/>
          <w:rFonts w:hint="eastAsia" w:ascii="方正黑体_GBK" w:hAnsi="方正黑体_GBK" w:eastAsia="方正黑体_GBK" w:cs="方正黑体_GBK"/>
          <w:b w:val="0"/>
          <w:bCs w:val="0"/>
          <w:color w:val="000000" w:themeColor="text1"/>
          <w14:textFill>
            <w14:solidFill>
              <w14:schemeClr w14:val="tx1"/>
            </w14:solidFill>
          </w14:textFill>
        </w:rPr>
        <w:t>主要职责</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针对国家妇女儿童健康目标和支持性目标的要求，协助卫生行政部门制定具体规划并牵头实施。</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负责全区孕、产妇健康系统保障及其管理工作，提高孕、产妇及新生儿健康水平，降低孕、产妇死亡率和新生儿出生缺陷的发生。</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负责全区七岁以下儿童健康系统保健及其管理工作，提高儿童身心健康水平，降低儿童死亡率。</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负责妇女经、孕、产、哺乳、更年期的卫生保健，做好妇女病的普查普治工作。</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负责全区计划生育技术服务，掌握全区计划生育技术服务的质量、存在的问题。</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负责开展婚前医学检查、优生咨询工作，提高人口素质；负责全区妇女、儿童保健和计划生育知识等健康教育工作，提高妇女、儿童的自我保健意识和能力。</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负责全区妇幼保健信息收集、统计、整理、分析评价及上报工作，为卫生行政部门提供妇幼保健服务决策依据。</w:t>
      </w:r>
    </w:p>
    <w:p>
      <w:pPr>
        <w:keepNext w:val="0"/>
        <w:keepLines w:val="0"/>
        <w:pageBreakBefore w:val="0"/>
        <w:kinsoku/>
        <w:wordWrap/>
        <w:overflowPunct/>
        <w:topLinePunct w:val="0"/>
        <w:autoSpaceDE/>
        <w:autoSpaceDN/>
        <w:bidi w:val="0"/>
        <w:adjustRightInd/>
        <w:snapToGrid/>
        <w:spacing w:line="353" w:lineRule="auto"/>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负责对全区承担妇幼保健工作任务的医院及基层医疗卫生机构的保健工作业务培训、工作质量检查、指导及评估等工作。</w:t>
      </w:r>
    </w:p>
    <w:p>
      <w:pPr>
        <w:pageBreakBefore w:val="0"/>
        <w:widowControl w:val="0"/>
        <w:wordWrap/>
        <w:topLinePunct w:val="0"/>
        <w:bidi w:val="0"/>
        <w:adjustRightInd/>
        <w:snapToGrid/>
        <w:spacing w:line="240" w:lineRule="auto"/>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二、机构设置</w:t>
      </w:r>
    </w:p>
    <w:bookmarkEnd w:id="13"/>
    <w:bookmarkEnd w:id="14"/>
    <w:p>
      <w:pPr>
        <w:pageBreakBefore w:val="0"/>
        <w:widowControl w:val="0"/>
        <w:wordWrap/>
        <w:topLinePunct w:val="0"/>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攀枝花市西区妇幼保健服务中心属于攀枝花市西区卫生健康局二级预算单位，下设独立编制机构0个，其中行政机构0个，参照公务员法管理事业机构0个，其他事业机构0个。纳入202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年度单位决算编制范围的独立编制机构包括：攀枝花市西区妇幼保健服务中心。</w:t>
      </w:r>
      <w:bookmarkStart w:id="15" w:name="_Toc15377204"/>
      <w:bookmarkStart w:id="16" w:name="_Toc15396602"/>
    </w:p>
    <w:p>
      <w:pPr>
        <w:pStyle w:val="6"/>
        <w:pageBreakBefore w:val="0"/>
        <w:widowControl w:val="0"/>
        <w:wordWrap/>
        <w:topLinePunct w:val="0"/>
        <w:bidi w:val="0"/>
        <w:adjustRightInd/>
        <w:snapToGrid/>
        <w:spacing w:beforeLines="0" w:line="240" w:lineRule="auto"/>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ascii="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ascii="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ascii="Times New Roman"/>
          <w:color w:val="000000" w:themeColor="text1"/>
          <w:sz w:val="32"/>
          <w:szCs w:val="32"/>
          <w14:textFill>
            <w14:solidFill>
              <w14:schemeClr w14:val="tx1"/>
            </w14:solidFill>
          </w14:textFill>
        </w:rPr>
      </w:pPr>
    </w:p>
    <w:p>
      <w:pPr>
        <w:pStyle w:val="6"/>
        <w:pageBreakBefore w:val="0"/>
        <w:widowControl w:val="0"/>
        <w:wordWrap/>
        <w:topLinePunct w:val="0"/>
        <w:bidi w:val="0"/>
        <w:adjustRightInd/>
        <w:snapToGrid/>
        <w:spacing w:beforeLines="0"/>
        <w:textAlignment w:val="auto"/>
        <w:rPr>
          <w:rFonts w:ascii="Times New Roman"/>
          <w:color w:val="000000" w:themeColor="text1"/>
          <w:sz w:val="32"/>
          <w:szCs w:val="32"/>
          <w14:textFill>
            <w14:solidFill>
              <w14:schemeClr w14:val="tx1"/>
            </w14:solidFill>
          </w14:textFill>
        </w:rPr>
      </w:pPr>
    </w:p>
    <w:p>
      <w:pPr>
        <w:pStyle w:val="4"/>
        <w:numPr>
          <w:ilvl w:val="0"/>
          <w:numId w:val="0"/>
        </w:numPr>
        <w:ind w:right="440" w:rightChars="0"/>
        <w:jc w:val="center"/>
        <w:rPr>
          <w:rFonts w:ascii="Times New Roman"/>
          <w:color w:val="000000" w:themeColor="text1"/>
          <w14:textFill>
            <w14:solidFill>
              <w14:schemeClr w14:val="tx1"/>
            </w14:solidFill>
          </w14:textFill>
        </w:rPr>
      </w:pPr>
      <w:r>
        <w:rPr>
          <w:rFonts w:hint="eastAsia" w:ascii="Times New Roman" w:hAnsi="Times New Roman" w:eastAsia="方正小标宋_GBK" w:cs="Times New Roman"/>
          <w:b/>
          <w:bCs w:val="0"/>
          <w:color w:val="000000" w:themeColor="text1"/>
          <w:lang w:val="en-US" w:eastAsia="zh-CN"/>
          <w14:textFill>
            <w14:solidFill>
              <w14:schemeClr w14:val="tx1"/>
            </w14:solidFill>
          </w14:textFill>
        </w:rPr>
        <w:t xml:space="preserve">  </w:t>
      </w:r>
      <w:r>
        <w:rPr>
          <w:rFonts w:hint="default" w:ascii="Times New Roman" w:hAnsi="Times New Roman" w:eastAsia="方正小标宋_GBK" w:cs="Times New Roman"/>
          <w:b/>
          <w:bCs w:val="0"/>
          <w:color w:val="000000" w:themeColor="text1"/>
          <w:lang w:val="en-US" w:eastAsia="zh-CN"/>
          <w14:textFill>
            <w14:solidFill>
              <w14:schemeClr w14:val="tx1"/>
            </w14:solidFill>
          </w14:textFill>
        </w:rPr>
        <w:t xml:space="preserve">第二部分  </w:t>
      </w:r>
      <w:r>
        <w:rPr>
          <w:rFonts w:hint="default" w:ascii="Times New Roman" w:hAnsi="Times New Roman" w:eastAsia="方正小标宋_GBK" w:cs="Times New Roman"/>
          <w:b/>
          <w:bCs w:val="0"/>
          <w:color w:val="000000" w:themeColor="text1"/>
          <w14:textFill>
            <w14:solidFill>
              <w14:schemeClr w14:val="tx1"/>
            </w14:solidFill>
          </w14:textFill>
        </w:rPr>
        <w:t>202</w:t>
      </w:r>
      <w:r>
        <w:rPr>
          <w:rFonts w:hint="default" w:ascii="Times New Roman" w:hAnsi="Times New Roman" w:eastAsia="方正小标宋_GBK" w:cs="Times New Roman"/>
          <w:b/>
          <w:bCs w:val="0"/>
          <w:color w:val="000000" w:themeColor="text1"/>
          <w:lang w:val="en-US" w:eastAsia="zh-CN"/>
          <w14:textFill>
            <w14:solidFill>
              <w14:schemeClr w14:val="tx1"/>
            </w14:solidFill>
          </w14:textFill>
        </w:rPr>
        <w:t>4</w:t>
      </w:r>
      <w:r>
        <w:rPr>
          <w:rFonts w:hint="default" w:ascii="Times New Roman" w:hAnsi="Times New Roman" w:eastAsia="方正小标宋_GBK" w:cs="Times New Roman"/>
          <w:b/>
          <w:bCs w:val="0"/>
          <w:color w:val="000000" w:themeColor="text1"/>
          <w14:textFill>
            <w14:solidFill>
              <w14:schemeClr w14:val="tx1"/>
            </w14:solidFill>
          </w14:textFill>
        </w:rPr>
        <w:t>年度单位决算情况说明</w:t>
      </w:r>
      <w:bookmarkEnd w:id="15"/>
      <w:bookmarkEnd w:id="16"/>
      <w:bookmarkStart w:id="17" w:name="_Toc15396603"/>
      <w:bookmarkStart w:id="18" w:name="_Toc15377205"/>
    </w:p>
    <w:p>
      <w:pPr>
        <w:pStyle w:val="22"/>
        <w:spacing w:line="600" w:lineRule="exact"/>
        <w:ind w:firstLine="640"/>
        <w:outlineLvl w:val="1"/>
        <w:rPr>
          <w:rStyle w:val="17"/>
          <w:rFonts w:hint="eastAsia" w:ascii="方正黑体_GBK" w:hAnsi="方正黑体_GBK" w:eastAsia="方正黑体_GBK" w:cs="方正黑体_GBK"/>
          <w:b w:val="0"/>
          <w:bCs w:val="0"/>
          <w:color w:val="000000" w:themeColor="text1"/>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一、收</w:t>
      </w:r>
      <w:r>
        <w:rPr>
          <w:rStyle w:val="17"/>
          <w:rFonts w:hint="eastAsia" w:ascii="方正黑体_GBK" w:hAnsi="方正黑体_GBK" w:eastAsia="方正黑体_GBK" w:cs="方正黑体_GBK"/>
          <w:b w:val="0"/>
          <w:bCs w:val="0"/>
          <w:color w:val="000000" w:themeColor="text1"/>
          <w14:textFill>
            <w14:solidFill>
              <w14:schemeClr w14:val="tx1"/>
            </w14:solidFill>
          </w14:textFill>
        </w:rPr>
        <w:t>入支出决算总体情况说明</w:t>
      </w:r>
      <w:bookmarkEnd w:id="17"/>
      <w:bookmarkEnd w:id="18"/>
    </w:p>
    <w:p>
      <w:pPr>
        <w:spacing w:line="60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年度收、支总计均为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252.73</w:t>
      </w:r>
      <w:r>
        <w:rPr>
          <w:rFonts w:hint="default" w:ascii="Times New Roman" w:hAnsi="Times New Roman" w:eastAsia="方正仿宋_GBK" w:cs="Times New Roman"/>
          <w:color w:val="000000" w:themeColor="text1"/>
          <w:sz w:val="32"/>
          <w:szCs w:val="32"/>
          <w14:textFill>
            <w14:solidFill>
              <w14:schemeClr w14:val="tx1"/>
            </w14:solidFill>
          </w14:textFill>
        </w:rPr>
        <w:t>万元。与202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年度相比，收、支总计各</w:t>
      </w:r>
      <w:r>
        <w:rPr>
          <w:rFonts w:hint="default" w:ascii="Times New Roman" w:hAnsi="Times New Roman" w:eastAsia="仿宋_GB2312" w:cs="Times New Roman"/>
          <w:color w:val="auto"/>
          <w:sz w:val="32"/>
          <w:szCs w:val="32"/>
          <w:highlight w:val="none"/>
          <w:lang w:val="en-US" w:eastAsia="zh-CN"/>
        </w:rPr>
        <w:t>减少72.47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下降22.28</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人员经费减少</w:t>
      </w:r>
      <w:r>
        <w:rPr>
          <w:rFonts w:hint="default" w:ascii="Times New Roman" w:hAnsi="Times New Roman" w:eastAsia="仿宋_GB2312" w:cs="Times New Roman"/>
          <w:color w:val="auto"/>
          <w:sz w:val="32"/>
          <w:szCs w:val="32"/>
          <w:highlight w:val="none"/>
        </w:rPr>
        <w:t>。</w:t>
      </w:r>
    </w:p>
    <w:p>
      <w:pPr>
        <w:pStyle w:val="22"/>
        <w:spacing w:line="600" w:lineRule="exact"/>
        <w:ind w:left="640" w:firstLine="0" w:firstLineChars="0"/>
        <w:outlineLvl w:val="1"/>
        <w:rPr>
          <w:rStyle w:val="17"/>
          <w:rFonts w:hint="eastAsia" w:ascii="方正黑体_GBK" w:hAnsi="方正黑体_GBK" w:eastAsia="方正黑体_GBK" w:cs="方正黑体_GBK"/>
          <w:b w:val="0"/>
          <w:bCs w:val="0"/>
          <w:color w:val="000000" w:themeColor="text1"/>
          <w:sz w:val="32"/>
          <w:szCs w:val="32"/>
          <w14:textFill>
            <w14:solidFill>
              <w14:schemeClr w14:val="tx1"/>
            </w14:solidFill>
          </w14:textFill>
        </w:rPr>
      </w:pPr>
      <w:bookmarkStart w:id="19" w:name="_Toc15396604"/>
      <w:bookmarkStart w:id="20" w:name="_Toc15377206"/>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drawing>
          <wp:anchor distT="0" distB="0" distL="114300" distR="114300" simplePos="0" relativeHeight="251659264" behindDoc="0" locked="0" layoutInCell="1" allowOverlap="1">
            <wp:simplePos x="0" y="0"/>
            <wp:positionH relativeFrom="column">
              <wp:posOffset>940435</wp:posOffset>
            </wp:positionH>
            <wp:positionV relativeFrom="paragraph">
              <wp:posOffset>180975</wp:posOffset>
            </wp:positionV>
            <wp:extent cx="3189605" cy="2473325"/>
            <wp:effectExtent l="4445" t="4445" r="6350" b="11430"/>
            <wp:wrapTopAndBottom/>
            <wp:docPr id="4" name="图表 4" descr="7b0a202020202263686172745265734964223a2022323034373231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二、收</w:t>
      </w:r>
      <w:r>
        <w:rPr>
          <w:rStyle w:val="17"/>
          <w:rFonts w:hint="eastAsia" w:ascii="方正黑体_GBK" w:hAnsi="方正黑体_GBK" w:eastAsia="方正黑体_GBK" w:cs="方正黑体_GBK"/>
          <w:b w:val="0"/>
          <w:bCs w:val="0"/>
          <w:color w:val="000000" w:themeColor="text1"/>
          <w:sz w:val="32"/>
          <w:szCs w:val="32"/>
          <w14:textFill>
            <w14:solidFill>
              <w14:schemeClr w14:val="tx1"/>
            </w14:solidFill>
          </w14:textFill>
        </w:rPr>
        <w:t>入决算情况说明</w:t>
      </w:r>
      <w:bookmarkEnd w:id="19"/>
      <w:bookmarkEnd w:id="2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年度本年收入合计</w:t>
      </w:r>
      <w:r>
        <w:rPr>
          <w:rFonts w:hint="default"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40.02</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000000" w:themeColor="text1"/>
          <w:sz w:val="32"/>
          <w:szCs w:val="32"/>
          <w14:textFill>
            <w14:solidFill>
              <w14:schemeClr w14:val="tx1"/>
            </w14:solidFill>
          </w14:textFill>
        </w:rPr>
        <w:t>元，其中：一般公共预算财政拨款收入</w:t>
      </w:r>
      <w:r>
        <w:rPr>
          <w:rFonts w:hint="eastAsia" w:eastAsia="方正仿宋_GBK" w:cs="Times New Roman"/>
          <w:color w:val="000000" w:themeColor="text1"/>
          <w:sz w:val="32"/>
          <w:szCs w:val="32"/>
          <w:lang w:val="en-US" w:eastAsia="zh-CN"/>
          <w14:textFill>
            <w14:solidFill>
              <w14:schemeClr w14:val="tx1"/>
            </w14:solidFill>
          </w14:textFill>
        </w:rPr>
        <w:t>240.02</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%；政府性基金预算财政拨款收入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%；国有资本经营预算财政拨款收入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%；上级补助收入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%；事业收入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%；经营收入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%；附属单位上缴收入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%；其他收入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rPr>
          <w:rStyle w:val="17"/>
          <w:rFonts w:eastAsia="黑体"/>
          <w:color w:val="000000" w:themeColor="text1"/>
          <w14:textFill>
            <w14:solidFill>
              <w14:schemeClr w14:val="tx1"/>
            </w14:solidFill>
          </w14:textFill>
        </w:rPr>
      </w:pPr>
      <w:bookmarkStart w:id="21" w:name="_Toc15377207"/>
      <w:bookmarkStart w:id="22" w:name="_Toc15396605"/>
      <w:r>
        <w:rPr>
          <w:rStyle w:val="17"/>
          <w:rFonts w:eastAsia="黑体"/>
          <w:b w:val="0"/>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158750</wp:posOffset>
            </wp:positionH>
            <wp:positionV relativeFrom="paragraph">
              <wp:posOffset>320675</wp:posOffset>
            </wp:positionV>
            <wp:extent cx="4846320" cy="2165350"/>
            <wp:effectExtent l="5080" t="4445" r="12700"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3" w:firstLineChars="200"/>
        <w:rPr>
          <w:rStyle w:val="17"/>
          <w:rFonts w:eastAsia="黑体"/>
          <w:color w:val="000000" w:themeColor="text1"/>
          <w14:textFill>
            <w14:solidFill>
              <w14:schemeClr w14:val="tx1"/>
            </w14:solidFill>
          </w14:textFill>
        </w:rPr>
      </w:pPr>
    </w:p>
    <w:p>
      <w:pPr>
        <w:spacing w:line="600" w:lineRule="exact"/>
        <w:ind w:firstLine="640" w:firstLineChars="200"/>
        <w:rPr>
          <w:rStyle w:val="17"/>
          <w:rFonts w:hint="eastAsia" w:ascii="方正黑体_GBK" w:hAnsi="方正黑体_GBK" w:eastAsia="方正黑体_GBK" w:cs="方正黑体_GBK"/>
          <w:b w:val="0"/>
          <w:bCs w:val="0"/>
          <w:color w:val="000000" w:themeColor="text1"/>
          <w14:textFill>
            <w14:solidFill>
              <w14:schemeClr w14:val="tx1"/>
            </w14:solidFill>
          </w14:textFill>
        </w:rPr>
      </w:pPr>
      <w:r>
        <w:rPr>
          <w:rStyle w:val="17"/>
          <w:rFonts w:hint="eastAsia" w:ascii="方正黑体_GBK" w:hAnsi="方正黑体_GBK" w:eastAsia="方正黑体_GBK" w:cs="方正黑体_GBK"/>
          <w:b w:val="0"/>
          <w:bCs w:val="0"/>
          <w:color w:val="000000" w:themeColor="text1"/>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支</w:t>
      </w:r>
      <w:r>
        <w:rPr>
          <w:rStyle w:val="17"/>
          <w:rFonts w:hint="eastAsia" w:ascii="方正黑体_GBK" w:hAnsi="方正黑体_GBK" w:eastAsia="方正黑体_GBK" w:cs="方正黑体_GBK"/>
          <w:b w:val="0"/>
          <w:bCs w:val="0"/>
          <w:color w:val="000000" w:themeColor="text1"/>
          <w14:textFill>
            <w14:solidFill>
              <w14:schemeClr w14:val="tx1"/>
            </w14:solidFill>
          </w14:textFill>
        </w:rPr>
        <w:t>出决算情况说明</w:t>
      </w:r>
      <w:bookmarkEnd w:id="21"/>
      <w:bookmarkEnd w:id="22"/>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年度本年支出合计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252.73</w:t>
      </w:r>
      <w:r>
        <w:rPr>
          <w:rFonts w:hint="default" w:ascii="Times New Roman" w:hAnsi="Times New Roman" w:eastAsia="方正仿宋_GBK" w:cs="Times New Roman"/>
          <w:color w:val="000000" w:themeColor="text1"/>
          <w:sz w:val="32"/>
          <w:szCs w:val="32"/>
          <w14:textFill>
            <w14:solidFill>
              <w14:schemeClr w14:val="tx1"/>
            </w14:solidFill>
          </w14:textFill>
        </w:rPr>
        <w:t>万元，其中：基本支出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203.33</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80.45</w:t>
      </w:r>
      <w:r>
        <w:rPr>
          <w:rFonts w:hint="default" w:ascii="Times New Roman" w:hAnsi="Times New Roman" w:eastAsia="方正仿宋_GBK" w:cs="Times New Roman"/>
          <w:color w:val="000000" w:themeColor="text1"/>
          <w:sz w:val="32"/>
          <w:szCs w:val="32"/>
          <w14:textFill>
            <w14:solidFill>
              <w14:schemeClr w14:val="tx1"/>
            </w14:solidFill>
          </w14:textFill>
        </w:rPr>
        <w:t>%；项目支出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49.4</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19.55</w:t>
      </w:r>
      <w:r>
        <w:rPr>
          <w:rFonts w:hint="default" w:ascii="Times New Roman" w:hAnsi="Times New Roman" w:eastAsia="方正仿宋_GBK" w:cs="Times New Roman"/>
          <w:color w:val="000000" w:themeColor="text1"/>
          <w:sz w:val="32"/>
          <w:szCs w:val="32"/>
          <w14:textFill>
            <w14:solidFill>
              <w14:schemeClr w14:val="tx1"/>
            </w14:solidFill>
          </w14:textFill>
        </w:rPr>
        <w:t>%；上缴上级支出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%；经营支出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%；对附属单位补助支出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spacing w:line="600" w:lineRule="exact"/>
        <w:ind w:firstLine="640" w:firstLineChars="200"/>
        <w:outlineLvl w:val="1"/>
        <w:rPr>
          <w:color w:val="000000" w:themeColor="text1"/>
          <w14:textFill>
            <w14:solidFill>
              <w14:schemeClr w14:val="tx1"/>
            </w14:solidFill>
          </w14:textFill>
        </w:rPr>
      </w:pPr>
      <w:r>
        <w:rPr>
          <w:rFonts w:eastAsia="仿宋_GB2312"/>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954405</wp:posOffset>
            </wp:positionH>
            <wp:positionV relativeFrom="paragraph">
              <wp:posOffset>226695</wp:posOffset>
            </wp:positionV>
            <wp:extent cx="3213735" cy="2186940"/>
            <wp:effectExtent l="4445" t="4445" r="7620" b="5715"/>
            <wp:wrapSquare wrapText="bothSides"/>
            <wp:docPr id="8" name="图表 8" descr="7b0a202020202263686172745265734964223a202232303437323230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eastAsia="黑体"/>
          <w:color w:val="000000" w:themeColor="text1"/>
          <w:sz w:val="32"/>
          <w:szCs w:val="32"/>
          <w14:textFill>
            <w14:solidFill>
              <w14:schemeClr w14:val="tx1"/>
            </w14:solidFill>
          </w14:textFill>
        </w:rPr>
      </w:pPr>
      <w:bookmarkStart w:id="23" w:name="_Toc15377208"/>
      <w:bookmarkStart w:id="24" w:name="_Toc15396606"/>
    </w:p>
    <w:p>
      <w:pPr>
        <w:spacing w:line="600" w:lineRule="exact"/>
        <w:ind w:firstLine="640" w:firstLineChars="200"/>
        <w:rPr>
          <w:rFonts w:eastAsia="黑体"/>
          <w:color w:val="000000" w:themeColor="text1"/>
          <w:sz w:val="32"/>
          <w:szCs w:val="32"/>
          <w14:textFill>
            <w14:solidFill>
              <w14:schemeClr w14:val="tx1"/>
            </w14:solidFill>
          </w14:textFill>
        </w:rPr>
      </w:pPr>
    </w:p>
    <w:p>
      <w:pPr>
        <w:spacing w:line="600" w:lineRule="exact"/>
        <w:ind w:firstLine="640" w:firstLineChars="200"/>
        <w:rPr>
          <w:rFonts w:eastAsia="黑体"/>
          <w:color w:val="000000" w:themeColor="text1"/>
          <w:sz w:val="32"/>
          <w:szCs w:val="32"/>
          <w14:textFill>
            <w14:solidFill>
              <w14:schemeClr w14:val="tx1"/>
            </w14:solidFill>
          </w14:textFill>
        </w:rPr>
      </w:pPr>
    </w:p>
    <w:p>
      <w:pPr>
        <w:spacing w:line="600" w:lineRule="exact"/>
        <w:ind w:firstLine="640" w:firstLineChars="200"/>
        <w:rPr>
          <w:rFonts w:eastAsia="黑体"/>
          <w:color w:val="000000" w:themeColor="text1"/>
          <w:sz w:val="32"/>
          <w:szCs w:val="32"/>
          <w14:textFill>
            <w14:solidFill>
              <w14:schemeClr w14:val="tx1"/>
            </w14:solidFill>
          </w14:textFill>
        </w:rPr>
      </w:pPr>
    </w:p>
    <w:p>
      <w:pPr>
        <w:spacing w:line="600" w:lineRule="exact"/>
        <w:ind w:firstLine="640" w:firstLineChars="200"/>
        <w:rPr>
          <w:rFonts w:eastAsia="黑体"/>
          <w:color w:val="000000" w:themeColor="text1"/>
          <w:sz w:val="32"/>
          <w:szCs w:val="32"/>
          <w14:textFill>
            <w14:solidFill>
              <w14:schemeClr w14:val="tx1"/>
            </w14:solidFill>
          </w14:textFill>
        </w:rPr>
      </w:pPr>
    </w:p>
    <w:p>
      <w:pPr>
        <w:spacing w:line="600" w:lineRule="exact"/>
        <w:ind w:firstLine="640" w:firstLineChars="200"/>
        <w:rPr>
          <w:rFonts w:hint="eastAsia" w:ascii="方正黑体_GBK" w:hAnsi="方正黑体_GBK" w:eastAsia="方正黑体_GBK" w:cs="方正黑体_GBK"/>
          <w:b w:val="0"/>
          <w:bCs w:val="0"/>
          <w:color w:val="000000" w:themeColor="text1"/>
          <w:sz w:val="32"/>
          <w:szCs w:val="32"/>
          <w14:textFill>
            <w14:solidFill>
              <w14:schemeClr w14:val="tx1"/>
            </w14:solidFill>
          </w14:textFill>
        </w:rPr>
      </w:pPr>
    </w:p>
    <w:p>
      <w:pPr>
        <w:spacing w:line="600" w:lineRule="exact"/>
        <w:ind w:firstLine="640" w:firstLineChars="200"/>
        <w:rPr>
          <w:rStyle w:val="17"/>
          <w:rFonts w:hint="eastAsia" w:ascii="方正黑体_GBK" w:hAnsi="方正黑体_GBK" w:eastAsia="方正黑体_GBK" w:cs="方正黑体_GBK"/>
          <w:b w:val="0"/>
          <w:bCs w:val="0"/>
          <w:color w:val="000000" w:themeColor="text1"/>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四、财</w:t>
      </w:r>
      <w:r>
        <w:rPr>
          <w:rStyle w:val="17"/>
          <w:rFonts w:hint="eastAsia" w:ascii="方正黑体_GBK" w:hAnsi="方正黑体_GBK" w:eastAsia="方正黑体_GBK" w:cs="方正黑体_GBK"/>
          <w:b w:val="0"/>
          <w:bCs w:val="0"/>
          <w:color w:val="000000" w:themeColor="text1"/>
          <w14:textFill>
            <w14:solidFill>
              <w14:schemeClr w14:val="tx1"/>
            </w14:solidFill>
          </w14:textFill>
        </w:rPr>
        <w:t>政拨款收入支出决算总体情况说明</w:t>
      </w:r>
      <w:bookmarkEnd w:id="23"/>
      <w:bookmarkEnd w:id="2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年度财政拨款收、支总计均为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252.73</w:t>
      </w:r>
      <w:r>
        <w:rPr>
          <w:rFonts w:hint="default" w:ascii="Times New Roman" w:hAnsi="Times New Roman" w:eastAsia="方正仿宋_GBK" w:cs="Times New Roman"/>
          <w:color w:val="000000" w:themeColor="text1"/>
          <w:sz w:val="32"/>
          <w:szCs w:val="32"/>
          <w14:textFill>
            <w14:solidFill>
              <w14:schemeClr w14:val="tx1"/>
            </w14:solidFill>
          </w14:textFill>
        </w:rPr>
        <w:t>万元。与202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年度相比，财政拨款收、支总计各</w:t>
      </w:r>
      <w:r>
        <w:rPr>
          <w:rFonts w:hint="default" w:ascii="Times New Roman" w:hAnsi="Times New Roman" w:eastAsia="方正仿宋_GBK" w:cs="Times New Roman"/>
          <w:color w:val="auto"/>
          <w:sz w:val="32"/>
          <w:szCs w:val="32"/>
          <w:highlight w:val="none"/>
          <w:lang w:val="en-US" w:eastAsia="zh-CN"/>
        </w:rPr>
        <w:t>减少72.47</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val="en-US" w:eastAsia="zh-CN"/>
        </w:rPr>
        <w:t>下降22.28</w:t>
      </w:r>
      <w:r>
        <w:rPr>
          <w:rFonts w:hint="default" w:ascii="Times New Roman" w:hAnsi="Times New Roman" w:eastAsia="方正仿宋_GBK" w:cs="Times New Roman"/>
          <w:color w:val="auto"/>
          <w:sz w:val="32"/>
          <w:szCs w:val="32"/>
          <w:highlight w:val="none"/>
        </w:rPr>
        <w:t>%，主要原因是</w:t>
      </w:r>
      <w:r>
        <w:rPr>
          <w:rFonts w:hint="default" w:ascii="Times New Roman" w:hAnsi="Times New Roman" w:eastAsia="方正仿宋_GBK" w:cs="Times New Roman"/>
          <w:color w:val="auto"/>
          <w:sz w:val="32"/>
          <w:szCs w:val="32"/>
          <w:highlight w:val="none"/>
          <w:lang w:val="en-US" w:eastAsia="zh-CN"/>
        </w:rPr>
        <w:t>人员经费减少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Style w:val="17"/>
          <w:rFonts w:hint="eastAsia" w:ascii="方正黑体_GBK" w:hAnsi="方正黑体_GBK" w:eastAsia="方正黑体_GBK" w:cs="方正黑体_GBK"/>
          <w:b w:val="0"/>
          <w:bCs w:val="0"/>
          <w:color w:val="000000" w:themeColor="text1"/>
          <w14:textFill>
            <w14:solidFill>
              <w14:schemeClr w14:val="tx1"/>
            </w14:solidFill>
          </w14:textFill>
        </w:rPr>
      </w:pPr>
      <w:bookmarkStart w:id="25" w:name="_Toc15377209"/>
      <w:bookmarkStart w:id="26" w:name="_Toc15396607"/>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976630</wp:posOffset>
            </wp:positionH>
            <wp:positionV relativeFrom="paragraph">
              <wp:posOffset>94615</wp:posOffset>
            </wp:positionV>
            <wp:extent cx="3189605" cy="2217420"/>
            <wp:effectExtent l="5080" t="4445" r="5715" b="13335"/>
            <wp:wrapTopAndBottom/>
            <wp:docPr id="5" name="图表 5" descr="7b0a202020202263686172745265734964223a2022323034373231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五、一</w:t>
      </w:r>
      <w:r>
        <w:rPr>
          <w:rStyle w:val="17"/>
          <w:rFonts w:hint="eastAsia" w:ascii="方正黑体_GBK" w:hAnsi="方正黑体_GBK" w:eastAsia="方正黑体_GBK" w:cs="方正黑体_GBK"/>
          <w:b w:val="0"/>
          <w:bCs w:val="0"/>
          <w:color w:val="000000" w:themeColor="text1"/>
          <w14:textFill>
            <w14:solidFill>
              <w14:schemeClr w14:val="tx1"/>
            </w14:solidFill>
          </w14:textFill>
        </w:rPr>
        <w:t>般公共预算财政拨款支出决算情况说明</w:t>
      </w:r>
      <w:bookmarkEnd w:id="25"/>
      <w:bookmarkEnd w:id="26"/>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方正楷体_GBK" w:hAnsi="方正楷体_GBK" w:eastAsia="方正楷体_GBK" w:cs="方正楷体_GBK"/>
          <w:b/>
          <w:bCs w:val="0"/>
          <w:color w:val="000000" w:themeColor="text1"/>
          <w:sz w:val="32"/>
          <w:szCs w:val="32"/>
          <w14:textFill>
            <w14:solidFill>
              <w14:schemeClr w14:val="tx1"/>
            </w14:solidFill>
          </w14:textFill>
        </w:rPr>
      </w:pPr>
      <w:bookmarkStart w:id="27" w:name="_Toc15377210"/>
      <w:r>
        <w:rPr>
          <w:rFonts w:hint="eastAsia" w:ascii="方正楷体_GBK" w:hAnsi="方正楷体_GBK" w:eastAsia="方正楷体_GBK" w:cs="方正楷体_GBK"/>
          <w:b/>
          <w:bCs w:val="0"/>
          <w:color w:val="000000" w:themeColor="text1"/>
          <w:sz w:val="32"/>
          <w:szCs w:val="32"/>
          <w14:textFill>
            <w14:solidFill>
              <w14:schemeClr w14:val="tx1"/>
            </w14:solidFill>
          </w14:textFill>
        </w:rPr>
        <w:t>（一）一般公共预算财政拨款支出决算总体情况</w:t>
      </w:r>
      <w:bookmarkEnd w:id="2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eastAsia="仿宋"/>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599440</wp:posOffset>
            </wp:positionH>
            <wp:positionV relativeFrom="paragraph">
              <wp:posOffset>1196975</wp:posOffset>
            </wp:positionV>
            <wp:extent cx="4716780" cy="2600960"/>
            <wp:effectExtent l="4445" t="4445" r="15875" b="10795"/>
            <wp:wrapTopAndBottom/>
            <wp:docPr id="9" name="图表 9" descr="7b0a202020202263686172745265734964223a202232303437323139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年度一般公共预</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算财政拨款支出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252.73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万元，占本年支出合计的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%。与202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年度相比，一般公共预算财政拨款支出</w:t>
      </w:r>
      <w:r>
        <w:rPr>
          <w:rFonts w:hint="default" w:ascii="Times New Roman" w:hAnsi="Times New Roman" w:eastAsia="方正仿宋_GBK" w:cs="Times New Roman"/>
          <w:color w:val="auto"/>
          <w:sz w:val="32"/>
          <w:szCs w:val="32"/>
          <w:highlight w:val="none"/>
          <w:lang w:val="en-US" w:eastAsia="zh-CN"/>
        </w:rPr>
        <w:t>减少72.47</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lang w:val="en-US" w:eastAsia="zh-CN"/>
        </w:rPr>
        <w:t>下降22.28</w:t>
      </w:r>
      <w:r>
        <w:rPr>
          <w:rFonts w:hint="default" w:ascii="Times New Roman" w:hAnsi="Times New Roman" w:eastAsia="方正仿宋_GBK" w:cs="Times New Roman"/>
          <w:color w:val="auto"/>
          <w:sz w:val="32"/>
          <w:szCs w:val="32"/>
          <w:highlight w:val="none"/>
        </w:rPr>
        <w:t>%，主要原因是</w:t>
      </w:r>
      <w:r>
        <w:rPr>
          <w:rFonts w:hint="default" w:ascii="Times New Roman" w:hAnsi="Times New Roman" w:eastAsia="方正仿宋_GBK" w:cs="Times New Roman"/>
          <w:color w:val="auto"/>
          <w:sz w:val="32"/>
          <w:szCs w:val="32"/>
          <w:highlight w:val="none"/>
          <w:lang w:val="en-US" w:eastAsia="zh-CN"/>
        </w:rPr>
        <w:t>人员经费减少</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方正楷体_GBK" w:hAnsi="方正楷体_GBK" w:eastAsia="方正楷体_GBK" w:cs="方正楷体_GBK"/>
          <w:b/>
          <w:bCs w:val="0"/>
          <w:color w:val="000000" w:themeColor="text1"/>
          <w:sz w:val="32"/>
          <w:szCs w:val="32"/>
          <w14:textFill>
            <w14:solidFill>
              <w14:schemeClr w14:val="tx1"/>
            </w14:solidFill>
          </w14:textFill>
        </w:rPr>
      </w:pPr>
      <w:bookmarkStart w:id="28" w:name="_Toc15377211"/>
      <w:r>
        <w:rPr>
          <w:rFonts w:hint="eastAsia" w:ascii="方正楷体_GBK" w:hAnsi="方正楷体_GBK" w:eastAsia="方正楷体_GBK" w:cs="方正楷体_GBK"/>
          <w:b/>
          <w:bCs w:val="0"/>
          <w:color w:val="000000" w:themeColor="text1"/>
          <w:sz w:val="32"/>
          <w:szCs w:val="32"/>
          <w14:textFill>
            <w14:solidFill>
              <w14:schemeClr w14:val="tx1"/>
            </w14:solidFill>
          </w14:textFill>
        </w:rPr>
        <w:t>（二）一般公共预算财政拨款支出决算结构情况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年度一般公共预算财政拨款支出</w:t>
      </w:r>
      <w:r>
        <w:rPr>
          <w:rFonts w:hint="eastAsia" w:ascii="Times New Roman" w:hAnsi="Times New Roman" w:eastAsia="方正仿宋_GBK" w:cs="Times New Roman"/>
          <w:color w:val="auto"/>
          <w:sz w:val="32"/>
          <w:szCs w:val="32"/>
          <w:lang w:val="en-US" w:eastAsia="zh-CN"/>
        </w:rPr>
        <w:t>252.73</w:t>
      </w:r>
      <w:r>
        <w:rPr>
          <w:rFonts w:hint="default" w:ascii="Times New Roman" w:hAnsi="Times New Roman" w:eastAsia="方正仿宋_GBK" w:cs="Times New Roman"/>
          <w:color w:val="000000" w:themeColor="text1"/>
          <w:sz w:val="32"/>
          <w:szCs w:val="32"/>
          <w14:textFill>
            <w14:solidFill>
              <w14:schemeClr w14:val="tx1"/>
            </w14:solidFill>
          </w14:textFill>
        </w:rPr>
        <w:t>万元，主要用于以下方面:</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一般公共服务支出</w:t>
      </w:r>
      <w:r>
        <w:rPr>
          <w:rFonts w:hint="eastAsia"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eastAsia"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教育支出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科学技术支出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文化旅游体育与传媒支出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社会保障和就业支出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19.3</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7.64</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卫生健康支出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215.77</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85.37</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住房保障支出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17.67</w:t>
      </w:r>
      <w:r>
        <w:rPr>
          <w:rFonts w:hint="default" w:ascii="Times New Roman" w:hAnsi="Times New Roman" w:eastAsia="方正仿宋_GBK" w:cs="Times New Roman"/>
          <w:color w:val="000000" w:themeColor="text1"/>
          <w:sz w:val="32"/>
          <w:szCs w:val="32"/>
          <w14:textFill>
            <w14:solidFill>
              <w14:schemeClr w14:val="tx1"/>
            </w14:solidFill>
          </w14:textFill>
        </w:rPr>
        <w:t>万元，占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6.99</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方正楷体_GBK" w:hAnsi="方正楷体_GBK" w:eastAsia="方正楷体_GBK" w:cs="方正楷体_GBK"/>
          <w:b/>
          <w:color w:val="000000" w:themeColor="text1"/>
          <w:sz w:val="32"/>
          <w:szCs w:val="32"/>
          <w14:textFill>
            <w14:solidFill>
              <w14:schemeClr w14:val="tx1"/>
            </w14:solidFill>
          </w14:textFill>
        </w:rPr>
      </w:pPr>
      <w:r>
        <w:rPr>
          <w:rFonts w:hint="default" w:ascii="Times New Roman" w:hAnsi="Times New Roman" w:eastAsia="仿宋_GB2312" w:cs="Times New Roman"/>
          <w:b w:val="0"/>
          <w:bCs w:val="0"/>
          <w:sz w:val="32"/>
          <w:szCs w:val="32"/>
        </w:rPr>
        <w:pict>
          <v:shape id="Object 17" o:spid="_x0000_s1027" o:spt="75" type="#_x0000_t75" style="position:absolute;left:0pt;margin-left:15.2pt;margin-top:9.65pt;height:264.8pt;width:415.8pt;mso-wrap-distance-bottom:0pt;mso-wrap-distance-left:9pt;mso-wrap-distance-right:9pt;mso-wrap-distance-top:0pt;z-index:251662336;mso-width-relative:page;mso-height-relative:page;" o:ole="t" filled="f" o:preferrelative="t" stroked="f" coordsize="21600,21600">
            <v:path/>
            <v:fill on="f" focussize="0,0"/>
            <v:stroke on="f"/>
            <v:imagedata r:id="rId14" o:title=""/>
            <o:lock v:ext="edit" aspectratio="t"/>
            <w10:wrap type="square"/>
          </v:shape>
          <o:OLEObject Type="Embed" ProgID="Excel.Chart.8" ShapeID="Object 17" DrawAspect="Content" ObjectID="_1468075725" r:id="rId13">
            <o:LockedField>false</o:LockedField>
          </o:OLEObject>
        </w:pict>
      </w:r>
      <w:bookmarkStart w:id="29" w:name="_Toc15377212"/>
      <w:r>
        <w:rPr>
          <w:rFonts w:hint="eastAsia" w:ascii="方正楷体_GBK" w:hAnsi="方正楷体_GBK" w:eastAsia="方正楷体_GBK" w:cs="方正楷体_GBK"/>
          <w:b/>
          <w:color w:val="000000" w:themeColor="text1"/>
          <w:sz w:val="32"/>
          <w:szCs w:val="32"/>
          <w14:textFill>
            <w14:solidFill>
              <w14:schemeClr w14:val="tx1"/>
            </w14:solidFill>
          </w14:textFill>
        </w:rPr>
        <w:t>（三）一般公共预算财政拨款支出决算具体情况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bookmarkStart w:id="30" w:name="_Toc15377444"/>
      <w:bookmarkStart w:id="31" w:name="_Toc15378460"/>
      <w:bookmarkStart w:id="32" w:name="_Toc15377213"/>
      <w:r>
        <w:rPr>
          <w:rFonts w:hint="default" w:ascii="Times New Roman" w:hAnsi="Times New Roman" w:eastAsia="方正仿宋_GBK" w:cs="Times New Roman"/>
          <w:b/>
          <w:bCs w:val="0"/>
          <w:color w:val="000000" w:themeColor="text1"/>
          <w:sz w:val="32"/>
          <w:szCs w:val="32"/>
          <w14:textFill>
            <w14:solidFill>
              <w14:schemeClr w14:val="tx1"/>
            </w14:solidFill>
          </w14:textFill>
        </w:rPr>
        <w:t>202</w:t>
      </w:r>
      <w:r>
        <w:rPr>
          <w:rFonts w:hint="eastAsia" w:ascii="Times New Roman" w:hAnsi="Times New Roman" w:eastAsia="方正仿宋_GBK" w:cs="Times New Roman"/>
          <w:b/>
          <w:bCs w:val="0"/>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bCs w:val="0"/>
          <w:color w:val="000000" w:themeColor="text1"/>
          <w:sz w:val="32"/>
          <w:szCs w:val="32"/>
          <w14:textFill>
            <w14:solidFill>
              <w14:schemeClr w14:val="tx1"/>
            </w14:solidFill>
          </w14:textFill>
        </w:rPr>
        <w:t>年一般公共预算支出决算数为</w:t>
      </w:r>
      <w:r>
        <w:rPr>
          <w:rFonts w:hint="eastAsia" w:ascii="Times New Roman" w:hAnsi="Times New Roman" w:eastAsia="方正仿宋_GBK" w:cs="Times New Roman"/>
          <w:b/>
          <w:bCs w:val="0"/>
          <w:color w:val="000000" w:themeColor="text1"/>
          <w:sz w:val="32"/>
          <w:szCs w:val="32"/>
          <w:lang w:val="en-US" w:eastAsia="zh-CN"/>
          <w14:textFill>
            <w14:solidFill>
              <w14:schemeClr w14:val="tx1"/>
            </w14:solidFill>
          </w14:textFill>
        </w:rPr>
        <w:t>252.73</w:t>
      </w:r>
      <w:r>
        <w:rPr>
          <w:rFonts w:hint="default" w:ascii="Times New Roman" w:hAnsi="Times New Roman" w:eastAsia="方正仿宋_GBK" w:cs="Times New Roman"/>
          <w:b/>
          <w:bCs w:val="0"/>
          <w:color w:val="000000" w:themeColor="text1"/>
          <w:sz w:val="32"/>
          <w:szCs w:val="32"/>
          <w14:textFill>
            <w14:solidFill>
              <w14:schemeClr w14:val="tx1"/>
            </w14:solidFill>
          </w14:textFill>
        </w:rPr>
        <w:t>万元，</w:t>
      </w:r>
      <w:r>
        <w:rPr>
          <w:rStyle w:val="15"/>
          <w:rFonts w:hint="default" w:ascii="Times New Roman" w:hAnsi="Times New Roman" w:eastAsia="方正仿宋_GBK" w:cs="Times New Roman"/>
          <w:b/>
          <w:bCs w:val="0"/>
          <w:color w:val="000000" w:themeColor="text1"/>
          <w:sz w:val="32"/>
          <w:szCs w:val="32"/>
          <w14:textFill>
            <w14:solidFill>
              <w14:schemeClr w14:val="tx1"/>
            </w14:solidFill>
          </w14:textFill>
        </w:rPr>
        <w:t>完成预算100%。其中：</w:t>
      </w:r>
      <w:bookmarkEnd w:id="30"/>
      <w:bookmarkEnd w:id="31"/>
      <w:bookmarkEnd w:id="32"/>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Style w:val="15"/>
          <w:rFonts w:hint="default" w:ascii="Times New Roman" w:hAnsi="Times New Roman" w:eastAsia="方正仿宋_GBK" w:cs="Times New Roman"/>
          <w:bCs/>
          <w:color w:val="000000" w:themeColor="text1"/>
          <w:sz w:val="32"/>
          <w:szCs w:val="32"/>
          <w14:textFill>
            <w14:solidFill>
              <w14:schemeClr w14:val="tx1"/>
            </w14:solidFill>
          </w14:textFill>
        </w:rPr>
      </w:pPr>
      <w:r>
        <w:rPr>
          <w:rStyle w:val="15"/>
          <w:rFonts w:hint="default" w:ascii="Times New Roman" w:hAnsi="Times New Roman" w:eastAsia="方正仿宋_GBK" w:cs="Times New Roman"/>
          <w:b/>
          <w:bCs/>
          <w:color w:val="000000" w:themeColor="text1"/>
          <w:sz w:val="32"/>
          <w:szCs w:val="32"/>
          <w14:textFill>
            <w14:solidFill>
              <w14:schemeClr w14:val="tx1"/>
            </w14:solidFill>
          </w14:textFill>
        </w:rPr>
        <w:t>1.社</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会保障和就业（类）行政事业单位养老支出（款）机关事业单位基本养老保险缴费支出（项）：</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19.3</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（类）公共卫生（款）妇幼保健机构（项）</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164.72</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（类）公共卫生（款）基本公共卫生服务</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10.14</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（类）公共卫生（款）重大公共卫生服务</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7.99</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（类）公共卫生（款）其他公共卫生支出</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9.25</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（类）计划生育事务（款）计划生育服务</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4.39</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（类）行政事业单位医疗（款）事业单位医疗</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卫生健康支出</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（类）行政事业单位医疗（款）其他行政事业单位医疗支出</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项</w:t>
      </w:r>
      <w:r>
        <w:rPr>
          <w:rStyle w:val="15"/>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仿宋_GBK" w:cs="Times New Roman"/>
          <w:b/>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住房保障支出（类）住房改革支出（款）住房公积金（项）</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支出决算为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17.67</w:t>
      </w:r>
      <w:r>
        <w:rPr>
          <w:rFonts w:hint="default" w:ascii="Times New Roman" w:hAnsi="Times New Roman" w:eastAsia="方正仿宋_GBK" w:cs="Times New Roman"/>
          <w:color w:val="000000" w:themeColor="text1"/>
          <w:sz w:val="32"/>
          <w:szCs w:val="32"/>
          <w14:textFill>
            <w14:solidFill>
              <w14:schemeClr w14:val="tx1"/>
            </w14:solidFill>
          </w14:textFill>
        </w:rPr>
        <w:t>万元，完成预算100%，</w:t>
      </w:r>
      <w:r>
        <w:rPr>
          <w:rStyle w:val="15"/>
          <w:rFonts w:hint="default" w:ascii="Times New Roman" w:hAnsi="Times New Roman" w:eastAsia="方正仿宋_GBK" w:cs="Times New Roman"/>
          <w:bCs/>
          <w:color w:val="000000" w:themeColor="text1"/>
          <w:sz w:val="32"/>
          <w:szCs w:val="32"/>
          <w14:textFill>
            <w14:solidFill>
              <w14:schemeClr w14:val="tx1"/>
            </w14:solidFill>
          </w14:textFill>
        </w:rPr>
        <w:t>决算数等于预算数。</w:t>
      </w:r>
    </w:p>
    <w:p>
      <w:pPr>
        <w:tabs>
          <w:tab w:val="right" w:pos="8306"/>
        </w:tabs>
        <w:spacing w:line="600" w:lineRule="exact"/>
        <w:ind w:firstLine="640"/>
        <w:outlineLvl w:val="1"/>
        <w:rPr>
          <w:rStyle w:val="17"/>
          <w:color w:val="000000" w:themeColor="text1"/>
          <w14:textFill>
            <w14:solidFill>
              <w14:schemeClr w14:val="tx1"/>
            </w14:solidFill>
          </w14:textFill>
        </w:rPr>
      </w:pPr>
      <w:bookmarkStart w:id="33" w:name="_Toc15396608"/>
      <w:bookmarkStart w:id="34" w:name="_Toc15377214"/>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六、一</w:t>
      </w:r>
      <w:r>
        <w:rPr>
          <w:rStyle w:val="17"/>
          <w:rFonts w:hint="eastAsia" w:ascii="方正黑体_GBK" w:hAnsi="方正黑体_GBK" w:eastAsia="方正黑体_GBK" w:cs="方正黑体_GBK"/>
          <w:b w:val="0"/>
          <w:bCs w:val="0"/>
          <w:color w:val="000000" w:themeColor="text1"/>
          <w14:textFill>
            <w14:solidFill>
              <w14:schemeClr w14:val="tx1"/>
            </w14:solidFill>
          </w14:textFill>
        </w:rPr>
        <w:t>般公共预算财政拨款基本支出决算情况说明</w:t>
      </w:r>
      <w:bookmarkEnd w:id="33"/>
      <w:bookmarkEnd w:id="34"/>
      <w:r>
        <w:rPr>
          <w:rStyle w:val="17"/>
          <w:rFonts w:hint="eastAsia" w:ascii="方正黑体_GBK" w:hAnsi="方正黑体_GBK" w:eastAsia="方正黑体_GBK" w:cs="方正黑体_GBK"/>
          <w:b w:val="0"/>
          <w:bCs w:val="0"/>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240" w:lineRule="auto"/>
        <w:ind w:firstLine="645"/>
        <w:textAlignment w:val="auto"/>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度</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一般公共预算财政拨款基本支出</w:t>
      </w:r>
      <w:r>
        <w:rPr>
          <w:rFonts w:hint="eastAsia" w:eastAsia="方正仿宋_GBK" w:cs="Times New Roman"/>
          <w:b w:val="0"/>
          <w:bCs w:val="0"/>
          <w:color w:val="000000" w:themeColor="text1"/>
          <w:sz w:val="32"/>
          <w:szCs w:val="32"/>
          <w:lang w:val="en-US" w:eastAsia="zh-CN"/>
          <w14:textFill>
            <w14:solidFill>
              <w14:schemeClr w14:val="tx1"/>
            </w14:solidFill>
          </w14:textFill>
        </w:rPr>
        <w:t>203.33</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val="0"/>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人员经费</w:t>
      </w:r>
      <w:r>
        <w:rPr>
          <w:rFonts w:hint="eastAsia" w:eastAsia="方正仿宋_GBK" w:cs="Times New Roman"/>
          <w:b w:val="0"/>
          <w:bCs w:val="0"/>
          <w:color w:val="000000" w:themeColor="text1"/>
          <w:sz w:val="32"/>
          <w:szCs w:val="32"/>
          <w:highlight w:val="none"/>
          <w:lang w:val="en-US" w:eastAsia="zh-CN"/>
          <w14:textFill>
            <w14:solidFill>
              <w14:schemeClr w14:val="tx1"/>
            </w14:solidFill>
          </w14:textFill>
        </w:rPr>
        <w:t>195.77</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等。</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br w:type="textWrapping"/>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公用经费</w:t>
      </w:r>
      <w:r>
        <w:rPr>
          <w:rFonts w:hint="eastAsia" w:eastAsia="方正仿宋_GBK" w:cs="Times New Roman"/>
          <w:b w:val="0"/>
          <w:bCs w:val="0"/>
          <w:color w:val="auto"/>
          <w:sz w:val="32"/>
          <w:szCs w:val="32"/>
          <w:highlight w:val="none"/>
          <w:lang w:val="en-US" w:eastAsia="zh-CN"/>
        </w:rPr>
        <w:t>7.56</w:t>
      </w:r>
      <w:r>
        <w:rPr>
          <w:rFonts w:hint="default" w:ascii="Times New Roman" w:hAnsi="Times New Roman" w:eastAsia="方正仿宋_GBK" w:cs="Times New Roman"/>
          <w:b w:val="0"/>
          <w:bCs w:val="0"/>
          <w:color w:val="auto"/>
          <w:sz w:val="32"/>
          <w:szCs w:val="32"/>
          <w:highlight w:val="none"/>
        </w:rPr>
        <w:t>万</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元，主要包括：</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7"/>
          <w:rFonts w:hint="eastAsia" w:ascii="方正黑体_GBK" w:hAnsi="方正黑体_GBK" w:eastAsia="方正黑体_GBK" w:cs="方正黑体_GBK"/>
          <w:b w:val="0"/>
          <w:bCs w:val="0"/>
          <w:color w:val="000000" w:themeColor="text1"/>
          <w14:textFill>
            <w14:solidFill>
              <w14:schemeClr w14:val="tx1"/>
            </w14:solidFill>
          </w14:textFill>
        </w:rPr>
      </w:pPr>
      <w:bookmarkStart w:id="35" w:name="_Toc15396609"/>
      <w:bookmarkStart w:id="36" w:name="_Toc15377215"/>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七、</w:t>
      </w:r>
      <w:r>
        <w:rPr>
          <w:rStyle w:val="17"/>
          <w:rFonts w:hint="eastAsia" w:ascii="方正黑体_GBK" w:hAnsi="方正黑体_GBK" w:eastAsia="方正黑体_GBK" w:cs="方正黑体_GBK"/>
          <w:b w:val="0"/>
          <w:bCs w:val="0"/>
          <w:color w:val="000000" w:themeColor="text1"/>
          <w14:textFill>
            <w14:solidFill>
              <w14:schemeClr w14:val="tx1"/>
            </w14:solidFill>
          </w14:textFill>
        </w:rPr>
        <w:t>财政拨款“三公”经费支出决算情况说明</w:t>
      </w:r>
      <w:bookmarkEnd w:id="35"/>
      <w:bookmarkEnd w:id="36"/>
    </w:p>
    <w:p>
      <w:pPr>
        <w:spacing w:line="600" w:lineRule="exact"/>
        <w:ind w:firstLine="640"/>
        <w:outlineLvl w:val="2"/>
        <w:rPr>
          <w:rFonts w:hint="eastAsia" w:ascii="方正楷体_GBK" w:hAnsi="方正楷体_GBK" w:eastAsia="方正楷体_GBK" w:cs="方正楷体_GBK"/>
          <w:b/>
          <w:bCs w:val="0"/>
          <w:color w:val="000000" w:themeColor="text1"/>
          <w:sz w:val="32"/>
          <w:szCs w:val="32"/>
          <w14:textFill>
            <w14:solidFill>
              <w14:schemeClr w14:val="tx1"/>
            </w14:solidFill>
          </w14:textFill>
        </w:rPr>
      </w:pPr>
      <w:bookmarkStart w:id="37" w:name="_Toc15377216"/>
      <w:r>
        <w:rPr>
          <w:rFonts w:hint="eastAsia" w:ascii="方正楷体_GBK" w:hAnsi="方正楷体_GBK" w:eastAsia="方正楷体_GBK" w:cs="方正楷体_GBK"/>
          <w:b/>
          <w:bCs w:val="0"/>
          <w:color w:val="000000" w:themeColor="text1"/>
          <w:sz w:val="32"/>
          <w:szCs w:val="32"/>
          <w14:textFill>
            <w14:solidFill>
              <w14:schemeClr w14:val="tx1"/>
            </w14:solidFill>
          </w14:textFill>
        </w:rPr>
        <w:t>（一）“三公”经费财政拨款支出决算总体情况说明</w:t>
      </w:r>
      <w:bookmarkEnd w:id="37"/>
    </w:p>
    <w:p>
      <w:pPr>
        <w:spacing w:line="600" w:lineRule="exact"/>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“三公”经费财政拨款支出决算为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0.67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万元，完成预算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较上年度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减少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1.11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万元，下降</w:t>
      </w:r>
      <w:r>
        <w:rPr>
          <w:rFonts w:hint="default" w:ascii="Times New Roman" w:hAnsi="Times New Roman" w:eastAsia="仿宋_GB2312" w:cs="Times New Roman"/>
          <w:color w:val="auto"/>
          <w:sz w:val="32"/>
          <w:szCs w:val="32"/>
          <w:lang w:val="en-US" w:eastAsia="zh-CN"/>
        </w:rPr>
        <w:t>62.45%</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决算数与预算数持平。</w:t>
      </w:r>
    </w:p>
    <w:p>
      <w:pPr>
        <w:spacing w:line="600" w:lineRule="exact"/>
        <w:ind w:firstLine="640"/>
        <w:outlineLvl w:val="2"/>
        <w:rPr>
          <w:rFonts w:hint="eastAsia" w:ascii="方正楷体_GBK" w:hAnsi="方正楷体_GBK" w:eastAsia="方正楷体_GBK" w:cs="方正楷体_GBK"/>
          <w:b/>
          <w:bCs w:val="0"/>
          <w:color w:val="000000" w:themeColor="text1"/>
          <w:sz w:val="32"/>
          <w:szCs w:val="32"/>
          <w14:textFill>
            <w14:solidFill>
              <w14:schemeClr w14:val="tx1"/>
            </w14:solidFill>
          </w14:textFill>
        </w:rPr>
      </w:pPr>
      <w:bookmarkStart w:id="38" w:name="_Toc15377217"/>
      <w:r>
        <w:rPr>
          <w:rFonts w:hint="eastAsia" w:ascii="方正楷体_GBK" w:hAnsi="方正楷体_GBK" w:eastAsia="方正楷体_GBK" w:cs="方正楷体_GBK"/>
          <w:b/>
          <w:bCs w:val="0"/>
          <w:color w:val="000000" w:themeColor="text1"/>
          <w:sz w:val="32"/>
          <w:szCs w:val="32"/>
          <w14:textFill>
            <w14:solidFill>
              <w14:schemeClr w14:val="tx1"/>
            </w14:solidFill>
          </w14:textFill>
        </w:rPr>
        <w:t>（二）“三公”经费财政拨款支出决算具体情况说明</w:t>
      </w:r>
      <w:bookmarkEnd w:id="38"/>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“三公”经费财政拨款支出决算中，因公出国（境）费支出决算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万元，占</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%；公务用车购置及运行维护费支出决算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0.67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万元，占</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%；公务接待费支出决算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万元，占</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color w:val="000000" w:themeColor="text1"/>
          <w:sz w:val="32"/>
          <w:szCs w:val="32"/>
          <w:lang w:val="en-US"/>
          <w14:textFill>
            <w14:solidFill>
              <w14:schemeClr w14:val="tx1"/>
            </w14:solidFill>
          </w14:textFill>
        </w:rPr>
      </w:pPr>
      <w:r>
        <w:rPr>
          <w:rFonts w:hint="default" w:ascii="Times New Roman" w:hAnsi="Times New Roman" w:eastAsia="方正仿宋_GBK" w:cs="Times New Roman"/>
          <w:b/>
          <w:bCs w:val="0"/>
          <w:color w:val="000000" w:themeColor="text1"/>
          <w:sz w:val="32"/>
          <w:szCs w:val="32"/>
          <w:highlight w:val="none"/>
          <w14:textFill>
            <w14:solidFill>
              <w14:schemeClr w14:val="tx1"/>
            </w14:solidFill>
          </w14:textFill>
        </w:rPr>
        <w:t>1.因公出国（境）经费支出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完成预算</w:t>
      </w:r>
      <w:r>
        <w:rPr>
          <w:rStyle w:val="15"/>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0</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全年安排因公出国（境）团组</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次，出国（境）</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人。因公出国（境）支出决算比</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持平。</w:t>
      </w:r>
    </w:p>
    <w:p>
      <w:pPr>
        <w:keepNext w:val="0"/>
        <w:keepLines w:val="0"/>
        <w:pageBreakBefore w:val="0"/>
        <w:widowControl w:val="0"/>
        <w:kinsoku/>
        <w:wordWrap/>
        <w:overflowPunct/>
        <w:topLinePunct w:val="0"/>
        <w:autoSpaceDE/>
        <w:autoSpaceDN/>
        <w:bidi w:val="0"/>
        <w:adjustRightInd/>
        <w:snapToGrid/>
        <w:spacing w:beforeAutospacing="0" w:afterAutospacing="0" w:line="353" w:lineRule="auto"/>
        <w:ind w:left="0" w:leftChars="0" w:firstLine="643" w:firstLineChars="200"/>
        <w:jc w:val="both"/>
        <w:textAlignment w:val="auto"/>
        <w:rPr>
          <w:rFonts w:hint="default" w:ascii="Times New Roman" w:hAnsi="Times New Roman" w:eastAsia="方正仿宋_GBK" w:cs="Times New Roman"/>
          <w:b/>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val="0"/>
          <w:color w:val="000000" w:themeColor="text1"/>
          <w:sz w:val="32"/>
          <w:szCs w:val="32"/>
          <w:highlight w:val="none"/>
          <w14:textFill>
            <w14:solidFill>
              <w14:schemeClr w14:val="tx1"/>
            </w14:solidFill>
          </w14:textFill>
        </w:rPr>
        <w:t>2.公务用车购置及运行维护费支出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0.67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完成预算</w:t>
      </w:r>
      <w:r>
        <w:rPr>
          <w:rStyle w:val="15"/>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100</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公务用车购置及运行维护费支出决算比</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度</w:t>
      </w:r>
      <w:r>
        <w:rPr>
          <w:rFonts w:hint="default" w:ascii="Times New Roman" w:hAnsi="Times New Roman" w:eastAsia="方正仿宋_GBK" w:cs="Times New Roman"/>
          <w:color w:val="auto"/>
          <w:sz w:val="32"/>
          <w:szCs w:val="32"/>
          <w:lang w:val="en-US" w:eastAsia="zh-CN"/>
        </w:rPr>
        <w:t>减少1.11万元，下降62.45%。主要原因是</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24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公务用车运行维护费减少。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其中：</w:t>
      </w: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公务用车购置支出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万元。全年按规定更新购置公务用车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辆，其中：轿车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辆、金额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万元，越野车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辆、金额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万元，载客汽车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辆、金额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万元。截至</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年12月</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31日</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，单位共有公务用车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辆，其中：轿车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辆、越野车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辆、载客汽车</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辆。</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公务用车运行维护费支出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0.67</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万元。主要用于</w:t>
      </w:r>
      <w:r>
        <w:rPr>
          <w:rFonts w:hint="default" w:ascii="Times New Roman" w:hAnsi="Times New Roman" w:eastAsia="方正仿宋_GBK" w:cs="Times New Roman"/>
          <w:color w:val="000000" w:themeColor="text1"/>
          <w:sz w:val="32"/>
          <w:szCs w:val="32"/>
          <w14:textFill>
            <w14:solidFill>
              <w14:schemeClr w14:val="tx1"/>
            </w14:solidFill>
          </w14:textFill>
        </w:rPr>
        <w:t>开展相关业务工作及公共卫生服务项目质控等所需的公务用车燃料费、维修费、过路过桥费、保险费等支出。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3.公务接待费支出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完成预算</w:t>
      </w:r>
      <w:r>
        <w:rPr>
          <w:rStyle w:val="15"/>
          <w:rFonts w:hint="default" w:ascii="Times New Roman" w:hAnsi="Times New Roman" w:eastAsia="方正仿宋_GBK" w:cs="Times New Roman"/>
          <w:b w:val="0"/>
          <w:bCs/>
          <w:color w:val="000000" w:themeColor="text1"/>
          <w:sz w:val="32"/>
          <w:szCs w:val="32"/>
          <w:highlight w:val="none"/>
          <w:lang w:val="en-US" w:eastAsia="zh-CN"/>
          <w14:textFill>
            <w14:solidFill>
              <w14:schemeClr w14:val="tx1"/>
            </w14:solidFill>
          </w14:textFill>
        </w:rPr>
        <w:t>0</w:t>
      </w:r>
      <w:r>
        <w:rPr>
          <w:rStyle w:val="15"/>
          <w:rFonts w:hint="default" w:ascii="Times New Roman" w:hAnsi="Times New Roman" w:eastAsia="方正仿宋_GBK" w:cs="Times New Roman"/>
          <w:b w:val="0"/>
          <w:bCs/>
          <w:color w:val="000000" w:themeColor="text1"/>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公务接待费支出决算</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与</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w:t>
      </w:r>
      <w:r>
        <w:rPr>
          <w:rFonts w:hint="default" w:ascii="Times New Roman" w:hAnsi="Times New Roman" w:eastAsia="方正仿宋_GBK" w:cs="Times New Roman"/>
          <w:color w:val="000000" w:themeColor="text1"/>
          <w:sz w:val="32"/>
          <w:szCs w:val="32"/>
          <w14:textFill>
            <w14:solidFill>
              <w14:schemeClr w14:val="tx1"/>
            </w14:solidFill>
          </w14:textFill>
        </w:rPr>
        <w:t>持平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国内公务接待支出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万元。国内公务接待</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批次，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人次（不包括陪同人员），共计支出万元。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color w:val="000000" w:themeColor="text1"/>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外事接待支出</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外事接待</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批次，</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次（不包括陪同人员）</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，共计支出</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万元。</w:t>
      </w:r>
      <w:bookmarkStart w:id="39" w:name="_Toc15377218"/>
      <w:bookmarkStart w:id="40" w:name="_Toc1539661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17"/>
          <w:rFonts w:hint="eastAsia" w:ascii="方正黑体_GBK" w:hAnsi="方正黑体_GBK" w:eastAsia="方正黑体_GBK" w:cs="方正黑体_GBK"/>
          <w:b w:val="0"/>
          <w:bCs w:val="0"/>
        </w:rPr>
      </w:pPr>
      <w:r>
        <w:rPr>
          <w:rStyle w:val="17"/>
          <w:rFonts w:hint="eastAsia" w:ascii="方正黑体_GBK" w:hAnsi="方正黑体_GBK" w:eastAsia="方正黑体_GBK" w:cs="方正黑体_GBK"/>
          <w:b w:val="0"/>
          <w:bCs w:val="0"/>
        </w:rPr>
        <w:t>八、政府性基金预算支出决算情况说明</w:t>
      </w:r>
      <w:bookmarkEnd w:id="39"/>
      <w:bookmarkEnd w:id="40"/>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bookmarkStart w:id="41" w:name="_Toc15396612"/>
      <w:bookmarkStart w:id="42" w:name="_Toc15377221"/>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政府性基金预算</w:t>
      </w:r>
      <w:r>
        <w:rPr>
          <w:rFonts w:hint="default" w:ascii="Times New Roman" w:hAnsi="Times New Roman" w:eastAsia="方正仿宋_GBK" w:cs="Times New Roman"/>
          <w:color w:val="auto"/>
          <w:sz w:val="32"/>
          <w:szCs w:val="32"/>
          <w:highlight w:val="none"/>
          <w:lang w:eastAsia="zh-CN"/>
        </w:rPr>
        <w:t>财政</w:t>
      </w:r>
      <w:r>
        <w:rPr>
          <w:rFonts w:hint="default" w:ascii="Times New Roman" w:hAnsi="Times New Roman" w:eastAsia="方正仿宋_GBK" w:cs="Times New Roman"/>
          <w:color w:val="auto"/>
          <w:sz w:val="32"/>
          <w:szCs w:val="32"/>
          <w:highlight w:val="none"/>
        </w:rPr>
        <w:t>拨款支出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textAlignment w:val="auto"/>
        <w:outlineLvl w:val="1"/>
        <w:rPr>
          <w:rStyle w:val="17"/>
          <w:rFonts w:eastAsia="黑体"/>
          <w:b w:val="0"/>
        </w:rPr>
      </w:pPr>
      <w:bookmarkStart w:id="43" w:name="_Toc15396611"/>
      <w:bookmarkStart w:id="44" w:name="_Toc15377219"/>
      <w:r>
        <w:rPr>
          <w:rStyle w:val="17"/>
          <w:rFonts w:hint="eastAsia" w:ascii="方正黑体_GBK" w:hAnsi="方正黑体_GBK" w:eastAsia="方正黑体_GBK" w:cs="方正黑体_GBK"/>
          <w:b w:val="0"/>
          <w:bCs w:val="0"/>
        </w:rPr>
        <w:t>国有资本经营预算支出决算情况说明</w:t>
      </w:r>
      <w:bookmarkEnd w:id="43"/>
      <w:bookmarkEnd w:id="44"/>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Style w:val="17"/>
          <w:rFonts w:eastAsia="黑体"/>
          <w:b w:val="0"/>
        </w:rPr>
      </w:pPr>
      <w:r>
        <w:rPr>
          <w:rStyle w:val="17"/>
          <w:rFonts w:eastAsia="黑体"/>
        </w:rPr>
        <w:t xml:space="preserve">  </w:t>
      </w:r>
      <w:r>
        <w:rPr>
          <w:rStyle w:val="17"/>
          <w:rFonts w:hint="default" w:ascii="Times New Roman" w:hAnsi="Times New Roman" w:eastAsia="黑体" w:cs="Times New Roman"/>
        </w:rPr>
        <w:t xml:space="preserve">  </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textAlignment w:val="auto"/>
        <w:outlineLvl w:val="1"/>
        <w:rPr>
          <w:rStyle w:val="17"/>
          <w:rFonts w:hint="eastAsia" w:ascii="方正黑体_GBK" w:hAnsi="方正黑体_GBK" w:eastAsia="方正黑体_GBK" w:cs="方正黑体_GBK"/>
          <w:b w:val="0"/>
          <w:bCs w:val="0"/>
        </w:rPr>
      </w:pPr>
      <w:r>
        <w:rPr>
          <w:rStyle w:val="17"/>
          <w:rFonts w:hint="eastAsia" w:ascii="方正黑体_GBK" w:hAnsi="方正黑体_GBK" w:eastAsia="方正黑体_GBK" w:cs="方正黑体_GBK"/>
          <w:b w:val="0"/>
          <w:bCs w:val="0"/>
        </w:rPr>
        <w:t>其他重要事项的情况说明</w:t>
      </w:r>
      <w:bookmarkEnd w:id="41"/>
      <w:bookmarkEnd w:id="42"/>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方正楷体_GBK" w:hAnsi="方正楷体_GBK" w:eastAsia="方正楷体_GBK" w:cs="方正楷体_GBK"/>
          <w:b/>
          <w:bCs w:val="0"/>
          <w:sz w:val="32"/>
          <w:szCs w:val="32"/>
        </w:rPr>
      </w:pPr>
      <w:bookmarkStart w:id="45" w:name="_Toc15377222"/>
      <w:r>
        <w:rPr>
          <w:rFonts w:hint="eastAsia" w:ascii="方正楷体_GBK" w:hAnsi="方正楷体_GBK" w:eastAsia="方正楷体_GBK" w:cs="方正楷体_GBK"/>
          <w:b/>
          <w:bCs w:val="0"/>
          <w:sz w:val="32"/>
          <w:szCs w:val="32"/>
        </w:rPr>
        <w:t>（一）机关运行经费支出情况</w:t>
      </w:r>
      <w:bookmarkEnd w:id="45"/>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仿宋"/>
          <w:b/>
          <w:sz w:val="32"/>
          <w:szCs w:val="32"/>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sz w:val="32"/>
          <w:szCs w:val="32"/>
        </w:rPr>
        <w:t>西区妇幼保健服务中心</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决算数持平</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240" w:lineRule="auto"/>
        <w:ind w:firstLine="643" w:firstLineChars="200"/>
        <w:jc w:val="left"/>
        <w:textAlignment w:val="auto"/>
        <w:outlineLvl w:val="2"/>
        <w:rPr>
          <w:rFonts w:hint="eastAsia" w:ascii="方正楷体_GBK" w:hAnsi="方正楷体_GBK" w:eastAsia="方正楷体_GBK" w:cs="方正楷体_GBK"/>
          <w:b/>
          <w:bCs w:val="0"/>
          <w:sz w:val="32"/>
          <w:szCs w:val="32"/>
        </w:rPr>
      </w:pPr>
      <w:bookmarkStart w:id="46" w:name="_Toc15377223"/>
      <w:r>
        <w:rPr>
          <w:rFonts w:hint="eastAsia" w:ascii="方正楷体_GBK" w:hAnsi="方正楷体_GBK" w:eastAsia="方正楷体_GBK" w:cs="方正楷体_GBK"/>
          <w:b/>
          <w:bCs w:val="0"/>
          <w:sz w:val="32"/>
          <w:szCs w:val="32"/>
        </w:rPr>
        <w:t>（二）政府采购支出情况</w:t>
      </w:r>
      <w:bookmarkEnd w:id="4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202</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000000"/>
          <w:sz w:val="32"/>
          <w:szCs w:val="32"/>
        </w:rPr>
        <w:t>西区妇幼保健服务中心</w:t>
      </w:r>
      <w:r>
        <w:rPr>
          <w:rFonts w:hint="default" w:ascii="Times New Roman" w:hAnsi="Times New Roman" w:eastAsia="方正仿宋_GBK" w:cs="Times New Roman"/>
          <w:color w:val="auto"/>
          <w:sz w:val="32"/>
          <w:szCs w:val="32"/>
          <w:highlight w:val="none"/>
        </w:rPr>
        <w:t>政府采购支出总额</w:t>
      </w:r>
      <w:r>
        <w:rPr>
          <w:rFonts w:hint="default" w:ascii="Times New Roman" w:hAnsi="Times New Roman" w:eastAsia="方正仿宋_GBK" w:cs="Times New Roman"/>
          <w:color w:val="auto"/>
          <w:sz w:val="32"/>
          <w:szCs w:val="32"/>
          <w:highlight w:val="none"/>
          <w:lang w:val="en-US" w:eastAsia="zh-CN"/>
        </w:rPr>
        <w:t>0</w:t>
      </w:r>
      <w:r>
        <w:rPr>
          <w:rFonts w:hint="eastAsia"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万元，其中：政府采购货物支出</w:t>
      </w:r>
      <w:r>
        <w:rPr>
          <w:rFonts w:hint="default" w:ascii="Times New Roman" w:hAnsi="Times New Roman" w:eastAsia="方正仿宋_GBK" w:cs="Times New Roman"/>
          <w:color w:val="auto"/>
          <w:sz w:val="32"/>
          <w:szCs w:val="32"/>
          <w:highlight w:val="none"/>
          <w:lang w:val="en-US" w:eastAsia="zh-CN"/>
        </w:rPr>
        <w:t>0</w:t>
      </w:r>
      <w:r>
        <w:rPr>
          <w:rFonts w:hint="eastAsia"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万元、政府采购工程支出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万元、政府采购服务支出</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万元。授予中小企业合同金额</w:t>
      </w:r>
      <w:r>
        <w:rPr>
          <w:rFonts w:hint="default" w:ascii="Times New Roman" w:hAnsi="Times New Roman" w:eastAsia="方正仿宋_GBK" w:cs="Times New Roman"/>
          <w:color w:val="auto"/>
          <w:sz w:val="32"/>
          <w:szCs w:val="32"/>
          <w:highlight w:val="none"/>
          <w:lang w:val="en-US" w:eastAsia="zh-CN"/>
        </w:rPr>
        <w:t>0</w:t>
      </w:r>
      <w:r>
        <w:rPr>
          <w:rFonts w:hint="eastAsia" w:eastAsia="方正仿宋_GBK" w:cs="Times New Roman"/>
          <w:color w:val="auto"/>
          <w:sz w:val="32"/>
          <w:szCs w:val="32"/>
          <w:highlight w:val="none"/>
          <w:lang w:val="en-US" w:eastAsia="zh-CN"/>
        </w:rPr>
        <w:t>.24</w:t>
      </w:r>
      <w:r>
        <w:rPr>
          <w:rFonts w:hint="default" w:ascii="Times New Roman" w:hAnsi="Times New Roman" w:eastAsia="方正仿宋_GBK" w:cs="Times New Roman"/>
          <w:color w:val="auto"/>
          <w:sz w:val="32"/>
          <w:szCs w:val="32"/>
          <w:highlight w:val="none"/>
        </w:rPr>
        <w:t>万元，占政府采购支出总额的</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%，其中：授予小微企业合同金额</w:t>
      </w:r>
      <w:r>
        <w:rPr>
          <w:rFonts w:hint="eastAsia" w:eastAsia="方正仿宋_GBK" w:cs="Times New Roman"/>
          <w:color w:val="auto"/>
          <w:sz w:val="32"/>
          <w:szCs w:val="32"/>
          <w:highlight w:val="none"/>
          <w:lang w:val="en-US" w:eastAsia="zh-CN"/>
        </w:rPr>
        <w:t>0.24</w:t>
      </w:r>
      <w:r>
        <w:rPr>
          <w:rFonts w:hint="default" w:ascii="Times New Roman" w:hAnsi="Times New Roman" w:eastAsia="方正仿宋_GBK" w:cs="Times New Roman"/>
          <w:color w:val="auto"/>
          <w:sz w:val="32"/>
          <w:szCs w:val="32"/>
          <w:highlight w:val="none"/>
        </w:rPr>
        <w:t>万元，占政府采购支出总额的</w:t>
      </w:r>
      <w:r>
        <w:rPr>
          <w:rFonts w:hint="eastAsia"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val="0"/>
        <w:autoSpaceDN w:val="0"/>
        <w:bidi w:val="0"/>
        <w:adjustRightInd w:val="0"/>
        <w:snapToGrid/>
        <w:spacing w:line="240" w:lineRule="auto"/>
        <w:ind w:firstLine="643" w:firstLineChars="200"/>
        <w:jc w:val="left"/>
        <w:textAlignment w:val="auto"/>
        <w:outlineLvl w:val="2"/>
        <w:rPr>
          <w:rFonts w:hint="eastAsia" w:ascii="方正楷体_GBK" w:hAnsi="方正楷体_GBK" w:eastAsia="方正楷体_GBK" w:cs="方正楷体_GBK"/>
          <w:b/>
          <w:bCs w:val="0"/>
          <w:sz w:val="32"/>
          <w:szCs w:val="32"/>
        </w:rPr>
      </w:pPr>
      <w:bookmarkStart w:id="47" w:name="_Toc15377224"/>
      <w:r>
        <w:rPr>
          <w:rFonts w:hint="eastAsia" w:ascii="方正楷体_GBK" w:hAnsi="方正楷体_GBK" w:eastAsia="方正楷体_GBK" w:cs="方正楷体_GBK"/>
          <w:b/>
          <w:bCs w:val="0"/>
          <w:sz w:val="32"/>
          <w:szCs w:val="32"/>
        </w:rPr>
        <w:t>（三）国有资产占有使用情况</w:t>
      </w:r>
      <w:bookmarkEnd w:id="47"/>
    </w:p>
    <w:p>
      <w:pPr>
        <w:keepNext w:val="0"/>
        <w:keepLines w:val="0"/>
        <w:pageBreakBefore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rPr>
        <w:t>截至</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年12月31日，</w:t>
      </w:r>
      <w:r>
        <w:rPr>
          <w:rFonts w:hint="default" w:ascii="Times New Roman" w:hAnsi="Times New Roman" w:eastAsia="方正仿宋_GBK" w:cs="Times New Roman"/>
          <w:color w:val="000000"/>
          <w:sz w:val="32"/>
          <w:szCs w:val="32"/>
        </w:rPr>
        <w:t>西区妇幼保健服务中心</w:t>
      </w:r>
      <w:r>
        <w:rPr>
          <w:rFonts w:hint="default" w:ascii="Times New Roman" w:hAnsi="Times New Roman" w:eastAsia="方正仿宋_GBK" w:cs="Times New Roman"/>
          <w:color w:val="auto"/>
          <w:sz w:val="32"/>
          <w:szCs w:val="32"/>
          <w:highlight w:val="none"/>
        </w:rPr>
        <w:t>共有车辆</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辆，其中：主要领导干部用车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辆、机要通信用车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辆、应急保障用车</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辆、其他用车</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其他用车主要是用于</w:t>
      </w:r>
      <w:r>
        <w:rPr>
          <w:rFonts w:hint="default" w:ascii="Times New Roman" w:hAnsi="Times New Roman" w:eastAsia="方正仿宋_GBK" w:cs="Times New Roman"/>
          <w:color w:val="000000"/>
          <w:sz w:val="32"/>
          <w:szCs w:val="32"/>
        </w:rPr>
        <w:t>开展相关业务工作及公共卫生服务项目质控等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单价50万元以上通用设备</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台（套）</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单价100万元以上专用设备</w:t>
      </w:r>
      <w:r>
        <w:rPr>
          <w:rFonts w:hint="default" w:ascii="Times New Roman" w:hAnsi="Times New Roman" w:eastAsia="方正仿宋_GBK" w:cs="Times New Roman"/>
          <w:color w:val="auto"/>
          <w:sz w:val="32"/>
          <w:szCs w:val="32"/>
          <w:highlight w:val="none"/>
          <w:lang w:eastAsia="zh-CN"/>
        </w:rPr>
        <w:t>（不含车辆）</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台（套）。</w:t>
      </w:r>
    </w:p>
    <w:p>
      <w:pPr>
        <w:keepNext w:val="0"/>
        <w:keepLines w:val="0"/>
        <w:pageBreakBefore w:val="0"/>
        <w:numPr>
          <w:ilvl w:val="0"/>
          <w:numId w:val="3"/>
        </w:numPr>
        <w:kinsoku/>
        <w:wordWrap/>
        <w:overflowPunct/>
        <w:topLinePunct w:val="0"/>
        <w:autoSpaceDE w:val="0"/>
        <w:autoSpaceDN w:val="0"/>
        <w:bidi w:val="0"/>
        <w:adjustRightInd w:val="0"/>
        <w:snapToGrid/>
        <w:spacing w:line="240" w:lineRule="auto"/>
        <w:ind w:firstLine="643" w:firstLineChars="200"/>
        <w:jc w:val="left"/>
        <w:textAlignment w:val="auto"/>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预算绩效管理情况</w:t>
      </w:r>
    </w:p>
    <w:p>
      <w:pPr>
        <w:keepNext w:val="0"/>
        <w:keepLines w:val="0"/>
        <w:pageBreakBefore w:val="0"/>
        <w:kinsoku/>
        <w:wordWrap/>
        <w:overflowPunct/>
        <w:topLinePunct w:val="0"/>
        <w:bidi w:val="0"/>
        <w:snapToGrid/>
        <w:spacing w:line="240" w:lineRule="auto"/>
        <w:ind w:firstLine="640" w:firstLineChars="200"/>
        <w:textAlignment w:val="auto"/>
        <w:rPr>
          <w:rFonts w:eastAsia="仿宋_GB2312"/>
          <w:color w:val="auto"/>
          <w:sz w:val="32"/>
          <w:szCs w:val="32"/>
        </w:rPr>
      </w:pPr>
      <w:r>
        <w:rPr>
          <w:rFonts w:hint="default" w:ascii="Times New Roman" w:hAnsi="Times New Roman" w:eastAsia="方正仿宋_GBK" w:cs="Times New Roman"/>
          <w:color w:val="000000"/>
          <w:sz w:val="32"/>
          <w:szCs w:val="32"/>
        </w:rPr>
        <w:t>根据预算绩效管理要求，本单位在202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年度预算编制阶段，组织对“妇女两癌筛查项目”“免费婚前医学检查项目”“免费孕前优生健康检查项</w:t>
      </w:r>
      <w:r>
        <w:rPr>
          <w:rFonts w:hint="default" w:ascii="Times New Roman" w:hAnsi="Times New Roman" w:eastAsia="方正仿宋_GBK" w:cs="Times New Roman"/>
          <w:color w:val="auto"/>
          <w:sz w:val="32"/>
          <w:szCs w:val="32"/>
        </w:rPr>
        <w:t>目”“免费补服叶酸</w:t>
      </w:r>
      <w:r>
        <w:rPr>
          <w:rFonts w:hint="default" w:ascii="Times New Roman" w:hAnsi="Times New Roman" w:eastAsia="方正仿宋_GBK" w:cs="Times New Roman"/>
          <w:color w:val="auto"/>
          <w:sz w:val="32"/>
          <w:szCs w:val="32"/>
          <w:lang w:eastAsia="zh-CN"/>
        </w:rPr>
        <w:t>项目</w:t>
      </w:r>
      <w:r>
        <w:rPr>
          <w:rFonts w:hint="default" w:ascii="Times New Roman" w:hAnsi="Times New Roman" w:eastAsia="方正仿宋_GBK" w:cs="Times New Roman"/>
          <w:color w:val="auto"/>
          <w:sz w:val="32"/>
          <w:szCs w:val="32"/>
        </w:rPr>
        <w:t>”“阻断艾滋病、梅毒和乙肝母婴传播项目”“母婴安全保障项目”“取消药品加成医疗服务价格补偿项目”“区域核酸检测能力提升</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”共</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个项目开展了预算事前绩效评估，对</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个项目编制了绩效目标，预算执行过程中，选取</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个项目开展绩效监控，组织对</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个项目开展绩效自评，绩效自评表详见第四部分附件。</w:t>
      </w:r>
    </w:p>
    <w:p>
      <w:pPr>
        <w:keepNext w:val="0"/>
        <w:keepLines w:val="0"/>
        <w:pageBreakBefore w:val="0"/>
        <w:kinsoku/>
        <w:wordWrap/>
        <w:overflowPunct/>
        <w:topLinePunct w:val="0"/>
        <w:bidi w:val="0"/>
        <w:snapToGrid/>
        <w:spacing w:line="240" w:lineRule="auto"/>
        <w:ind w:firstLine="640" w:firstLineChars="200"/>
        <w:textAlignment w:val="auto"/>
        <w:rPr>
          <w:rFonts w:eastAsia="仿宋_GB2312"/>
          <w:color w:val="000000"/>
          <w:sz w:val="32"/>
          <w:szCs w:val="32"/>
        </w:rPr>
      </w:pPr>
    </w:p>
    <w:p>
      <w:pPr>
        <w:pStyle w:val="6"/>
        <w:keepNext w:val="0"/>
        <w:keepLines w:val="0"/>
        <w:pageBreakBefore w:val="0"/>
        <w:kinsoku/>
        <w:wordWrap/>
        <w:overflowPunct/>
        <w:topLinePunct w:val="0"/>
        <w:bidi w:val="0"/>
        <w:snapToGrid/>
        <w:spacing w:beforeLines="0" w:line="240" w:lineRule="auto"/>
        <w:ind w:firstLine="600" w:firstLineChars="200"/>
        <w:textAlignment w:val="auto"/>
        <w:rPr>
          <w:rFonts w:ascii="Times New Roman"/>
          <w:highlight w:val="yellow"/>
        </w:rPr>
      </w:pPr>
    </w:p>
    <w:p>
      <w:pPr>
        <w:keepNext w:val="0"/>
        <w:keepLines w:val="0"/>
        <w:pageBreakBefore w:val="0"/>
        <w:widowControl/>
        <w:kinsoku/>
        <w:wordWrap/>
        <w:overflowPunct/>
        <w:topLinePunct w:val="0"/>
        <w:bidi w:val="0"/>
        <w:snapToGrid/>
        <w:spacing w:line="240" w:lineRule="auto"/>
        <w:jc w:val="left"/>
        <w:textAlignment w:val="auto"/>
        <w:rPr>
          <w:rFonts w:eastAsia="仿宋_GB2312"/>
          <w:b/>
          <w:sz w:val="32"/>
          <w:szCs w:val="32"/>
        </w:rPr>
      </w:pPr>
      <w:r>
        <w:rPr>
          <w:rFonts w:eastAsia="仿宋_GB2312"/>
          <w:b/>
          <w:sz w:val="32"/>
          <w:szCs w:val="32"/>
        </w:rPr>
        <w:br w:type="page"/>
      </w:r>
    </w:p>
    <w:p>
      <w:pPr>
        <w:numPr>
          <w:ilvl w:val="0"/>
          <w:numId w:val="0"/>
        </w:numPr>
        <w:spacing w:line="600" w:lineRule="exact"/>
        <w:jc w:val="center"/>
        <w:outlineLvl w:val="0"/>
        <w:rPr>
          <w:rStyle w:val="16"/>
          <w:rFonts w:hint="eastAsia" w:ascii="方正小标宋_GBK" w:hAnsi="方正小标宋_GBK" w:eastAsia="方正小标宋_GBK" w:cs="方正小标宋_GBK"/>
          <w:b/>
          <w:bCs/>
        </w:rPr>
      </w:pPr>
      <w:bookmarkStart w:id="48" w:name="_Toc15377225"/>
      <w:bookmarkStart w:id="49" w:name="_Toc15396613"/>
      <w:r>
        <w:rPr>
          <w:rFonts w:hint="eastAsia" w:ascii="方正小标宋_GBK" w:hAnsi="方正小标宋_GBK" w:eastAsia="方正小标宋_GBK" w:cs="方正小标宋_GBK"/>
          <w:b/>
          <w:bCs/>
          <w:sz w:val="44"/>
          <w:szCs w:val="44"/>
          <w:lang w:val="en-US" w:eastAsia="zh-CN"/>
        </w:rPr>
        <w:t xml:space="preserve">第三部分  </w:t>
      </w:r>
      <w:r>
        <w:rPr>
          <w:rFonts w:hint="eastAsia" w:ascii="方正小标宋_GBK" w:hAnsi="方正小标宋_GBK" w:eastAsia="方正小标宋_GBK" w:cs="方正小标宋_GBK"/>
          <w:b/>
          <w:bCs/>
          <w:sz w:val="44"/>
          <w:szCs w:val="44"/>
        </w:rPr>
        <w:t>名</w:t>
      </w:r>
      <w:r>
        <w:rPr>
          <w:rStyle w:val="16"/>
          <w:rFonts w:hint="eastAsia" w:ascii="方正小标宋_GBK" w:hAnsi="方正小标宋_GBK" w:eastAsia="方正小标宋_GBK" w:cs="方正小标宋_GBK"/>
          <w:b/>
          <w:bCs/>
        </w:rPr>
        <w:t>词解释</w:t>
      </w:r>
      <w:bookmarkEnd w:id="48"/>
      <w:bookmarkEnd w:id="49"/>
    </w:p>
    <w:p>
      <w:pPr>
        <w:spacing w:line="600" w:lineRule="exact"/>
        <w:jc w:val="left"/>
        <w:rPr>
          <w:b/>
          <w:sz w:val="44"/>
          <w:szCs w:val="44"/>
        </w:rPr>
      </w:pPr>
    </w:p>
    <w:p>
      <w:pPr>
        <w:pStyle w:val="21"/>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1"/>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2.年初结转和结余：指以前年度尚未完成、结转到本年按有关规定继续使用的资金。 </w:t>
      </w:r>
    </w:p>
    <w:p>
      <w:pPr>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3.社会保障和就业</w:t>
      </w:r>
      <w:r>
        <w:rPr>
          <w:rFonts w:hint="default" w:ascii="Times New Roman" w:hAnsi="Times New Roman" w:eastAsia="方正仿宋_GBK" w:cs="Times New Roman"/>
          <w:color w:val="000000"/>
          <w:sz w:val="32"/>
          <w:szCs w:val="32"/>
        </w:rPr>
        <w:t>（类）</w:t>
      </w:r>
      <w:r>
        <w:rPr>
          <w:rFonts w:hint="default" w:ascii="Times New Roman" w:hAnsi="Times New Roman" w:eastAsia="方正仿宋_GBK" w:cs="Times New Roman"/>
          <w:sz w:val="32"/>
          <w:szCs w:val="32"/>
        </w:rPr>
        <w:t>行政事业单位养老支出（款）机关事业单位基本养老保险缴费支出（项）：</w:t>
      </w:r>
      <w:r>
        <w:rPr>
          <w:rFonts w:hint="default" w:ascii="Times New Roman" w:hAnsi="Times New Roman" w:eastAsia="方正仿宋_GBK" w:cs="Times New Roman"/>
          <w:color w:val="000000"/>
          <w:sz w:val="32"/>
          <w:szCs w:val="32"/>
        </w:rPr>
        <w:t>机关事业人员基本养老保险。</w:t>
      </w:r>
    </w:p>
    <w:p>
      <w:pPr>
        <w:keepNext w:val="0"/>
        <w:keepLines w:val="0"/>
        <w:pageBreakBefore w:val="0"/>
        <w:widowControl w:val="0"/>
        <w:kinsoku/>
        <w:wordWrap/>
        <w:overflowPunct/>
        <w:topLinePunct w:val="0"/>
        <w:bidi w:val="0"/>
        <w:snapToGrid/>
        <w:spacing w:line="240" w:lineRule="auto"/>
        <w:ind w:firstLine="643" w:firstLineChars="200"/>
        <w:textAlignment w:val="auto"/>
        <w:rPr>
          <w:rStyle w:val="15"/>
          <w:rFonts w:hint="default" w:ascii="Times New Roman" w:hAnsi="Times New Roman" w:eastAsia="方正仿宋_GBK" w:cs="Times New Roman"/>
          <w:b w:val="0"/>
          <w:color w:val="000000"/>
          <w:sz w:val="32"/>
          <w:szCs w:val="32"/>
        </w:rPr>
      </w:pPr>
      <w:r>
        <w:rPr>
          <w:rStyle w:val="15"/>
          <w:rFonts w:hint="default" w:ascii="Times New Roman" w:hAnsi="Times New Roman" w:eastAsia="方正仿宋_GBK" w:cs="Times New Roman"/>
          <w:color w:val="000000"/>
          <w:sz w:val="32"/>
          <w:szCs w:val="32"/>
        </w:rPr>
        <w:t>4.</w:t>
      </w:r>
      <w:r>
        <w:rPr>
          <w:rFonts w:hint="default" w:ascii="Times New Roman" w:hAnsi="Times New Roman" w:eastAsia="方正仿宋_GBK" w:cs="Times New Roman"/>
          <w:sz w:val="32"/>
          <w:szCs w:val="32"/>
        </w:rPr>
        <w:t>卫生健康支出（类）公共卫生（款）妇幼保健机构（项）：</w:t>
      </w:r>
      <w:r>
        <w:rPr>
          <w:rFonts w:hint="default" w:ascii="Times New Roman" w:hAnsi="Times New Roman" w:eastAsia="方正仿宋_GBK" w:cs="Times New Roman"/>
          <w:sz w:val="32"/>
          <w:szCs w:val="32"/>
          <w:lang w:eastAsia="zh-CN"/>
        </w:rPr>
        <w:t>反映卫生</w:t>
      </w:r>
      <w:r>
        <w:rPr>
          <w:rStyle w:val="15"/>
          <w:rFonts w:hint="default" w:ascii="Times New Roman" w:hAnsi="Times New Roman" w:eastAsia="方正仿宋_GBK" w:cs="Times New Roman"/>
          <w:b w:val="0"/>
          <w:bCs/>
          <w:color w:val="000000"/>
          <w:sz w:val="32"/>
          <w:szCs w:val="32"/>
        </w:rPr>
        <w:t>和计划生育部门所属妇幼保健机构支出。</w:t>
      </w:r>
    </w:p>
    <w:p>
      <w:pPr>
        <w:pStyle w:val="6"/>
        <w:keepNext w:val="0"/>
        <w:keepLines w:val="0"/>
        <w:pageBreakBefore w:val="0"/>
        <w:widowControl w:val="0"/>
        <w:kinsoku/>
        <w:wordWrap/>
        <w:overflowPunct/>
        <w:topLinePunct w:val="0"/>
        <w:bidi w:val="0"/>
        <w:snapToGrid/>
        <w:spacing w:beforeLines="0" w:line="240" w:lineRule="auto"/>
        <w:textAlignment w:val="auto"/>
        <w:rPr>
          <w:rFonts w:hint="default" w:ascii="Times New Roman" w:hAnsi="Times New Roman" w:eastAsia="方正仿宋_GBK" w:cs="Times New Roman"/>
          <w:color w:val="000000"/>
          <w:kern w:val="2"/>
          <w:sz w:val="32"/>
          <w:szCs w:val="32"/>
        </w:rPr>
      </w:pPr>
      <w:r>
        <w:rPr>
          <w:rStyle w:val="15"/>
          <w:rFonts w:hint="default" w:ascii="Times New Roman" w:hAnsi="Times New Roman" w:eastAsia="方正仿宋_GBK" w:cs="Times New Roman"/>
          <w:color w:val="000000"/>
          <w:sz w:val="32"/>
          <w:szCs w:val="32"/>
        </w:rPr>
        <w:t xml:space="preserve">    5.</w:t>
      </w:r>
      <w:r>
        <w:rPr>
          <w:rFonts w:hint="default" w:ascii="Times New Roman" w:hAnsi="Times New Roman" w:eastAsia="方正仿宋_GBK" w:cs="Times New Roman"/>
          <w:kern w:val="2"/>
          <w:sz w:val="32"/>
          <w:szCs w:val="32"/>
        </w:rPr>
        <w:t>卫生健康支出（类）公共卫生（款）基本公共卫生服务</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项</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color w:val="000000"/>
          <w:kern w:val="2"/>
          <w:sz w:val="32"/>
          <w:szCs w:val="32"/>
        </w:rPr>
        <w:t>指各公共卫生项目</w:t>
      </w:r>
      <w:r>
        <w:rPr>
          <w:rFonts w:hint="default" w:ascii="Times New Roman" w:hAnsi="Times New Roman" w:eastAsia="方正仿宋_GBK" w:cs="Times New Roman"/>
          <w:kern w:val="2"/>
          <w:sz w:val="32"/>
          <w:szCs w:val="32"/>
        </w:rPr>
        <w:t>所需的各项检验检测费</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w:t>
      </w:r>
      <w:r>
        <w:rPr>
          <w:rFonts w:hint="default" w:ascii="Times New Roman" w:hAnsi="Times New Roman" w:eastAsia="方正仿宋_GBK" w:cs="Times New Roman"/>
          <w:sz w:val="32"/>
          <w:szCs w:val="32"/>
        </w:rPr>
        <w:t>卫生健康支出（类）公共卫生（款）重大公共卫生服务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重大疾病预防控制等重大公共卫生服务项目支出和卫生人员培训。</w:t>
      </w:r>
    </w:p>
    <w:p>
      <w:pPr>
        <w:pStyle w:val="6"/>
        <w:keepNext w:val="0"/>
        <w:keepLines w:val="0"/>
        <w:pageBreakBefore w:val="0"/>
        <w:widowControl w:val="0"/>
        <w:kinsoku/>
        <w:wordWrap/>
        <w:overflowPunct/>
        <w:topLinePunct w:val="0"/>
        <w:bidi w:val="0"/>
        <w:snapToGrid/>
        <w:spacing w:beforeLines="0" w:line="240" w:lineRule="auto"/>
        <w:ind w:firstLine="640"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7.</w:t>
      </w:r>
      <w:r>
        <w:rPr>
          <w:rFonts w:hint="default" w:ascii="Times New Roman" w:hAnsi="Times New Roman" w:eastAsia="方正仿宋_GBK" w:cs="Times New Roman"/>
          <w:kern w:val="2"/>
          <w:sz w:val="32"/>
          <w:szCs w:val="32"/>
        </w:rPr>
        <w:t>卫生健康支出（类）公共卫生（款）其他公共卫生支出</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项</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sz w:val="32"/>
          <w:szCs w:val="32"/>
        </w:rPr>
        <w:t>指各</w:t>
      </w:r>
      <w:r>
        <w:rPr>
          <w:rFonts w:hint="default" w:ascii="Times New Roman" w:hAnsi="Times New Roman" w:eastAsia="方正仿宋_GBK" w:cs="Times New Roman"/>
          <w:color w:val="000000"/>
          <w:kern w:val="2"/>
          <w:sz w:val="32"/>
          <w:szCs w:val="32"/>
        </w:rPr>
        <w:t>公共卫生项目</w:t>
      </w:r>
      <w:r>
        <w:rPr>
          <w:rFonts w:hint="default" w:ascii="Times New Roman" w:hAnsi="Times New Roman" w:eastAsia="方正仿宋_GBK" w:cs="Times New Roman"/>
          <w:kern w:val="2"/>
          <w:sz w:val="32"/>
          <w:szCs w:val="32"/>
        </w:rPr>
        <w:t>所需的</w:t>
      </w:r>
      <w:r>
        <w:rPr>
          <w:rFonts w:hint="default" w:ascii="Times New Roman" w:hAnsi="Times New Roman" w:eastAsia="方正仿宋_GBK" w:cs="Times New Roman"/>
          <w:sz w:val="32"/>
          <w:szCs w:val="32"/>
        </w:rPr>
        <w:t>临聘人员经费及社会保险缴费</w:t>
      </w:r>
      <w:r>
        <w:rPr>
          <w:rFonts w:hint="default" w:ascii="Times New Roman" w:hAnsi="Times New Roman" w:eastAsia="方正仿宋_GBK" w:cs="Times New Roman"/>
          <w:color w:val="000000"/>
          <w:kern w:val="2"/>
          <w:sz w:val="32"/>
          <w:szCs w:val="32"/>
        </w:rPr>
        <w:t>。</w:t>
      </w:r>
    </w:p>
    <w:p>
      <w:pPr>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b w:val="0"/>
          <w:bCs w:val="0"/>
          <w:sz w:val="32"/>
          <w:szCs w:val="32"/>
        </w:rPr>
        <w:t>8.</w:t>
      </w:r>
      <w:r>
        <w:rPr>
          <w:rFonts w:hint="default" w:ascii="Times New Roman" w:hAnsi="Times New Roman" w:eastAsia="方正仿宋_GBK" w:cs="Times New Roman"/>
          <w:b w:val="0"/>
          <w:bCs w:val="0"/>
          <w:sz w:val="32"/>
          <w:szCs w:val="32"/>
        </w:rPr>
        <w:t>卫</w:t>
      </w:r>
      <w:r>
        <w:rPr>
          <w:rFonts w:hint="default" w:ascii="Times New Roman" w:hAnsi="Times New Roman" w:eastAsia="方正仿宋_GBK" w:cs="Times New Roman"/>
          <w:sz w:val="32"/>
          <w:szCs w:val="32"/>
        </w:rPr>
        <w:t>生健康支出（类）计划生育事务（款）计划生育服务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：指孕前优生项目所需的各项检验检测费。</w:t>
      </w:r>
    </w:p>
    <w:p>
      <w:pPr>
        <w:keepNext w:val="0"/>
        <w:keepLines w:val="0"/>
        <w:pageBreakBefore w:val="0"/>
        <w:widowControl w:val="0"/>
        <w:kinsoku/>
        <w:wordWrap/>
        <w:overflowPunct/>
        <w:topLinePunct w:val="0"/>
        <w:bidi w:val="0"/>
        <w:snapToGrid/>
        <w:spacing w:line="240" w:lineRule="auto"/>
        <w:ind w:firstLine="640" w:firstLineChars="200"/>
        <w:textAlignment w:val="auto"/>
        <w:rPr>
          <w:rStyle w:val="15"/>
          <w:rFonts w:hint="default" w:ascii="Times New Roman" w:hAnsi="Times New Roman" w:eastAsia="方正仿宋_GBK" w:cs="Times New Roman"/>
          <w:b w:val="0"/>
          <w:bCs/>
          <w:color w:val="000000"/>
          <w:sz w:val="32"/>
          <w:szCs w:val="32"/>
        </w:rPr>
      </w:pPr>
      <w:r>
        <w:rPr>
          <w:rStyle w:val="15"/>
          <w:rFonts w:hint="default" w:ascii="Times New Roman" w:hAnsi="Times New Roman" w:eastAsia="方正仿宋_GBK" w:cs="Times New Roman"/>
          <w:b w:val="0"/>
          <w:bCs w:val="0"/>
          <w:color w:val="000000"/>
          <w:sz w:val="32"/>
          <w:szCs w:val="32"/>
        </w:rPr>
        <w:t>9.</w:t>
      </w:r>
      <w:r>
        <w:rPr>
          <w:rFonts w:hint="default" w:ascii="Times New Roman" w:hAnsi="Times New Roman" w:eastAsia="方正仿宋_GBK" w:cs="Times New Roman"/>
          <w:sz w:val="32"/>
          <w:szCs w:val="32"/>
        </w:rPr>
        <w:t>卫生健康支出（类）行政事业单位医疗（款）事业单位医疗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Style w:val="15"/>
          <w:rFonts w:hint="default" w:ascii="Times New Roman" w:hAnsi="Times New Roman" w:eastAsia="方正仿宋_GBK" w:cs="Times New Roman"/>
          <w:bCs/>
          <w:color w:val="000000"/>
          <w:sz w:val="32"/>
          <w:szCs w:val="32"/>
        </w:rPr>
        <w:t>用于缴纳单位医疗保险支出。</w:t>
      </w:r>
    </w:p>
    <w:p>
      <w:pPr>
        <w:pStyle w:val="6"/>
        <w:keepNext w:val="0"/>
        <w:keepLines w:val="0"/>
        <w:pageBreakBefore w:val="0"/>
        <w:widowControl w:val="0"/>
        <w:kinsoku/>
        <w:wordWrap/>
        <w:overflowPunct/>
        <w:topLinePunct w:val="0"/>
        <w:bidi w:val="0"/>
        <w:snapToGrid/>
        <w:spacing w:beforeLines="0" w:line="240" w:lineRule="auto"/>
        <w:textAlignment w:val="auto"/>
        <w:rPr>
          <w:rFonts w:hint="default" w:ascii="Times New Roman" w:hAnsi="Times New Roman" w:eastAsia="方正仿宋_GBK" w:cs="Times New Roman"/>
          <w:sz w:val="32"/>
          <w:szCs w:val="32"/>
        </w:rPr>
      </w:pPr>
      <w:r>
        <w:rPr>
          <w:rStyle w:val="15"/>
          <w:rFonts w:hint="default" w:ascii="Times New Roman" w:hAnsi="Times New Roman" w:eastAsia="方正仿宋_GBK" w:cs="Times New Roman"/>
          <w:bCs/>
          <w:color w:val="000000"/>
          <w:sz w:val="32"/>
          <w:szCs w:val="32"/>
        </w:rPr>
        <w:t xml:space="preserve">    </w:t>
      </w:r>
      <w:r>
        <w:rPr>
          <w:rStyle w:val="15"/>
          <w:rFonts w:hint="default" w:ascii="Times New Roman" w:hAnsi="Times New Roman" w:eastAsia="方正仿宋_GBK" w:cs="Times New Roman"/>
          <w:b w:val="0"/>
          <w:bCs w:val="0"/>
          <w:color w:val="000000"/>
          <w:sz w:val="32"/>
          <w:szCs w:val="32"/>
        </w:rPr>
        <w:t>10</w:t>
      </w:r>
      <w:r>
        <w:rPr>
          <w:rStyle w:val="15"/>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rPr>
        <w:t>卫</w:t>
      </w:r>
      <w:r>
        <w:rPr>
          <w:rFonts w:hint="default" w:ascii="Times New Roman" w:hAnsi="Times New Roman" w:eastAsia="方正仿宋_GBK" w:cs="Times New Roman"/>
          <w:sz w:val="32"/>
          <w:szCs w:val="32"/>
        </w:rPr>
        <w:t>生健康支出（类）行政事业单位医疗（款）其他行政事业单位医疗支出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：指在职人员补充医疗保险缴费。</w:t>
      </w:r>
    </w:p>
    <w:p>
      <w:pPr>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11.</w:t>
      </w:r>
      <w:r>
        <w:rPr>
          <w:rFonts w:hint="default" w:ascii="Times New Roman" w:hAnsi="Times New Roman" w:eastAsia="方正仿宋_GBK" w:cs="Times New Roman"/>
          <w:kern w:val="0"/>
          <w:sz w:val="32"/>
          <w:szCs w:val="32"/>
        </w:rPr>
        <w:t>住房保障支出（类）住房改革支出（款）住房公积金（项）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color w:val="000000"/>
          <w:sz w:val="32"/>
          <w:szCs w:val="32"/>
        </w:rPr>
        <w:t>行政事业单位按人力资源和社会保障部、财政部规定的基本工资和津贴补贴以及规定</w:t>
      </w:r>
      <w:r>
        <w:rPr>
          <w:rFonts w:hint="default" w:ascii="Times New Roman" w:hAnsi="Times New Roman" w:eastAsia="方正仿宋_GBK" w:cs="Times New Roman"/>
          <w:color w:val="000000"/>
          <w:sz w:val="32"/>
          <w:szCs w:val="32"/>
          <w:lang w:eastAsia="zh-CN"/>
        </w:rPr>
        <w:t>比例</w:t>
      </w:r>
      <w:r>
        <w:rPr>
          <w:rFonts w:hint="default" w:ascii="Times New Roman" w:hAnsi="Times New Roman" w:eastAsia="方正仿宋_GBK" w:cs="Times New Roman"/>
          <w:color w:val="000000"/>
          <w:sz w:val="32"/>
          <w:szCs w:val="32"/>
        </w:rPr>
        <w:t>为职工缴纳的住房公积金。</w:t>
      </w:r>
    </w:p>
    <w:p>
      <w:pPr>
        <w:pStyle w:val="6"/>
        <w:keepNext w:val="0"/>
        <w:keepLines w:val="0"/>
        <w:pageBreakBefore w:val="0"/>
        <w:widowControl w:val="0"/>
        <w:kinsoku/>
        <w:wordWrap/>
        <w:overflowPunct/>
        <w:topLinePunct w:val="0"/>
        <w:bidi w:val="0"/>
        <w:snapToGrid/>
        <w:spacing w:beforeLines="0"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sz w:val="32"/>
          <w:szCs w:val="32"/>
        </w:rPr>
        <w:t>12.基本支出：指为保障机构正常运转、完成日常工作任务而发生的人员支出和公用支出。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13.项目支出：指在基本支出之外为完成特定行政任务和事业发展目标所发生的支出。 </w:t>
      </w:r>
    </w:p>
    <w:p>
      <w:pPr>
        <w:pStyle w:val="21"/>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14</w:t>
      </w:r>
      <w:r>
        <w:rPr>
          <w:rFonts w:hint="default" w:ascii="Times New Roman" w:hAnsi="Times New Roman" w:eastAsia="方正仿宋_GBK"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1"/>
        <w:keepNext w:val="0"/>
        <w:keepLines w:val="0"/>
        <w:pageBreakBefore w:val="0"/>
        <w:widowControl w:val="0"/>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bidi w:val="0"/>
        <w:snapToGrid/>
        <w:spacing w:line="240" w:lineRule="auto"/>
        <w:ind w:firstLine="643" w:firstLineChars="200"/>
        <w:textAlignment w:val="auto"/>
        <w:rPr>
          <w:rFonts w:hint="default" w:ascii="Times New Roman" w:hAnsi="Times New Roman" w:eastAsia="方正仿宋_GBK" w:cs="Times New Roman"/>
          <w:b/>
          <w:sz w:val="32"/>
          <w:szCs w:val="32"/>
        </w:rPr>
      </w:pPr>
    </w:p>
    <w:p>
      <w:pPr>
        <w:keepNext w:val="0"/>
        <w:keepLines w:val="0"/>
        <w:pageBreakBefore w:val="0"/>
        <w:widowControl w:val="0"/>
        <w:kinsoku/>
        <w:wordWrap/>
        <w:overflowPunct/>
        <w:topLinePunct w:val="0"/>
        <w:bidi w:val="0"/>
        <w:snapToGrid/>
        <w:spacing w:line="240" w:lineRule="auto"/>
        <w:jc w:val="center"/>
        <w:textAlignment w:val="auto"/>
        <w:outlineLvl w:val="0"/>
        <w:rPr>
          <w:rStyle w:val="16"/>
          <w:rFonts w:hint="eastAsia" w:ascii="方正小标宋_GBK" w:hAnsi="方正小标宋_GBK" w:eastAsia="方正小标宋_GBK" w:cs="方正小标宋_GBK"/>
          <w:b/>
          <w:bCs/>
        </w:rPr>
      </w:pPr>
      <w:bookmarkStart w:id="50" w:name="_Toc15377226"/>
      <w:r>
        <w:rPr>
          <w:rFonts w:hint="default" w:ascii="Times New Roman" w:hAnsi="Times New Roman" w:eastAsia="方正仿宋_GBK" w:cs="Times New Roman"/>
          <w:b/>
          <w:sz w:val="44"/>
          <w:szCs w:val="44"/>
        </w:rPr>
        <w:br w:type="page"/>
      </w:r>
      <w:bookmarkStart w:id="51" w:name="_Toc15396614"/>
      <w:r>
        <w:rPr>
          <w:rFonts w:hint="eastAsia" w:ascii="方正小标宋_GBK" w:hAnsi="方正小标宋_GBK" w:eastAsia="方正小标宋_GBK" w:cs="方正小标宋_GBK"/>
          <w:b/>
          <w:bCs/>
          <w:sz w:val="44"/>
          <w:szCs w:val="44"/>
        </w:rPr>
        <w:t>第</w:t>
      </w:r>
      <w:r>
        <w:rPr>
          <w:rStyle w:val="16"/>
          <w:rFonts w:hint="eastAsia" w:ascii="方正小标宋_GBK" w:hAnsi="方正小标宋_GBK" w:eastAsia="方正小标宋_GBK" w:cs="方正小标宋_GBK"/>
          <w:b/>
          <w:bCs/>
        </w:rPr>
        <w:t>四部分</w:t>
      </w:r>
      <w:r>
        <w:rPr>
          <w:rStyle w:val="16"/>
          <w:rFonts w:hint="eastAsia" w:ascii="方正小标宋_GBK" w:hAnsi="方正小标宋_GBK" w:eastAsia="方正小标宋_GBK" w:cs="方正小标宋_GBK"/>
          <w:b/>
          <w:bCs/>
          <w:lang w:val="en-US" w:eastAsia="zh-CN"/>
        </w:rPr>
        <w:t xml:space="preserve"> </w:t>
      </w:r>
      <w:r>
        <w:rPr>
          <w:rStyle w:val="16"/>
          <w:rFonts w:hint="eastAsia" w:ascii="方正小标宋_GBK" w:hAnsi="方正小标宋_GBK" w:eastAsia="方正小标宋_GBK" w:cs="方正小标宋_GBK"/>
          <w:b/>
          <w:bCs/>
        </w:rPr>
        <w:t xml:space="preserve"> 附件</w:t>
      </w:r>
      <w:bookmarkEnd w:id="51"/>
    </w:p>
    <w:p>
      <w:pPr>
        <w:pStyle w:val="6"/>
        <w:spacing w:before="93"/>
        <w:ind w:firstLine="640" w:firstLineChars="200"/>
        <w:rPr>
          <w:rFonts w:ascii="Times New Roman"/>
          <w:sz w:val="32"/>
          <w:szCs w:val="32"/>
        </w:rPr>
      </w:pPr>
      <w:bookmarkStart w:id="52" w:name="_Toc15396618"/>
    </w:p>
    <w:p>
      <w:pPr>
        <w:pStyle w:val="6"/>
        <w:spacing w:before="93"/>
        <w:ind w:firstLine="640" w:firstLineChars="200"/>
        <w:rPr>
          <w:rFonts w:ascii="Times New Roman"/>
          <w:sz w:val="32"/>
          <w:szCs w:val="32"/>
        </w:rPr>
      </w:pPr>
      <w:r>
        <w:rPr>
          <w:rFonts w:ascii="Times New Roman"/>
          <w:sz w:val="32"/>
          <w:szCs w:val="32"/>
        </w:rPr>
        <w:t>部门预算项目支出绩效自评表</w:t>
      </w:r>
      <w:r>
        <w:rPr>
          <w:rFonts w:hint="eastAsia" w:ascii="Times New Roman"/>
          <w:sz w:val="32"/>
          <w:szCs w:val="32"/>
        </w:rPr>
        <w:t>（2</w:t>
      </w:r>
      <w:r>
        <w:rPr>
          <w:rFonts w:ascii="Times New Roman"/>
          <w:sz w:val="32"/>
          <w:szCs w:val="32"/>
        </w:rPr>
        <w:t>02</w:t>
      </w:r>
      <w:r>
        <w:rPr>
          <w:rFonts w:hint="eastAsia" w:ascii="Times New Roman"/>
          <w:sz w:val="32"/>
          <w:szCs w:val="32"/>
          <w:lang w:val="en-US" w:eastAsia="zh-CN"/>
        </w:rPr>
        <w:t>4</w:t>
      </w:r>
      <w:r>
        <w:rPr>
          <w:rFonts w:ascii="Times New Roman"/>
          <w:sz w:val="32"/>
          <w:szCs w:val="32"/>
        </w:rPr>
        <w:t>年度</w:t>
      </w:r>
      <w:r>
        <w:rPr>
          <w:rFonts w:hint="eastAsia" w:ascii="Times New Roman"/>
          <w:sz w:val="32"/>
          <w:szCs w:val="32"/>
        </w:rPr>
        <w:t>）</w:t>
      </w:r>
      <w:r>
        <w:rPr>
          <w:rFonts w:ascii="Times New Roman"/>
          <w:sz w:val="32"/>
          <w:szCs w:val="32"/>
        </w:rPr>
        <w:t>详见附件。</w:t>
      </w:r>
    </w:p>
    <w:p>
      <w:pPr>
        <w:pStyle w:val="6"/>
        <w:spacing w:before="93"/>
        <w:rPr>
          <w:rFonts w:ascii="Times New Roman"/>
          <w:sz w:val="32"/>
          <w:szCs w:val="32"/>
        </w:rPr>
      </w:pPr>
    </w:p>
    <w:p>
      <w:pPr>
        <w:pStyle w:val="6"/>
        <w:spacing w:before="93"/>
        <w:rPr>
          <w:rFonts w:ascii="Times New Roman"/>
          <w:sz w:val="32"/>
          <w:szCs w:val="32"/>
        </w:rPr>
      </w:pPr>
    </w:p>
    <w:p>
      <w:pPr>
        <w:pStyle w:val="6"/>
        <w:spacing w:before="93"/>
        <w:rPr>
          <w:rFonts w:ascii="Times New Roman"/>
          <w:sz w:val="32"/>
          <w:szCs w:val="32"/>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spacing w:line="600" w:lineRule="exact"/>
        <w:jc w:val="center"/>
        <w:outlineLvl w:val="0"/>
        <w:rPr>
          <w:rFonts w:eastAsia="黑体"/>
          <w:sz w:val="44"/>
          <w:szCs w:val="44"/>
        </w:rPr>
      </w:pPr>
    </w:p>
    <w:p>
      <w:pPr>
        <w:pStyle w:val="6"/>
      </w:pPr>
    </w:p>
    <w:p>
      <w:pPr>
        <w:spacing w:line="600" w:lineRule="exact"/>
        <w:jc w:val="center"/>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w:t>
      </w:r>
      <w:r>
        <w:rPr>
          <w:rStyle w:val="16"/>
          <w:rFonts w:hint="eastAsia" w:ascii="方正小标宋_GBK" w:hAnsi="方正小标宋_GBK" w:eastAsia="方正小标宋_GBK" w:cs="方正小标宋_GBK"/>
          <w:b/>
          <w:bCs/>
          <w:sz w:val="44"/>
          <w:szCs w:val="44"/>
        </w:rPr>
        <w:t xml:space="preserve">五部分 </w:t>
      </w:r>
      <w:r>
        <w:rPr>
          <w:rStyle w:val="16"/>
          <w:rFonts w:hint="eastAsia" w:ascii="方正小标宋_GBK" w:hAnsi="方正小标宋_GBK" w:eastAsia="方正小标宋_GBK" w:cs="方正小标宋_GBK"/>
          <w:b/>
          <w:bCs/>
          <w:sz w:val="44"/>
          <w:szCs w:val="44"/>
          <w:lang w:val="en-US" w:eastAsia="zh-CN"/>
        </w:rPr>
        <w:t xml:space="preserve"> </w:t>
      </w:r>
      <w:r>
        <w:rPr>
          <w:rStyle w:val="16"/>
          <w:rFonts w:hint="eastAsia" w:ascii="方正小标宋_GBK" w:hAnsi="方正小标宋_GBK" w:eastAsia="方正小标宋_GBK" w:cs="方正小标宋_GBK"/>
          <w:b/>
          <w:bCs/>
          <w:sz w:val="44"/>
          <w:szCs w:val="44"/>
        </w:rPr>
        <w:t>附表</w:t>
      </w:r>
      <w:bookmarkEnd w:id="50"/>
      <w:bookmarkEnd w:id="52"/>
      <w:bookmarkStart w:id="53" w:name="_Toc15396619"/>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b w:val="0"/>
        </w:rPr>
      </w:pP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r>
        <w:rPr>
          <w:rFonts w:ascii="Times New Roman" w:hAnsi="Times New Roman" w:eastAsia="仿宋" w:cs="Times New Roman"/>
          <w:b w:val="0"/>
        </w:rPr>
        <w:t>一、收</w:t>
      </w:r>
      <w:r>
        <w:rPr>
          <w:rStyle w:val="17"/>
          <w:rFonts w:ascii="Times New Roman" w:hAnsi="Times New Roman" w:eastAsia="仿宋" w:cs="Times New Roman"/>
          <w:b w:val="0"/>
          <w:bCs w:val="0"/>
        </w:rPr>
        <w:t>入支出决算总表</w:t>
      </w:r>
      <w:bookmarkEnd w:id="53"/>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54" w:name="_Toc15396620"/>
      <w:r>
        <w:rPr>
          <w:rFonts w:ascii="Times New Roman" w:hAnsi="Times New Roman" w:eastAsia="仿宋" w:cs="Times New Roman"/>
          <w:b w:val="0"/>
        </w:rPr>
        <w:t>二、收</w:t>
      </w:r>
      <w:r>
        <w:rPr>
          <w:rStyle w:val="17"/>
          <w:rFonts w:ascii="Times New Roman" w:hAnsi="Times New Roman" w:eastAsia="仿宋" w:cs="Times New Roman"/>
          <w:b w:val="0"/>
          <w:bCs w:val="0"/>
        </w:rPr>
        <w:t>入决算表</w:t>
      </w:r>
      <w:bookmarkEnd w:id="54"/>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55" w:name="_Toc15396621"/>
      <w:r>
        <w:rPr>
          <w:rStyle w:val="17"/>
          <w:rFonts w:ascii="Times New Roman" w:hAnsi="Times New Roman" w:eastAsia="仿宋" w:cs="Times New Roman"/>
          <w:b w:val="0"/>
          <w:bCs w:val="0"/>
        </w:rPr>
        <w:t>三、</w:t>
      </w:r>
      <w:r>
        <w:rPr>
          <w:rFonts w:ascii="Times New Roman" w:hAnsi="Times New Roman" w:eastAsia="仿宋" w:cs="Times New Roman"/>
          <w:b w:val="0"/>
        </w:rPr>
        <w:t>支</w:t>
      </w:r>
      <w:r>
        <w:rPr>
          <w:rStyle w:val="17"/>
          <w:rFonts w:ascii="Times New Roman" w:hAnsi="Times New Roman" w:eastAsia="仿宋" w:cs="Times New Roman"/>
          <w:b w:val="0"/>
          <w:bCs w:val="0"/>
        </w:rPr>
        <w:t>出决算表</w:t>
      </w:r>
      <w:bookmarkEnd w:id="55"/>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b w:val="0"/>
        </w:rPr>
      </w:pPr>
      <w:bookmarkStart w:id="56" w:name="_Toc15396622"/>
      <w:r>
        <w:rPr>
          <w:rStyle w:val="17"/>
          <w:rFonts w:ascii="Times New Roman" w:hAnsi="Times New Roman" w:eastAsia="仿宋" w:cs="Times New Roman"/>
          <w:b w:val="0"/>
          <w:bCs w:val="0"/>
        </w:rPr>
        <w:t>四、</w:t>
      </w:r>
      <w:r>
        <w:rPr>
          <w:rFonts w:ascii="Times New Roman" w:hAnsi="Times New Roman" w:eastAsia="仿宋" w:cs="Times New Roman"/>
          <w:b w:val="0"/>
        </w:rPr>
        <w:t>财</w:t>
      </w:r>
      <w:r>
        <w:rPr>
          <w:rStyle w:val="17"/>
          <w:rFonts w:ascii="Times New Roman" w:hAnsi="Times New Roman" w:eastAsia="仿宋" w:cs="Times New Roman"/>
          <w:b w:val="0"/>
          <w:bCs w:val="0"/>
        </w:rPr>
        <w:t>政拨款收入支出决算总表</w:t>
      </w:r>
      <w:bookmarkEnd w:id="56"/>
    </w:p>
    <w:p>
      <w:pPr>
        <w:pStyle w:val="5"/>
        <w:pageBreakBefore w:val="0"/>
        <w:widowControl w:val="0"/>
        <w:kinsoku/>
        <w:wordWrap/>
        <w:overflowPunct/>
        <w:topLinePunct w:val="0"/>
        <w:autoSpaceDE/>
        <w:autoSpaceDN/>
        <w:bidi w:val="0"/>
        <w:adjustRightInd/>
        <w:snapToGrid/>
        <w:spacing w:before="0" w:after="0" w:line="240" w:lineRule="auto"/>
        <w:textAlignment w:val="auto"/>
        <w:rPr>
          <w:rStyle w:val="17"/>
          <w:rFonts w:ascii="Times New Roman" w:hAnsi="Times New Roman" w:eastAsia="仿宋" w:cs="Times New Roman"/>
          <w:b w:val="0"/>
          <w:bCs w:val="0"/>
        </w:rPr>
      </w:pPr>
      <w:bookmarkStart w:id="57" w:name="_Toc15396623"/>
      <w:r>
        <w:rPr>
          <w:rStyle w:val="17"/>
          <w:rFonts w:ascii="Times New Roman" w:hAnsi="Times New Roman" w:eastAsia="仿宋" w:cs="Times New Roman"/>
          <w:b w:val="0"/>
          <w:bCs w:val="0"/>
        </w:rPr>
        <w:t>五、</w:t>
      </w:r>
      <w:r>
        <w:rPr>
          <w:rFonts w:ascii="Times New Roman" w:hAnsi="Times New Roman" w:eastAsia="仿宋" w:cs="Times New Roman"/>
          <w:b w:val="0"/>
        </w:rPr>
        <w:t>财</w:t>
      </w:r>
      <w:r>
        <w:rPr>
          <w:rStyle w:val="17"/>
          <w:rFonts w:ascii="Times New Roman" w:hAnsi="Times New Roman" w:eastAsia="仿宋" w:cs="Times New Roman"/>
          <w:b w:val="0"/>
          <w:bCs w:val="0"/>
        </w:rPr>
        <w:t>政拨款支出决算明细表</w:t>
      </w:r>
      <w:bookmarkEnd w:id="57"/>
      <w:bookmarkStart w:id="58" w:name="_Toc15396624"/>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r>
        <w:rPr>
          <w:rStyle w:val="17"/>
          <w:rFonts w:ascii="Times New Roman" w:hAnsi="Times New Roman" w:eastAsia="仿宋" w:cs="Times New Roman"/>
          <w:b w:val="0"/>
          <w:bCs w:val="0"/>
        </w:rPr>
        <w:t>六、</w:t>
      </w:r>
      <w:r>
        <w:rPr>
          <w:rFonts w:ascii="Times New Roman" w:hAnsi="Times New Roman" w:eastAsia="仿宋" w:cs="Times New Roman"/>
          <w:b w:val="0"/>
        </w:rPr>
        <w:t>一</w:t>
      </w:r>
      <w:r>
        <w:rPr>
          <w:rStyle w:val="17"/>
          <w:rFonts w:ascii="Times New Roman" w:hAnsi="Times New Roman" w:eastAsia="仿宋" w:cs="Times New Roman"/>
          <w:b w:val="0"/>
          <w:bCs w:val="0"/>
        </w:rPr>
        <w:t>般公共预算财政拨款支出决算表</w:t>
      </w:r>
      <w:bookmarkEnd w:id="58"/>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59" w:name="_Toc15396625"/>
      <w:r>
        <w:rPr>
          <w:rStyle w:val="17"/>
          <w:rFonts w:ascii="Times New Roman" w:hAnsi="Times New Roman" w:eastAsia="仿宋" w:cs="Times New Roman"/>
          <w:b w:val="0"/>
          <w:bCs w:val="0"/>
        </w:rPr>
        <w:t>七、</w:t>
      </w:r>
      <w:r>
        <w:rPr>
          <w:rFonts w:ascii="Times New Roman" w:hAnsi="Times New Roman" w:eastAsia="仿宋" w:cs="Times New Roman"/>
          <w:b w:val="0"/>
        </w:rPr>
        <w:t>一</w:t>
      </w:r>
      <w:r>
        <w:rPr>
          <w:rStyle w:val="17"/>
          <w:rFonts w:ascii="Times New Roman" w:hAnsi="Times New Roman" w:eastAsia="仿宋" w:cs="Times New Roman"/>
          <w:b w:val="0"/>
          <w:bCs w:val="0"/>
        </w:rPr>
        <w:t>般公共预算财政拨款支出决算明细表</w:t>
      </w:r>
      <w:bookmarkEnd w:id="59"/>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0" w:name="_Toc15396626"/>
      <w:r>
        <w:rPr>
          <w:rStyle w:val="17"/>
          <w:rFonts w:ascii="Times New Roman" w:hAnsi="Times New Roman" w:eastAsia="仿宋" w:cs="Times New Roman"/>
          <w:b w:val="0"/>
          <w:bCs w:val="0"/>
        </w:rPr>
        <w:t>八、</w:t>
      </w:r>
      <w:r>
        <w:rPr>
          <w:rFonts w:ascii="Times New Roman" w:hAnsi="Times New Roman" w:eastAsia="仿宋" w:cs="Times New Roman"/>
          <w:b w:val="0"/>
        </w:rPr>
        <w:t>一</w:t>
      </w:r>
      <w:r>
        <w:rPr>
          <w:rStyle w:val="17"/>
          <w:rFonts w:ascii="Times New Roman" w:hAnsi="Times New Roman" w:eastAsia="仿宋" w:cs="Times New Roman"/>
          <w:b w:val="0"/>
          <w:bCs w:val="0"/>
        </w:rPr>
        <w:t>般公共预算财政拨款基本支出决算明细表</w:t>
      </w:r>
      <w:bookmarkEnd w:id="60"/>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1" w:name="_Toc15396627"/>
      <w:r>
        <w:rPr>
          <w:rStyle w:val="17"/>
          <w:rFonts w:ascii="Times New Roman" w:hAnsi="Times New Roman" w:eastAsia="仿宋" w:cs="Times New Roman"/>
          <w:b w:val="0"/>
          <w:bCs w:val="0"/>
        </w:rPr>
        <w:t>九、</w:t>
      </w:r>
      <w:r>
        <w:rPr>
          <w:rFonts w:ascii="Times New Roman" w:hAnsi="Times New Roman" w:eastAsia="仿宋" w:cs="Times New Roman"/>
          <w:b w:val="0"/>
        </w:rPr>
        <w:t>一</w:t>
      </w:r>
      <w:r>
        <w:rPr>
          <w:rStyle w:val="17"/>
          <w:rFonts w:ascii="Times New Roman" w:hAnsi="Times New Roman" w:eastAsia="仿宋" w:cs="Times New Roman"/>
          <w:b w:val="0"/>
          <w:bCs w:val="0"/>
        </w:rPr>
        <w:t>般公共预算财政拨款项目支出决算表</w:t>
      </w:r>
      <w:bookmarkEnd w:id="61"/>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2" w:name="_Toc15396628"/>
      <w:r>
        <w:rPr>
          <w:rStyle w:val="17"/>
          <w:rFonts w:ascii="Times New Roman" w:hAnsi="Times New Roman" w:eastAsia="仿宋" w:cs="Times New Roman"/>
          <w:b w:val="0"/>
          <w:bCs w:val="0"/>
        </w:rPr>
        <w:t>十、</w:t>
      </w:r>
      <w:bookmarkEnd w:id="62"/>
      <w:r>
        <w:rPr>
          <w:rFonts w:ascii="Times New Roman" w:hAnsi="Times New Roman" w:eastAsia="仿宋" w:cs="Times New Roman"/>
          <w:b w:val="0"/>
        </w:rPr>
        <w:t>政</w:t>
      </w:r>
      <w:r>
        <w:rPr>
          <w:rStyle w:val="17"/>
          <w:rFonts w:ascii="Times New Roman" w:hAnsi="Times New Roman" w:eastAsia="仿宋" w:cs="Times New Roman"/>
          <w:b w:val="0"/>
          <w:bCs w:val="0"/>
        </w:rPr>
        <w:t>府性基金预算财政拨款收入支出决算表</w:t>
      </w: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3" w:name="_Toc15396629"/>
      <w:r>
        <w:rPr>
          <w:rStyle w:val="17"/>
          <w:rFonts w:ascii="Times New Roman" w:hAnsi="Times New Roman" w:eastAsia="仿宋" w:cs="Times New Roman"/>
          <w:b w:val="0"/>
          <w:bCs w:val="0"/>
        </w:rPr>
        <w:t>十一、</w:t>
      </w:r>
      <w:bookmarkEnd w:id="63"/>
      <w:r>
        <w:rPr>
          <w:rFonts w:ascii="Times New Roman" w:hAnsi="Times New Roman" w:eastAsia="仿宋" w:cs="Times New Roman"/>
          <w:b w:val="0"/>
        </w:rPr>
        <w:t>国</w:t>
      </w:r>
      <w:r>
        <w:rPr>
          <w:rStyle w:val="17"/>
          <w:rFonts w:ascii="Times New Roman" w:hAnsi="Times New Roman" w:eastAsia="仿宋" w:cs="Times New Roman"/>
          <w:b w:val="0"/>
          <w:bCs w:val="0"/>
        </w:rPr>
        <w:t>有资本经营预算财政拨款收入支出决算表</w:t>
      </w: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4" w:name="_Toc15396630"/>
      <w:r>
        <w:rPr>
          <w:rStyle w:val="17"/>
          <w:rFonts w:ascii="Times New Roman" w:hAnsi="Times New Roman" w:eastAsia="仿宋" w:cs="Times New Roman"/>
          <w:b w:val="0"/>
          <w:bCs w:val="0"/>
        </w:rPr>
        <w:t>十二、</w:t>
      </w:r>
      <w:bookmarkEnd w:id="64"/>
      <w:r>
        <w:rPr>
          <w:rStyle w:val="17"/>
          <w:rFonts w:ascii="Times New Roman" w:hAnsi="Times New Roman" w:eastAsia="仿宋" w:cs="Times New Roman"/>
          <w:b w:val="0"/>
          <w:bCs w:val="0"/>
        </w:rPr>
        <w:t>国有资本经营预算财政拨款支出决算表</w:t>
      </w:r>
    </w:p>
    <w:p>
      <w:pPr>
        <w:pStyle w:val="5"/>
        <w:pageBreakBefore w:val="0"/>
        <w:widowControl w:val="0"/>
        <w:kinsoku/>
        <w:wordWrap/>
        <w:overflowPunct/>
        <w:topLinePunct w:val="0"/>
        <w:autoSpaceDE/>
        <w:autoSpaceDN/>
        <w:bidi w:val="0"/>
        <w:adjustRightInd/>
        <w:snapToGrid/>
        <w:spacing w:before="0" w:after="0" w:line="240" w:lineRule="auto"/>
        <w:textAlignment w:val="auto"/>
        <w:rPr>
          <w:rFonts w:ascii="Times New Roman" w:hAnsi="Times New Roman" w:eastAsia="仿宋" w:cs="Times New Roman"/>
        </w:rPr>
      </w:pPr>
      <w:bookmarkStart w:id="65" w:name="_Toc15396631"/>
      <w:r>
        <w:rPr>
          <w:rStyle w:val="17"/>
          <w:rFonts w:ascii="Times New Roman" w:hAnsi="Times New Roman" w:eastAsia="仿宋" w:cs="Times New Roman"/>
          <w:b w:val="0"/>
          <w:bCs w:val="0"/>
        </w:rPr>
        <w:t>十三、</w:t>
      </w:r>
      <w:bookmarkEnd w:id="65"/>
      <w:r>
        <w:rPr>
          <w:rStyle w:val="17"/>
          <w:rFonts w:ascii="Times New Roman" w:hAnsi="Times New Roman" w:eastAsia="仿宋" w:cs="Times New Roman"/>
          <w:b w:val="0"/>
          <w:bCs w:val="0"/>
        </w:rPr>
        <w:t>财政拨款“三公”经费支出决算表</w:t>
      </w:r>
    </w:p>
    <w:p>
      <w:pPr>
        <w:pageBreakBefore w:val="0"/>
        <w:widowControl w:val="0"/>
        <w:kinsoku/>
        <w:wordWrap/>
        <w:overflowPunct/>
        <w:topLinePunct w:val="0"/>
        <w:autoSpaceDE/>
        <w:autoSpaceDN/>
        <w:bidi w:val="0"/>
        <w:adjustRightInd/>
        <w:snapToGrid/>
        <w:spacing w:line="240" w:lineRule="auto"/>
        <w:textAlignment w:val="auto"/>
      </w:pPr>
    </w:p>
    <w:sectPr>
      <w:footerReference r:id="rId6" w:type="first"/>
      <w:footerReference r:id="rId5" w:type="default"/>
      <w:pgSz w:w="11906" w:h="16838"/>
      <w:pgMar w:top="2098" w:right="1474" w:bottom="1984" w:left="1588" w:header="907" w:footer="164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A579524"/>
    <w:multiLevelType w:val="singleLevel"/>
    <w:tmpl w:val="FA579524"/>
    <w:lvl w:ilvl="0" w:tentative="0">
      <w:start w:val="4"/>
      <w:numFmt w:val="chineseCounting"/>
      <w:suff w:val="nothing"/>
      <w:lvlText w:val="（%1）"/>
      <w:lvlJc w:val="left"/>
      <w:rPr>
        <w:rFonts w:hint="eastAsia"/>
      </w:r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YjY0NWQyNWUyNWQxOGNhMzIwYzY0NDAyYTdjNGMifQ=="/>
  </w:docVars>
  <w:rsids>
    <w:rsidRoot w:val="00566FB9"/>
    <w:rsid w:val="00561BD0"/>
    <w:rsid w:val="00566FB9"/>
    <w:rsid w:val="007D6FA7"/>
    <w:rsid w:val="00D26DCF"/>
    <w:rsid w:val="00F05B60"/>
    <w:rsid w:val="041E55C5"/>
    <w:rsid w:val="04245BB1"/>
    <w:rsid w:val="0D023F06"/>
    <w:rsid w:val="1B7417F1"/>
    <w:rsid w:val="1D1971B7"/>
    <w:rsid w:val="23C655EF"/>
    <w:rsid w:val="26A83AF7"/>
    <w:rsid w:val="28AF087B"/>
    <w:rsid w:val="28E44817"/>
    <w:rsid w:val="2C260277"/>
    <w:rsid w:val="2C6757FD"/>
    <w:rsid w:val="2C810141"/>
    <w:rsid w:val="364408B0"/>
    <w:rsid w:val="37316004"/>
    <w:rsid w:val="39517A7D"/>
    <w:rsid w:val="39B1475E"/>
    <w:rsid w:val="3A267C24"/>
    <w:rsid w:val="3A3E5A09"/>
    <w:rsid w:val="3BF58A1C"/>
    <w:rsid w:val="42E9352D"/>
    <w:rsid w:val="48DC514F"/>
    <w:rsid w:val="4E9345EA"/>
    <w:rsid w:val="502D37C8"/>
    <w:rsid w:val="55A010D8"/>
    <w:rsid w:val="589F6974"/>
    <w:rsid w:val="5A2C6590"/>
    <w:rsid w:val="5C2D36F7"/>
    <w:rsid w:val="5C7D5034"/>
    <w:rsid w:val="674B4B92"/>
    <w:rsid w:val="68E76623"/>
    <w:rsid w:val="69052577"/>
    <w:rsid w:val="7793F104"/>
    <w:rsid w:val="77F057A0"/>
    <w:rsid w:val="78F30269"/>
    <w:rsid w:val="79F67DD6"/>
    <w:rsid w:val="7A27518A"/>
    <w:rsid w:val="7E4A5688"/>
    <w:rsid w:val="7E6C100F"/>
    <w:rsid w:val="7EE80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6">
    <w:name w:val="Body Text"/>
    <w:basedOn w:val="1"/>
    <w:link w:val="1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customStyle="1" w:styleId="16">
    <w:name w:val="标题 1 Char"/>
    <w:basedOn w:val="14"/>
    <w:link w:val="4"/>
    <w:qFormat/>
    <w:uiPriority w:val="9"/>
    <w:rPr>
      <w:rFonts w:ascii="Times New Roman" w:hAnsi="Times New Roman" w:eastAsia="宋体" w:cs="Times New Roman"/>
      <w:b/>
      <w:bCs/>
      <w:kern w:val="44"/>
      <w:sz w:val="44"/>
      <w:szCs w:val="44"/>
    </w:rPr>
  </w:style>
  <w:style w:type="character" w:customStyle="1" w:styleId="17">
    <w:name w:val="标题 2 Char"/>
    <w:basedOn w:val="14"/>
    <w:link w:val="5"/>
    <w:qFormat/>
    <w:uiPriority w:val="9"/>
    <w:rPr>
      <w:rFonts w:asciiTheme="majorHAnsi" w:hAnsiTheme="majorHAnsi" w:eastAsiaTheme="majorEastAsia" w:cstheme="majorBidi"/>
      <w:b/>
      <w:bCs/>
      <w:sz w:val="32"/>
      <w:szCs w:val="32"/>
    </w:rPr>
  </w:style>
  <w:style w:type="character" w:customStyle="1" w:styleId="18">
    <w:name w:val="正文文本 Char"/>
    <w:basedOn w:val="14"/>
    <w:link w:val="6"/>
    <w:qFormat/>
    <w:uiPriority w:val="99"/>
    <w:rPr>
      <w:rFonts w:ascii="仿宋_GB2312" w:hAnsi="Times New Roman" w:eastAsia="仿宋_GB2312" w:cs="Times New Roman"/>
      <w:kern w:val="0"/>
      <w:sz w:val="30"/>
      <w:szCs w:val="24"/>
    </w:rPr>
  </w:style>
  <w:style w:type="character" w:customStyle="1" w:styleId="19">
    <w:name w:val="页脚 Char"/>
    <w:basedOn w:val="14"/>
    <w:link w:val="9"/>
    <w:qFormat/>
    <w:uiPriority w:val="99"/>
    <w:rPr>
      <w:rFonts w:ascii="Calibri" w:hAnsi="Calibri" w:eastAsia="宋体" w:cs="Times New Roman"/>
      <w:kern w:val="0"/>
      <w:sz w:val="18"/>
      <w:szCs w:val="18"/>
    </w:rPr>
  </w:style>
  <w:style w:type="character" w:customStyle="1" w:styleId="20">
    <w:name w:val="页眉 Char"/>
    <w:basedOn w:val="14"/>
    <w:link w:val="10"/>
    <w:semiHidden/>
    <w:qFormat/>
    <w:uiPriority w:val="99"/>
    <w:rPr>
      <w:rFonts w:ascii="Calibri" w:hAnsi="Calibri" w:eastAsia="宋体" w:cs="Times New Roman"/>
      <w:kern w:val="0"/>
      <w:sz w:val="18"/>
      <w:szCs w:val="18"/>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lang="zh-CN" altLang="en-US"/>
              <a:t>收、支决算总计变动情况图</a:t>
            </a:r>
            <a:endParaRPr lang="zh-CN" altLang="en-US"/>
          </a:p>
        </c:rich>
      </c:tx>
      <c:layout>
        <c:manualLayout>
          <c:xMode val="edge"/>
          <c:yMode val="edge"/>
          <c:x val="0.139159864622735"/>
          <c:y val="0.00655307994757536"/>
        </c:manualLayout>
      </c:layout>
      <c:overlay val="0"/>
      <c:spPr>
        <a:noFill/>
        <a:ln>
          <a:noFill/>
        </a:ln>
        <a:effectLst/>
      </c:spPr>
    </c:title>
    <c:autoTitleDeleted val="0"/>
    <c:plotArea>
      <c:layout>
        <c:manualLayout>
          <c:layoutTarget val="inner"/>
          <c:xMode val="edge"/>
          <c:yMode val="edge"/>
          <c:x val="0.194207167031654"/>
          <c:y val="0.2003000386632"/>
          <c:w val="0.673800000000001"/>
          <c:h val="0.651175451620887"/>
        </c:manualLayout>
      </c:layout>
      <c:barChart>
        <c:barDir val="col"/>
        <c:grouping val="clustered"/>
        <c:varyColors val="0"/>
        <c:ser>
          <c:idx val="0"/>
          <c:order val="0"/>
          <c:tx>
            <c:strRef>
              <c:f>Sheet1!$B$1</c:f>
              <c:strCache>
                <c:ptCount val="1"/>
                <c:pt idx="0">
                  <c:v>2023年</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0597252637865817"/>
                  <c:y val="-0.584801043705154"/>
                </c:manualLayout>
              </c:layout>
              <c:dLblPos val="inBase"/>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trendline>
            <c:trendlineType val="linear"/>
            <c:dispRSqr val="0"/>
            <c:dispEq val="0"/>
          </c:trendline>
          <c:val>
            <c:numRef>
              <c:f>Sheet1!$B$2</c:f>
              <c:numCache>
                <c:formatCode>General</c:formatCode>
                <c:ptCount val="1"/>
                <c:pt idx="0">
                  <c:v>325.2</c:v>
                </c:pt>
              </c:numCache>
            </c:numRef>
          </c:val>
        </c:ser>
        <c:ser>
          <c:idx val="1"/>
          <c:order val="1"/>
          <c:tx>
            <c:strRef>
              <c:f>Sheet1!$C$1</c:f>
              <c:strCache>
                <c:ptCount val="1"/>
                <c:pt idx="0">
                  <c:v>2024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Sheet1!$C$2</c:f>
              <c:numCache>
                <c:formatCode>General</c:formatCode>
                <c:ptCount val="1"/>
                <c:pt idx="0">
                  <c:v>252.73</c:v>
                </c:pt>
              </c:numCache>
            </c:numRef>
          </c:val>
        </c:ser>
        <c:dLbls>
          <c:showLegendKey val="0"/>
          <c:showVal val="1"/>
          <c:showCatName val="0"/>
          <c:showSerName val="0"/>
          <c:showPercent val="0"/>
          <c:showBubbleSize val="0"/>
        </c:dLbls>
        <c:gapWidth val="100"/>
        <c:overlap val="-24"/>
        <c:axId val="116805632"/>
        <c:axId val="116807552"/>
      </c:barChart>
      <c:catAx>
        <c:axId val="116805632"/>
        <c:scaling>
          <c:orientation val="minMax"/>
        </c:scaling>
        <c:delete val="1"/>
        <c:axPos val="b"/>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807552"/>
        <c:crosses val="autoZero"/>
        <c:auto val="1"/>
        <c:lblAlgn val="ctr"/>
        <c:lblOffset val="100"/>
        <c:noMultiLvlLbl val="0"/>
      </c:catAx>
      <c:valAx>
        <c:axId val="116807552"/>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6805632"/>
        <c:crosses val="autoZero"/>
        <c:crossBetween val="between"/>
      </c:valAx>
      <c:spPr>
        <a:noFill/>
        <a:ln>
          <a:noFill/>
        </a:ln>
        <a:effectLst/>
      </c:spPr>
    </c:plotArea>
    <c:legend>
      <c:legendPos val="b"/>
      <c:legendEntry>
        <c:idx val="2"/>
        <c:delete val="1"/>
      </c:legendEntry>
      <c:layout>
        <c:manualLayout>
          <c:xMode val="edge"/>
          <c:yMode val="edge"/>
          <c:x val="0.300617161059128"/>
          <c:y val="0.900611620795107"/>
          <c:w val="0.425243878160462"/>
          <c:h val="0.073176059414591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a:scene3d>
              <a:camera prst="orthographicFront"/>
              <a:lightRig rig="threePt" dir="t"/>
            </a:scene3d>
            <a:sp3d contourW="9525"/>
          </c:spPr>
          <c:explosion val="0"/>
          <c:dPt>
            <c:idx val="0"/>
            <c:bubble3D val="0"/>
            <c:spPr>
              <a:solidFill>
                <a:schemeClr val="accent1"/>
              </a:solidFill>
              <a:ln>
                <a:solidFill>
                  <a:schemeClr val="bg1"/>
                </a:solidFill>
              </a:ln>
              <a:effectLst/>
              <a:scene3d>
                <a:camera prst="orthographicFront"/>
                <a:lightRig rig="threePt" dir="t"/>
              </a:scene3d>
              <a:sp3d contourW="9525"/>
            </c:spPr>
          </c:dPt>
          <c:dLbls>
            <c:dLbl>
              <c:idx val="0"/>
              <c:layout>
                <c:manualLayout>
                  <c:x val="0.308975037760136"/>
                  <c:y val="-0.079389765794989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 100.00%</a:t>
                    </a:r>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一般公共预算财政拨款收入</c:v>
                </c:pt>
              </c:strCache>
            </c:strRef>
          </c:cat>
          <c:val>
            <c:numRef>
              <c:f>Sheet1!$B$2</c:f>
              <c:numCache>
                <c:formatCode>0.00%</c:formatCode>
                <c:ptCount val="1"/>
                <c:pt idx="0">
                  <c:v>1</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manualLayout>
          <c:layoutTarget val="inner"/>
          <c:xMode val="edge"/>
          <c:yMode val="edge"/>
          <c:x val="0.0790494826952478"/>
          <c:y val="0.184068733039216"/>
          <c:w val="0.830091459487312"/>
          <c:h val="0.668273444347064"/>
        </c:manualLayout>
      </c:layout>
      <c:pieChart>
        <c:varyColors val="1"/>
        <c:ser>
          <c:idx val="0"/>
          <c:order val="0"/>
          <c:tx>
            <c:strRef>
              <c:f>Sheet1!$B$1</c:f>
              <c:strCache>
                <c:ptCount val="1"/>
                <c:pt idx="0">
                  <c:v>系列 1</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0.804534483440826</c:v>
                </c:pt>
                <c:pt idx="1">
                  <c:v>0.195465516559174</c:v>
                </c:pt>
              </c:numCache>
            </c:numRef>
          </c:val>
        </c:ser>
        <c:ser>
          <c:idx val="1"/>
          <c:order val="1"/>
          <c:tx>
            <c:strRef>
              <c:f>Sheet1!#REF!</c:f>
              <c:strCache>
                <c:ptCount val="1"/>
                <c:pt idx="0">
                  <c:v/>
                </c:pt>
              </c:strCache>
            </c:strRef>
          </c:tx>
          <c:explosion val="0"/>
          <c:dPt>
            <c:idx val="0"/>
            <c:bubble3D val="0"/>
            <c:spPr>
              <a:solidFill>
                <a:schemeClr val="accent1"/>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explosion val="0"/>
          <c:dPt>
            <c:idx val="0"/>
            <c:bubble3D val="0"/>
            <c:spPr>
              <a:solidFill>
                <a:schemeClr val="accent1"/>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lang="zh-CN" altLang="en-US"/>
              <a:t>收、支决算总计变动情况图</a:t>
            </a:r>
            <a:endParaRPr lang="zh-CN" altLang="en-US"/>
          </a:p>
        </c:rich>
      </c:tx>
      <c:layout>
        <c:manualLayout>
          <c:xMode val="edge"/>
          <c:yMode val="edge"/>
          <c:x val="0.139159864622735"/>
          <c:y val="0.00655307994757536"/>
        </c:manualLayout>
      </c:layout>
      <c:overlay val="0"/>
      <c:spPr>
        <a:noFill/>
        <a:ln>
          <a:noFill/>
        </a:ln>
        <a:effectLst/>
      </c:spPr>
    </c:title>
    <c:autoTitleDeleted val="0"/>
    <c:plotArea>
      <c:layout>
        <c:manualLayout>
          <c:layoutTarget val="inner"/>
          <c:xMode val="edge"/>
          <c:yMode val="edge"/>
          <c:x val="0.194207167031654"/>
          <c:y val="0.2003000386632"/>
          <c:w val="0.673800000000001"/>
          <c:h val="0.651175451620887"/>
        </c:manualLayout>
      </c:layout>
      <c:barChart>
        <c:barDir val="col"/>
        <c:grouping val="clustered"/>
        <c:varyColors val="0"/>
        <c:ser>
          <c:idx val="0"/>
          <c:order val="0"/>
          <c:tx>
            <c:strRef>
              <c:f>Sheet1!$B$1</c:f>
              <c:strCache>
                <c:ptCount val="1"/>
                <c:pt idx="0">
                  <c:v>2023年</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0597252637865817"/>
                  <c:y val="-0.584801043705154"/>
                </c:manualLayout>
              </c:layout>
              <c:dLblPos val="inBase"/>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trendline>
            <c:trendlineType val="linear"/>
            <c:dispRSqr val="0"/>
            <c:dispEq val="0"/>
          </c:trendline>
          <c:val>
            <c:numRef>
              <c:f>Sheet1!$B$2</c:f>
              <c:numCache>
                <c:formatCode>General</c:formatCode>
                <c:ptCount val="1"/>
                <c:pt idx="0">
                  <c:v>325.2</c:v>
                </c:pt>
              </c:numCache>
            </c:numRef>
          </c:val>
        </c:ser>
        <c:ser>
          <c:idx val="1"/>
          <c:order val="1"/>
          <c:tx>
            <c:strRef>
              <c:f>Sheet1!$C$1</c:f>
              <c:strCache>
                <c:ptCount val="1"/>
                <c:pt idx="0">
                  <c:v>2024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Sheet1!$C$2</c:f>
              <c:numCache>
                <c:formatCode>General</c:formatCode>
                <c:ptCount val="1"/>
                <c:pt idx="0">
                  <c:v>252.73</c:v>
                </c:pt>
              </c:numCache>
            </c:numRef>
          </c:val>
        </c:ser>
        <c:dLbls>
          <c:showLegendKey val="0"/>
          <c:showVal val="1"/>
          <c:showCatName val="0"/>
          <c:showSerName val="0"/>
          <c:showPercent val="0"/>
          <c:showBubbleSize val="0"/>
        </c:dLbls>
        <c:gapWidth val="100"/>
        <c:overlap val="-24"/>
        <c:axId val="116805632"/>
        <c:axId val="116807552"/>
      </c:barChart>
      <c:catAx>
        <c:axId val="116805632"/>
        <c:scaling>
          <c:orientation val="minMax"/>
        </c:scaling>
        <c:delete val="1"/>
        <c:axPos val="b"/>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807552"/>
        <c:crosses val="autoZero"/>
        <c:auto val="1"/>
        <c:lblAlgn val="ctr"/>
        <c:lblOffset val="100"/>
        <c:noMultiLvlLbl val="0"/>
      </c:catAx>
      <c:valAx>
        <c:axId val="116807552"/>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6805632"/>
        <c:crosses val="autoZero"/>
        <c:crossBetween val="between"/>
      </c:valAx>
      <c:spPr>
        <a:noFill/>
        <a:ln>
          <a:noFill/>
        </a:ln>
        <a:effectLst/>
      </c:spPr>
    </c:plotArea>
    <c:legend>
      <c:legendPos val="b"/>
      <c:legendEntry>
        <c:idx val="2"/>
        <c:delete val="1"/>
      </c:legendEntry>
      <c:layout>
        <c:manualLayout>
          <c:xMode val="edge"/>
          <c:yMode val="edge"/>
          <c:x val="0.300617161059128"/>
          <c:y val="0.900611620795107"/>
          <c:w val="0.425243878160462"/>
          <c:h val="0.073176059414591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rPr altLang="en-US" sz="1050"/>
              <a:t>一般公共预算财政拨款支出决算变动情况</a:t>
            </a:r>
            <a:endParaRPr lang="en-US" altLang="zh-CN" sz="1050"/>
          </a:p>
        </c:rich>
      </c:tx>
      <c:layout>
        <c:manualLayout>
          <c:xMode val="edge"/>
          <c:yMode val="edge"/>
          <c:x val="0.247129708456876"/>
          <c:y val="0.758693502279507"/>
        </c:manualLayout>
      </c:layout>
      <c:overlay val="0"/>
      <c:spPr>
        <a:noFill/>
        <a:ln>
          <a:noFill/>
        </a:ln>
        <a:effectLst/>
      </c:spPr>
    </c:title>
    <c:autoTitleDeleted val="0"/>
    <c:plotArea>
      <c:layout>
        <c:manualLayout>
          <c:layoutTarget val="inner"/>
          <c:xMode val="edge"/>
          <c:yMode val="edge"/>
          <c:x val="0.194207167031654"/>
          <c:y val="0.0808908437391309"/>
          <c:w val="0.673800000000001"/>
          <c:h val="0.651175451620887"/>
        </c:manualLayout>
      </c:layout>
      <c:barChart>
        <c:barDir val="col"/>
        <c:grouping val="clustered"/>
        <c:varyColors val="0"/>
        <c:ser>
          <c:idx val="0"/>
          <c:order val="0"/>
          <c:tx>
            <c:strRef>
              <c:f>Sheet1!$B$1</c:f>
              <c:strCache>
                <c:ptCount val="1"/>
                <c:pt idx="0">
                  <c:v>2023年</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0.00597252637865817"/>
                  <c:y val="-0.584801043705154"/>
                </c:manualLayout>
              </c:layout>
              <c:dLblPos val="inBase"/>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2">
                          <a:lumMod val="35000"/>
                          <a:lumOff val="65000"/>
                        </a:schemeClr>
                      </a:solidFill>
                      <a:prstDash val="solid"/>
                      <a:round/>
                    </a:ln>
                    <a:effectLst/>
                  </c:spPr>
                </c15:leaderLines>
              </c:ext>
            </c:extLst>
          </c:dLbls>
          <c:trendline>
            <c:trendlineType val="linear"/>
            <c:dispRSqr val="0"/>
            <c:dispEq val="0"/>
          </c:trendline>
          <c:val>
            <c:numRef>
              <c:f>Sheet1!$B$2</c:f>
              <c:numCache>
                <c:formatCode>General</c:formatCode>
                <c:ptCount val="1"/>
                <c:pt idx="0">
                  <c:v>325.2</c:v>
                </c:pt>
              </c:numCache>
            </c:numRef>
          </c:val>
        </c:ser>
        <c:ser>
          <c:idx val="1"/>
          <c:order val="1"/>
          <c:tx>
            <c:strRef>
              <c:f>Sheet1!$C$1</c:f>
              <c:strCache>
                <c:ptCount val="1"/>
                <c:pt idx="0">
                  <c:v>2024</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val>
            <c:numRef>
              <c:f>Sheet1!$C$2</c:f>
              <c:numCache>
                <c:formatCode>General</c:formatCode>
                <c:ptCount val="1"/>
                <c:pt idx="0">
                  <c:v>252.73</c:v>
                </c:pt>
              </c:numCache>
            </c:numRef>
          </c:val>
        </c:ser>
        <c:dLbls>
          <c:showLegendKey val="0"/>
          <c:showVal val="1"/>
          <c:showCatName val="0"/>
          <c:showSerName val="0"/>
          <c:showPercent val="0"/>
          <c:showBubbleSize val="0"/>
        </c:dLbls>
        <c:gapWidth val="100"/>
        <c:overlap val="-24"/>
        <c:axId val="116805632"/>
        <c:axId val="116807552"/>
      </c:barChart>
      <c:catAx>
        <c:axId val="116805632"/>
        <c:scaling>
          <c:orientation val="minMax"/>
        </c:scaling>
        <c:delete val="1"/>
        <c:axPos val="b"/>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6807552"/>
        <c:crosses val="autoZero"/>
        <c:auto val="1"/>
        <c:lblAlgn val="ctr"/>
        <c:lblOffset val="100"/>
        <c:noMultiLvlLbl val="0"/>
      </c:catAx>
      <c:valAx>
        <c:axId val="116807552"/>
        <c:scaling>
          <c:orientation val="minMax"/>
        </c:scaling>
        <c:delete val="0"/>
        <c:axPos val="l"/>
        <c:majorGridlines>
          <c:spPr>
            <a:ln w="9525"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116805632"/>
        <c:crosses val="autoZero"/>
        <c:crossBetween val="between"/>
      </c:valAx>
      <c:spPr>
        <a:noFill/>
        <a:ln>
          <a:noFill/>
        </a:ln>
        <a:effectLst/>
      </c:spPr>
    </c:plotArea>
    <c:legend>
      <c:legendPos val="b"/>
      <c:legendEntry>
        <c:idx val="2"/>
        <c:delete val="1"/>
      </c:legendEntry>
      <c:layout>
        <c:manualLayout>
          <c:xMode val="edge"/>
          <c:yMode val="edge"/>
          <c:x val="0.295366757181907"/>
          <c:y val="0.861293959051816"/>
          <c:w val="0.425243878160462"/>
          <c:h val="0.0731760594145915"/>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37</Words>
  <Characters>44</Characters>
  <Lines>44</Lines>
  <Paragraphs>12</Paragraphs>
  <TotalTime>10</TotalTime>
  <ScaleCrop>false</ScaleCrop>
  <LinksUpToDate>false</LinksUpToDate>
  <CharactersWithSpaces>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2023-11-06T17:47:00Z</dcterms:created>
  <dc:creator>王思乡</dc:creator>
  <cp:lastModifiedBy>胡丽蓉</cp:lastModifiedBy>
  <cp:lastPrinted>2025-10-24T10:59:00Z</cp:lastPrinted>
  <dcterms:modified xsi:type="dcterms:W3CDTF">2025-10-30T09:13:56Z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2DB564176A98421AAE79923010C6EA71_13</vt:lpwstr>
  </property>
</Properties>
</file>