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B63E6">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7193"/>
      <w:bookmarkStart w:id="2" w:name="_Toc15396597"/>
      <w:bookmarkStart w:id="3" w:name="_Toc15396475"/>
      <w:bookmarkStart w:id="4" w:name="_Toc15378441"/>
      <w:bookmarkStart w:id="5" w:name="_Toc15306267"/>
    </w:p>
    <w:p w14:paraId="49BA1524">
      <w:pPr>
        <w:pStyle w:val="2"/>
        <w:rPr>
          <w:rFonts w:hint="eastAsia" w:ascii="Times New Roman" w:hAnsi="Times New Roman" w:eastAsia="方正小标宋简体" w:cs="Times New Roman"/>
          <w:color w:val="auto"/>
          <w:kern w:val="2"/>
          <w:sz w:val="72"/>
          <w:szCs w:val="72"/>
          <w:highlight w:val="none"/>
          <w:lang w:val="en-US" w:eastAsia="zh-CN" w:bidi="ar-SA"/>
        </w:rPr>
      </w:pPr>
    </w:p>
    <w:p w14:paraId="4C9481C0">
      <w:pPr>
        <w:rPr>
          <w:rFonts w:ascii="Times New Roman" w:hAnsi="Times New Roman"/>
        </w:rPr>
      </w:pPr>
    </w:p>
    <w:p w14:paraId="126D7496">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59E5BE60">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0F1924BF">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2903DB0A">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1BCEA3E7">
      <w:pPr>
        <w:pStyle w:val="2"/>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7426"/>
      <w:bookmarkStart w:id="7" w:name="_Toc15396598"/>
      <w:bookmarkStart w:id="8" w:name="_Toc15377194"/>
      <w:bookmarkStart w:id="9" w:name="_Toc15396476"/>
      <w:bookmarkStart w:id="10" w:name="_Toc15378442"/>
      <w:r>
        <w:rPr>
          <w:rFonts w:hint="eastAsia" w:ascii="Times New Roman" w:hAnsi="Times New Roman" w:eastAsia="方正小标宋简体" w:cs="Times New Roman"/>
          <w:color w:val="auto"/>
          <w:kern w:val="2"/>
          <w:sz w:val="44"/>
          <w:szCs w:val="44"/>
          <w:highlight w:val="none"/>
          <w:lang w:val="en-US" w:eastAsia="zh-CN" w:bidi="ar-SA"/>
        </w:rPr>
        <w:t>2024年度</w:t>
      </w:r>
    </w:p>
    <w:p w14:paraId="20E123C2">
      <w:pPr>
        <w:pStyle w:val="2"/>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攀枝花市西区卫生健康局</w:t>
      </w:r>
    </w:p>
    <w:p w14:paraId="213AE454">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394AFA7F">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6ED23F00">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30</w:t>
      </w:r>
      <w:r>
        <w:rPr>
          <w:rFonts w:hint="eastAsia" w:ascii="Times New Roman" w:hAnsi="Times New Roman" w:eastAsia="仿宋_GB2312" w:cs="仿宋_GB2312"/>
          <w:color w:val="auto"/>
          <w:sz w:val="32"/>
          <w:szCs w:val="32"/>
          <w:highlight w:val="none"/>
        </w:rPr>
        <w:t>日</w:t>
      </w:r>
    </w:p>
    <w:p w14:paraId="40332D59">
      <w:pPr>
        <w:rPr>
          <w:rFonts w:ascii="Times New Roman" w:hAnsi="Times New Roman"/>
          <w:color w:val="auto"/>
          <w:highlight w:val="none"/>
        </w:rPr>
      </w:pPr>
    </w:p>
    <w:p w14:paraId="06895245">
      <w:pPr>
        <w:pStyle w:val="12"/>
        <w:tabs>
          <w:tab w:val="right" w:leader="dot" w:pos="8306"/>
          <w:tab w:val="clear" w:pos="8296"/>
        </w:tabs>
      </w:pPr>
      <w:bookmarkStart w:id="12" w:name="_Toc15396599"/>
      <w:bookmarkStart w:id="13" w:name="_Toc15377196"/>
      <w:r>
        <w:fldChar w:fldCharType="begin"/>
      </w:r>
      <w:r>
        <w:instrText xml:space="preserve">TOC \o "1-2" \h \u </w:instrText>
      </w:r>
      <w:r>
        <w:fldChar w:fldCharType="separate"/>
      </w:r>
      <w:r>
        <w:fldChar w:fldCharType="begin"/>
      </w:r>
      <w:r>
        <w:instrText xml:space="preserve"> HYPERLINK \l _Toc16178 </w:instrText>
      </w:r>
      <w:r>
        <w:fldChar w:fldCharType="separate"/>
      </w:r>
      <w:r>
        <w:rPr>
          <w:rFonts w:hint="eastAsia" w:eastAsia="方正小标宋简体" w:cs="方正小标宋简体"/>
          <w:highlight w:val="none"/>
          <w:lang w:eastAsia="zh-CN"/>
        </w:rPr>
        <w:t>第一部分</w:t>
      </w:r>
      <w:r>
        <w:rPr>
          <w:rFonts w:hint="eastAsia"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lang w:eastAsia="zh-CN"/>
        </w:rPr>
        <w:t>单位</w:t>
      </w:r>
      <w:r>
        <w:rPr>
          <w:rFonts w:hint="eastAsia" w:ascii="Times New Roman" w:hAnsi="Times New Roman" w:eastAsia="方正小标宋简体" w:cs="方正小标宋简体"/>
          <w:highlight w:val="none"/>
        </w:rPr>
        <w:t>概况</w:t>
      </w:r>
      <w:r>
        <w:tab/>
      </w:r>
      <w:r>
        <w:fldChar w:fldCharType="begin"/>
      </w:r>
      <w:r>
        <w:instrText xml:space="preserve"> PAGEREF _Toc16178 \h </w:instrText>
      </w:r>
      <w:r>
        <w:fldChar w:fldCharType="separate"/>
      </w:r>
      <w:r>
        <w:t>3</w:t>
      </w:r>
      <w:r>
        <w:fldChar w:fldCharType="end"/>
      </w:r>
      <w:r>
        <w:fldChar w:fldCharType="end"/>
      </w:r>
    </w:p>
    <w:p w14:paraId="762CADE5">
      <w:pPr>
        <w:pStyle w:val="14"/>
        <w:tabs>
          <w:tab w:val="right" w:leader="dot" w:pos="8306"/>
          <w:tab w:val="clear" w:pos="8296"/>
        </w:tabs>
      </w:pPr>
      <w:r>
        <w:fldChar w:fldCharType="begin"/>
      </w:r>
      <w:r>
        <w:instrText xml:space="preserve"> HYPERLINK \l _Toc2936 </w:instrText>
      </w:r>
      <w:r>
        <w:fldChar w:fldCharType="separate"/>
      </w:r>
      <w:r>
        <w:rPr>
          <w:rFonts w:hint="eastAsia" w:ascii="黑体" w:hAnsi="黑体" w:eastAsia="黑体"/>
          <w:bCs w:val="0"/>
          <w:lang w:val="en-US" w:eastAsia="zh-CN"/>
        </w:rPr>
        <w:t>一、</w:t>
      </w:r>
      <w:r>
        <w:rPr>
          <w:rFonts w:hint="eastAsia" w:ascii="黑体" w:hAnsi="黑体" w:eastAsia="黑体"/>
          <w:bCs w:val="0"/>
        </w:rPr>
        <w:t>主要职责</w:t>
      </w:r>
      <w:r>
        <w:tab/>
      </w:r>
      <w:r>
        <w:fldChar w:fldCharType="begin"/>
      </w:r>
      <w:r>
        <w:instrText xml:space="preserve"> PAGEREF _Toc2936 \h </w:instrText>
      </w:r>
      <w:r>
        <w:fldChar w:fldCharType="separate"/>
      </w:r>
      <w:r>
        <w:t>3</w:t>
      </w:r>
      <w:r>
        <w:fldChar w:fldCharType="end"/>
      </w:r>
      <w:r>
        <w:fldChar w:fldCharType="end"/>
      </w:r>
    </w:p>
    <w:p w14:paraId="6C9E1FBE">
      <w:pPr>
        <w:pStyle w:val="14"/>
        <w:tabs>
          <w:tab w:val="right" w:leader="dot" w:pos="8306"/>
          <w:tab w:val="clear" w:pos="8296"/>
        </w:tabs>
      </w:pPr>
      <w:r>
        <w:fldChar w:fldCharType="begin"/>
      </w:r>
      <w:r>
        <w:instrText xml:space="preserve"> HYPERLINK \l _Toc19434 </w:instrText>
      </w:r>
      <w:r>
        <w:fldChar w:fldCharType="separate"/>
      </w:r>
      <w:r>
        <w:rPr>
          <w:rFonts w:hint="eastAsia" w:ascii="黑体" w:hAnsi="黑体" w:eastAsia="黑体"/>
        </w:rPr>
        <w:t>二、机构设置</w:t>
      </w:r>
      <w:r>
        <w:tab/>
      </w:r>
      <w:r>
        <w:rPr>
          <w:rFonts w:hint="eastAsia"/>
          <w:lang w:val="en-US" w:eastAsia="zh-CN"/>
        </w:rPr>
        <w:t>4</w:t>
      </w:r>
      <w:r>
        <w:fldChar w:fldCharType="end"/>
      </w:r>
    </w:p>
    <w:p w14:paraId="55E8D80A">
      <w:pPr>
        <w:pStyle w:val="12"/>
        <w:tabs>
          <w:tab w:val="right" w:leader="dot" w:pos="8306"/>
          <w:tab w:val="clear" w:pos="8296"/>
        </w:tabs>
        <w:rPr>
          <w:rFonts w:hint="eastAsia" w:eastAsia="仿宋"/>
          <w:lang w:val="en-US" w:eastAsia="zh-CN"/>
        </w:rPr>
      </w:pPr>
      <w:r>
        <w:fldChar w:fldCharType="begin"/>
      </w:r>
      <w:r>
        <w:instrText xml:space="preserve"> HYPERLINK \l _Toc6964 </w:instrText>
      </w:r>
      <w:r>
        <w:fldChar w:fldCharType="separate"/>
      </w:r>
      <w:r>
        <w:rPr>
          <w:rFonts w:hint="eastAsia" w:ascii="Times New Roman" w:hAnsi="Times New Roman" w:eastAsia="方正小标宋简体" w:cs="方正小标宋简体"/>
          <w:highlight w:val="none"/>
        </w:rPr>
        <w:t>第二部分 202</w:t>
      </w:r>
      <w:r>
        <w:rPr>
          <w:rFonts w:hint="eastAsia" w:eastAsia="方正小标宋简体" w:cs="方正小标宋简体"/>
          <w:highlight w:val="none"/>
          <w:lang w:val="en-US" w:eastAsia="zh-CN"/>
        </w:rPr>
        <w:t>4</w:t>
      </w:r>
      <w:r>
        <w:rPr>
          <w:rFonts w:hint="eastAsia" w:ascii="Times New Roman" w:hAnsi="Times New Roman" w:eastAsia="方正小标宋简体" w:cs="方正小标宋简体"/>
          <w:highlight w:val="none"/>
        </w:rPr>
        <w:t>年度单位决算情况说明</w:t>
      </w:r>
      <w:r>
        <w:tab/>
      </w:r>
      <w:r>
        <w:fldChar w:fldCharType="end"/>
      </w:r>
      <w:r>
        <w:rPr>
          <w:rFonts w:hint="eastAsia"/>
          <w:lang w:val="en-US" w:eastAsia="zh-CN"/>
        </w:rPr>
        <w:t>5</w:t>
      </w:r>
    </w:p>
    <w:p w14:paraId="0CC8B5FB">
      <w:pPr>
        <w:pStyle w:val="14"/>
        <w:tabs>
          <w:tab w:val="right" w:leader="dot" w:pos="8306"/>
          <w:tab w:val="clear" w:pos="8296"/>
        </w:tabs>
        <w:rPr>
          <w:rFonts w:hint="eastAsia" w:eastAsia="宋体"/>
          <w:lang w:val="en-US" w:eastAsia="zh-CN"/>
        </w:rPr>
      </w:pPr>
      <w:r>
        <w:fldChar w:fldCharType="begin"/>
      </w:r>
      <w:r>
        <w:instrText xml:space="preserve"> HYPERLINK \l _Toc14886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end"/>
      </w:r>
      <w:r>
        <w:rPr>
          <w:rFonts w:hint="eastAsia"/>
          <w:lang w:val="en-US" w:eastAsia="zh-CN"/>
        </w:rPr>
        <w:t>5</w:t>
      </w:r>
    </w:p>
    <w:p w14:paraId="53ACE90F">
      <w:pPr>
        <w:pStyle w:val="14"/>
        <w:tabs>
          <w:tab w:val="right" w:leader="dot" w:pos="8306"/>
          <w:tab w:val="clear" w:pos="8296"/>
        </w:tabs>
      </w:pPr>
      <w:r>
        <w:fldChar w:fldCharType="begin"/>
      </w:r>
      <w:r>
        <w:instrText xml:space="preserve"> HYPERLINK \l _Toc15056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5</w:t>
      </w:r>
      <w:r>
        <w:fldChar w:fldCharType="end"/>
      </w:r>
      <w:bookmarkStart w:id="73" w:name="_GoBack"/>
      <w:bookmarkEnd w:id="73"/>
    </w:p>
    <w:p w14:paraId="3BE286D6">
      <w:pPr>
        <w:pStyle w:val="14"/>
        <w:keepNext w:val="0"/>
        <w:keepLines/>
        <w:pageBreakBefore w:val="0"/>
        <w:widowControl w:val="0"/>
        <w:tabs>
          <w:tab w:val="right" w:leader="dot" w:pos="8306"/>
          <w:tab w:val="clear" w:pos="8296"/>
        </w:tabs>
        <w:kinsoku/>
        <w:wordWrap/>
        <w:overflowPunct/>
        <w:topLinePunct w:val="0"/>
        <w:autoSpaceDE/>
        <w:autoSpaceDN/>
        <w:bidi w:val="0"/>
        <w:adjustRightInd/>
        <w:snapToGrid/>
        <w:textAlignment w:val="auto"/>
      </w:pPr>
      <w:r>
        <w:fldChar w:fldCharType="begin"/>
      </w:r>
      <w:r>
        <w:instrText xml:space="preserve"> HYPERLINK \l _Toc22463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14:paraId="7DADF029">
      <w:pPr>
        <w:pStyle w:val="14"/>
        <w:tabs>
          <w:tab w:val="right" w:leader="dot" w:pos="8306"/>
          <w:tab w:val="clear" w:pos="8296"/>
        </w:tabs>
      </w:pPr>
      <w:r>
        <w:fldChar w:fldCharType="begin"/>
      </w:r>
      <w:r>
        <w:instrText xml:space="preserve"> HYPERLINK \l _Toc13023 </w:instrText>
      </w:r>
      <w:r>
        <w:fldChar w:fldCharType="separate"/>
      </w:r>
      <w:r>
        <w:rPr>
          <w:rFonts w:hint="eastAsia" w:ascii="黑体" w:hAnsi="黑体" w:eastAsia="黑体"/>
          <w:szCs w:val="32"/>
          <w:lang w:val="en-US" w:eastAsia="zh-CN"/>
        </w:rPr>
        <w:t>四、</w:t>
      </w:r>
      <w:r>
        <w:rPr>
          <w:rFonts w:hint="eastAsia" w:ascii="黑体" w:hAnsi="黑体" w:eastAsia="黑体" w:cs="Times New Roman"/>
          <w:kern w:val="2"/>
          <w:szCs w:val="32"/>
          <w:lang w:val="en-US" w:eastAsia="zh-CN" w:bidi="ar-SA"/>
        </w:rPr>
        <w:t>财政拨款收入支出决算总体情况说明</w:t>
      </w:r>
      <w:r>
        <w:tab/>
      </w:r>
      <w:r>
        <w:rPr>
          <w:rFonts w:hint="eastAsia"/>
          <w:lang w:val="en-US" w:eastAsia="zh-CN"/>
        </w:rPr>
        <w:t>7</w:t>
      </w:r>
      <w:r>
        <w:fldChar w:fldCharType="end"/>
      </w:r>
    </w:p>
    <w:p w14:paraId="339C9B6B">
      <w:pPr>
        <w:pStyle w:val="14"/>
        <w:tabs>
          <w:tab w:val="right" w:leader="dot" w:pos="8306"/>
          <w:tab w:val="clear" w:pos="8296"/>
        </w:tabs>
      </w:pPr>
      <w:r>
        <w:fldChar w:fldCharType="begin"/>
      </w:r>
      <w:r>
        <w:instrText xml:space="preserve"> HYPERLINK \l _Toc629 </w:instrText>
      </w:r>
      <w:r>
        <w:fldChar w:fldCharType="separate"/>
      </w:r>
      <w:r>
        <w:rPr>
          <w:rFonts w:hint="eastAsia" w:ascii="黑体" w:hAnsi="黑体" w:eastAsia="黑体"/>
          <w:szCs w:val="32"/>
          <w:lang w:val="en-US" w:eastAsia="zh-CN"/>
        </w:rPr>
        <w:t>五、</w:t>
      </w:r>
      <w:r>
        <w:rPr>
          <w:rFonts w:hint="eastAsia" w:ascii="黑体" w:hAnsi="黑体" w:eastAsia="黑体"/>
          <w:szCs w:val="32"/>
        </w:rPr>
        <w:t>一</w:t>
      </w:r>
      <w:r>
        <w:rPr>
          <w:rFonts w:hint="eastAsia" w:ascii="黑体" w:hAnsi="黑体" w:eastAsia="黑体"/>
        </w:rPr>
        <w:t>般公共预算财政拨款支出决算情况说明</w:t>
      </w:r>
      <w:r>
        <w:tab/>
      </w:r>
      <w:r>
        <w:rPr>
          <w:rFonts w:hint="eastAsia"/>
          <w:lang w:val="en-US" w:eastAsia="zh-CN"/>
        </w:rPr>
        <w:t>8</w:t>
      </w:r>
      <w:r>
        <w:fldChar w:fldCharType="end"/>
      </w:r>
    </w:p>
    <w:p w14:paraId="70F05CE3">
      <w:pPr>
        <w:pStyle w:val="14"/>
        <w:tabs>
          <w:tab w:val="right" w:leader="dot" w:pos="8306"/>
          <w:tab w:val="clear" w:pos="8296"/>
        </w:tabs>
        <w:rPr>
          <w:rFonts w:hint="eastAsia" w:eastAsia="宋体"/>
          <w:lang w:val="en-US" w:eastAsia="zh-CN"/>
        </w:rPr>
      </w:pPr>
      <w:r>
        <w:fldChar w:fldCharType="begin"/>
      </w:r>
      <w:r>
        <w:instrText xml:space="preserve"> HYPERLINK \l _Toc7694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_Toc7694 \h </w:instrText>
      </w:r>
      <w:r>
        <w:fldChar w:fldCharType="separate"/>
      </w:r>
      <w:r>
        <w:t>1</w:t>
      </w:r>
      <w:r>
        <w:fldChar w:fldCharType="end"/>
      </w:r>
      <w:r>
        <w:fldChar w:fldCharType="end"/>
      </w:r>
      <w:r>
        <w:rPr>
          <w:rFonts w:hint="eastAsia"/>
          <w:lang w:val="en-US" w:eastAsia="zh-CN"/>
        </w:rPr>
        <w:t>1</w:t>
      </w:r>
    </w:p>
    <w:p w14:paraId="0A38BA7D">
      <w:pPr>
        <w:pStyle w:val="14"/>
        <w:tabs>
          <w:tab w:val="right" w:leader="dot" w:pos="8306"/>
          <w:tab w:val="clear" w:pos="8296"/>
        </w:tabs>
        <w:rPr>
          <w:rFonts w:hint="eastAsia" w:eastAsia="宋体"/>
          <w:lang w:val="en-US" w:eastAsia="zh-CN"/>
        </w:rPr>
      </w:pPr>
      <w:r>
        <w:fldChar w:fldCharType="begin"/>
      </w:r>
      <w:r>
        <w:instrText xml:space="preserve"> HYPERLINK \l _Toc23637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_Toc23637 \h </w:instrText>
      </w:r>
      <w:r>
        <w:fldChar w:fldCharType="separate"/>
      </w:r>
      <w:r>
        <w:t>1</w:t>
      </w:r>
      <w:r>
        <w:fldChar w:fldCharType="end"/>
      </w:r>
      <w:r>
        <w:fldChar w:fldCharType="end"/>
      </w:r>
      <w:r>
        <w:rPr>
          <w:rFonts w:hint="eastAsia"/>
          <w:lang w:val="en-US" w:eastAsia="zh-CN"/>
        </w:rPr>
        <w:t>4</w:t>
      </w:r>
    </w:p>
    <w:p w14:paraId="02E08F4F">
      <w:pPr>
        <w:pStyle w:val="14"/>
        <w:tabs>
          <w:tab w:val="right" w:leader="dot" w:pos="8306"/>
          <w:tab w:val="clear" w:pos="8296"/>
        </w:tabs>
        <w:rPr>
          <w:rFonts w:hint="eastAsia" w:eastAsia="宋体"/>
          <w:lang w:val="en-US" w:eastAsia="zh-CN"/>
        </w:rPr>
      </w:pPr>
      <w:r>
        <w:fldChar w:fldCharType="begin"/>
      </w:r>
      <w:r>
        <w:instrText xml:space="preserve"> HYPERLINK \l _Toc704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_Toc704 \h </w:instrText>
      </w:r>
      <w:r>
        <w:fldChar w:fldCharType="separate"/>
      </w:r>
      <w:r>
        <w:t>1</w:t>
      </w:r>
      <w:r>
        <w:fldChar w:fldCharType="end"/>
      </w:r>
      <w:r>
        <w:fldChar w:fldCharType="end"/>
      </w:r>
      <w:r>
        <w:rPr>
          <w:rFonts w:hint="eastAsia"/>
          <w:lang w:val="en-US" w:eastAsia="zh-CN"/>
        </w:rPr>
        <w:t>4</w:t>
      </w:r>
    </w:p>
    <w:p w14:paraId="075A8FF6">
      <w:pPr>
        <w:pStyle w:val="14"/>
        <w:tabs>
          <w:tab w:val="right" w:leader="dot" w:pos="8306"/>
          <w:tab w:val="clear" w:pos="8296"/>
        </w:tabs>
        <w:rPr>
          <w:rFonts w:hint="eastAsia" w:eastAsia="宋体"/>
          <w:lang w:val="en-US" w:eastAsia="zh-CN"/>
        </w:rPr>
      </w:pPr>
      <w:r>
        <w:fldChar w:fldCharType="begin"/>
      </w:r>
      <w:r>
        <w:instrText xml:space="preserve"> HYPERLINK \l _Toc9519 </w:instrText>
      </w:r>
      <w:r>
        <w:fldChar w:fldCharType="separate"/>
      </w:r>
      <w:r>
        <w:rPr>
          <w:rFonts w:hint="eastAsia" w:ascii="黑体" w:hAnsi="黑体" w:eastAsia="黑体"/>
        </w:rPr>
        <w:t>九、 国有资本经营预算支出决算情况说明</w:t>
      </w:r>
      <w:r>
        <w:tab/>
      </w:r>
      <w:r>
        <w:fldChar w:fldCharType="begin"/>
      </w:r>
      <w:r>
        <w:instrText xml:space="preserve"> PAGEREF _Toc9519 \h </w:instrText>
      </w:r>
      <w:r>
        <w:fldChar w:fldCharType="separate"/>
      </w:r>
      <w:r>
        <w:t>1</w:t>
      </w:r>
      <w:r>
        <w:fldChar w:fldCharType="end"/>
      </w:r>
      <w:r>
        <w:fldChar w:fldCharType="end"/>
      </w:r>
      <w:r>
        <w:rPr>
          <w:rFonts w:hint="eastAsia"/>
          <w:lang w:val="en-US" w:eastAsia="zh-CN"/>
        </w:rPr>
        <w:t>4</w:t>
      </w:r>
    </w:p>
    <w:p w14:paraId="7FEB1D70">
      <w:pPr>
        <w:pStyle w:val="14"/>
        <w:tabs>
          <w:tab w:val="right" w:leader="dot" w:pos="8306"/>
          <w:tab w:val="clear" w:pos="8296"/>
        </w:tabs>
        <w:rPr>
          <w:rFonts w:hint="eastAsia" w:eastAsia="宋体"/>
          <w:lang w:val="en-US" w:eastAsia="zh-CN"/>
        </w:rPr>
      </w:pPr>
      <w:r>
        <w:fldChar w:fldCharType="begin"/>
      </w:r>
      <w:r>
        <w:instrText xml:space="preserve"> HYPERLINK \l _Toc4223 </w:instrText>
      </w:r>
      <w:r>
        <w:fldChar w:fldCharType="separate"/>
      </w:r>
      <w:r>
        <w:rPr>
          <w:rFonts w:hint="eastAsia" w:ascii="黑体" w:hAnsi="黑体" w:eastAsia="黑体"/>
        </w:rPr>
        <w:t>十、 其他重要事项的情况说明</w:t>
      </w:r>
      <w:r>
        <w:tab/>
      </w:r>
      <w:r>
        <w:fldChar w:fldCharType="begin"/>
      </w:r>
      <w:r>
        <w:instrText xml:space="preserve"> PAGEREF _Toc4223 \h </w:instrText>
      </w:r>
      <w:r>
        <w:fldChar w:fldCharType="separate"/>
      </w:r>
      <w:r>
        <w:t>1</w:t>
      </w:r>
      <w:r>
        <w:fldChar w:fldCharType="end"/>
      </w:r>
      <w:r>
        <w:fldChar w:fldCharType="end"/>
      </w:r>
      <w:r>
        <w:rPr>
          <w:rFonts w:hint="eastAsia"/>
          <w:lang w:val="en-US" w:eastAsia="zh-CN"/>
        </w:rPr>
        <w:t>4</w:t>
      </w:r>
    </w:p>
    <w:p w14:paraId="2E417DD1">
      <w:pPr>
        <w:pStyle w:val="12"/>
        <w:tabs>
          <w:tab w:val="right" w:leader="dot" w:pos="8306"/>
          <w:tab w:val="clear" w:pos="8296"/>
        </w:tabs>
        <w:rPr>
          <w:rFonts w:hint="eastAsia" w:eastAsia="仿宋"/>
          <w:lang w:val="en-US" w:eastAsia="zh-CN"/>
        </w:rPr>
      </w:pPr>
      <w:r>
        <w:fldChar w:fldCharType="begin"/>
      </w:r>
      <w:r>
        <w:instrText xml:space="preserve"> HYPERLINK \l _Toc23464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_Toc23464 \h </w:instrText>
      </w:r>
      <w:r>
        <w:fldChar w:fldCharType="separate"/>
      </w:r>
      <w:r>
        <w:t>1</w:t>
      </w:r>
      <w:r>
        <w:fldChar w:fldCharType="end"/>
      </w:r>
      <w:r>
        <w:fldChar w:fldCharType="end"/>
      </w:r>
      <w:r>
        <w:rPr>
          <w:rFonts w:hint="eastAsia"/>
          <w:lang w:val="en-US" w:eastAsia="zh-CN"/>
        </w:rPr>
        <w:t>6</w:t>
      </w:r>
    </w:p>
    <w:p w14:paraId="6144F3C9">
      <w:pPr>
        <w:pStyle w:val="12"/>
        <w:tabs>
          <w:tab w:val="right" w:leader="dot" w:pos="8306"/>
          <w:tab w:val="clear" w:pos="8296"/>
        </w:tabs>
        <w:rPr>
          <w:rFonts w:hint="default" w:eastAsia="仿宋"/>
          <w:lang w:val="en-US" w:eastAsia="zh-CN"/>
        </w:rPr>
      </w:pPr>
      <w:r>
        <w:fldChar w:fldCharType="begin"/>
      </w:r>
      <w:r>
        <w:instrText xml:space="preserve"> HYPERLINK \l _Toc1038 </w:instrText>
      </w:r>
      <w:r>
        <w:fldChar w:fldCharType="separate"/>
      </w:r>
      <w:r>
        <w:rPr>
          <w:rFonts w:hint="eastAsia" w:ascii="黑体" w:hAnsi="黑体" w:eastAsia="黑体"/>
          <w:szCs w:val="44"/>
        </w:rPr>
        <w:t>第</w:t>
      </w:r>
      <w:r>
        <w:rPr>
          <w:rFonts w:hint="eastAsia" w:ascii="黑体" w:hAnsi="黑体" w:eastAsia="黑体"/>
        </w:rPr>
        <w:t>四部分 附件</w:t>
      </w:r>
      <w:r>
        <w:tab/>
      </w:r>
      <w:r>
        <w:fldChar w:fldCharType="end"/>
      </w:r>
      <w:r>
        <w:rPr>
          <w:rFonts w:hint="eastAsia"/>
          <w:lang w:val="en-US" w:eastAsia="zh-CN"/>
        </w:rPr>
        <w:t>19</w:t>
      </w:r>
    </w:p>
    <w:p w14:paraId="0FCD32E1">
      <w:pPr>
        <w:pStyle w:val="12"/>
        <w:tabs>
          <w:tab w:val="right" w:leader="dot" w:pos="8306"/>
          <w:tab w:val="clear" w:pos="8296"/>
        </w:tabs>
        <w:rPr>
          <w:rFonts w:hint="eastAsia" w:eastAsia="仿宋"/>
          <w:lang w:val="en-US" w:eastAsia="zh-CN"/>
        </w:rPr>
      </w:pPr>
      <w:r>
        <w:fldChar w:fldCharType="begin"/>
      </w:r>
      <w:r>
        <w:instrText xml:space="preserve"> HYPERLINK \l _Toc26389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_Toc26389 \h </w:instrText>
      </w:r>
      <w:r>
        <w:fldChar w:fldCharType="separate"/>
      </w:r>
      <w:r>
        <w:t>2</w:t>
      </w:r>
      <w:r>
        <w:fldChar w:fldCharType="end"/>
      </w:r>
      <w:r>
        <w:fldChar w:fldCharType="end"/>
      </w:r>
      <w:r>
        <w:rPr>
          <w:rFonts w:hint="eastAsia"/>
          <w:lang w:val="en-US" w:eastAsia="zh-CN"/>
        </w:rPr>
        <w:t>0</w:t>
      </w:r>
    </w:p>
    <w:p w14:paraId="30A5A07F">
      <w:pPr>
        <w:pStyle w:val="14"/>
        <w:tabs>
          <w:tab w:val="right" w:leader="dot" w:pos="8306"/>
          <w:tab w:val="clear" w:pos="8296"/>
        </w:tabs>
        <w:rPr>
          <w:rFonts w:hint="eastAsia" w:eastAsia="宋体"/>
          <w:lang w:val="en-US" w:eastAsia="zh-CN"/>
        </w:rPr>
      </w:pPr>
      <w:r>
        <w:fldChar w:fldCharType="begin"/>
      </w:r>
      <w:r>
        <w:instrText xml:space="preserve"> HYPERLINK \l _Toc25599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_Toc25599 \h </w:instrText>
      </w:r>
      <w:r>
        <w:fldChar w:fldCharType="separate"/>
      </w:r>
      <w:r>
        <w:t>2</w:t>
      </w:r>
      <w:r>
        <w:fldChar w:fldCharType="end"/>
      </w:r>
      <w:r>
        <w:fldChar w:fldCharType="end"/>
      </w:r>
      <w:r>
        <w:rPr>
          <w:rFonts w:hint="eastAsia"/>
          <w:lang w:val="en-US" w:eastAsia="zh-CN"/>
        </w:rPr>
        <w:t>0</w:t>
      </w:r>
    </w:p>
    <w:p w14:paraId="053CA4F7">
      <w:pPr>
        <w:pStyle w:val="14"/>
        <w:tabs>
          <w:tab w:val="right" w:leader="dot" w:pos="8306"/>
          <w:tab w:val="clear" w:pos="8296"/>
        </w:tabs>
        <w:rPr>
          <w:rFonts w:hint="eastAsia" w:eastAsia="宋体"/>
          <w:lang w:val="en-US" w:eastAsia="zh-CN"/>
        </w:rPr>
      </w:pPr>
      <w:r>
        <w:fldChar w:fldCharType="begin"/>
      </w:r>
      <w:r>
        <w:instrText xml:space="preserve"> HYPERLINK \l _Toc19967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_Toc19967 \h </w:instrText>
      </w:r>
      <w:r>
        <w:fldChar w:fldCharType="separate"/>
      </w:r>
      <w:r>
        <w:t>2</w:t>
      </w:r>
      <w:r>
        <w:fldChar w:fldCharType="end"/>
      </w:r>
      <w:r>
        <w:fldChar w:fldCharType="end"/>
      </w:r>
      <w:r>
        <w:rPr>
          <w:rFonts w:hint="eastAsia"/>
          <w:lang w:val="en-US" w:eastAsia="zh-CN"/>
        </w:rPr>
        <w:t>0</w:t>
      </w:r>
    </w:p>
    <w:p w14:paraId="11F437BD">
      <w:pPr>
        <w:pStyle w:val="14"/>
        <w:tabs>
          <w:tab w:val="right" w:leader="dot" w:pos="8306"/>
          <w:tab w:val="clear" w:pos="8296"/>
        </w:tabs>
        <w:rPr>
          <w:rFonts w:hint="eastAsia" w:eastAsia="宋体"/>
          <w:lang w:val="en-US" w:eastAsia="zh-CN"/>
        </w:rPr>
      </w:pPr>
      <w:r>
        <w:fldChar w:fldCharType="begin"/>
      </w:r>
      <w:r>
        <w:instrText xml:space="preserve"> HYPERLINK \l _Toc32054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_Toc32054 \h </w:instrText>
      </w:r>
      <w:r>
        <w:fldChar w:fldCharType="separate"/>
      </w:r>
      <w:r>
        <w:t>2</w:t>
      </w:r>
      <w:r>
        <w:fldChar w:fldCharType="end"/>
      </w:r>
      <w:r>
        <w:fldChar w:fldCharType="end"/>
      </w:r>
      <w:r>
        <w:rPr>
          <w:rFonts w:hint="eastAsia"/>
          <w:lang w:val="en-US" w:eastAsia="zh-CN"/>
        </w:rPr>
        <w:t>0</w:t>
      </w:r>
    </w:p>
    <w:p w14:paraId="39598053">
      <w:pPr>
        <w:pStyle w:val="14"/>
        <w:tabs>
          <w:tab w:val="right" w:leader="dot" w:pos="8306"/>
          <w:tab w:val="clear" w:pos="8296"/>
        </w:tabs>
        <w:rPr>
          <w:rFonts w:hint="eastAsia" w:eastAsia="宋体"/>
          <w:lang w:val="en-US" w:eastAsia="zh-CN"/>
        </w:rPr>
      </w:pPr>
      <w:r>
        <w:fldChar w:fldCharType="begin"/>
      </w:r>
      <w:r>
        <w:instrText xml:space="preserve"> HYPERLINK \l _Toc14745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_Toc14745 \h </w:instrText>
      </w:r>
      <w:r>
        <w:fldChar w:fldCharType="separate"/>
      </w:r>
      <w:r>
        <w:t>2</w:t>
      </w:r>
      <w:r>
        <w:fldChar w:fldCharType="end"/>
      </w:r>
      <w:r>
        <w:fldChar w:fldCharType="end"/>
      </w:r>
      <w:r>
        <w:rPr>
          <w:rFonts w:hint="eastAsia"/>
          <w:lang w:val="en-US" w:eastAsia="zh-CN"/>
        </w:rPr>
        <w:t>0</w:t>
      </w:r>
    </w:p>
    <w:p w14:paraId="1C3AE603">
      <w:pPr>
        <w:pStyle w:val="14"/>
        <w:tabs>
          <w:tab w:val="right" w:leader="dot" w:pos="8306"/>
          <w:tab w:val="clear" w:pos="8296"/>
        </w:tabs>
        <w:rPr>
          <w:rFonts w:hint="eastAsia" w:eastAsia="宋体"/>
          <w:lang w:val="en-US" w:eastAsia="zh-CN"/>
        </w:rPr>
      </w:pPr>
      <w:r>
        <w:fldChar w:fldCharType="begin"/>
      </w:r>
      <w:r>
        <w:instrText xml:space="preserve"> HYPERLINK \l _Toc12623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_Toc12623 \h </w:instrText>
      </w:r>
      <w:r>
        <w:fldChar w:fldCharType="separate"/>
      </w:r>
      <w:r>
        <w:t>2</w:t>
      </w:r>
      <w:r>
        <w:fldChar w:fldCharType="end"/>
      </w:r>
      <w:r>
        <w:fldChar w:fldCharType="end"/>
      </w:r>
      <w:r>
        <w:rPr>
          <w:rFonts w:hint="eastAsia"/>
          <w:lang w:val="en-US" w:eastAsia="zh-CN"/>
        </w:rPr>
        <w:t>0</w:t>
      </w:r>
    </w:p>
    <w:p w14:paraId="5454411D">
      <w:pPr>
        <w:pStyle w:val="14"/>
        <w:tabs>
          <w:tab w:val="right" w:leader="dot" w:pos="8306"/>
          <w:tab w:val="clear" w:pos="8296"/>
        </w:tabs>
        <w:rPr>
          <w:rFonts w:hint="eastAsia" w:eastAsia="宋体"/>
          <w:lang w:val="en-US" w:eastAsia="zh-CN"/>
        </w:rPr>
      </w:pPr>
      <w:r>
        <w:fldChar w:fldCharType="begin"/>
      </w:r>
      <w:r>
        <w:instrText xml:space="preserve"> HYPERLINK \l _Toc25282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_Toc25282 \h </w:instrText>
      </w:r>
      <w:r>
        <w:fldChar w:fldCharType="separate"/>
      </w:r>
      <w:r>
        <w:t>2</w:t>
      </w:r>
      <w:r>
        <w:fldChar w:fldCharType="end"/>
      </w:r>
      <w:r>
        <w:fldChar w:fldCharType="end"/>
      </w:r>
      <w:r>
        <w:rPr>
          <w:rFonts w:hint="eastAsia"/>
          <w:lang w:val="en-US" w:eastAsia="zh-CN"/>
        </w:rPr>
        <w:t>0</w:t>
      </w:r>
    </w:p>
    <w:p w14:paraId="68F48686">
      <w:pPr>
        <w:pStyle w:val="14"/>
        <w:tabs>
          <w:tab w:val="right" w:leader="dot" w:pos="8306"/>
          <w:tab w:val="clear" w:pos="8296"/>
        </w:tabs>
        <w:rPr>
          <w:rFonts w:hint="eastAsia" w:eastAsia="宋体"/>
          <w:lang w:val="en-US" w:eastAsia="zh-CN"/>
        </w:rPr>
      </w:pPr>
      <w:r>
        <w:fldChar w:fldCharType="begin"/>
      </w:r>
      <w:r>
        <w:instrText xml:space="preserve"> HYPERLINK \l _Toc26390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_Toc26390 \h </w:instrText>
      </w:r>
      <w:r>
        <w:fldChar w:fldCharType="separate"/>
      </w:r>
      <w:r>
        <w:t>2</w:t>
      </w:r>
      <w:r>
        <w:fldChar w:fldCharType="end"/>
      </w:r>
      <w:r>
        <w:fldChar w:fldCharType="end"/>
      </w:r>
      <w:r>
        <w:rPr>
          <w:rFonts w:hint="eastAsia"/>
          <w:lang w:val="en-US" w:eastAsia="zh-CN"/>
        </w:rPr>
        <w:t>0</w:t>
      </w:r>
    </w:p>
    <w:p w14:paraId="30AF335A">
      <w:pPr>
        <w:pStyle w:val="14"/>
        <w:tabs>
          <w:tab w:val="right" w:leader="dot" w:pos="8306"/>
          <w:tab w:val="clear" w:pos="8296"/>
        </w:tabs>
        <w:rPr>
          <w:rFonts w:hint="eastAsia" w:eastAsia="宋体"/>
          <w:lang w:val="en-US" w:eastAsia="zh-CN"/>
        </w:rPr>
      </w:pPr>
      <w:r>
        <w:fldChar w:fldCharType="begin"/>
      </w:r>
      <w:r>
        <w:instrText xml:space="preserve"> HYPERLINK \l _Toc10432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_Toc10432 \h </w:instrText>
      </w:r>
      <w:r>
        <w:fldChar w:fldCharType="separate"/>
      </w:r>
      <w:r>
        <w:t>2</w:t>
      </w:r>
      <w:r>
        <w:fldChar w:fldCharType="end"/>
      </w:r>
      <w:r>
        <w:fldChar w:fldCharType="end"/>
      </w:r>
      <w:r>
        <w:rPr>
          <w:rFonts w:hint="eastAsia"/>
          <w:lang w:val="en-US" w:eastAsia="zh-CN"/>
        </w:rPr>
        <w:t>0</w:t>
      </w:r>
    </w:p>
    <w:p w14:paraId="6D7F6BC6">
      <w:pPr>
        <w:pStyle w:val="14"/>
        <w:tabs>
          <w:tab w:val="right" w:leader="dot" w:pos="8306"/>
          <w:tab w:val="clear" w:pos="8296"/>
        </w:tabs>
        <w:rPr>
          <w:rFonts w:hint="eastAsia" w:eastAsia="宋体"/>
          <w:lang w:val="en-US" w:eastAsia="zh-CN"/>
        </w:rPr>
      </w:pPr>
      <w:r>
        <w:fldChar w:fldCharType="begin"/>
      </w:r>
      <w:r>
        <w:instrText xml:space="preserve"> HYPERLINK \l _Toc28099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_Toc28099 \h </w:instrText>
      </w:r>
      <w:r>
        <w:fldChar w:fldCharType="separate"/>
      </w:r>
      <w:r>
        <w:t>2</w:t>
      </w:r>
      <w:r>
        <w:fldChar w:fldCharType="end"/>
      </w:r>
      <w:r>
        <w:fldChar w:fldCharType="end"/>
      </w:r>
      <w:r>
        <w:rPr>
          <w:rFonts w:hint="eastAsia"/>
          <w:lang w:val="en-US" w:eastAsia="zh-CN"/>
        </w:rPr>
        <w:t>0</w:t>
      </w:r>
    </w:p>
    <w:p w14:paraId="1614B598">
      <w:pPr>
        <w:pStyle w:val="14"/>
        <w:tabs>
          <w:tab w:val="right" w:leader="dot" w:pos="8306"/>
          <w:tab w:val="clear" w:pos="8296"/>
        </w:tabs>
        <w:rPr>
          <w:rFonts w:hint="eastAsia" w:eastAsia="宋体"/>
          <w:lang w:val="en-US" w:eastAsia="zh-CN"/>
        </w:rPr>
      </w:pPr>
      <w:r>
        <w:fldChar w:fldCharType="begin"/>
      </w:r>
      <w:r>
        <w:instrText xml:space="preserve"> HYPERLINK \l _Toc24292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_Toc24292 \h </w:instrText>
      </w:r>
      <w:r>
        <w:fldChar w:fldCharType="separate"/>
      </w:r>
      <w:r>
        <w:t>2</w:t>
      </w:r>
      <w:r>
        <w:fldChar w:fldCharType="end"/>
      </w:r>
      <w:r>
        <w:fldChar w:fldCharType="end"/>
      </w:r>
      <w:r>
        <w:rPr>
          <w:rFonts w:hint="eastAsia"/>
          <w:lang w:val="en-US" w:eastAsia="zh-CN"/>
        </w:rPr>
        <w:t>0</w:t>
      </w:r>
    </w:p>
    <w:p w14:paraId="7F2D4A38">
      <w:pPr>
        <w:pStyle w:val="14"/>
        <w:tabs>
          <w:tab w:val="right" w:leader="dot" w:pos="8306"/>
          <w:tab w:val="clear" w:pos="8296"/>
        </w:tabs>
        <w:rPr>
          <w:rFonts w:hint="eastAsia" w:eastAsia="宋体"/>
          <w:lang w:val="en-US" w:eastAsia="zh-CN"/>
        </w:rPr>
      </w:pPr>
      <w:r>
        <w:fldChar w:fldCharType="begin"/>
      </w:r>
      <w:r>
        <w:instrText xml:space="preserve"> HYPERLINK \l _Toc28787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_Toc28787 \h </w:instrText>
      </w:r>
      <w:r>
        <w:fldChar w:fldCharType="separate"/>
      </w:r>
      <w:r>
        <w:t>2</w:t>
      </w:r>
      <w:r>
        <w:fldChar w:fldCharType="end"/>
      </w:r>
      <w:r>
        <w:fldChar w:fldCharType="end"/>
      </w:r>
      <w:r>
        <w:rPr>
          <w:rFonts w:hint="eastAsia"/>
          <w:lang w:val="en-US" w:eastAsia="zh-CN"/>
        </w:rPr>
        <w:t>0</w:t>
      </w:r>
    </w:p>
    <w:p w14:paraId="6ACCED7F">
      <w:pPr>
        <w:pStyle w:val="14"/>
        <w:tabs>
          <w:tab w:val="right" w:leader="dot" w:pos="8306"/>
          <w:tab w:val="clear" w:pos="8296"/>
        </w:tabs>
        <w:rPr>
          <w:rFonts w:hint="eastAsia" w:eastAsia="宋体"/>
          <w:lang w:val="en-US" w:eastAsia="zh-CN"/>
        </w:rPr>
      </w:pPr>
      <w:r>
        <w:fldChar w:fldCharType="begin"/>
      </w:r>
      <w:r>
        <w:instrText xml:space="preserve"> HYPERLINK \l _Toc23716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_Toc23716 \h </w:instrText>
      </w:r>
      <w:r>
        <w:fldChar w:fldCharType="separate"/>
      </w:r>
      <w:r>
        <w:t>2</w:t>
      </w:r>
      <w:r>
        <w:fldChar w:fldCharType="end"/>
      </w:r>
      <w:r>
        <w:fldChar w:fldCharType="end"/>
      </w:r>
      <w:r>
        <w:rPr>
          <w:rFonts w:hint="eastAsia"/>
          <w:lang w:val="en-US" w:eastAsia="zh-CN"/>
        </w:rPr>
        <w:t>0</w:t>
      </w:r>
    </w:p>
    <w:p w14:paraId="613E7803">
      <w:pPr>
        <w:pStyle w:val="14"/>
        <w:tabs>
          <w:tab w:val="right" w:leader="dot" w:pos="8306"/>
          <w:tab w:val="clear" w:pos="8296"/>
        </w:tabs>
        <w:rPr>
          <w:rFonts w:hint="eastAsia" w:eastAsia="宋体"/>
          <w:lang w:val="en-US" w:eastAsia="zh-CN"/>
        </w:rPr>
      </w:pPr>
      <w:r>
        <w:fldChar w:fldCharType="begin"/>
      </w:r>
      <w:r>
        <w:instrText xml:space="preserve"> HYPERLINK \l _Toc1634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_Toc1634 \h </w:instrText>
      </w:r>
      <w:r>
        <w:fldChar w:fldCharType="separate"/>
      </w:r>
      <w:r>
        <w:t>2</w:t>
      </w:r>
      <w:r>
        <w:fldChar w:fldCharType="end"/>
      </w:r>
      <w:r>
        <w:fldChar w:fldCharType="end"/>
      </w:r>
      <w:r>
        <w:rPr>
          <w:rFonts w:hint="eastAsia"/>
          <w:lang w:val="en-US" w:eastAsia="zh-CN"/>
        </w:rPr>
        <w:t>0</w:t>
      </w:r>
    </w:p>
    <w:p w14:paraId="6841CE4C">
      <w:pPr>
        <w:pStyle w:val="14"/>
        <w:bidi w:val="0"/>
        <w:rPr>
          <w:rFonts w:hint="eastAsia"/>
        </w:rPr>
      </w:pPr>
      <w:r>
        <w:fldChar w:fldCharType="end"/>
      </w:r>
      <w:r>
        <w:rPr>
          <w:rFonts w:hint="eastAsia"/>
        </w:rPr>
        <w:br w:type="page"/>
      </w:r>
    </w:p>
    <w:p w14:paraId="6AAEED0B">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28"/>
          <w:rFonts w:hint="eastAsia" w:ascii="Times New Roman" w:hAnsi="Times New Roman" w:eastAsia="方正小标宋简体" w:cs="方正小标宋简体"/>
          <w:b w:val="0"/>
          <w:bCs w:val="0"/>
          <w:color w:val="auto"/>
          <w:highlight w:val="none"/>
        </w:rPr>
        <w:t>概况</w:t>
      </w:r>
      <w:bookmarkEnd w:id="12"/>
      <w:bookmarkEnd w:id="13"/>
    </w:p>
    <w:p w14:paraId="3362BAEB">
      <w:pPr>
        <w:widowControl/>
        <w:jc w:val="left"/>
        <w:rPr>
          <w:rFonts w:ascii="Times New Roman" w:hAnsi="Times New Roman" w:eastAsia="黑体"/>
          <w:color w:val="auto"/>
          <w:sz w:val="32"/>
          <w:szCs w:val="32"/>
          <w:highlight w:val="none"/>
        </w:rPr>
      </w:pPr>
    </w:p>
    <w:p w14:paraId="058A879F">
      <w:pPr>
        <w:pStyle w:val="4"/>
        <w:rPr>
          <w:rFonts w:hint="eastAsia" w:ascii="Times New Roman" w:hAnsi="Times New Roman" w:eastAsia="黑体"/>
          <w:b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主要职责</w:t>
      </w:r>
    </w:p>
    <w:p w14:paraId="50FF615F">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组织拟订全区卫生健康政策。负责拟订卫生健康事业发展政策、规划并组织实施。统筹规划全区卫生健康资源配置。制定并组织实施推进卫生健康基本公共服务均等化、普惠化、便捷化和公共资源向基层延伸等政策措施。</w:t>
      </w:r>
    </w:p>
    <w:p w14:paraId="762DA3F3">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2.牵头推进全区深化医药卫生体制改革。研究提出深化改革重大政策、措施的建议。配合开展深化公立医院综合改革。制定并组织实施推动卫生健康公共服务提供主体多元化、方式多样化的政策措施。</w:t>
      </w:r>
    </w:p>
    <w:p w14:paraId="02E50B31">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3.制定并组织落实全区疾病预防控制规划、免疫规划以及严重危害人民健康的艾滋病等重大传染病、寄生虫病、地方病等公共卫生问题的干预措施。负责全区卫生应急工作，组织和指导全区突发公共卫生事件预防控制和各类突发公共事件的医疗卫生救援。收集、报告法定传染病疫情信息、突发公共卫生事件应急处置信息。依照国家检疫传染病和监测传染病目录，参与开展检疫监测工作。</w:t>
      </w:r>
    </w:p>
    <w:p w14:paraId="387DD8C0">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4</w:t>
      </w:r>
      <w:r>
        <w:rPr>
          <w:rFonts w:hint="default" w:ascii="Times New Roman" w:hAnsi="Times New Roman" w:eastAsia="仿宋_GB2312" w:cs="Times New Roman"/>
          <w:color w:val="000000"/>
          <w:spacing w:val="0"/>
          <w:sz w:val="32"/>
          <w:szCs w:val="32"/>
        </w:rPr>
        <w:t>.贯彻落实国家药物政策和国家基本药物制度。开展药械使用监测、临床综合评价和短缺药品预警，组织执行国家药典和国家基本药物目录，制定基本药物使用的政策措施。</w:t>
      </w:r>
    </w:p>
    <w:p w14:paraId="42258133">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5</w:t>
      </w:r>
      <w:r>
        <w:rPr>
          <w:rFonts w:hint="default" w:ascii="Times New Roman" w:hAnsi="Times New Roman" w:eastAsia="仿宋_GB2312" w:cs="Times New Roman"/>
          <w:color w:val="000000"/>
          <w:spacing w:val="0"/>
          <w:sz w:val="32"/>
          <w:szCs w:val="32"/>
        </w:rPr>
        <w:t>.组织实施食品安全风险监测，开展食品安全企业标准备案，组织开展食品安全事故流行病学调查。</w:t>
      </w:r>
    </w:p>
    <w:p w14:paraId="16CD981A">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6</w:t>
      </w:r>
      <w:r>
        <w:rPr>
          <w:rFonts w:hint="default" w:ascii="Times New Roman" w:hAnsi="Times New Roman" w:eastAsia="仿宋_GB2312" w:cs="Times New Roman"/>
          <w:color w:val="000000"/>
          <w:spacing w:val="0"/>
          <w:sz w:val="32"/>
          <w:szCs w:val="32"/>
        </w:rPr>
        <w:t>.负责职责范围内的职业卫生、放射卫生、环境卫生、学校卫生、公共场所卫生、饮用水卫生等公共卫生的监督管理。负责传染病防治监督，健全卫生健康综合监管体系。</w:t>
      </w:r>
    </w:p>
    <w:p w14:paraId="30E25BE7">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7</w:t>
      </w:r>
      <w:r>
        <w:rPr>
          <w:rFonts w:hint="default" w:ascii="Times New Roman" w:hAnsi="Times New Roman" w:eastAsia="仿宋_GB2312" w:cs="Times New Roman"/>
          <w:color w:val="000000"/>
          <w:spacing w:val="0"/>
          <w:sz w:val="32"/>
          <w:szCs w:val="32"/>
        </w:rPr>
        <w:t>.制定全区医疗机构、医疗服务行业管理办法并监督实施，建立医疗服务评价和监督管理体系。会同有关部门实施卫生健康专业技术人员资格标准。制定并组织实施医疗服务规范、标准和卫生健康专业技术人员执业规则、服务规范。负责医疗机构、人员和行为的日常监管。</w:t>
      </w:r>
    </w:p>
    <w:p w14:paraId="11F096DD">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8</w:t>
      </w:r>
      <w:r>
        <w:rPr>
          <w:rFonts w:hint="default" w:ascii="Times New Roman" w:hAnsi="Times New Roman" w:eastAsia="仿宋_GB2312" w:cs="Times New Roman"/>
          <w:color w:val="000000"/>
          <w:spacing w:val="0"/>
          <w:sz w:val="32"/>
          <w:szCs w:val="32"/>
        </w:rPr>
        <w:t>.拟订全区中医药中长期发展规划，并纳入卫生健康事业发展总体规划和战略目标予以组织实施。</w:t>
      </w:r>
    </w:p>
    <w:p w14:paraId="06FB607B">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eastAsia" w:eastAsia="仿宋_GB2312" w:cs="Times New Roman"/>
          <w:color w:val="000000"/>
          <w:spacing w:val="0"/>
          <w:sz w:val="32"/>
          <w:szCs w:val="32"/>
          <w:lang w:val="en-US" w:eastAsia="zh-CN"/>
        </w:rPr>
        <w:t>9</w:t>
      </w:r>
      <w:r>
        <w:rPr>
          <w:rFonts w:hint="default" w:ascii="Times New Roman" w:hAnsi="Times New Roman" w:eastAsia="仿宋_GB2312" w:cs="Times New Roman"/>
          <w:color w:val="000000"/>
          <w:spacing w:val="0"/>
          <w:sz w:val="32"/>
          <w:szCs w:val="32"/>
        </w:rPr>
        <w:t>.负责全区计划生育管理和服务工作，开展人口监测预警，研究提出人口与家庭发展相关政策建议，执行计划生育政策。指导区计划生育协会的业务工作。</w:t>
      </w:r>
    </w:p>
    <w:p w14:paraId="6B4336BD">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0</w:t>
      </w:r>
      <w:r>
        <w:rPr>
          <w:rFonts w:hint="default" w:ascii="Times New Roman" w:hAnsi="Times New Roman" w:eastAsia="仿宋_GB2312" w:cs="Times New Roman"/>
          <w:color w:val="000000"/>
          <w:spacing w:val="0"/>
          <w:sz w:val="32"/>
          <w:szCs w:val="32"/>
        </w:rPr>
        <w:t>.指导全区卫生健康工作，指导基层医疗卫生、妇幼健康服务体系和基层卫生队伍建设。推进卫生健康科技创新发展。</w:t>
      </w:r>
    </w:p>
    <w:p w14:paraId="62131B72">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1</w:t>
      </w:r>
      <w:r>
        <w:rPr>
          <w:rFonts w:hint="default" w:ascii="Times New Roman" w:hAnsi="Times New Roman" w:eastAsia="仿宋_GB2312" w:cs="Times New Roman"/>
          <w:color w:val="000000"/>
          <w:spacing w:val="0"/>
          <w:sz w:val="32"/>
          <w:szCs w:val="32"/>
        </w:rPr>
        <w:t>.负责重要会议与重大活动的医疗卫生保障工作。</w:t>
      </w:r>
    </w:p>
    <w:p w14:paraId="75FF2F45">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2</w:t>
      </w:r>
      <w:r>
        <w:rPr>
          <w:rFonts w:hint="default" w:ascii="Times New Roman" w:hAnsi="Times New Roman" w:eastAsia="仿宋_GB2312" w:cs="Times New Roman"/>
          <w:color w:val="000000"/>
          <w:spacing w:val="0"/>
          <w:sz w:val="32"/>
          <w:szCs w:val="32"/>
        </w:rPr>
        <w:t>.依法依规履行卫生健康行业安全生产监管职责，负责职责范围内的生态环境保护、审批服务便民化等工作。</w:t>
      </w:r>
    </w:p>
    <w:p w14:paraId="26E7BAF8">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1</w:t>
      </w:r>
      <w:r>
        <w:rPr>
          <w:rFonts w:hint="eastAsia" w:eastAsia="仿宋_GB2312" w:cs="Times New Roman"/>
          <w:color w:val="000000"/>
          <w:spacing w:val="0"/>
          <w:sz w:val="32"/>
          <w:szCs w:val="32"/>
          <w:lang w:val="en-US" w:eastAsia="zh-CN"/>
        </w:rPr>
        <w:t>3</w:t>
      </w:r>
      <w:r>
        <w:rPr>
          <w:rFonts w:hint="default" w:ascii="Times New Roman" w:hAnsi="Times New Roman" w:eastAsia="仿宋_GB2312" w:cs="Times New Roman"/>
          <w:color w:val="000000"/>
          <w:spacing w:val="0"/>
          <w:sz w:val="32"/>
          <w:szCs w:val="32"/>
        </w:rPr>
        <w:t>.完成区委和区政府交办的其他任务。</w:t>
      </w:r>
    </w:p>
    <w:p w14:paraId="13556E0D">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eastAsia" w:ascii="黑体" w:hAnsi="黑体" w:eastAsia="黑体" w:cs="黑体"/>
          <w:color w:val="000000"/>
          <w:spacing w:val="0"/>
          <w:sz w:val="32"/>
          <w:szCs w:val="32"/>
        </w:rPr>
      </w:pPr>
      <w:bookmarkStart w:id="16" w:name="_Toc15377200"/>
      <w:bookmarkStart w:id="17" w:name="_Toc15396601"/>
      <w:r>
        <w:rPr>
          <w:rFonts w:hint="eastAsia" w:ascii="黑体" w:hAnsi="黑体" w:eastAsia="黑体" w:cs="黑体"/>
          <w:color w:val="000000"/>
          <w:spacing w:val="0"/>
          <w:sz w:val="32"/>
          <w:szCs w:val="32"/>
        </w:rPr>
        <w:t>二、机构设置</w:t>
      </w:r>
      <w:bookmarkEnd w:id="16"/>
      <w:bookmarkEnd w:id="17"/>
    </w:p>
    <w:p w14:paraId="3D7B0D7C">
      <w:pPr>
        <w:pageBreakBefore w:val="0"/>
        <w:widowControl w:val="0"/>
        <w:kinsoku/>
        <w:wordWrap/>
        <w:overflowPunct/>
        <w:topLinePunct w:val="0"/>
        <w:autoSpaceDE/>
        <w:autoSpaceDN/>
        <w:bidi w:val="0"/>
        <w:adjustRightInd w:val="0"/>
        <w:snapToGrid w:val="0"/>
        <w:spacing w:line="353" w:lineRule="auto"/>
        <w:ind w:firstLine="640" w:firstLineChars="2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Times New Roman"/>
          <w:color w:val="000000"/>
          <w:spacing w:val="0"/>
          <w:sz w:val="32"/>
          <w:szCs w:val="32"/>
        </w:rPr>
        <w:t>攀枝花市西区卫生健康局（本级）下属二级</w:t>
      </w:r>
      <w:r>
        <w:rPr>
          <w:rFonts w:hint="eastAsia" w:ascii="Times New Roman" w:hAnsi="Times New Roman" w:eastAsia="仿宋_GB2312" w:cs="Times New Roman"/>
          <w:color w:val="000000"/>
          <w:spacing w:val="0"/>
          <w:sz w:val="32"/>
          <w:szCs w:val="32"/>
          <w:lang w:eastAsia="zh-CN"/>
        </w:rPr>
        <w:t>预算</w:t>
      </w:r>
      <w:r>
        <w:rPr>
          <w:rFonts w:hint="eastAsia" w:ascii="Times New Roman" w:hAnsi="Times New Roman" w:eastAsia="仿宋_GB2312" w:cs="Times New Roman"/>
          <w:color w:val="000000"/>
          <w:spacing w:val="0"/>
          <w:sz w:val="32"/>
          <w:szCs w:val="32"/>
        </w:rPr>
        <w:t>单位</w:t>
      </w:r>
      <w:r>
        <w:rPr>
          <w:rFonts w:hint="eastAsia" w:ascii="Times New Roman" w:hAnsi="Times New Roman" w:eastAsia="仿宋_GB2312" w:cs="Times New Roman"/>
          <w:color w:val="000000"/>
          <w:spacing w:val="0"/>
          <w:sz w:val="32"/>
          <w:szCs w:val="32"/>
          <w:lang w:val="en-US" w:eastAsia="zh-CN"/>
        </w:rPr>
        <w:t>1</w:t>
      </w:r>
      <w:r>
        <w:rPr>
          <w:rFonts w:hint="eastAsia" w:ascii="Times New Roman" w:hAnsi="Times New Roman" w:eastAsia="仿宋_GB2312" w:cs="Times New Roman"/>
          <w:color w:val="000000"/>
          <w:spacing w:val="0"/>
          <w:sz w:val="32"/>
          <w:szCs w:val="32"/>
        </w:rPr>
        <w:t>个，其中行政单位</w:t>
      </w:r>
      <w:r>
        <w:rPr>
          <w:rFonts w:hint="eastAsia" w:ascii="Times New Roman" w:hAnsi="Times New Roman" w:eastAsia="仿宋_GB2312" w:cs="Times New Roman"/>
          <w:color w:val="000000"/>
          <w:spacing w:val="0"/>
          <w:sz w:val="32"/>
          <w:szCs w:val="32"/>
          <w:lang w:val="en-US" w:eastAsia="zh-CN"/>
        </w:rPr>
        <w:t>0</w:t>
      </w:r>
      <w:r>
        <w:rPr>
          <w:rFonts w:hint="eastAsia" w:ascii="Times New Roman" w:hAnsi="Times New Roman" w:eastAsia="仿宋_GB2312" w:cs="Times New Roman"/>
          <w:color w:val="000000"/>
          <w:spacing w:val="0"/>
          <w:sz w:val="32"/>
          <w:szCs w:val="32"/>
        </w:rPr>
        <w:t>个，参照公务员法管理的事业</w:t>
      </w:r>
      <w:r>
        <w:rPr>
          <w:rFonts w:hint="eastAsia" w:ascii="Times New Roman" w:hAnsi="Times New Roman" w:eastAsia="仿宋_GB2312" w:cs="仿宋_GB2312"/>
          <w:color w:val="auto"/>
          <w:sz w:val="32"/>
          <w:szCs w:val="32"/>
          <w:highlight w:val="none"/>
        </w:rPr>
        <w:t>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9E9EAE8">
      <w:pPr>
        <w:pStyle w:val="2"/>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纳入</w:t>
      </w:r>
      <w:r>
        <w:rPr>
          <w:sz w:val="32"/>
          <w:szCs w:val="32"/>
        </w:rPr>
        <w:t>攀枝花市西区卫生健康局（本级）</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w:t>
      </w:r>
      <w:r>
        <w:rPr>
          <w:rFonts w:hint="eastAsia" w:ascii="Times New Roman" w:cs="仿宋_GB2312"/>
          <w:color w:val="auto"/>
          <w:sz w:val="32"/>
          <w:szCs w:val="32"/>
          <w:highlight w:val="none"/>
          <w:lang w:eastAsia="zh-CN"/>
        </w:rPr>
        <w:t>，</w:t>
      </w:r>
      <w:r>
        <w:rPr>
          <w:rFonts w:hint="default" w:ascii="Times New Roman" w:hAnsi="Times New Roman" w:eastAsia="仿宋_GB2312" w:cs="Times New Roman"/>
          <w:color w:val="000000"/>
          <w:spacing w:val="0"/>
          <w:sz w:val="32"/>
          <w:szCs w:val="32"/>
        </w:rPr>
        <w:t>未单独核算、</w:t>
      </w:r>
      <w:r>
        <w:rPr>
          <w:rFonts w:hint="default" w:ascii="Times New Roman" w:hAnsi="Times New Roman" w:eastAsia="仿宋_GB2312" w:cs="Times New Roman"/>
          <w:spacing w:val="0"/>
          <w:sz w:val="32"/>
          <w:szCs w:val="32"/>
        </w:rPr>
        <w:t>独立编制参照公务员法管理的事业单位</w:t>
      </w:r>
      <w:r>
        <w:rPr>
          <w:rFonts w:hint="eastAsia" w:ascii="Times New Roman" w:cs="Times New Roman"/>
          <w:spacing w:val="0"/>
          <w:sz w:val="32"/>
          <w:szCs w:val="32"/>
          <w:lang w:val="en-US" w:eastAsia="zh-CN"/>
        </w:rPr>
        <w:t>1</w:t>
      </w:r>
      <w:r>
        <w:rPr>
          <w:rFonts w:hint="default" w:ascii="Times New Roman" w:hAnsi="Times New Roman" w:eastAsia="仿宋_GB2312" w:cs="Times New Roman"/>
          <w:spacing w:val="0"/>
          <w:sz w:val="32"/>
          <w:szCs w:val="32"/>
        </w:rPr>
        <w:t>个</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color w:val="000000"/>
          <w:spacing w:val="0"/>
          <w:sz w:val="32"/>
          <w:szCs w:val="32"/>
        </w:rPr>
        <w:t>攀枝花市西区红十字会</w:t>
      </w:r>
      <w:r>
        <w:rPr>
          <w:rFonts w:hint="eastAsia" w:ascii="Times New Roman" w:cs="Times New Roman"/>
          <w:color w:val="000000"/>
          <w:spacing w:val="0"/>
          <w:sz w:val="32"/>
          <w:szCs w:val="32"/>
          <w:lang w:eastAsia="zh-CN"/>
        </w:rPr>
        <w:t>；</w:t>
      </w:r>
      <w:r>
        <w:rPr>
          <w:rFonts w:hint="eastAsia" w:ascii="Times New Roman" w:hAnsi="Times New Roman" w:eastAsia="仿宋_GB2312" w:cs="仿宋_GB2312"/>
          <w:color w:val="auto"/>
          <w:sz w:val="32"/>
          <w:szCs w:val="32"/>
          <w:highlight w:val="none"/>
        </w:rPr>
        <w:t>纳入</w:t>
      </w:r>
      <w:r>
        <w:rPr>
          <w:sz w:val="32"/>
          <w:szCs w:val="32"/>
        </w:rPr>
        <w:t>攀枝花市西区卫生健康局（本级）</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w:t>
      </w:r>
      <w:r>
        <w:rPr>
          <w:rFonts w:hint="eastAsia" w:ascii="Times New Roman" w:cs="仿宋_GB2312"/>
          <w:color w:val="auto"/>
          <w:sz w:val="32"/>
          <w:szCs w:val="32"/>
          <w:highlight w:val="none"/>
          <w:lang w:val="en-US" w:eastAsia="zh-CN"/>
        </w:rPr>
        <w:t>1个</w:t>
      </w:r>
      <w:r>
        <w:rPr>
          <w:rFonts w:hint="eastAsia" w:ascii="Times New Roman" w:hAnsi="Times New Roman" w:eastAsia="仿宋_GB2312" w:cs="仿宋_GB2312"/>
          <w:color w:val="auto"/>
          <w:sz w:val="32"/>
          <w:szCs w:val="32"/>
          <w:highlight w:val="none"/>
        </w:rPr>
        <w:t>：</w:t>
      </w:r>
      <w:bookmarkStart w:id="18" w:name="_Toc15306276"/>
      <w:bookmarkStart w:id="19" w:name="_Toc15378449"/>
      <w:bookmarkStart w:id="20" w:name="_Toc15377433"/>
      <w:bookmarkStart w:id="21" w:name="_Toc15377202"/>
      <w:r>
        <w:rPr>
          <w:rFonts w:hint="default" w:ascii="Times New Roman" w:hAnsi="Times New Roman" w:eastAsia="仿宋_GB2312" w:cs="Times New Roman"/>
          <w:color w:val="000000"/>
          <w:spacing w:val="0"/>
          <w:sz w:val="32"/>
          <w:szCs w:val="32"/>
        </w:rPr>
        <w:t>攀枝花市西区计划生育协会</w:t>
      </w:r>
      <w:bookmarkEnd w:id="18"/>
      <w:bookmarkEnd w:id="19"/>
      <w:bookmarkEnd w:id="20"/>
      <w:bookmarkEnd w:id="21"/>
      <w:r>
        <w:rPr>
          <w:rFonts w:hint="eastAsia" w:ascii="Times New Roman" w:cs="Times New Roman"/>
          <w:color w:val="000000"/>
          <w:spacing w:val="0"/>
          <w:sz w:val="32"/>
          <w:szCs w:val="32"/>
          <w:lang w:eastAsia="zh-CN"/>
        </w:rPr>
        <w:t>。</w:t>
      </w:r>
    </w:p>
    <w:p w14:paraId="1E036F5F">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04FB88AE">
      <w:pPr>
        <w:pStyle w:val="3"/>
        <w:jc w:val="center"/>
        <w:rPr>
          <w:rFonts w:hint="eastAsia" w:ascii="Times New Roman" w:hAnsi="Times New Roman" w:eastAsia="方正小标宋简体" w:cs="方正小标宋简体"/>
          <w:b w:val="0"/>
          <w:color w:val="auto"/>
          <w:highlight w:val="none"/>
        </w:rPr>
      </w:pPr>
      <w:bookmarkStart w:id="22" w:name="_Toc15396602"/>
      <w:bookmarkStart w:id="2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22"/>
      <w:bookmarkEnd w:id="23"/>
    </w:p>
    <w:p w14:paraId="3296CF3B">
      <w:pPr>
        <w:rPr>
          <w:rFonts w:ascii="Times New Roman" w:hAnsi="Times New Roman"/>
          <w:color w:val="auto"/>
          <w:highlight w:val="none"/>
        </w:rPr>
      </w:pPr>
    </w:p>
    <w:p w14:paraId="67CF72E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4" w:name="_Toc15396603"/>
      <w:bookmarkStart w:id="2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4"/>
      <w:bookmarkEnd w:id="25"/>
    </w:p>
    <w:p w14:paraId="280F893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1622.46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总计增加</w:t>
      </w:r>
      <w:r>
        <w:rPr>
          <w:rFonts w:hint="eastAsia" w:eastAsia="仿宋_GB2312" w:cs="仿宋_GB2312"/>
          <w:color w:val="auto"/>
          <w:sz w:val="32"/>
          <w:szCs w:val="32"/>
          <w:highlight w:val="none"/>
          <w:lang w:val="en-US" w:eastAsia="zh-CN"/>
        </w:rPr>
        <w:t>286.39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21.44</w:t>
      </w:r>
      <w:r>
        <w:rPr>
          <w:rFonts w:hint="eastAsia" w:ascii="Times New Roman" w:hAnsi="Times New Roman" w:eastAsia="仿宋_GB2312" w:cs="仿宋_GB2312"/>
          <w:color w:val="auto"/>
          <w:sz w:val="32"/>
          <w:szCs w:val="32"/>
          <w:highlight w:val="none"/>
        </w:rPr>
        <w:t>%。主要变动原因是重大传染病防控中央补助资金、计划生育服务等项目经费增加及存量资金支付核酸检测、公共区域病媒生物防制</w:t>
      </w:r>
      <w:r>
        <w:rPr>
          <w:rFonts w:hint="eastAsia"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rPr>
        <w:t>经费</w:t>
      </w:r>
      <w:r>
        <w:rPr>
          <w:rFonts w:hint="eastAsia" w:eastAsia="仿宋_GB2312" w:cs="仿宋_GB2312"/>
          <w:color w:val="auto"/>
          <w:sz w:val="32"/>
          <w:szCs w:val="32"/>
          <w:highlight w:val="none"/>
          <w:lang w:eastAsia="zh-CN"/>
        </w:rPr>
        <w:t>。</w:t>
      </w:r>
    </w:p>
    <w:p w14:paraId="7CE867B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261620</wp:posOffset>
            </wp:positionH>
            <wp:positionV relativeFrom="paragraph">
              <wp:posOffset>109220</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ED37B7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3F11E24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3252084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3ECFAFC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386E99D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05BD750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CA166D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4524804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6" w:name="_Toc15396604"/>
      <w:bookmarkStart w:id="27" w:name="_Toc15377206"/>
      <w:r>
        <w:rPr>
          <w:rFonts w:hint="eastAsia" w:ascii="Times New Roman" w:hAnsi="Times New Roman" w:eastAsia="黑体"/>
          <w:color w:val="auto"/>
          <w:sz w:val="32"/>
          <w:szCs w:val="32"/>
          <w:highlight w:val="none"/>
          <w:lang w:eastAsia="zh-CN"/>
        </w:rPr>
        <w:t>二、收入决算情况说明</w:t>
      </w:r>
      <w:bookmarkEnd w:id="26"/>
      <w:bookmarkEnd w:id="27"/>
    </w:p>
    <w:p w14:paraId="4CEACD4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1577.33万元，其中：一般公共预算财政拨款收入1533.07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97.19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44.25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eastAsia="zh-CN"/>
        </w:rPr>
        <w:t>。</w:t>
      </w:r>
    </w:p>
    <w:p w14:paraId="7CDC041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064C2D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7EEE52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242570</wp:posOffset>
            </wp:positionH>
            <wp:positionV relativeFrom="paragraph">
              <wp:posOffset>156845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B10750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CDEEBA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7A5C70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F609D2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38579C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6BFC3B6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8A9B23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D69DE6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8" w:name="_Toc15396605"/>
      <w:bookmarkStart w:id="2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8"/>
      <w:bookmarkEnd w:id="29"/>
    </w:p>
    <w:p w14:paraId="34818B0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1622.46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387.99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23.91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1234.47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76.0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14:paraId="49C06BA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0D8798">
      <w:pPr>
        <w:spacing w:line="600" w:lineRule="exact"/>
        <w:ind w:firstLine="640" w:firstLineChars="200"/>
        <w:outlineLvl w:val="1"/>
        <w:rPr>
          <w:rStyle w:val="29"/>
          <w:rFonts w:ascii="Times New Roman" w:hAnsi="Times New Roman" w:eastAsia="黑体"/>
          <w:b w:val="0"/>
          <w:color w:val="auto"/>
          <w:highlight w:val="none"/>
        </w:rPr>
      </w:pPr>
      <w:bookmarkStart w:id="30" w:name="_Toc15377208"/>
      <w:bookmarkStart w:id="31" w:name="_Toc15396606"/>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30"/>
      <w:bookmarkEnd w:id="31"/>
    </w:p>
    <w:p w14:paraId="57843E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1622.46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w:t>
      </w:r>
      <w:r>
        <w:rPr>
          <w:rFonts w:hint="eastAsia" w:eastAsia="仿宋_GB2312" w:cs="仿宋_GB2312"/>
          <w:color w:val="auto"/>
          <w:kern w:val="2"/>
          <w:sz w:val="32"/>
          <w:szCs w:val="32"/>
          <w:highlight w:val="none"/>
          <w:lang w:val="en-US" w:eastAsia="zh-CN" w:bidi="ar-SA"/>
        </w:rPr>
        <w:t>增加</w:t>
      </w:r>
      <w:r>
        <w:rPr>
          <w:rFonts w:hint="eastAsia" w:eastAsia="仿宋_GB2312" w:cs="仿宋_GB2312"/>
          <w:color w:val="auto"/>
          <w:sz w:val="32"/>
          <w:szCs w:val="32"/>
          <w:highlight w:val="none"/>
          <w:lang w:val="en-US" w:eastAsia="zh-CN"/>
        </w:rPr>
        <w:t>286.39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21.44</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color w:val="auto"/>
          <w:sz w:val="32"/>
          <w:szCs w:val="32"/>
          <w:highlight w:val="none"/>
        </w:rPr>
        <w:t>重大传染病防控中央补助资金、计划生育服务等项目经费增加及存量资金支付核酸检测、公共区域病媒生物防制经费</w:t>
      </w:r>
      <w:r>
        <w:rPr>
          <w:rFonts w:hint="eastAsia" w:eastAsia="仿宋_GB2312" w:cs="仿宋_GB2312"/>
          <w:color w:val="auto"/>
          <w:sz w:val="32"/>
          <w:szCs w:val="32"/>
          <w:highlight w:val="none"/>
          <w:lang w:eastAsia="zh-CN"/>
        </w:rPr>
        <w:t>。</w:t>
      </w:r>
    </w:p>
    <w:p w14:paraId="0DCF4F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394970</wp:posOffset>
            </wp:positionH>
            <wp:positionV relativeFrom="paragraph">
              <wp:posOffset>156845</wp:posOffset>
            </wp:positionV>
            <wp:extent cx="4572000" cy="2743200"/>
            <wp:effectExtent l="4445" t="4445" r="14605" b="14605"/>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A8325EA">
      <w:pPr>
        <w:pStyle w:val="2"/>
        <w:rPr>
          <w:rFonts w:hint="eastAsia" w:ascii="Times New Roman" w:hAnsi="Times New Roman" w:eastAsia="仿宋_GB2312" w:cs="仿宋_GB2312"/>
          <w:color w:val="auto"/>
          <w:kern w:val="2"/>
          <w:sz w:val="32"/>
          <w:szCs w:val="32"/>
          <w:highlight w:val="none"/>
          <w:lang w:val="en-US" w:eastAsia="zh-CN" w:bidi="ar-SA"/>
        </w:rPr>
      </w:pPr>
    </w:p>
    <w:p w14:paraId="60600830">
      <w:pPr>
        <w:pStyle w:val="2"/>
        <w:rPr>
          <w:rFonts w:hint="eastAsia" w:ascii="Times New Roman" w:hAnsi="Times New Roman" w:eastAsia="仿宋_GB2312" w:cs="仿宋_GB2312"/>
          <w:color w:val="auto"/>
          <w:kern w:val="2"/>
          <w:sz w:val="32"/>
          <w:szCs w:val="32"/>
          <w:highlight w:val="none"/>
          <w:lang w:val="en-US" w:eastAsia="zh-CN" w:bidi="ar-SA"/>
        </w:rPr>
      </w:pPr>
    </w:p>
    <w:p w14:paraId="3458E359">
      <w:pPr>
        <w:pStyle w:val="2"/>
        <w:rPr>
          <w:rFonts w:hint="eastAsia" w:ascii="Times New Roman" w:hAnsi="Times New Roman" w:eastAsia="仿宋_GB2312" w:cs="仿宋_GB2312"/>
          <w:color w:val="auto"/>
          <w:kern w:val="2"/>
          <w:sz w:val="32"/>
          <w:szCs w:val="32"/>
          <w:highlight w:val="none"/>
          <w:lang w:val="en-US" w:eastAsia="zh-CN" w:bidi="ar-SA"/>
        </w:rPr>
      </w:pPr>
    </w:p>
    <w:p w14:paraId="5EC17638">
      <w:pPr>
        <w:pStyle w:val="2"/>
        <w:rPr>
          <w:rFonts w:hint="eastAsia" w:ascii="Times New Roman" w:hAnsi="Times New Roman" w:eastAsia="仿宋_GB2312" w:cs="仿宋_GB2312"/>
          <w:color w:val="auto"/>
          <w:kern w:val="2"/>
          <w:sz w:val="32"/>
          <w:szCs w:val="32"/>
          <w:highlight w:val="none"/>
          <w:lang w:val="en-US" w:eastAsia="zh-CN" w:bidi="ar-SA"/>
        </w:rPr>
      </w:pPr>
    </w:p>
    <w:p w14:paraId="5B2A3116">
      <w:pPr>
        <w:pStyle w:val="2"/>
        <w:rPr>
          <w:rFonts w:hint="eastAsia" w:ascii="Times New Roman" w:hAnsi="Times New Roman" w:eastAsia="仿宋_GB2312" w:cs="仿宋_GB2312"/>
          <w:color w:val="auto"/>
          <w:kern w:val="2"/>
          <w:sz w:val="32"/>
          <w:szCs w:val="32"/>
          <w:highlight w:val="none"/>
          <w:lang w:val="en-US" w:eastAsia="zh-CN" w:bidi="ar-SA"/>
        </w:rPr>
      </w:pPr>
    </w:p>
    <w:p w14:paraId="327E29A6">
      <w:pPr>
        <w:pStyle w:val="2"/>
        <w:rPr>
          <w:rFonts w:hint="eastAsia" w:ascii="Times New Roman" w:hAnsi="Times New Roman" w:eastAsia="仿宋_GB2312" w:cs="仿宋_GB2312"/>
          <w:color w:val="auto"/>
          <w:kern w:val="2"/>
          <w:sz w:val="32"/>
          <w:szCs w:val="32"/>
          <w:highlight w:val="none"/>
          <w:lang w:val="en-US" w:eastAsia="zh-CN" w:bidi="ar-SA"/>
        </w:rPr>
      </w:pPr>
    </w:p>
    <w:p w14:paraId="4E808A18">
      <w:pPr>
        <w:spacing w:line="600" w:lineRule="exact"/>
        <w:ind w:firstLine="640" w:firstLineChars="200"/>
        <w:outlineLvl w:val="1"/>
        <w:rPr>
          <w:rStyle w:val="29"/>
          <w:rFonts w:ascii="Times New Roman" w:hAnsi="Times New Roman" w:eastAsia="黑体"/>
          <w:b w:val="0"/>
          <w:color w:val="auto"/>
          <w:highlight w:val="none"/>
        </w:rPr>
      </w:pPr>
      <w:bookmarkStart w:id="32" w:name="_Toc15377209"/>
      <w:bookmarkStart w:id="33"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2"/>
      <w:bookmarkEnd w:id="33"/>
    </w:p>
    <w:p w14:paraId="0EC8143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4"/>
    </w:p>
    <w:p w14:paraId="1E565A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1578.21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97.27</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%。与2023年度相比，一般公共预算财政拨款支出增加243.1万元，增长18.21%。主要变动原因是</w:t>
      </w:r>
      <w:r>
        <w:rPr>
          <w:rFonts w:hint="eastAsia" w:ascii="Times New Roman" w:hAnsi="Times New Roman" w:eastAsia="仿宋_GB2312" w:cs="仿宋_GB2312"/>
          <w:color w:val="auto"/>
          <w:sz w:val="32"/>
          <w:szCs w:val="32"/>
          <w:highlight w:val="none"/>
        </w:rPr>
        <w:t>重大传染病防控中央补助资金、计划生育服务等项目经费增加</w:t>
      </w:r>
      <w:r>
        <w:rPr>
          <w:rFonts w:hint="eastAsia" w:eastAsia="仿宋_GB2312" w:cs="仿宋_GB2312"/>
          <w:color w:val="auto"/>
          <w:sz w:val="32"/>
          <w:szCs w:val="32"/>
          <w:highlight w:val="none"/>
          <w:lang w:eastAsia="zh-CN"/>
        </w:rPr>
        <w:t>。</w:t>
      </w:r>
    </w:p>
    <w:p w14:paraId="1AC8E5BA">
      <w:pPr>
        <w:pStyle w:val="2"/>
        <w:rPr>
          <w:rFonts w:hint="eastAsia" w:ascii="Times New Roman" w:hAnsi="Times New Roman" w:eastAsia="仿宋_GB2312" w:cs="仿宋_GB2312"/>
          <w:color w:val="auto"/>
          <w:kern w:val="2"/>
          <w:sz w:val="32"/>
          <w:szCs w:val="32"/>
          <w:highlight w:val="none"/>
          <w:lang w:val="en-US" w:eastAsia="zh-CN" w:bidi="ar-SA"/>
        </w:rPr>
      </w:pPr>
    </w:p>
    <w:p w14:paraId="3BC2FBA3">
      <w:pPr>
        <w:pStyle w:val="2"/>
        <w:rPr>
          <w:rFonts w:hint="eastAsia" w:ascii="Times New Roman" w:hAnsi="Times New Roman" w:eastAsia="仿宋_GB2312" w:cs="仿宋_GB2312"/>
          <w:color w:val="auto"/>
          <w:kern w:val="2"/>
          <w:sz w:val="32"/>
          <w:szCs w:val="32"/>
          <w:highlight w:val="none"/>
          <w:lang w:val="en-US" w:eastAsia="zh-CN" w:bidi="ar-SA"/>
        </w:rPr>
      </w:pPr>
    </w:p>
    <w:p w14:paraId="4EA173DB">
      <w:pPr>
        <w:pStyle w:val="2"/>
        <w:rPr>
          <w:rFonts w:hint="eastAsia" w:ascii="Times New Roman" w:hAnsi="Times New Roman" w:eastAsia="仿宋_GB2312" w:cs="仿宋_GB2312"/>
          <w:color w:val="auto"/>
          <w:kern w:val="2"/>
          <w:sz w:val="32"/>
          <w:szCs w:val="32"/>
          <w:highlight w:val="none"/>
          <w:lang w:val="en-US" w:eastAsia="zh-CN" w:bidi="ar-SA"/>
        </w:rPr>
      </w:pPr>
    </w:p>
    <w:p w14:paraId="5F7C307F">
      <w:pPr>
        <w:pStyle w:val="2"/>
        <w:rPr>
          <w:rFonts w:hint="eastAsia" w:ascii="Times New Roman" w:hAnsi="Times New Roman" w:eastAsia="仿宋_GB2312" w:cs="仿宋_GB2312"/>
          <w:color w:val="auto"/>
          <w:kern w:val="2"/>
          <w:sz w:val="32"/>
          <w:szCs w:val="32"/>
          <w:highlight w:val="none"/>
          <w:lang w:val="en-US" w:eastAsia="zh-CN" w:bidi="ar-SA"/>
        </w:rPr>
      </w:pPr>
    </w:p>
    <w:p w14:paraId="7A8AB081">
      <w:pPr>
        <w:pStyle w:val="2"/>
        <w:rPr>
          <w:rFonts w:hint="eastAsia" w:ascii="Times New Roman" w:hAnsi="Times New Roman" w:eastAsia="仿宋_GB2312" w:cs="仿宋_GB2312"/>
          <w:color w:val="auto"/>
          <w:kern w:val="2"/>
          <w:sz w:val="32"/>
          <w:szCs w:val="32"/>
          <w:highlight w:val="none"/>
          <w:lang w:val="en-US" w:eastAsia="zh-CN" w:bidi="ar-SA"/>
        </w:rPr>
      </w:pPr>
    </w:p>
    <w:p w14:paraId="2665ABDB">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 xml:space="preserve">  </w:t>
      </w: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8C856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5"/>
    </w:p>
    <w:p w14:paraId="2D4FA619">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1578.21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86.13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1.28</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1471.83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93.26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20.25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5.46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7848E331">
      <w:pPr>
        <w:pStyle w:val="2"/>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cs="仿宋_GB2312"/>
          <w:color w:val="auto"/>
          <w:kern w:val="2"/>
          <w:sz w:val="32"/>
          <w:szCs w:val="32"/>
          <w:highlight w:val="none"/>
          <w:lang w:val="en-US" w:eastAsia="zh-CN" w:bidi="ar-SA"/>
        </w:rPr>
        <w:t xml:space="preserve">    </w:t>
      </w:r>
      <w:r>
        <w:drawing>
          <wp:inline distT="0" distB="0" distL="114300" distR="114300">
            <wp:extent cx="4572000" cy="2495550"/>
            <wp:effectExtent l="4445" t="4445" r="14605" b="14605"/>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BFB2F1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6"/>
    </w:p>
    <w:p w14:paraId="273E44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7" w:name="_Toc15377444"/>
      <w:bookmarkStart w:id="38" w:name="_Toc15378460"/>
      <w:bookmarkStart w:id="39"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1578.21</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99.8</w:t>
      </w:r>
      <w:r>
        <w:rPr>
          <w:rFonts w:hint="eastAsia" w:ascii="Times New Roman" w:hAnsi="Times New Roman" w:eastAsia="仿宋_GB2312" w:cs="仿宋_GB2312"/>
          <w:color w:val="auto"/>
          <w:kern w:val="2"/>
          <w:sz w:val="32"/>
          <w:szCs w:val="32"/>
          <w:highlight w:val="none"/>
          <w:lang w:val="en-US" w:eastAsia="zh-CN" w:bidi="ar-SA"/>
        </w:rPr>
        <w:t>%。其中：</w:t>
      </w:r>
      <w:bookmarkEnd w:id="37"/>
      <w:bookmarkEnd w:id="38"/>
      <w:bookmarkEnd w:id="39"/>
    </w:p>
    <w:p w14:paraId="378E179E">
      <w:pPr>
        <w:keepNext w:val="0"/>
        <w:keepLines w:val="0"/>
        <w:pageBreakBefore w:val="0"/>
        <w:widowControl w:val="0"/>
        <w:kinsoku/>
        <w:wordWrap/>
        <w:overflowPunct/>
        <w:topLinePunct w:val="0"/>
        <w:autoSpaceDE/>
        <w:autoSpaceDN/>
        <w:bidi w:val="0"/>
        <w:adjustRightInd w:val="0"/>
        <w:snapToGrid w:val="0"/>
        <w:spacing w:line="353" w:lineRule="auto"/>
        <w:ind w:left="0" w:firstLine="640" w:firstLineChars="200"/>
        <w:textAlignment w:val="auto"/>
        <w:rPr>
          <w:rStyle w:val="17"/>
          <w:rFonts w:hint="default" w:ascii="Times New Roman" w:hAnsi="Times New Roman" w:eastAsia="仿宋_GB2312" w:cs="Times New Roman"/>
          <w:bCs/>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Style w:val="17"/>
          <w:rFonts w:hint="default" w:ascii="Times New Roman" w:hAnsi="Times New Roman" w:eastAsia="仿宋_GB2312" w:cs="Times New Roman"/>
          <w:bCs/>
          <w:sz w:val="32"/>
          <w:szCs w:val="32"/>
        </w:rPr>
        <w:t>社会保障和就业支出</w:t>
      </w:r>
    </w:p>
    <w:p w14:paraId="474F608A">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社会保障和就业支出（类）行政事业单位养老支出（款）行政单位离退休（项）：</w:t>
      </w:r>
      <w:r>
        <w:rPr>
          <w:rStyle w:val="17"/>
          <w:rFonts w:hint="default" w:ascii="Times New Roman" w:hAnsi="Times New Roman" w:eastAsia="仿宋_GB2312" w:cs="Times New Roman"/>
          <w:b w:val="0"/>
          <w:bCs/>
          <w:sz w:val="32"/>
          <w:szCs w:val="32"/>
        </w:rPr>
        <w:t>出决算为</w:t>
      </w:r>
      <w:r>
        <w:rPr>
          <w:rStyle w:val="17"/>
          <w:rFonts w:hint="eastAsia" w:eastAsia="仿宋_GB2312" w:cs="Times New Roman"/>
          <w:b w:val="0"/>
          <w:bCs/>
          <w:sz w:val="32"/>
          <w:szCs w:val="32"/>
          <w:lang w:val="en-US" w:eastAsia="zh-CN"/>
        </w:rPr>
        <w:t>15.81</w:t>
      </w:r>
      <w:r>
        <w:rPr>
          <w:rStyle w:val="17"/>
          <w:rFonts w:hint="default" w:ascii="Times New Roman" w:hAnsi="Times New Roman" w:eastAsia="仿宋_GB2312" w:cs="Times New Roman"/>
          <w:b w:val="0"/>
          <w:bCs/>
          <w:sz w:val="32"/>
          <w:szCs w:val="32"/>
        </w:rPr>
        <w:t>万元，完成预算100%；</w:t>
      </w:r>
    </w:p>
    <w:p w14:paraId="1AFAD285">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社会保障和就业支出（类）行政事业单位养老支出（款）机关事业单位基本养老保险缴费支出（项）</w:t>
      </w:r>
      <w:r>
        <w:rPr>
          <w:rStyle w:val="17"/>
          <w:rFonts w:hint="default" w:ascii="Times New Roman" w:hAnsi="Times New Roman" w:eastAsia="仿宋_GB2312" w:cs="Times New Roman"/>
          <w:b w:val="0"/>
          <w:bCs/>
          <w:sz w:val="32"/>
          <w:szCs w:val="32"/>
        </w:rPr>
        <w:t>：支出决算为</w:t>
      </w:r>
      <w:r>
        <w:rPr>
          <w:rStyle w:val="17"/>
          <w:rFonts w:hint="eastAsia" w:eastAsia="仿宋_GB2312" w:cs="Times New Roman"/>
          <w:b w:val="0"/>
          <w:bCs/>
          <w:sz w:val="32"/>
          <w:szCs w:val="32"/>
          <w:lang w:val="en-US" w:eastAsia="zh-CN"/>
        </w:rPr>
        <w:t>24.61</w:t>
      </w:r>
      <w:r>
        <w:rPr>
          <w:rStyle w:val="17"/>
          <w:rFonts w:hint="default" w:ascii="Times New Roman" w:hAnsi="Times New Roman" w:eastAsia="仿宋_GB2312" w:cs="Times New Roman"/>
          <w:b w:val="0"/>
          <w:bCs/>
          <w:sz w:val="32"/>
          <w:szCs w:val="32"/>
        </w:rPr>
        <w:t>万元，完成预算100%；</w:t>
      </w:r>
    </w:p>
    <w:p w14:paraId="37731515">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社会保障和就业支出（类）行政事业单位养老支出（款）机关事业单位</w:t>
      </w:r>
      <w:r>
        <w:rPr>
          <w:rStyle w:val="17"/>
          <w:rFonts w:hint="eastAsia" w:eastAsia="仿宋_GB2312" w:cs="Times New Roman"/>
          <w:bCs/>
          <w:sz w:val="32"/>
          <w:szCs w:val="32"/>
          <w:lang w:eastAsia="zh-CN"/>
        </w:rPr>
        <w:t>职业年金缴费支出</w:t>
      </w:r>
      <w:r>
        <w:rPr>
          <w:rStyle w:val="17"/>
          <w:rFonts w:hint="default" w:ascii="Times New Roman" w:hAnsi="Times New Roman" w:eastAsia="仿宋_GB2312" w:cs="Times New Roman"/>
          <w:bCs/>
          <w:sz w:val="32"/>
          <w:szCs w:val="32"/>
        </w:rPr>
        <w:t>（项）</w:t>
      </w:r>
      <w:r>
        <w:rPr>
          <w:rStyle w:val="17"/>
          <w:rFonts w:hint="default" w:ascii="Times New Roman" w:hAnsi="Times New Roman" w:eastAsia="仿宋_GB2312" w:cs="Times New Roman"/>
          <w:b w:val="0"/>
          <w:bCs/>
          <w:sz w:val="32"/>
          <w:szCs w:val="32"/>
        </w:rPr>
        <w:t>：支出决算为</w:t>
      </w:r>
      <w:r>
        <w:rPr>
          <w:rStyle w:val="17"/>
          <w:rFonts w:hint="eastAsia" w:eastAsia="仿宋_GB2312" w:cs="Times New Roman"/>
          <w:b w:val="0"/>
          <w:bCs/>
          <w:sz w:val="32"/>
          <w:szCs w:val="32"/>
          <w:lang w:val="en-US" w:eastAsia="zh-CN"/>
        </w:rPr>
        <w:t>18.36</w:t>
      </w:r>
      <w:r>
        <w:rPr>
          <w:rStyle w:val="17"/>
          <w:rFonts w:hint="default" w:ascii="Times New Roman" w:hAnsi="Times New Roman" w:eastAsia="仿宋_GB2312" w:cs="Times New Roman"/>
          <w:b w:val="0"/>
          <w:bCs/>
          <w:sz w:val="32"/>
          <w:szCs w:val="32"/>
        </w:rPr>
        <w:t>万元，完成预算100%；</w:t>
      </w:r>
    </w:p>
    <w:p w14:paraId="4529E0C4">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社会保障和就业支出（类）</w:t>
      </w:r>
      <w:r>
        <w:rPr>
          <w:rStyle w:val="17"/>
          <w:rFonts w:hint="eastAsia" w:eastAsia="仿宋_GB2312" w:cs="Times New Roman"/>
          <w:bCs/>
          <w:sz w:val="32"/>
          <w:szCs w:val="32"/>
          <w:lang w:eastAsia="zh-CN"/>
        </w:rPr>
        <w:t>抚恤</w:t>
      </w:r>
      <w:r>
        <w:rPr>
          <w:rStyle w:val="17"/>
          <w:rFonts w:hint="default" w:ascii="Times New Roman" w:hAnsi="Times New Roman" w:eastAsia="仿宋_GB2312" w:cs="Times New Roman"/>
          <w:bCs/>
          <w:sz w:val="32"/>
          <w:szCs w:val="32"/>
        </w:rPr>
        <w:t>（款）</w:t>
      </w:r>
      <w:r>
        <w:rPr>
          <w:rStyle w:val="17"/>
          <w:rFonts w:hint="eastAsia" w:eastAsia="仿宋_GB2312" w:cs="Times New Roman"/>
          <w:bCs/>
          <w:sz w:val="32"/>
          <w:szCs w:val="32"/>
          <w:lang w:eastAsia="zh-CN"/>
        </w:rPr>
        <w:t>死亡抚恤</w:t>
      </w:r>
      <w:r>
        <w:rPr>
          <w:rStyle w:val="17"/>
          <w:rFonts w:hint="default" w:ascii="Times New Roman" w:hAnsi="Times New Roman" w:eastAsia="仿宋_GB2312" w:cs="Times New Roman"/>
          <w:bCs/>
          <w:sz w:val="32"/>
          <w:szCs w:val="32"/>
        </w:rPr>
        <w:t>（项）</w:t>
      </w:r>
      <w:r>
        <w:rPr>
          <w:rStyle w:val="17"/>
          <w:rFonts w:hint="default" w:ascii="Times New Roman" w:hAnsi="Times New Roman" w:eastAsia="仿宋_GB2312" w:cs="Times New Roman"/>
          <w:b w:val="0"/>
          <w:bCs/>
          <w:sz w:val="32"/>
          <w:szCs w:val="32"/>
        </w:rPr>
        <w:t>：支出决算为</w:t>
      </w:r>
      <w:r>
        <w:rPr>
          <w:rStyle w:val="17"/>
          <w:rFonts w:hint="eastAsia" w:eastAsia="仿宋_GB2312" w:cs="Times New Roman"/>
          <w:b w:val="0"/>
          <w:bCs/>
          <w:sz w:val="32"/>
          <w:szCs w:val="32"/>
          <w:lang w:val="en-US" w:eastAsia="zh-CN"/>
        </w:rPr>
        <w:t>23.85</w:t>
      </w:r>
      <w:r>
        <w:rPr>
          <w:rStyle w:val="17"/>
          <w:rFonts w:hint="default" w:ascii="Times New Roman" w:hAnsi="Times New Roman" w:eastAsia="仿宋_GB2312" w:cs="Times New Roman"/>
          <w:b w:val="0"/>
          <w:bCs/>
          <w:sz w:val="32"/>
          <w:szCs w:val="32"/>
        </w:rPr>
        <w:t>万元，完成预算100%；</w:t>
      </w:r>
    </w:p>
    <w:p w14:paraId="50BA735C">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社会保障和就业支出（类）红十字事业（款）其他红十字事业支出（项）</w:t>
      </w:r>
      <w:r>
        <w:rPr>
          <w:rStyle w:val="17"/>
          <w:rFonts w:hint="default" w:ascii="Times New Roman" w:hAnsi="Times New Roman" w:eastAsia="仿宋_GB2312" w:cs="Times New Roman"/>
          <w:b w:val="0"/>
          <w:bCs/>
          <w:sz w:val="32"/>
          <w:szCs w:val="32"/>
        </w:rPr>
        <w:t>：支出决算为3.5万元，完成预算100%。</w:t>
      </w:r>
    </w:p>
    <w:p w14:paraId="31FBF650">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Fonts w:hint="default" w:ascii="Times New Roman" w:hAnsi="Times New Roman" w:eastAsia="仿宋_GB2312" w:cs="Times New Roman"/>
          <w:b/>
          <w:bCs/>
          <w:sz w:val="32"/>
          <w:szCs w:val="32"/>
        </w:rPr>
      </w:pPr>
      <w:r>
        <w:rPr>
          <w:rStyle w:val="17"/>
          <w:rFonts w:hint="eastAsia" w:eastAsia="仿宋_GB2312" w:cs="Times New Roman"/>
          <w:bCs/>
          <w:sz w:val="32"/>
          <w:szCs w:val="32"/>
          <w:lang w:val="en-US" w:eastAsia="zh-CN"/>
        </w:rPr>
        <w:t>2</w:t>
      </w:r>
      <w:r>
        <w:rPr>
          <w:rStyle w:val="17"/>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卫生健康支出</w:t>
      </w:r>
    </w:p>
    <w:p w14:paraId="63D0404D">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卫生健康支出（类）卫生健康管理事务（款）行政运行（项）</w:t>
      </w:r>
      <w:r>
        <w:rPr>
          <w:rStyle w:val="17"/>
          <w:rFonts w:hint="default" w:ascii="Times New Roman" w:hAnsi="Times New Roman" w:eastAsia="仿宋_GB2312" w:cs="Times New Roman"/>
          <w:b w:val="0"/>
          <w:bCs/>
          <w:sz w:val="32"/>
          <w:szCs w:val="32"/>
        </w:rPr>
        <w:t>：支出决算为</w:t>
      </w:r>
      <w:r>
        <w:rPr>
          <w:rStyle w:val="17"/>
          <w:rFonts w:hint="eastAsia" w:eastAsia="仿宋_GB2312" w:cs="Times New Roman"/>
          <w:b w:val="0"/>
          <w:bCs/>
          <w:sz w:val="32"/>
          <w:szCs w:val="32"/>
          <w:lang w:val="en-US" w:eastAsia="zh-CN"/>
        </w:rPr>
        <w:t>198.42</w:t>
      </w:r>
      <w:r>
        <w:rPr>
          <w:rStyle w:val="17"/>
          <w:rFonts w:hint="default" w:ascii="Times New Roman" w:hAnsi="Times New Roman" w:eastAsia="仿宋_GB2312" w:cs="Times New Roman"/>
          <w:b w:val="0"/>
          <w:bCs/>
          <w:sz w:val="32"/>
          <w:szCs w:val="32"/>
        </w:rPr>
        <w:t>万元，完成预算100%；</w:t>
      </w:r>
    </w:p>
    <w:p w14:paraId="2A3F266F">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卫生健康支出（类）卫生健康管理事务（款）</w:t>
      </w:r>
      <w:r>
        <w:rPr>
          <w:rStyle w:val="17"/>
          <w:rFonts w:hint="default" w:ascii="Times New Roman" w:hAnsi="Times New Roman" w:eastAsia="仿宋_GB2312" w:cs="Times New Roman"/>
          <w:sz w:val="32"/>
          <w:szCs w:val="32"/>
        </w:rPr>
        <w:t>其他卫生健康管理事务支出</w:t>
      </w:r>
      <w:r>
        <w:rPr>
          <w:rStyle w:val="17"/>
          <w:rFonts w:hint="default" w:ascii="Times New Roman" w:hAnsi="Times New Roman" w:eastAsia="仿宋_GB2312" w:cs="Times New Roman"/>
          <w:bCs/>
          <w:sz w:val="32"/>
          <w:szCs w:val="32"/>
        </w:rPr>
        <w:t>（项）</w:t>
      </w:r>
      <w:r>
        <w:rPr>
          <w:rStyle w:val="17"/>
          <w:rFonts w:hint="default" w:ascii="Times New Roman" w:hAnsi="Times New Roman" w:eastAsia="仿宋_GB2312" w:cs="Times New Roman"/>
          <w:b w:val="0"/>
          <w:bCs/>
          <w:sz w:val="32"/>
          <w:szCs w:val="32"/>
        </w:rPr>
        <w:t>：支出决算为</w:t>
      </w:r>
      <w:r>
        <w:rPr>
          <w:rStyle w:val="17"/>
          <w:rFonts w:hint="eastAsia" w:ascii="Times New Roman" w:cs="Times New Roman"/>
          <w:b w:val="0"/>
          <w:bCs/>
          <w:sz w:val="32"/>
          <w:szCs w:val="32"/>
          <w:lang w:val="en-US" w:eastAsia="zh-CN"/>
        </w:rPr>
        <w:t>58.15</w:t>
      </w:r>
      <w:r>
        <w:rPr>
          <w:rStyle w:val="17"/>
          <w:rFonts w:hint="default" w:ascii="Times New Roman" w:hAnsi="Times New Roman" w:eastAsia="仿宋_GB2312" w:cs="Times New Roman"/>
          <w:b w:val="0"/>
          <w:bCs/>
          <w:sz w:val="32"/>
          <w:szCs w:val="32"/>
        </w:rPr>
        <w:t>万元，完成预算100%；</w:t>
      </w:r>
    </w:p>
    <w:p w14:paraId="0120CF76">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color w:val="FF0000"/>
          <w:sz w:val="32"/>
          <w:szCs w:val="32"/>
        </w:rPr>
      </w:pPr>
      <w:r>
        <w:rPr>
          <w:rStyle w:val="17"/>
          <w:rFonts w:hint="default" w:ascii="Times New Roman" w:hAnsi="Times New Roman" w:eastAsia="仿宋_GB2312" w:cs="Times New Roman"/>
          <w:bCs/>
          <w:sz w:val="32"/>
          <w:szCs w:val="32"/>
        </w:rPr>
        <w:t>卫生健康支出（</w:t>
      </w:r>
      <w:r>
        <w:rPr>
          <w:rStyle w:val="17"/>
          <w:rFonts w:hint="default" w:ascii="Times New Roman" w:hAnsi="Times New Roman" w:eastAsia="仿宋_GB2312" w:cs="Times New Roman"/>
          <w:bCs/>
          <w:color w:val="auto"/>
          <w:sz w:val="32"/>
          <w:szCs w:val="32"/>
        </w:rPr>
        <w:t>类）公共卫生（款）基本</w:t>
      </w:r>
      <w:r>
        <w:rPr>
          <w:rStyle w:val="17"/>
          <w:rFonts w:hint="default" w:ascii="Times New Roman" w:hAnsi="Times New Roman" w:eastAsia="仿宋_GB2312" w:cs="Times New Roman"/>
          <w:color w:val="auto"/>
          <w:sz w:val="32"/>
          <w:szCs w:val="32"/>
        </w:rPr>
        <w:t>公共卫生服务（项）</w:t>
      </w:r>
      <w:r>
        <w:rPr>
          <w:rStyle w:val="17"/>
          <w:rFonts w:hint="default" w:ascii="Times New Roman" w:hAnsi="Times New Roman" w:eastAsia="仿宋_GB2312" w:cs="Times New Roman"/>
          <w:b w:val="0"/>
          <w:bCs/>
          <w:color w:val="auto"/>
          <w:sz w:val="32"/>
          <w:szCs w:val="32"/>
        </w:rPr>
        <w:t>：支出决算为</w:t>
      </w:r>
      <w:r>
        <w:rPr>
          <w:rStyle w:val="17"/>
          <w:rFonts w:hint="eastAsia" w:ascii="Times New Roman" w:cs="Times New Roman"/>
          <w:b w:val="0"/>
          <w:bCs/>
          <w:color w:val="auto"/>
          <w:sz w:val="32"/>
          <w:szCs w:val="32"/>
          <w:lang w:val="en-US" w:eastAsia="zh-CN"/>
        </w:rPr>
        <w:t>8.56</w:t>
      </w:r>
      <w:r>
        <w:rPr>
          <w:rStyle w:val="17"/>
          <w:rFonts w:hint="default" w:ascii="Times New Roman" w:hAnsi="Times New Roman" w:eastAsia="仿宋_GB2312" w:cs="Times New Roman"/>
          <w:b w:val="0"/>
          <w:bCs/>
          <w:color w:val="auto"/>
          <w:sz w:val="32"/>
          <w:szCs w:val="32"/>
        </w:rPr>
        <w:t>万元，完成预算</w:t>
      </w:r>
      <w:r>
        <w:rPr>
          <w:rStyle w:val="17"/>
          <w:rFonts w:hint="eastAsia" w:ascii="Times New Roman" w:cs="Times New Roman"/>
          <w:b w:val="0"/>
          <w:bCs/>
          <w:color w:val="auto"/>
          <w:sz w:val="32"/>
          <w:szCs w:val="32"/>
          <w:lang w:val="en-US" w:eastAsia="zh-CN"/>
        </w:rPr>
        <w:t>72.69</w:t>
      </w:r>
      <w:r>
        <w:rPr>
          <w:rStyle w:val="17"/>
          <w:rFonts w:hint="default" w:ascii="Times New Roman" w:hAnsi="Times New Roman" w:eastAsia="仿宋_GB2312" w:cs="Times New Roman"/>
          <w:b w:val="0"/>
          <w:bCs/>
          <w:color w:val="auto"/>
          <w:sz w:val="32"/>
          <w:szCs w:val="32"/>
        </w:rPr>
        <w:t>%；</w:t>
      </w:r>
    </w:p>
    <w:p w14:paraId="7329FC35">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color w:val="auto"/>
          <w:sz w:val="32"/>
          <w:szCs w:val="32"/>
        </w:rPr>
      </w:pPr>
      <w:r>
        <w:rPr>
          <w:rStyle w:val="17"/>
          <w:rFonts w:hint="default" w:ascii="Times New Roman" w:hAnsi="Times New Roman" w:eastAsia="仿宋_GB2312" w:cs="Times New Roman"/>
          <w:bCs/>
          <w:color w:val="auto"/>
          <w:sz w:val="32"/>
          <w:szCs w:val="32"/>
        </w:rPr>
        <w:t>卫生健康支出（类）公共卫生（款）</w:t>
      </w:r>
      <w:r>
        <w:rPr>
          <w:rStyle w:val="17"/>
          <w:rFonts w:hint="default" w:ascii="Times New Roman" w:hAnsi="Times New Roman" w:eastAsia="仿宋_GB2312" w:cs="Times New Roman"/>
          <w:color w:val="auto"/>
          <w:sz w:val="32"/>
          <w:szCs w:val="32"/>
        </w:rPr>
        <w:t>重大公共卫生服务（项）</w:t>
      </w:r>
      <w:r>
        <w:rPr>
          <w:rStyle w:val="17"/>
          <w:rFonts w:hint="default" w:ascii="Times New Roman" w:hAnsi="Times New Roman" w:eastAsia="仿宋_GB2312" w:cs="Times New Roman"/>
          <w:b w:val="0"/>
          <w:bCs/>
          <w:color w:val="auto"/>
          <w:sz w:val="32"/>
          <w:szCs w:val="32"/>
        </w:rPr>
        <w:t>：支出决算为</w:t>
      </w:r>
      <w:r>
        <w:rPr>
          <w:rStyle w:val="17"/>
          <w:rFonts w:hint="eastAsia" w:ascii="Times New Roman" w:cs="Times New Roman"/>
          <w:b w:val="0"/>
          <w:bCs/>
          <w:color w:val="auto"/>
          <w:sz w:val="32"/>
          <w:szCs w:val="32"/>
          <w:lang w:val="en-US" w:eastAsia="zh-CN"/>
        </w:rPr>
        <w:t>167.5</w:t>
      </w:r>
      <w:r>
        <w:rPr>
          <w:rStyle w:val="17"/>
          <w:rFonts w:hint="default" w:ascii="Times New Roman" w:hAnsi="Times New Roman" w:eastAsia="仿宋_GB2312" w:cs="Times New Roman"/>
          <w:b w:val="0"/>
          <w:bCs/>
          <w:color w:val="auto"/>
          <w:sz w:val="32"/>
          <w:szCs w:val="32"/>
        </w:rPr>
        <w:t>元，完成预算</w:t>
      </w:r>
      <w:r>
        <w:rPr>
          <w:rStyle w:val="17"/>
          <w:rFonts w:hint="eastAsia" w:ascii="Times New Roman" w:cs="Times New Roman"/>
          <w:b w:val="0"/>
          <w:bCs/>
          <w:color w:val="auto"/>
          <w:sz w:val="32"/>
          <w:szCs w:val="32"/>
          <w:lang w:val="en-US" w:eastAsia="zh-CN"/>
        </w:rPr>
        <w:t>99.81</w:t>
      </w:r>
      <w:r>
        <w:rPr>
          <w:rStyle w:val="17"/>
          <w:rFonts w:hint="default" w:ascii="Times New Roman" w:hAnsi="Times New Roman" w:eastAsia="仿宋_GB2312" w:cs="Times New Roman"/>
          <w:b w:val="0"/>
          <w:bCs/>
          <w:color w:val="auto"/>
          <w:sz w:val="32"/>
          <w:szCs w:val="32"/>
        </w:rPr>
        <w:t>%；</w:t>
      </w:r>
    </w:p>
    <w:p w14:paraId="5AC90ADF">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firstLine="643" w:firstLineChars="200"/>
        <w:textAlignment w:val="auto"/>
        <w:rPr>
          <w:rStyle w:val="17"/>
          <w:rFonts w:hint="default" w:ascii="Times New Roman" w:hAnsi="Times New Roman" w:eastAsia="仿宋_GB2312" w:cs="Times New Roman"/>
          <w:b w:val="0"/>
          <w:bCs/>
          <w:color w:val="auto"/>
          <w:sz w:val="32"/>
          <w:szCs w:val="32"/>
        </w:rPr>
      </w:pPr>
      <w:r>
        <w:rPr>
          <w:rStyle w:val="17"/>
          <w:rFonts w:hint="default" w:ascii="Times New Roman" w:hAnsi="Times New Roman" w:eastAsia="仿宋_GB2312" w:cs="Times New Roman"/>
          <w:bCs/>
          <w:color w:val="auto"/>
          <w:sz w:val="32"/>
          <w:szCs w:val="32"/>
        </w:rPr>
        <w:t>卫生健康支出（类）公共卫生（款）</w:t>
      </w:r>
      <w:r>
        <w:rPr>
          <w:rStyle w:val="17"/>
          <w:rFonts w:hint="default" w:ascii="Times New Roman" w:hAnsi="Times New Roman" w:eastAsia="仿宋_GB2312" w:cs="Times New Roman"/>
          <w:color w:val="auto"/>
          <w:sz w:val="32"/>
          <w:szCs w:val="32"/>
        </w:rPr>
        <w:t>其他公共卫生服务（项）</w:t>
      </w:r>
      <w:r>
        <w:rPr>
          <w:rStyle w:val="17"/>
          <w:rFonts w:hint="default" w:ascii="Times New Roman" w:hAnsi="Times New Roman" w:eastAsia="仿宋_GB2312" w:cs="Times New Roman"/>
          <w:b w:val="0"/>
          <w:bCs/>
          <w:color w:val="auto"/>
          <w:sz w:val="32"/>
          <w:szCs w:val="32"/>
        </w:rPr>
        <w:t>：支出决算为</w:t>
      </w:r>
      <w:r>
        <w:rPr>
          <w:rStyle w:val="17"/>
          <w:rFonts w:hint="eastAsia" w:ascii="Times New Roman" w:cs="Times New Roman"/>
          <w:b w:val="0"/>
          <w:bCs/>
          <w:color w:val="auto"/>
          <w:sz w:val="32"/>
          <w:szCs w:val="32"/>
          <w:lang w:val="en-US" w:eastAsia="zh-CN"/>
        </w:rPr>
        <w:t>42.85</w:t>
      </w:r>
      <w:r>
        <w:rPr>
          <w:rStyle w:val="17"/>
          <w:rFonts w:hint="default" w:ascii="Times New Roman" w:hAnsi="Times New Roman" w:eastAsia="仿宋_GB2312" w:cs="Times New Roman"/>
          <w:b w:val="0"/>
          <w:bCs/>
          <w:color w:val="auto"/>
          <w:sz w:val="32"/>
          <w:szCs w:val="32"/>
        </w:rPr>
        <w:t>万元，完成预算100%；</w:t>
      </w:r>
    </w:p>
    <w:p w14:paraId="2823AC99">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color w:val="auto"/>
          <w:sz w:val="32"/>
          <w:szCs w:val="32"/>
        </w:rPr>
      </w:pPr>
      <w:r>
        <w:rPr>
          <w:rStyle w:val="17"/>
          <w:rFonts w:hint="default" w:ascii="Times New Roman" w:hAnsi="Times New Roman" w:eastAsia="仿宋_GB2312" w:cs="Times New Roman"/>
          <w:bCs/>
          <w:color w:val="auto"/>
          <w:sz w:val="32"/>
          <w:szCs w:val="32"/>
        </w:rPr>
        <w:t>卫生健康支出（类）计划生育事务（款）</w:t>
      </w:r>
      <w:r>
        <w:rPr>
          <w:rStyle w:val="17"/>
          <w:rFonts w:hint="default" w:ascii="Times New Roman" w:hAnsi="Times New Roman" w:eastAsia="仿宋_GB2312" w:cs="Times New Roman"/>
          <w:color w:val="auto"/>
          <w:sz w:val="32"/>
          <w:szCs w:val="32"/>
        </w:rPr>
        <w:t>计划生育服务（项）</w:t>
      </w:r>
      <w:r>
        <w:rPr>
          <w:rStyle w:val="17"/>
          <w:rFonts w:hint="default" w:ascii="Times New Roman" w:hAnsi="Times New Roman" w:eastAsia="仿宋_GB2312" w:cs="Times New Roman"/>
          <w:b w:val="0"/>
          <w:bCs/>
          <w:color w:val="auto"/>
          <w:sz w:val="32"/>
          <w:szCs w:val="32"/>
        </w:rPr>
        <w:t>：支出决算为</w:t>
      </w:r>
      <w:r>
        <w:rPr>
          <w:rStyle w:val="17"/>
          <w:rFonts w:hint="eastAsia" w:ascii="Times New Roman" w:cs="Times New Roman"/>
          <w:b w:val="0"/>
          <w:bCs/>
          <w:color w:val="auto"/>
          <w:sz w:val="32"/>
          <w:szCs w:val="32"/>
          <w:lang w:val="en-US" w:eastAsia="zh-CN"/>
        </w:rPr>
        <w:t>279.25</w:t>
      </w:r>
      <w:r>
        <w:rPr>
          <w:rStyle w:val="17"/>
          <w:rFonts w:hint="default" w:ascii="Times New Roman" w:hAnsi="Times New Roman" w:eastAsia="仿宋_GB2312" w:cs="Times New Roman"/>
          <w:b w:val="0"/>
          <w:bCs/>
          <w:color w:val="auto"/>
          <w:sz w:val="32"/>
          <w:szCs w:val="32"/>
        </w:rPr>
        <w:t>万元，完成预算100%；</w:t>
      </w:r>
    </w:p>
    <w:p w14:paraId="600C22A2">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color w:val="auto"/>
          <w:sz w:val="32"/>
          <w:szCs w:val="32"/>
        </w:rPr>
      </w:pPr>
      <w:r>
        <w:rPr>
          <w:rStyle w:val="17"/>
          <w:rFonts w:hint="default" w:ascii="Times New Roman" w:hAnsi="Times New Roman" w:eastAsia="仿宋_GB2312" w:cs="Times New Roman"/>
          <w:bCs/>
          <w:color w:val="auto"/>
          <w:sz w:val="32"/>
          <w:szCs w:val="32"/>
        </w:rPr>
        <w:t>卫生健康支出（类）计划生育事务（款）</w:t>
      </w:r>
      <w:r>
        <w:rPr>
          <w:rStyle w:val="17"/>
          <w:rFonts w:hint="default" w:ascii="Times New Roman" w:hAnsi="Times New Roman" w:eastAsia="仿宋_GB2312" w:cs="Times New Roman"/>
          <w:color w:val="auto"/>
          <w:sz w:val="32"/>
          <w:szCs w:val="32"/>
        </w:rPr>
        <w:t>其他计划生育事务支出（项）</w:t>
      </w:r>
      <w:r>
        <w:rPr>
          <w:rStyle w:val="17"/>
          <w:rFonts w:hint="eastAsia" w:ascii="Times New Roman" w:hAnsi="Times New Roman" w:eastAsia="仿宋_GB2312" w:cs="Times New Roman"/>
          <w:color w:val="auto"/>
          <w:sz w:val="32"/>
          <w:szCs w:val="32"/>
          <w:lang w:eastAsia="zh-CN"/>
        </w:rPr>
        <w:t>：</w:t>
      </w:r>
      <w:r>
        <w:rPr>
          <w:rStyle w:val="17"/>
          <w:rFonts w:hint="default" w:ascii="Times New Roman" w:hAnsi="Times New Roman" w:eastAsia="仿宋_GB2312" w:cs="Times New Roman"/>
          <w:b w:val="0"/>
          <w:bCs/>
          <w:color w:val="auto"/>
          <w:sz w:val="32"/>
          <w:szCs w:val="32"/>
        </w:rPr>
        <w:t>支出决算为</w:t>
      </w:r>
      <w:r>
        <w:rPr>
          <w:rStyle w:val="17"/>
          <w:rFonts w:hint="eastAsia" w:ascii="Times New Roman" w:cs="Times New Roman"/>
          <w:b w:val="0"/>
          <w:bCs/>
          <w:color w:val="auto"/>
          <w:sz w:val="32"/>
          <w:szCs w:val="32"/>
          <w:lang w:val="en-US" w:eastAsia="zh-CN"/>
        </w:rPr>
        <w:t>568.1</w:t>
      </w:r>
      <w:r>
        <w:rPr>
          <w:rStyle w:val="17"/>
          <w:rFonts w:hint="default" w:ascii="Times New Roman" w:hAnsi="Times New Roman" w:eastAsia="仿宋_GB2312" w:cs="Times New Roman"/>
          <w:b w:val="0"/>
          <w:bCs/>
          <w:color w:val="auto"/>
          <w:sz w:val="32"/>
          <w:szCs w:val="32"/>
        </w:rPr>
        <w:t>万元，完成预算100%；</w:t>
      </w:r>
    </w:p>
    <w:p w14:paraId="18A69815">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卫生健康支出（类）</w:t>
      </w:r>
      <w:r>
        <w:rPr>
          <w:rStyle w:val="17"/>
          <w:rFonts w:hint="default" w:ascii="Times New Roman" w:hAnsi="Times New Roman" w:eastAsia="仿宋_GB2312" w:cs="Times New Roman"/>
          <w:sz w:val="32"/>
          <w:szCs w:val="32"/>
        </w:rPr>
        <w:t>行政事业单位医疗（款）行政单位医疗（项）</w:t>
      </w:r>
      <w:r>
        <w:rPr>
          <w:rStyle w:val="17"/>
          <w:rFonts w:hint="eastAsia" w:ascii="Times New Roman" w:hAnsi="Times New Roman" w:eastAsia="仿宋_GB2312" w:cs="Times New Roman"/>
          <w:sz w:val="32"/>
          <w:szCs w:val="32"/>
          <w:lang w:eastAsia="zh-CN"/>
        </w:rPr>
        <w:t>：</w:t>
      </w:r>
      <w:r>
        <w:rPr>
          <w:rStyle w:val="17"/>
          <w:rFonts w:hint="default" w:ascii="Times New Roman" w:hAnsi="Times New Roman" w:eastAsia="仿宋_GB2312" w:cs="Times New Roman"/>
          <w:b w:val="0"/>
          <w:bCs/>
          <w:sz w:val="32"/>
          <w:szCs w:val="32"/>
        </w:rPr>
        <w:t>支出决算为</w:t>
      </w:r>
      <w:r>
        <w:rPr>
          <w:rStyle w:val="17"/>
          <w:rFonts w:hint="eastAsia" w:ascii="Times New Roman" w:cs="Times New Roman"/>
          <w:b w:val="0"/>
          <w:bCs/>
          <w:sz w:val="32"/>
          <w:szCs w:val="32"/>
          <w:lang w:val="en-US" w:eastAsia="zh-CN"/>
        </w:rPr>
        <w:t>15.63</w:t>
      </w:r>
      <w:r>
        <w:rPr>
          <w:rStyle w:val="17"/>
          <w:rFonts w:hint="default" w:ascii="Times New Roman" w:hAnsi="Times New Roman" w:eastAsia="仿宋_GB2312" w:cs="Times New Roman"/>
          <w:b w:val="0"/>
          <w:bCs/>
          <w:sz w:val="32"/>
          <w:szCs w:val="32"/>
        </w:rPr>
        <w:t>万元，完成预算100%；</w:t>
      </w:r>
    </w:p>
    <w:p w14:paraId="7F4DBB44">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卫生健康支出（类）</w:t>
      </w:r>
      <w:r>
        <w:rPr>
          <w:rStyle w:val="17"/>
          <w:rFonts w:hint="default" w:ascii="Times New Roman" w:hAnsi="Times New Roman" w:eastAsia="仿宋_GB2312" w:cs="Times New Roman"/>
          <w:sz w:val="32"/>
          <w:szCs w:val="32"/>
        </w:rPr>
        <w:t>行政事业单位医疗（款）公务员医疗补助（项）</w:t>
      </w:r>
      <w:r>
        <w:rPr>
          <w:rStyle w:val="17"/>
          <w:rFonts w:hint="eastAsia" w:ascii="Times New Roman" w:hAnsi="Times New Roman" w:eastAsia="仿宋_GB2312" w:cs="Times New Roman"/>
          <w:sz w:val="32"/>
          <w:szCs w:val="32"/>
          <w:lang w:eastAsia="zh-CN"/>
        </w:rPr>
        <w:t>：</w:t>
      </w:r>
      <w:r>
        <w:rPr>
          <w:rStyle w:val="17"/>
          <w:rFonts w:hint="default" w:ascii="Times New Roman" w:hAnsi="Times New Roman" w:eastAsia="仿宋_GB2312" w:cs="Times New Roman"/>
          <w:b w:val="0"/>
          <w:bCs/>
          <w:sz w:val="32"/>
          <w:szCs w:val="32"/>
        </w:rPr>
        <w:t>支出决算为12.</w:t>
      </w:r>
      <w:r>
        <w:rPr>
          <w:rStyle w:val="17"/>
          <w:rFonts w:hint="eastAsia" w:ascii="Times New Roman" w:cs="Times New Roman"/>
          <w:b w:val="0"/>
          <w:bCs/>
          <w:sz w:val="32"/>
          <w:szCs w:val="32"/>
          <w:lang w:val="en-US" w:eastAsia="zh-CN"/>
        </w:rPr>
        <w:t>9</w:t>
      </w:r>
      <w:r>
        <w:rPr>
          <w:rStyle w:val="17"/>
          <w:rFonts w:hint="default" w:ascii="Times New Roman" w:hAnsi="Times New Roman" w:eastAsia="仿宋_GB2312" w:cs="Times New Roman"/>
          <w:b w:val="0"/>
          <w:bCs/>
          <w:sz w:val="32"/>
          <w:szCs w:val="32"/>
        </w:rPr>
        <w:t>万元，完成预算100%。</w:t>
      </w:r>
    </w:p>
    <w:p w14:paraId="3DE71222">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sz w:val="32"/>
          <w:szCs w:val="32"/>
        </w:rPr>
      </w:pPr>
      <w:r>
        <w:rPr>
          <w:rStyle w:val="17"/>
          <w:rFonts w:hint="default" w:ascii="Times New Roman" w:hAnsi="Times New Roman" w:eastAsia="仿宋_GB2312" w:cs="Times New Roman"/>
          <w:bCs/>
          <w:sz w:val="32"/>
          <w:szCs w:val="32"/>
        </w:rPr>
        <w:t>卫生健康支出（类）</w:t>
      </w:r>
      <w:r>
        <w:rPr>
          <w:rStyle w:val="17"/>
          <w:rFonts w:hint="eastAsia" w:ascii="Times New Roman" w:cs="Times New Roman"/>
          <w:sz w:val="32"/>
          <w:szCs w:val="32"/>
          <w:lang w:eastAsia="zh-CN"/>
        </w:rPr>
        <w:t>中医药事务</w:t>
      </w:r>
      <w:r>
        <w:rPr>
          <w:rStyle w:val="17"/>
          <w:rFonts w:hint="default" w:ascii="Times New Roman" w:hAnsi="Times New Roman" w:eastAsia="仿宋_GB2312" w:cs="Times New Roman"/>
          <w:sz w:val="32"/>
          <w:szCs w:val="32"/>
        </w:rPr>
        <w:t>（款）</w:t>
      </w:r>
      <w:r>
        <w:rPr>
          <w:rStyle w:val="17"/>
          <w:rFonts w:hint="eastAsia" w:ascii="Times New Roman" w:cs="Times New Roman"/>
          <w:sz w:val="32"/>
          <w:szCs w:val="32"/>
          <w:lang w:eastAsia="zh-CN"/>
        </w:rPr>
        <w:t>其他卫生健康支出</w:t>
      </w:r>
      <w:r>
        <w:rPr>
          <w:rStyle w:val="17"/>
          <w:rFonts w:hint="default" w:ascii="Times New Roman" w:hAnsi="Times New Roman" w:eastAsia="仿宋_GB2312" w:cs="Times New Roman"/>
          <w:sz w:val="32"/>
          <w:szCs w:val="32"/>
        </w:rPr>
        <w:t>（项）</w:t>
      </w:r>
      <w:r>
        <w:rPr>
          <w:rStyle w:val="17"/>
          <w:rFonts w:hint="eastAsia" w:ascii="Times New Roman" w:hAnsi="Times New Roman" w:eastAsia="仿宋_GB2312" w:cs="Times New Roman"/>
          <w:sz w:val="32"/>
          <w:szCs w:val="32"/>
          <w:lang w:eastAsia="zh-CN"/>
        </w:rPr>
        <w:t>：</w:t>
      </w:r>
      <w:r>
        <w:rPr>
          <w:rStyle w:val="17"/>
          <w:rFonts w:hint="default" w:ascii="Times New Roman" w:hAnsi="Times New Roman" w:eastAsia="仿宋_GB2312" w:cs="Times New Roman"/>
          <w:b w:val="0"/>
          <w:bCs/>
          <w:sz w:val="32"/>
          <w:szCs w:val="32"/>
        </w:rPr>
        <w:t>支出决算为</w:t>
      </w:r>
      <w:r>
        <w:rPr>
          <w:rStyle w:val="17"/>
          <w:rFonts w:hint="eastAsia" w:ascii="Times New Roman" w:cs="Times New Roman"/>
          <w:b w:val="0"/>
          <w:bCs/>
          <w:sz w:val="32"/>
          <w:szCs w:val="32"/>
          <w:lang w:val="en-US" w:eastAsia="zh-CN"/>
        </w:rPr>
        <w:t>120.29</w:t>
      </w:r>
      <w:r>
        <w:rPr>
          <w:rStyle w:val="17"/>
          <w:rFonts w:hint="default" w:ascii="Times New Roman" w:hAnsi="Times New Roman" w:eastAsia="仿宋_GB2312" w:cs="Times New Roman"/>
          <w:b w:val="0"/>
          <w:bCs/>
          <w:sz w:val="32"/>
          <w:szCs w:val="32"/>
        </w:rPr>
        <w:t>万元，</w:t>
      </w:r>
      <w:r>
        <w:rPr>
          <w:rStyle w:val="17"/>
          <w:rFonts w:hint="default" w:ascii="Times New Roman" w:hAnsi="Times New Roman" w:eastAsia="仿宋_GB2312" w:cs="Times New Roman"/>
          <w:b w:val="0"/>
          <w:bCs/>
          <w:color w:val="auto"/>
          <w:sz w:val="32"/>
          <w:szCs w:val="32"/>
        </w:rPr>
        <w:t>完成预算100%。</w:t>
      </w:r>
    </w:p>
    <w:p w14:paraId="5CB3738A">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7"/>
          <w:rFonts w:hint="eastAsia" w:eastAsia="仿宋_GB2312" w:cs="Times New Roman"/>
          <w:bCs/>
          <w:sz w:val="32"/>
          <w:szCs w:val="32"/>
          <w:lang w:eastAsia="zh-CN"/>
        </w:rPr>
      </w:pPr>
      <w:r>
        <w:rPr>
          <w:rStyle w:val="17"/>
          <w:rFonts w:hint="eastAsia" w:eastAsia="仿宋_GB2312" w:cs="Times New Roman"/>
          <w:bCs/>
          <w:sz w:val="32"/>
          <w:szCs w:val="32"/>
          <w:lang w:val="en-US" w:eastAsia="zh-CN"/>
        </w:rPr>
        <w:t>3</w:t>
      </w:r>
      <w:r>
        <w:rPr>
          <w:rStyle w:val="17"/>
          <w:rFonts w:hint="default" w:ascii="Times New Roman" w:hAnsi="Times New Roman" w:eastAsia="仿宋_GB2312" w:cs="Times New Roman"/>
          <w:bCs/>
          <w:sz w:val="32"/>
          <w:szCs w:val="32"/>
        </w:rPr>
        <w:t>.</w:t>
      </w:r>
      <w:r>
        <w:rPr>
          <w:rStyle w:val="17"/>
          <w:rFonts w:hint="eastAsia" w:eastAsia="仿宋_GB2312" w:cs="Times New Roman"/>
          <w:bCs/>
          <w:sz w:val="32"/>
          <w:szCs w:val="32"/>
          <w:lang w:eastAsia="zh-CN"/>
        </w:rPr>
        <w:t>城乡社区支出</w:t>
      </w:r>
    </w:p>
    <w:p w14:paraId="1F13D13D">
      <w:pPr>
        <w:pStyle w:val="2"/>
        <w:keepNext w:val="0"/>
        <w:keepLines w:val="0"/>
        <w:pageBreakBefore w:val="0"/>
        <w:widowControl w:val="0"/>
        <w:kinsoku/>
        <w:wordWrap/>
        <w:overflowPunct/>
        <w:topLinePunct w:val="0"/>
        <w:autoSpaceDE/>
        <w:autoSpaceDN/>
        <w:bidi w:val="0"/>
        <w:adjustRightInd w:val="0"/>
        <w:snapToGrid w:val="0"/>
        <w:spacing w:before="0" w:after="0" w:line="353" w:lineRule="auto"/>
        <w:ind w:left="0" w:firstLine="640"/>
        <w:textAlignment w:val="auto"/>
        <w:rPr>
          <w:rStyle w:val="17"/>
          <w:rFonts w:hint="default" w:ascii="Times New Roman" w:hAnsi="Times New Roman" w:eastAsia="仿宋_GB2312" w:cs="Times New Roman"/>
          <w:b w:val="0"/>
          <w:bCs/>
          <w:color w:val="auto"/>
          <w:sz w:val="32"/>
          <w:szCs w:val="32"/>
        </w:rPr>
      </w:pPr>
      <w:r>
        <w:rPr>
          <w:rStyle w:val="17"/>
          <w:rFonts w:hint="eastAsia" w:ascii="Times New Roman" w:cs="Times New Roman"/>
          <w:bCs/>
          <w:sz w:val="32"/>
          <w:szCs w:val="32"/>
          <w:lang w:eastAsia="zh-CN"/>
        </w:rPr>
        <w:t>城乡社区</w:t>
      </w:r>
      <w:r>
        <w:rPr>
          <w:rStyle w:val="17"/>
          <w:rFonts w:hint="default" w:ascii="Times New Roman" w:hAnsi="Times New Roman" w:eastAsia="仿宋_GB2312" w:cs="Times New Roman"/>
          <w:bCs/>
          <w:sz w:val="32"/>
          <w:szCs w:val="32"/>
        </w:rPr>
        <w:t>支出（类）</w:t>
      </w:r>
      <w:r>
        <w:rPr>
          <w:rStyle w:val="17"/>
          <w:rFonts w:hint="eastAsia" w:ascii="Times New Roman" w:cs="Times New Roman"/>
          <w:bCs/>
          <w:sz w:val="32"/>
          <w:szCs w:val="32"/>
          <w:lang w:eastAsia="zh-CN"/>
        </w:rPr>
        <w:t>国有土地使用权出让收入安排的支出</w:t>
      </w:r>
      <w:r>
        <w:rPr>
          <w:rStyle w:val="17"/>
          <w:rFonts w:hint="default" w:ascii="Times New Roman" w:hAnsi="Times New Roman" w:eastAsia="仿宋_GB2312" w:cs="Times New Roman"/>
          <w:sz w:val="32"/>
          <w:szCs w:val="32"/>
        </w:rPr>
        <w:t>（款）</w:t>
      </w:r>
      <w:r>
        <w:rPr>
          <w:rStyle w:val="17"/>
          <w:rFonts w:hint="eastAsia" w:ascii="Times New Roman" w:cs="Times New Roman"/>
          <w:sz w:val="32"/>
          <w:szCs w:val="32"/>
          <w:lang w:eastAsia="zh-CN"/>
        </w:rPr>
        <w:t>土地开发支出</w:t>
      </w:r>
      <w:r>
        <w:rPr>
          <w:rStyle w:val="17"/>
          <w:rFonts w:hint="default" w:ascii="Times New Roman" w:hAnsi="Times New Roman" w:eastAsia="仿宋_GB2312" w:cs="Times New Roman"/>
          <w:sz w:val="32"/>
          <w:szCs w:val="32"/>
        </w:rPr>
        <w:t>（项）</w:t>
      </w:r>
      <w:r>
        <w:rPr>
          <w:rStyle w:val="17"/>
          <w:rFonts w:hint="eastAsia" w:ascii="Times New Roman" w:hAnsi="Times New Roman" w:eastAsia="仿宋_GB2312" w:cs="Times New Roman"/>
          <w:sz w:val="32"/>
          <w:szCs w:val="32"/>
          <w:lang w:eastAsia="zh-CN"/>
        </w:rPr>
        <w:t>：</w:t>
      </w:r>
      <w:r>
        <w:rPr>
          <w:rStyle w:val="17"/>
          <w:rFonts w:hint="default" w:ascii="Times New Roman" w:hAnsi="Times New Roman" w:eastAsia="仿宋_GB2312" w:cs="Times New Roman"/>
          <w:b w:val="0"/>
          <w:bCs/>
          <w:sz w:val="32"/>
          <w:szCs w:val="32"/>
        </w:rPr>
        <w:t>支出决算为</w:t>
      </w:r>
      <w:r>
        <w:rPr>
          <w:rStyle w:val="17"/>
          <w:rFonts w:hint="eastAsia" w:ascii="Times New Roman" w:cs="Times New Roman"/>
          <w:b w:val="0"/>
          <w:bCs/>
          <w:sz w:val="32"/>
          <w:szCs w:val="32"/>
          <w:lang w:val="en-US" w:eastAsia="zh-CN"/>
        </w:rPr>
        <w:t>44.25</w:t>
      </w:r>
      <w:r>
        <w:rPr>
          <w:rStyle w:val="17"/>
          <w:rFonts w:hint="default" w:ascii="Times New Roman" w:hAnsi="Times New Roman" w:eastAsia="仿宋_GB2312" w:cs="Times New Roman"/>
          <w:b w:val="0"/>
          <w:bCs/>
          <w:sz w:val="32"/>
          <w:szCs w:val="32"/>
        </w:rPr>
        <w:t>万元，</w:t>
      </w:r>
      <w:r>
        <w:rPr>
          <w:rStyle w:val="17"/>
          <w:rFonts w:hint="default" w:ascii="Times New Roman" w:hAnsi="Times New Roman" w:eastAsia="仿宋_GB2312" w:cs="Times New Roman"/>
          <w:b w:val="0"/>
          <w:bCs/>
          <w:color w:val="auto"/>
          <w:sz w:val="32"/>
          <w:szCs w:val="32"/>
        </w:rPr>
        <w:t>完成预算100%。</w:t>
      </w:r>
    </w:p>
    <w:p w14:paraId="23957DEC">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Style w:val="17"/>
          <w:rFonts w:hint="default" w:ascii="Times New Roman" w:hAnsi="Times New Roman" w:eastAsia="仿宋_GB2312" w:cs="Times New Roman"/>
          <w:bCs/>
          <w:sz w:val="32"/>
          <w:szCs w:val="32"/>
        </w:rPr>
      </w:pPr>
      <w:r>
        <w:rPr>
          <w:rStyle w:val="17"/>
          <w:rFonts w:hint="eastAsia" w:eastAsia="仿宋_GB2312" w:cs="Times New Roman"/>
          <w:bCs/>
          <w:sz w:val="32"/>
          <w:szCs w:val="32"/>
          <w:lang w:val="en-US" w:eastAsia="zh-CN"/>
        </w:rPr>
        <w:t>4</w:t>
      </w:r>
      <w:r>
        <w:rPr>
          <w:rStyle w:val="17"/>
          <w:rFonts w:hint="default" w:ascii="Times New Roman" w:hAnsi="Times New Roman" w:eastAsia="仿宋_GB2312" w:cs="Times New Roman"/>
          <w:bCs/>
          <w:sz w:val="32"/>
          <w:szCs w:val="32"/>
        </w:rPr>
        <w:t>.</w:t>
      </w:r>
      <w:r>
        <w:rPr>
          <w:rFonts w:hint="default" w:ascii="Times New Roman" w:hAnsi="Times New Roman" w:eastAsia="仿宋_GB2312" w:cs="Times New Roman"/>
          <w:b/>
          <w:bCs/>
          <w:sz w:val="32"/>
          <w:szCs w:val="32"/>
        </w:rPr>
        <w:t>住房保障支出</w:t>
      </w:r>
    </w:p>
    <w:p w14:paraId="24931D7D">
      <w:pPr>
        <w:keepNext w:val="0"/>
        <w:keepLines w:val="0"/>
        <w:pageBreakBefore w:val="0"/>
        <w:widowControl w:val="0"/>
        <w:kinsoku/>
        <w:wordWrap/>
        <w:overflowPunct/>
        <w:topLinePunct w:val="0"/>
        <w:autoSpaceDE/>
        <w:autoSpaceDN/>
        <w:bidi w:val="0"/>
        <w:adjustRightInd w:val="0"/>
        <w:snapToGrid w:val="0"/>
        <w:spacing w:line="353" w:lineRule="auto"/>
        <w:ind w:left="0" w:firstLine="643" w:firstLineChars="200"/>
        <w:textAlignment w:val="auto"/>
        <w:rPr>
          <w:rFonts w:hint="default" w:ascii="Times New Roman" w:hAnsi="Times New Roman" w:eastAsia="仿宋_GB2312" w:cs="Times New Roman"/>
          <w:b/>
          <w:sz w:val="32"/>
          <w:szCs w:val="32"/>
        </w:rPr>
      </w:pPr>
      <w:r>
        <w:rPr>
          <w:rStyle w:val="17"/>
          <w:rFonts w:hint="default" w:ascii="Times New Roman" w:hAnsi="Times New Roman" w:eastAsia="仿宋_GB2312" w:cs="Times New Roman"/>
          <w:bCs/>
          <w:sz w:val="32"/>
          <w:szCs w:val="32"/>
        </w:rPr>
        <w:t>住房保障支出（类）</w:t>
      </w:r>
      <w:r>
        <w:rPr>
          <w:rStyle w:val="17"/>
          <w:rFonts w:hint="default" w:ascii="Times New Roman" w:hAnsi="Times New Roman" w:eastAsia="仿宋_GB2312" w:cs="Times New Roman"/>
          <w:sz w:val="32"/>
          <w:szCs w:val="32"/>
        </w:rPr>
        <w:t>住房改革支出（款）住房公积金（项）</w:t>
      </w:r>
      <w:r>
        <w:rPr>
          <w:rStyle w:val="17"/>
          <w:rFonts w:hint="default" w:ascii="Times New Roman" w:hAnsi="Times New Roman" w:eastAsia="仿宋_GB2312" w:cs="Times New Roman"/>
          <w:b w:val="0"/>
          <w:bCs/>
          <w:sz w:val="32"/>
          <w:szCs w:val="32"/>
        </w:rPr>
        <w:t>：支出决算为</w:t>
      </w:r>
      <w:r>
        <w:rPr>
          <w:rStyle w:val="17"/>
          <w:rFonts w:hint="eastAsia" w:eastAsia="仿宋_GB2312" w:cs="Times New Roman"/>
          <w:b w:val="0"/>
          <w:bCs/>
          <w:sz w:val="32"/>
          <w:szCs w:val="32"/>
          <w:lang w:val="en-US" w:eastAsia="zh-CN"/>
        </w:rPr>
        <w:t>20.25</w:t>
      </w:r>
      <w:r>
        <w:rPr>
          <w:rStyle w:val="17"/>
          <w:rFonts w:hint="default" w:ascii="Times New Roman" w:hAnsi="Times New Roman" w:eastAsia="仿宋_GB2312" w:cs="Times New Roman"/>
          <w:b w:val="0"/>
          <w:bCs/>
          <w:sz w:val="32"/>
          <w:szCs w:val="32"/>
        </w:rPr>
        <w:t>万元，完成预算100%。</w:t>
      </w:r>
    </w:p>
    <w:p w14:paraId="2AC4884D">
      <w:pPr>
        <w:tabs>
          <w:tab w:val="right" w:pos="8306"/>
        </w:tabs>
        <w:spacing w:line="600" w:lineRule="exact"/>
        <w:ind w:firstLine="640"/>
        <w:outlineLvl w:val="1"/>
        <w:rPr>
          <w:rStyle w:val="29"/>
          <w:rFonts w:ascii="Times New Roman" w:hAnsi="Times New Roman"/>
          <w:color w:val="auto"/>
          <w:highlight w:val="none"/>
        </w:rPr>
      </w:pPr>
      <w:bookmarkStart w:id="40" w:name="_Toc15377214"/>
      <w:bookmarkStart w:id="4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40"/>
      <w:bookmarkEnd w:id="41"/>
      <w:r>
        <w:rPr>
          <w:rStyle w:val="29"/>
          <w:rFonts w:ascii="Times New Roman" w:hAnsi="Times New Roman" w:eastAsia="黑体"/>
          <w:b w:val="0"/>
          <w:color w:val="auto"/>
          <w:highlight w:val="none"/>
        </w:rPr>
        <w:tab/>
      </w:r>
    </w:p>
    <w:p w14:paraId="50B9E9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387.99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A8411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364.73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w:t>
      </w:r>
      <w:r>
        <w:rPr>
          <w:rFonts w:hint="eastAsia" w:eastAsia="仿宋_GB2312" w:cs="仿宋_GB2312"/>
          <w:color w:val="auto"/>
          <w:kern w:val="2"/>
          <w:sz w:val="32"/>
          <w:szCs w:val="32"/>
          <w:highlight w:val="none"/>
          <w:lang w:val="en-US" w:eastAsia="zh-CN" w:bidi="ar-SA"/>
        </w:rPr>
        <w:t>职工基本医疗保险缴费、公务员医疗补助缴费、</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其他社会保障缴费、其他工资福利支出、抚恤金、生活补助、</w:t>
      </w:r>
      <w:r>
        <w:rPr>
          <w:rFonts w:hint="eastAsia" w:eastAsia="仿宋_GB2312" w:cs="仿宋_GB2312"/>
          <w:color w:val="auto"/>
          <w:kern w:val="2"/>
          <w:sz w:val="32"/>
          <w:szCs w:val="32"/>
          <w:highlight w:val="none"/>
          <w:lang w:val="en-US" w:eastAsia="zh-CN" w:bidi="ar-SA"/>
        </w:rPr>
        <w:t>奖励金、</w:t>
      </w:r>
      <w:r>
        <w:rPr>
          <w:rFonts w:hint="eastAsia" w:ascii="Times New Roman" w:hAnsi="Times New Roman" w:eastAsia="仿宋_GB2312" w:cs="仿宋_GB2312"/>
          <w:color w:val="auto"/>
          <w:kern w:val="2"/>
          <w:sz w:val="32"/>
          <w:szCs w:val="32"/>
          <w:highlight w:val="none"/>
          <w:lang w:val="en-US" w:eastAsia="zh-CN" w:bidi="ar-SA"/>
        </w:rPr>
        <w:t>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23.26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邮电费、差旅费、维修（护）费、公务接待费、</w:t>
      </w:r>
      <w:r>
        <w:rPr>
          <w:rFonts w:hint="eastAsia" w:eastAsia="仿宋_GB2312" w:cs="仿宋_GB2312"/>
          <w:color w:val="auto"/>
          <w:kern w:val="2"/>
          <w:sz w:val="32"/>
          <w:szCs w:val="32"/>
          <w:highlight w:val="none"/>
          <w:lang w:val="en-US" w:eastAsia="zh-CN" w:bidi="ar-SA"/>
        </w:rPr>
        <w:t>专用材料费、</w:t>
      </w:r>
      <w:r>
        <w:rPr>
          <w:rFonts w:hint="eastAsia" w:ascii="Times New Roman" w:hAnsi="Times New Roman" w:eastAsia="仿宋_GB2312" w:cs="仿宋_GB2312"/>
          <w:color w:val="auto"/>
          <w:kern w:val="2"/>
          <w:sz w:val="32"/>
          <w:szCs w:val="32"/>
          <w:highlight w:val="none"/>
          <w:lang w:val="en-US" w:eastAsia="zh-CN" w:bidi="ar-SA"/>
        </w:rPr>
        <w:t>劳务费、委托业务费、工会经费、福利费、其他交通费、其他商品和服务支出等。</w:t>
      </w:r>
    </w:p>
    <w:p w14:paraId="60EF93FE">
      <w:pPr>
        <w:spacing w:line="600" w:lineRule="exact"/>
        <w:ind w:firstLine="640"/>
        <w:outlineLvl w:val="1"/>
        <w:rPr>
          <w:rStyle w:val="29"/>
          <w:rFonts w:ascii="Times New Roman" w:hAnsi="Times New Roman" w:eastAsia="黑体"/>
          <w:b w:val="0"/>
          <w:color w:val="auto"/>
          <w:highlight w:val="none"/>
        </w:rPr>
      </w:pPr>
      <w:bookmarkStart w:id="42" w:name="_Toc15396609"/>
      <w:bookmarkStart w:id="4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2"/>
      <w:bookmarkEnd w:id="43"/>
    </w:p>
    <w:p w14:paraId="2919CE1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4"/>
    </w:p>
    <w:p w14:paraId="0D00F36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142.64</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预算数持平</w:t>
      </w:r>
      <w:bookmarkStart w:id="45" w:name="_Toc15377217"/>
      <w:r>
        <w:rPr>
          <w:rFonts w:hint="eastAsia" w:eastAsia="仿宋_GB2312" w:cs="仿宋_GB2312"/>
          <w:color w:val="auto"/>
          <w:kern w:val="2"/>
          <w:sz w:val="32"/>
          <w:szCs w:val="32"/>
          <w:highlight w:val="none"/>
          <w:lang w:val="en-US" w:eastAsia="zh-CN" w:bidi="ar-SA"/>
        </w:rPr>
        <w:t>。</w:t>
      </w:r>
    </w:p>
    <w:p w14:paraId="093D7334">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45"/>
    </w:p>
    <w:p w14:paraId="3F0D54C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0.34</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34714B9F">
      <w:pPr>
        <w:pStyle w:val="2"/>
        <w:rPr>
          <w:rFonts w:hint="eastAsia" w:ascii="仿宋_GB2312" w:hAnsi="仿宋_GB2312" w:eastAsia="仿宋_GB2312" w:cs="仿宋_GB2312"/>
          <w:color w:val="auto"/>
          <w:kern w:val="2"/>
          <w:sz w:val="32"/>
          <w:szCs w:val="32"/>
          <w:highlight w:val="none"/>
          <w:lang w:val="en-US" w:eastAsia="zh-CN" w:bidi="ar-SA"/>
        </w:rPr>
      </w:pPr>
    </w:p>
    <w:p w14:paraId="4222272B">
      <w:pPr>
        <w:pStyle w:val="2"/>
        <w:rPr>
          <w:rFonts w:hint="eastAsia" w:ascii="仿宋_GB2312" w:hAnsi="仿宋_GB2312" w:eastAsia="仿宋_GB2312" w:cs="仿宋_GB2312"/>
          <w:color w:val="auto"/>
          <w:kern w:val="2"/>
          <w:sz w:val="32"/>
          <w:szCs w:val="32"/>
          <w:highlight w:val="none"/>
          <w:lang w:val="en-US" w:eastAsia="zh-CN" w:bidi="ar-SA"/>
        </w:rPr>
      </w:pPr>
    </w:p>
    <w:p w14:paraId="0F198175">
      <w:pPr>
        <w:pStyle w:val="2"/>
        <w:rPr>
          <w:rFonts w:hint="default" w:hAnsi="仿宋_GB2312" w:cs="仿宋_GB2312"/>
          <w:color w:val="auto"/>
          <w:kern w:val="2"/>
          <w:sz w:val="32"/>
          <w:szCs w:val="32"/>
          <w:highlight w:val="none"/>
          <w:lang w:val="en-US" w:eastAsia="zh-CN" w:bidi="ar-SA"/>
        </w:rPr>
      </w:pPr>
      <w:r>
        <w:rPr>
          <w:rFonts w:hint="eastAsia" w:hAnsi="仿宋_GB2312" w:cs="仿宋_GB2312"/>
          <w:color w:val="auto"/>
          <w:kern w:val="2"/>
          <w:sz w:val="32"/>
          <w:szCs w:val="32"/>
          <w:highlight w:val="none"/>
          <w:lang w:val="en-US" w:eastAsia="zh-CN" w:bidi="ar-SA"/>
        </w:rPr>
        <w:t xml:space="preserve">  </w:t>
      </w:r>
      <w:r>
        <w:drawing>
          <wp:inline distT="0" distB="0" distL="114300" distR="114300">
            <wp:extent cx="4572000" cy="2714625"/>
            <wp:effectExtent l="4445" t="4445" r="1460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9ACE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sz w:val="32"/>
          <w:szCs w:val="32"/>
        </w:rPr>
        <w:t>因公出国（境）支出决算与202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年度持平。</w:t>
      </w:r>
    </w:p>
    <w:p w14:paraId="025BA99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default" w:ascii="Times New Roman" w:hAnsi="Times New Roman" w:eastAsia="仿宋_GB2312" w:cs="Times New Roman"/>
          <w:sz w:val="32"/>
          <w:szCs w:val="32"/>
        </w:rPr>
        <w:t>公务用车购置及运</w:t>
      </w:r>
      <w:r>
        <w:rPr>
          <w:rFonts w:hint="default" w:ascii="Times New Roman" w:hAnsi="Times New Roman" w:eastAsia="仿宋_GB2312" w:cs="仿宋_GB2312"/>
          <w:color w:val="auto"/>
          <w:kern w:val="2"/>
          <w:sz w:val="32"/>
          <w:szCs w:val="32"/>
          <w:highlight w:val="none"/>
          <w:lang w:val="en-US" w:eastAsia="zh-CN" w:bidi="ar-SA"/>
        </w:rPr>
        <w:t>行维护费支出决算</w:t>
      </w:r>
      <w:r>
        <w:rPr>
          <w:rFonts w:hint="eastAsia" w:eastAsia="仿宋_GB2312" w:cs="仿宋_GB2312"/>
          <w:color w:val="auto"/>
          <w:kern w:val="2"/>
          <w:sz w:val="32"/>
          <w:szCs w:val="32"/>
          <w:highlight w:val="none"/>
          <w:lang w:val="en-US" w:eastAsia="zh-CN" w:bidi="ar-SA"/>
        </w:rPr>
        <w:t>与</w:t>
      </w:r>
      <w:r>
        <w:rPr>
          <w:rFonts w:hint="default" w:ascii="Times New Roman" w:hAnsi="Times New Roman" w:eastAsia="仿宋_GB2312" w:cs="仿宋_GB2312"/>
          <w:color w:val="auto"/>
          <w:kern w:val="2"/>
          <w:sz w:val="32"/>
          <w:szCs w:val="32"/>
          <w:highlight w:val="none"/>
          <w:lang w:val="en-US" w:eastAsia="zh-CN" w:bidi="ar-SA"/>
        </w:rPr>
        <w:t>202</w:t>
      </w:r>
      <w:r>
        <w:rPr>
          <w:rFonts w:hint="eastAsia"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en-US" w:eastAsia="zh-CN" w:bidi="ar-SA"/>
        </w:rPr>
        <w:t>年度持平。</w:t>
      </w:r>
    </w:p>
    <w:p w14:paraId="2E4DD1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762FB9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576FDB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0.34万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142.64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公务接待批次增加</w:t>
      </w:r>
      <w:r>
        <w:rPr>
          <w:rFonts w:hint="eastAsia" w:ascii="Times New Roman" w:hAnsi="Times New Roman" w:eastAsia="仿宋_GB2312" w:cs="仿宋_GB2312"/>
          <w:color w:val="auto"/>
          <w:kern w:val="2"/>
          <w:sz w:val="32"/>
          <w:szCs w:val="32"/>
          <w:highlight w:val="none"/>
          <w:lang w:val="en-US" w:eastAsia="zh-CN" w:bidi="ar-SA"/>
        </w:rPr>
        <w:t>。其中：</w:t>
      </w:r>
    </w:p>
    <w:p w14:paraId="0BB6AD76">
      <w:pPr>
        <w:spacing w:line="600" w:lineRule="exact"/>
        <w:ind w:firstLine="640"/>
        <w:rPr>
          <w:rFonts w:hint="eastAsia" w:ascii="Times New Roman" w:hAnsi="Times New Roman" w:eastAsia="仿宋_GB2312" w:cs="仿宋_GB2312"/>
          <w:color w:val="FF0000"/>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color w:val="auto"/>
          <w:sz w:val="32"/>
          <w:szCs w:val="32"/>
        </w:rPr>
        <w:t>0.34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巩固</w:t>
      </w:r>
      <w:r>
        <w:rPr>
          <w:rFonts w:hint="eastAsia" w:ascii="Times New Roman" w:hAnsi="Times New Roman" w:eastAsia="仿宋_GB2312" w:cs="仿宋_GB2312"/>
          <w:color w:val="auto"/>
          <w:kern w:val="2"/>
          <w:sz w:val="32"/>
          <w:szCs w:val="32"/>
          <w:highlight w:val="none"/>
          <w:lang w:val="en-US" w:eastAsia="zh-CN" w:bidi="ar-SA"/>
        </w:rPr>
        <w:t>国家卫生城市现场评估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安全生产交叉督导检查</w:t>
      </w:r>
      <w:r>
        <w:rPr>
          <w:rFonts w:hint="eastAsia" w:eastAsia="仿宋_GB2312" w:cs="仿宋_GB2312"/>
          <w:color w:val="auto"/>
          <w:kern w:val="2"/>
          <w:sz w:val="32"/>
          <w:szCs w:val="32"/>
          <w:highlight w:val="none"/>
          <w:lang w:val="en-US" w:eastAsia="zh-CN" w:bidi="ar-SA"/>
        </w:rPr>
        <w:t>、四川省生育友好宣传教育等</w:t>
      </w:r>
      <w:r>
        <w:rPr>
          <w:rFonts w:hint="eastAsia" w:ascii="Times New Roman" w:hAnsi="Times New Roman" w:eastAsia="仿宋_GB2312" w:cs="仿宋_GB2312"/>
          <w:color w:val="auto"/>
          <w:kern w:val="2"/>
          <w:sz w:val="32"/>
          <w:szCs w:val="32"/>
          <w:highlight w:val="none"/>
          <w:lang w:val="en-US" w:eastAsia="zh-CN" w:bidi="ar-SA"/>
        </w:rPr>
        <w:t>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color w:val="auto"/>
          <w:sz w:val="32"/>
          <w:szCs w:val="32"/>
          <w:lang w:val="en-US" w:eastAsia="zh-CN"/>
        </w:rPr>
        <w:t>25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0.34</w:t>
      </w:r>
      <w:r>
        <w:rPr>
          <w:rFonts w:hint="eastAsia" w:ascii="Times New Roman" w:hAnsi="Times New Roman" w:eastAsia="仿宋_GB2312" w:cs="仿宋_GB2312"/>
          <w:color w:val="auto"/>
          <w:kern w:val="2"/>
          <w:sz w:val="32"/>
          <w:szCs w:val="32"/>
          <w:highlight w:val="none"/>
          <w:lang w:val="en-US" w:eastAsia="zh-CN" w:bidi="ar-SA"/>
        </w:rPr>
        <w:t>万元，具体内容包括：巩固国家卫生城市现场评估活动公务接待费</w:t>
      </w:r>
      <w:r>
        <w:rPr>
          <w:rFonts w:hint="eastAsia" w:eastAsia="仿宋_GB2312" w:cs="仿宋_GB2312"/>
          <w:color w:val="auto"/>
          <w:kern w:val="2"/>
          <w:sz w:val="32"/>
          <w:szCs w:val="32"/>
          <w:highlight w:val="none"/>
          <w:lang w:val="en-US" w:eastAsia="zh-CN" w:bidi="ar-SA"/>
        </w:rPr>
        <w:t>0.1万元；米易、东区、盐边医疗机构安全防范工作交叉检查公务接待费0.15万元；四川省生育友好宣传教育主题活动公务接待费0.09万元</w:t>
      </w:r>
      <w:r>
        <w:rPr>
          <w:rFonts w:hint="eastAsia" w:ascii="Times New Roman" w:hAnsi="Times New Roman" w:eastAsia="仿宋_GB2312" w:cs="仿宋_GB2312"/>
          <w:color w:val="auto"/>
          <w:kern w:val="2"/>
          <w:sz w:val="32"/>
          <w:szCs w:val="32"/>
          <w:highlight w:val="none"/>
          <w:lang w:val="en-US" w:eastAsia="zh-CN" w:bidi="ar-SA"/>
        </w:rPr>
        <w:t>。</w:t>
      </w:r>
    </w:p>
    <w:p w14:paraId="40B27E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0DA5F319">
      <w:pPr>
        <w:spacing w:line="600" w:lineRule="exact"/>
        <w:ind w:firstLine="640"/>
        <w:outlineLvl w:val="1"/>
        <w:rPr>
          <w:rStyle w:val="29"/>
          <w:rFonts w:ascii="Times New Roman" w:hAnsi="Times New Roman" w:eastAsia="黑体"/>
          <w:color w:val="auto"/>
          <w:highlight w:val="none"/>
        </w:rPr>
      </w:pPr>
      <w:bookmarkStart w:id="46" w:name="_Toc15377218"/>
      <w:bookmarkStart w:id="47" w:name="_Toc15396610"/>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6"/>
      <w:bookmarkEnd w:id="47"/>
    </w:p>
    <w:p w14:paraId="46DC7FF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w:t>
      </w:r>
      <w:r>
        <w:rPr>
          <w:rFonts w:hint="eastAsia" w:ascii="Times New Roman" w:hAnsi="Times New Roman" w:eastAsia="仿宋_GB2312" w:cs="仿宋_GB2312"/>
          <w:color w:val="auto"/>
          <w:kern w:val="2"/>
          <w:sz w:val="32"/>
          <w:szCs w:val="32"/>
          <w:highlight w:val="none"/>
          <w:lang w:val="en-US" w:eastAsia="zh-CN" w:bidi="ar-SA"/>
        </w:rPr>
        <w:t>度政府性基金预算财政拨款支出</w:t>
      </w:r>
      <w:r>
        <w:rPr>
          <w:rFonts w:hint="eastAsia" w:ascii="仿宋_GB2312" w:hAnsi="仿宋_GB2312" w:eastAsia="仿宋_GB2312" w:cs="仿宋_GB2312"/>
          <w:sz w:val="32"/>
          <w:szCs w:val="32"/>
        </w:rPr>
        <w:t>44.25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2.72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43.3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4563.13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支付干部人才健康体检等工作经费。</w:t>
      </w:r>
    </w:p>
    <w:p w14:paraId="2B80DD12">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8" w:name="_Toc15396611"/>
      <w:bookmarkStart w:id="4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8"/>
      <w:bookmarkEnd w:id="49"/>
    </w:p>
    <w:p w14:paraId="00F5BF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与2023年度持平。</w:t>
      </w:r>
    </w:p>
    <w:p w14:paraId="0E776092">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50" w:name="_Toc15396612"/>
      <w:bookmarkStart w:id="5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50"/>
      <w:bookmarkEnd w:id="51"/>
    </w:p>
    <w:p w14:paraId="28EC833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2"/>
      <w:r>
        <w:rPr>
          <w:rFonts w:hint="eastAsia" w:ascii="Times New Roman" w:hAnsi="Times New Roman" w:eastAsia="楷体_GB2312" w:cs="楷体_GB2312"/>
          <w:b/>
          <w:color w:val="auto"/>
          <w:sz w:val="32"/>
          <w:szCs w:val="32"/>
          <w:highlight w:val="none"/>
        </w:rPr>
        <w:t>（一）机关运行经费支出情况</w:t>
      </w:r>
      <w:bookmarkEnd w:id="52"/>
    </w:p>
    <w:p w14:paraId="62DEB8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攀枝花市西区卫生健康局（本级）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23.26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0.76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3.17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办公费等公用经费支出减少。</w:t>
      </w:r>
    </w:p>
    <w:p w14:paraId="69DABF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3" w:name="_Toc15377223"/>
      <w:r>
        <w:rPr>
          <w:rFonts w:hint="eastAsia" w:ascii="Times New Roman" w:hAnsi="Times New Roman" w:eastAsia="楷体_GB2312" w:cs="楷体_GB2312"/>
          <w:b/>
          <w:color w:val="auto"/>
          <w:sz w:val="32"/>
          <w:szCs w:val="32"/>
          <w:highlight w:val="none"/>
        </w:rPr>
        <w:t>（二）政府采购支出情况</w:t>
      </w:r>
      <w:bookmarkEnd w:id="53"/>
    </w:p>
    <w:p w14:paraId="2CE24AD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攀枝花市西区卫生健康局（本级）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1.42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1.42</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万元。主要用于办公资料复印、打印。授予中小企业合同金额</w:t>
      </w:r>
      <w:r>
        <w:rPr>
          <w:rFonts w:hint="eastAsia" w:ascii="仿宋_GB2312" w:hAnsi="仿宋_GB2312" w:eastAsia="仿宋_GB2312" w:cs="仿宋_GB2312"/>
          <w:sz w:val="32"/>
          <w:szCs w:val="32"/>
        </w:rPr>
        <w:t>1.42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1.42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02DBFFE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24"/>
      <w:r>
        <w:rPr>
          <w:rFonts w:hint="eastAsia" w:ascii="Times New Roman" w:hAnsi="Times New Roman" w:eastAsia="楷体_GB2312" w:cs="楷体_GB2312"/>
          <w:b/>
          <w:color w:val="auto"/>
          <w:sz w:val="32"/>
          <w:szCs w:val="32"/>
          <w:highlight w:val="none"/>
        </w:rPr>
        <w:t>（三）国有资产占有使用情况</w:t>
      </w:r>
      <w:bookmarkEnd w:id="54"/>
    </w:p>
    <w:p w14:paraId="079320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攀枝花市西区卫生健康局（本级）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5250676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28104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区卫生健康局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计划生育服务、公共区域病媒生物防制</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个项目开展绩效监控。绩效自评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详见</w:t>
      </w:r>
      <w:r>
        <w:rPr>
          <w:rFonts w:hint="eastAsia" w:eastAsia="仿宋_GB2312" w:cs="仿宋_GB2312"/>
          <w:color w:val="auto"/>
          <w:kern w:val="2"/>
          <w:sz w:val="32"/>
          <w:szCs w:val="32"/>
          <w:highlight w:val="none"/>
          <w:lang w:val="en-US" w:eastAsia="zh-CN" w:bidi="ar-SA"/>
        </w:rPr>
        <w:t>第四部分</w:t>
      </w:r>
      <w:r>
        <w:rPr>
          <w:rFonts w:hint="eastAsia" w:ascii="Times New Roman" w:hAnsi="Times New Roman" w:eastAsia="仿宋_GB2312" w:cs="仿宋_GB2312"/>
          <w:color w:val="auto"/>
          <w:kern w:val="2"/>
          <w:sz w:val="32"/>
          <w:szCs w:val="32"/>
          <w:highlight w:val="none"/>
          <w:lang w:val="en-US" w:eastAsia="zh-CN" w:bidi="ar-SA"/>
        </w:rPr>
        <w:t>附件。</w:t>
      </w:r>
    </w:p>
    <w:p w14:paraId="578A55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9C2EBA7">
      <w:pPr>
        <w:pStyle w:val="2"/>
        <w:rPr>
          <w:rFonts w:hint="eastAsia"/>
          <w:lang w:val="en-US" w:eastAsia="zh-CN"/>
        </w:rPr>
      </w:pPr>
    </w:p>
    <w:p w14:paraId="02E63ACD">
      <w:pPr>
        <w:pStyle w:val="2"/>
        <w:rPr>
          <w:rFonts w:hint="eastAsia"/>
          <w:lang w:val="en-US" w:eastAsia="zh-CN"/>
        </w:rPr>
      </w:pPr>
    </w:p>
    <w:p w14:paraId="7874B110">
      <w:pPr>
        <w:pStyle w:val="2"/>
        <w:rPr>
          <w:rFonts w:hint="eastAsia"/>
          <w:lang w:val="en-US" w:eastAsia="zh-CN"/>
        </w:rPr>
      </w:pPr>
    </w:p>
    <w:p w14:paraId="3F4F0B2A">
      <w:pPr>
        <w:pStyle w:val="2"/>
        <w:rPr>
          <w:rFonts w:hint="eastAsia"/>
          <w:lang w:val="en-US" w:eastAsia="zh-CN"/>
        </w:rPr>
      </w:pPr>
    </w:p>
    <w:p w14:paraId="674F80FD">
      <w:pPr>
        <w:pStyle w:val="2"/>
        <w:rPr>
          <w:rFonts w:hint="eastAsia"/>
          <w:lang w:val="en-US" w:eastAsia="zh-CN"/>
        </w:rPr>
      </w:pPr>
    </w:p>
    <w:p w14:paraId="4D08927C">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5" w:name="_Toc15396613"/>
      <w:bookmarkStart w:id="56"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5"/>
      <w:bookmarkEnd w:id="56"/>
    </w:p>
    <w:p w14:paraId="34875DF6">
      <w:pPr>
        <w:spacing w:line="600" w:lineRule="exact"/>
        <w:jc w:val="left"/>
        <w:rPr>
          <w:rFonts w:ascii="Times New Roman" w:hAnsi="Times New Roman"/>
          <w:b/>
          <w:color w:val="auto"/>
          <w:sz w:val="44"/>
          <w:szCs w:val="44"/>
          <w:highlight w:val="none"/>
        </w:rPr>
      </w:pPr>
    </w:p>
    <w:p w14:paraId="6B17CE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3973BA6">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年初结转和结余：指以前年度尚未完成、结转到本年按有关规定继续使用的资金。</w:t>
      </w:r>
      <w:r>
        <w:rPr>
          <w:rFonts w:hint="eastAsia" w:ascii="Times New Roman" w:hAnsi="Times New Roman" w:eastAsia="仿宋_GB2312" w:cs="Times New Roman"/>
          <w:sz w:val="32"/>
          <w:szCs w:val="32"/>
          <w:lang w:val="en-US" w:eastAsia="zh-CN"/>
        </w:rPr>
        <w:t xml:space="preserve"> </w:t>
      </w:r>
    </w:p>
    <w:p w14:paraId="44FF9ACB">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.行政单位离退休：指行政单位退休人员退休费。</w:t>
      </w:r>
    </w:p>
    <w:p w14:paraId="4C217B55">
      <w:pPr>
        <w:keepNext w:val="0"/>
        <w:keepLines w:val="0"/>
        <w:pageBreakBefore w:val="0"/>
        <w:widowControl w:val="0"/>
        <w:kinsoku/>
        <w:wordWrap/>
        <w:overflowPunct/>
        <w:topLinePunct w:val="0"/>
        <w:bidi w:val="0"/>
        <w:adjustRightInd w:val="0"/>
        <w:snapToGrid w:val="0"/>
        <w:spacing w:line="353" w:lineRule="auto"/>
        <w:ind w:firstLine="64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.机关事业单位基本养老保险缴费支出：指机关事业单位实施养老保险制度由单位缴纳的基本养老保险费支出。</w:t>
      </w:r>
    </w:p>
    <w:p w14:paraId="389029DE">
      <w:pPr>
        <w:keepNext w:val="0"/>
        <w:keepLines w:val="0"/>
        <w:pageBreakBefore w:val="0"/>
        <w:widowControl w:val="0"/>
        <w:kinsoku/>
        <w:wordWrap/>
        <w:overflowPunct/>
        <w:topLinePunct w:val="0"/>
        <w:bidi w:val="0"/>
        <w:adjustRightInd w:val="0"/>
        <w:snapToGrid w:val="0"/>
        <w:spacing w:line="353" w:lineRule="auto"/>
        <w:ind w:firstLine="64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.机关事业单位</w:t>
      </w:r>
      <w:r>
        <w:rPr>
          <w:rFonts w:hint="eastAsia" w:eastAsia="仿宋_GB2312" w:cs="Times New Roman"/>
          <w:sz w:val="32"/>
          <w:szCs w:val="32"/>
          <w:lang w:eastAsia="zh-CN"/>
        </w:rPr>
        <w:t>职业年金缴费</w:t>
      </w:r>
      <w:r>
        <w:rPr>
          <w:rFonts w:hint="default" w:ascii="Times New Roman" w:hAnsi="Times New Roman" w:eastAsia="仿宋_GB2312" w:cs="Times New Roman"/>
          <w:sz w:val="32"/>
          <w:szCs w:val="32"/>
        </w:rPr>
        <w:t>支出：指机关事业单位实施养老保险制度由单位缴纳的</w:t>
      </w:r>
      <w:r>
        <w:rPr>
          <w:rFonts w:hint="eastAsia" w:eastAsia="仿宋_GB2312" w:cs="Times New Roman"/>
          <w:sz w:val="32"/>
          <w:szCs w:val="32"/>
          <w:lang w:eastAsia="zh-CN"/>
        </w:rPr>
        <w:t>职业年金</w:t>
      </w:r>
      <w:r>
        <w:rPr>
          <w:rFonts w:hint="default" w:ascii="Times New Roman" w:hAnsi="Times New Roman" w:eastAsia="仿宋_GB2312" w:cs="Times New Roman"/>
          <w:sz w:val="32"/>
          <w:szCs w:val="32"/>
        </w:rPr>
        <w:t>支出</w:t>
      </w:r>
      <w:r>
        <w:rPr>
          <w:rFonts w:hint="eastAsia" w:eastAsia="仿宋_GB2312" w:cs="Times New Roman"/>
          <w:sz w:val="32"/>
          <w:szCs w:val="32"/>
          <w:lang w:eastAsia="zh-CN"/>
        </w:rPr>
        <w:t>（含职业年金补记支出）</w:t>
      </w:r>
      <w:r>
        <w:rPr>
          <w:rFonts w:hint="default" w:ascii="Times New Roman" w:hAnsi="Times New Roman" w:eastAsia="仿宋_GB2312" w:cs="Times New Roman"/>
          <w:sz w:val="32"/>
          <w:szCs w:val="32"/>
        </w:rPr>
        <w:t>。</w:t>
      </w:r>
    </w:p>
    <w:p w14:paraId="0B7EDC3F">
      <w:pPr>
        <w:keepNext w:val="0"/>
        <w:keepLines w:val="0"/>
        <w:pageBreakBefore w:val="0"/>
        <w:widowControl w:val="0"/>
        <w:kinsoku/>
        <w:wordWrap/>
        <w:overflowPunct/>
        <w:topLinePunct w:val="0"/>
        <w:bidi w:val="0"/>
        <w:adjustRightInd w:val="0"/>
        <w:snapToGrid w:val="0"/>
        <w:spacing w:line="353" w:lineRule="auto"/>
        <w:ind w:firstLine="640"/>
        <w:jc w:val="both"/>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死亡抚恤</w:t>
      </w:r>
      <w:r>
        <w:rPr>
          <w:rFonts w:hint="default" w:ascii="Times New Roman" w:hAnsi="Times New Roman" w:eastAsia="仿宋_GB2312" w:cs="Times New Roman"/>
          <w:sz w:val="32"/>
          <w:szCs w:val="32"/>
        </w:rPr>
        <w:t>：指</w:t>
      </w:r>
      <w:r>
        <w:rPr>
          <w:rFonts w:hint="eastAsia" w:eastAsia="仿宋_GB2312" w:cs="Times New Roman"/>
          <w:sz w:val="32"/>
          <w:szCs w:val="32"/>
          <w:lang w:eastAsia="zh-CN"/>
        </w:rPr>
        <w:t>按规定用于烈士和牺牲、病故人员家属的一次性和定期抚恤金、丧葬补助费以及烈士褒扬金</w:t>
      </w:r>
      <w:r>
        <w:rPr>
          <w:rFonts w:hint="default" w:ascii="Times New Roman" w:hAnsi="Times New Roman" w:eastAsia="仿宋_GB2312" w:cs="Times New Roman"/>
          <w:sz w:val="32"/>
          <w:szCs w:val="32"/>
        </w:rPr>
        <w:t>。</w:t>
      </w:r>
    </w:p>
    <w:p w14:paraId="01250765">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其他红十字事业支出：指用于红十字事业方面的支出</w:t>
      </w:r>
      <w:r>
        <w:rPr>
          <w:rFonts w:hint="default" w:ascii="Times New Roman" w:hAnsi="Times New Roman" w:eastAsia="仿宋_GB2312" w:cs="Times New Roman"/>
          <w:sz w:val="32"/>
          <w:szCs w:val="32"/>
          <w:lang w:eastAsia="zh-CN"/>
        </w:rPr>
        <w:t>，主要包括无偿献血及红十字专项支出</w:t>
      </w:r>
      <w:r>
        <w:rPr>
          <w:rFonts w:hint="default" w:ascii="Times New Roman" w:hAnsi="Times New Roman" w:eastAsia="仿宋_GB2312" w:cs="Times New Roman"/>
          <w:sz w:val="32"/>
          <w:szCs w:val="32"/>
        </w:rPr>
        <w:t>。</w:t>
      </w:r>
    </w:p>
    <w:p w14:paraId="1C9478B7">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sz w:val="32"/>
          <w:szCs w:val="32"/>
        </w:rPr>
        <w:t>行政运行：反映</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sz w:val="32"/>
          <w:szCs w:val="32"/>
          <w:lang w:eastAsia="zh-CN"/>
        </w:rPr>
        <w:t>在职人员</w:t>
      </w:r>
      <w:r>
        <w:rPr>
          <w:rFonts w:hint="default" w:ascii="Times New Roman" w:hAnsi="Times New Roman" w:eastAsia="仿宋_GB2312" w:cs="Times New Roman"/>
          <w:sz w:val="32"/>
          <w:szCs w:val="32"/>
        </w:rPr>
        <w:t>的基本</w:t>
      </w:r>
      <w:r>
        <w:rPr>
          <w:rFonts w:hint="default" w:ascii="Times New Roman" w:hAnsi="Times New Roman" w:eastAsia="仿宋_GB2312" w:cs="Times New Roman"/>
          <w:sz w:val="32"/>
          <w:szCs w:val="32"/>
          <w:lang w:eastAsia="zh-CN"/>
        </w:rPr>
        <w:t>工资、津补贴及公用经费等基本</w:t>
      </w:r>
      <w:r>
        <w:rPr>
          <w:rFonts w:hint="default" w:ascii="Times New Roman" w:hAnsi="Times New Roman" w:eastAsia="仿宋_GB2312" w:cs="Times New Roman"/>
          <w:sz w:val="32"/>
          <w:szCs w:val="32"/>
        </w:rPr>
        <w:t>支出。</w:t>
      </w:r>
    </w:p>
    <w:p w14:paraId="77AB570A">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9.其他卫生健康管理事务支出</w:t>
      </w:r>
      <w:r>
        <w:rPr>
          <w:rFonts w:hint="default" w:ascii="Times New Roman" w:hAnsi="Times New Roman" w:eastAsia="仿宋_GB2312" w:cs="Times New Roman"/>
          <w:color w:val="auto"/>
          <w:sz w:val="32"/>
          <w:szCs w:val="32"/>
          <w:lang w:eastAsia="zh-CN"/>
        </w:rPr>
        <w:t>：公共卫生服务岗聘用人员人员经费支出。</w:t>
      </w:r>
    </w:p>
    <w:p w14:paraId="6BBCC837">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lang w:eastAsia="zh-CN"/>
        </w:rPr>
        <w:t>基本公共卫生服务：基本公共卫生服务支出。</w:t>
      </w:r>
    </w:p>
    <w:p w14:paraId="3AC1251C">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重大公共卫生专项：重大疾病</w:t>
      </w:r>
      <w:r>
        <w:rPr>
          <w:rFonts w:hint="default" w:ascii="Times New Roman" w:hAnsi="Times New Roman" w:eastAsia="仿宋_GB2312" w:cs="Times New Roman"/>
          <w:color w:val="auto"/>
          <w:sz w:val="32"/>
          <w:szCs w:val="32"/>
          <w:lang w:eastAsia="zh-CN"/>
        </w:rPr>
        <w:t>、重大传染病</w:t>
      </w:r>
      <w:r>
        <w:rPr>
          <w:rFonts w:hint="default" w:ascii="Times New Roman" w:hAnsi="Times New Roman" w:eastAsia="仿宋_GB2312" w:cs="Times New Roman"/>
          <w:color w:val="auto"/>
          <w:sz w:val="32"/>
          <w:szCs w:val="32"/>
        </w:rPr>
        <w:t>预防控制</w:t>
      </w:r>
      <w:r>
        <w:rPr>
          <w:rFonts w:hint="default" w:ascii="Times New Roman" w:hAnsi="Times New Roman" w:eastAsia="仿宋_GB2312" w:cs="Times New Roman"/>
          <w:sz w:val="32"/>
          <w:szCs w:val="32"/>
        </w:rPr>
        <w:t>等重大公共卫生服务项目支出。</w:t>
      </w:r>
    </w:p>
    <w:p w14:paraId="11ECE953">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.其他公共卫生支出：指</w:t>
      </w:r>
      <w:r>
        <w:rPr>
          <w:rFonts w:hint="eastAsia" w:eastAsia="仿宋_GB2312" w:cs="Times New Roman"/>
          <w:sz w:val="32"/>
          <w:szCs w:val="32"/>
          <w:lang w:eastAsia="zh-CN"/>
        </w:rPr>
        <w:t>公共区域病媒生物集中防制</w:t>
      </w:r>
      <w:r>
        <w:rPr>
          <w:rFonts w:hint="default" w:ascii="Times New Roman" w:hAnsi="Times New Roman" w:eastAsia="仿宋_GB2312" w:cs="Times New Roman"/>
          <w:sz w:val="32"/>
          <w:szCs w:val="32"/>
        </w:rPr>
        <w:t>工作经费。</w:t>
      </w:r>
    </w:p>
    <w:p w14:paraId="7CCA7D74">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13.计划生育服务：指计划生育特殊家庭扶助金</w:t>
      </w:r>
      <w:r>
        <w:rPr>
          <w:rFonts w:hint="default" w:ascii="Times New Roman" w:hAnsi="Times New Roman" w:eastAsia="仿宋_GB2312" w:cs="Times New Roman"/>
          <w:sz w:val="32"/>
          <w:szCs w:val="32"/>
          <w:lang w:eastAsia="zh-CN"/>
        </w:rPr>
        <w:t>、育儿补贴、普惠托育、计划生育特别扶助家庭交通补贴等经费</w:t>
      </w:r>
      <w:r>
        <w:rPr>
          <w:rFonts w:hint="default" w:ascii="Times New Roman" w:hAnsi="Times New Roman" w:eastAsia="仿宋_GB2312" w:cs="Times New Roman"/>
          <w:sz w:val="32"/>
          <w:szCs w:val="32"/>
        </w:rPr>
        <w:t>。</w:t>
      </w:r>
    </w:p>
    <w:p w14:paraId="2EF7A66D">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14.其他计划生育事务支出：指计划生育家庭特别扶助资金。</w:t>
      </w:r>
    </w:p>
    <w:p w14:paraId="4977B158">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15.行政单位医疗：指为职工缴纳的基本医疗保险（含生育保险）费。</w:t>
      </w:r>
    </w:p>
    <w:p w14:paraId="287BCE02">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eastAsia="zh-CN"/>
        </w:rPr>
        <w:t>公务员医疗：指退休、在职人员公务员医疗补助</w:t>
      </w:r>
      <w:r>
        <w:rPr>
          <w:rFonts w:hint="default" w:ascii="Times New Roman" w:hAnsi="Times New Roman" w:eastAsia="仿宋_GB2312" w:cs="Times New Roman"/>
          <w:sz w:val="32"/>
          <w:szCs w:val="32"/>
        </w:rPr>
        <w:t>。</w:t>
      </w:r>
    </w:p>
    <w:p w14:paraId="0152F302">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eastAsia="zh-CN"/>
        </w:rPr>
        <w:t>土地开发支出</w:t>
      </w:r>
      <w:r>
        <w:rPr>
          <w:rFonts w:hint="default" w:ascii="Times New Roman" w:hAnsi="Times New Roman" w:eastAsia="仿宋_GB2312" w:cs="Times New Roman"/>
          <w:sz w:val="32"/>
          <w:szCs w:val="32"/>
        </w:rPr>
        <w:t>：指2022</w:t>
      </w:r>
      <w:r>
        <w:rPr>
          <w:rFonts w:hint="eastAsia" w:eastAsia="仿宋_GB2312" w:cs="Times New Roman"/>
          <w:sz w:val="32"/>
          <w:szCs w:val="32"/>
          <w:lang w:val="en-US" w:eastAsia="zh-CN"/>
        </w:rPr>
        <w:t>-2023</w:t>
      </w:r>
      <w:r>
        <w:rPr>
          <w:rFonts w:hint="default" w:ascii="Times New Roman" w:hAnsi="Times New Roman" w:eastAsia="仿宋_GB2312" w:cs="Times New Roman"/>
          <w:sz w:val="32"/>
          <w:szCs w:val="32"/>
        </w:rPr>
        <w:t>年干部人才健康体检</w:t>
      </w:r>
      <w:r>
        <w:rPr>
          <w:rFonts w:hint="default" w:ascii="Times New Roman" w:hAnsi="Times New Roman" w:eastAsia="仿宋_GB2312" w:cs="Times New Roman"/>
          <w:sz w:val="32"/>
          <w:szCs w:val="32"/>
          <w:lang w:eastAsia="zh-CN"/>
        </w:rPr>
        <w:t>费</w:t>
      </w:r>
      <w:r>
        <w:rPr>
          <w:rFonts w:hint="eastAsia" w:eastAsia="仿宋_GB2312" w:cs="Times New Roman"/>
          <w:sz w:val="32"/>
          <w:szCs w:val="32"/>
          <w:lang w:eastAsia="zh-CN"/>
        </w:rPr>
        <w:t>等</w:t>
      </w:r>
      <w:r>
        <w:rPr>
          <w:rFonts w:hint="default" w:ascii="Times New Roman" w:hAnsi="Times New Roman" w:eastAsia="仿宋_GB2312" w:cs="Times New Roman"/>
          <w:sz w:val="32"/>
          <w:szCs w:val="32"/>
        </w:rPr>
        <w:t>。</w:t>
      </w:r>
    </w:p>
    <w:p w14:paraId="51176552">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w:t>
      </w:r>
      <w:r>
        <w:rPr>
          <w:rFonts w:hint="eastAsia" w:eastAsia="仿宋_GB2312" w:cs="Times New Roman"/>
          <w:sz w:val="32"/>
          <w:szCs w:val="32"/>
          <w:lang w:eastAsia="zh-CN"/>
        </w:rPr>
        <w:t>其他卫生健康支出</w:t>
      </w:r>
      <w:r>
        <w:rPr>
          <w:rFonts w:hint="default" w:ascii="Times New Roman" w:hAnsi="Times New Roman" w:eastAsia="仿宋_GB2312" w:cs="Times New Roman"/>
          <w:sz w:val="32"/>
          <w:szCs w:val="32"/>
        </w:rPr>
        <w:t>：指公共卫生特别服务岗省级补助资金招募人员生活补助</w:t>
      </w:r>
      <w:r>
        <w:rPr>
          <w:rFonts w:hint="eastAsia" w:eastAsia="仿宋_GB2312" w:cs="Times New Roman"/>
          <w:sz w:val="32"/>
          <w:szCs w:val="32"/>
          <w:lang w:eastAsia="zh-CN"/>
        </w:rPr>
        <w:t>和</w:t>
      </w:r>
      <w:r>
        <w:rPr>
          <w:rFonts w:hint="default" w:ascii="Times New Roman" w:hAnsi="Times New Roman" w:eastAsia="仿宋_GB2312" w:cs="Times New Roman"/>
          <w:sz w:val="32"/>
          <w:szCs w:val="32"/>
        </w:rPr>
        <w:t>“五险一金”。</w:t>
      </w:r>
    </w:p>
    <w:p w14:paraId="4AD84084">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19.住房公积金：指行政事业单位按人力资源和社会保障部、财政部规定的基本工资和津贴补贴以及规定比例为职工缴纳的住房公积金。</w:t>
      </w:r>
    </w:p>
    <w:p w14:paraId="0F8A05A6">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.基本支出：指为保障机构正常运转、完成日常工作任务而发生的人员支出和公用支出。</w:t>
      </w:r>
    </w:p>
    <w:p w14:paraId="4A82FB55">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7D23A873">
      <w:pPr>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0767274">
      <w:pPr>
        <w:pStyle w:val="26"/>
        <w:keepNext w:val="0"/>
        <w:keepLines w:val="0"/>
        <w:pageBreakBefore w:val="0"/>
        <w:widowControl w:val="0"/>
        <w:kinsoku/>
        <w:wordWrap/>
        <w:overflowPunct/>
        <w:topLinePunct w:val="0"/>
        <w:bidi w:val="0"/>
        <w:adjustRightInd w:val="0"/>
        <w:snapToGrid w:val="0"/>
        <w:spacing w:line="353" w:lineRule="auto"/>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.机关运行经费：为保障行政单位（含参照公务员法管理的事业单位）运行用于购买货物和服务的各项资金，包括办公及印刷费、邮电费、差旅费、会议费、福利费、日常维修费、专用材料费、公务</w:t>
      </w:r>
      <w:r>
        <w:rPr>
          <w:rFonts w:hint="eastAsia" w:ascii="Times New Roman" w:hAnsi="Times New Roman" w:eastAsia="仿宋_GB2312" w:cs="Times New Roman"/>
          <w:color w:val="auto"/>
          <w:sz w:val="32"/>
          <w:szCs w:val="32"/>
          <w:lang w:eastAsia="zh-CN"/>
        </w:rPr>
        <w:t>接待</w:t>
      </w:r>
      <w:r>
        <w:rPr>
          <w:rFonts w:hint="default" w:ascii="Times New Roman" w:hAnsi="Times New Roman" w:eastAsia="仿宋_GB2312" w:cs="Times New Roman"/>
          <w:color w:val="auto"/>
          <w:sz w:val="32"/>
          <w:szCs w:val="32"/>
        </w:rPr>
        <w:t>费以及其他费用。</w:t>
      </w:r>
    </w:p>
    <w:p w14:paraId="697015B5">
      <w:pPr>
        <w:spacing w:line="600" w:lineRule="exact"/>
        <w:jc w:val="center"/>
        <w:rPr>
          <w:rFonts w:hint="eastAsia" w:ascii="Times New Roman" w:hAnsi="Times New Roman" w:eastAsia="黑体"/>
          <w:color w:val="auto"/>
          <w:sz w:val="44"/>
          <w:szCs w:val="44"/>
          <w:highlight w:val="none"/>
        </w:rPr>
      </w:pPr>
      <w:bookmarkStart w:id="57" w:name="_Toc15396614"/>
      <w:bookmarkStart w:id="58" w:name="_Toc15377226"/>
    </w:p>
    <w:p w14:paraId="360AD69F">
      <w:pPr>
        <w:spacing w:line="600" w:lineRule="exact"/>
        <w:jc w:val="center"/>
        <w:rPr>
          <w:rFonts w:hint="eastAsia" w:ascii="Times New Roman" w:hAnsi="Times New Roman" w:eastAsia="黑体"/>
          <w:color w:val="auto"/>
          <w:sz w:val="44"/>
          <w:szCs w:val="44"/>
          <w:highlight w:val="none"/>
        </w:rPr>
      </w:pPr>
    </w:p>
    <w:p w14:paraId="1777EA60">
      <w:pPr>
        <w:spacing w:line="600" w:lineRule="exact"/>
        <w:jc w:val="center"/>
        <w:rPr>
          <w:rFonts w:hint="eastAsia" w:ascii="Times New Roman" w:hAnsi="Times New Roman" w:eastAsia="黑体"/>
          <w:color w:val="auto"/>
          <w:sz w:val="44"/>
          <w:szCs w:val="44"/>
          <w:highlight w:val="none"/>
        </w:rPr>
      </w:pPr>
    </w:p>
    <w:p w14:paraId="634266E6">
      <w:pPr>
        <w:spacing w:line="600" w:lineRule="exact"/>
        <w:jc w:val="center"/>
        <w:rPr>
          <w:rFonts w:hint="eastAsia" w:ascii="Times New Roman" w:hAnsi="Times New Roman" w:eastAsia="黑体"/>
          <w:color w:val="auto"/>
          <w:sz w:val="44"/>
          <w:szCs w:val="44"/>
          <w:highlight w:val="none"/>
        </w:rPr>
      </w:pPr>
    </w:p>
    <w:p w14:paraId="218809C6">
      <w:pPr>
        <w:spacing w:line="600" w:lineRule="exact"/>
        <w:jc w:val="center"/>
        <w:rPr>
          <w:rFonts w:hint="eastAsia" w:ascii="Times New Roman" w:hAnsi="Times New Roman" w:eastAsia="黑体"/>
          <w:color w:val="auto"/>
          <w:sz w:val="44"/>
          <w:szCs w:val="44"/>
          <w:highlight w:val="none"/>
        </w:rPr>
      </w:pPr>
    </w:p>
    <w:p w14:paraId="3510D6C7">
      <w:pPr>
        <w:spacing w:line="600" w:lineRule="exact"/>
        <w:jc w:val="center"/>
        <w:rPr>
          <w:rFonts w:hint="eastAsia" w:ascii="Times New Roman" w:hAnsi="Times New Roman" w:eastAsia="黑体"/>
          <w:color w:val="auto"/>
          <w:sz w:val="44"/>
          <w:szCs w:val="44"/>
          <w:highlight w:val="none"/>
        </w:rPr>
      </w:pPr>
    </w:p>
    <w:p w14:paraId="7965861D">
      <w:pPr>
        <w:spacing w:line="600" w:lineRule="exact"/>
        <w:jc w:val="center"/>
        <w:rPr>
          <w:rFonts w:hint="eastAsia" w:ascii="Times New Roman" w:hAnsi="Times New Roman" w:eastAsia="黑体"/>
          <w:color w:val="auto"/>
          <w:sz w:val="44"/>
          <w:szCs w:val="44"/>
          <w:highlight w:val="none"/>
        </w:rPr>
      </w:pPr>
    </w:p>
    <w:p w14:paraId="78AFADBE">
      <w:pPr>
        <w:spacing w:line="600" w:lineRule="exact"/>
        <w:jc w:val="center"/>
        <w:rPr>
          <w:rFonts w:hint="eastAsia" w:ascii="Times New Roman" w:hAnsi="Times New Roman" w:eastAsia="黑体"/>
          <w:color w:val="auto"/>
          <w:sz w:val="44"/>
          <w:szCs w:val="44"/>
          <w:highlight w:val="none"/>
        </w:rPr>
      </w:pPr>
    </w:p>
    <w:p w14:paraId="46CE9288">
      <w:pPr>
        <w:spacing w:line="600" w:lineRule="exact"/>
        <w:jc w:val="center"/>
        <w:rPr>
          <w:rFonts w:hint="eastAsia" w:ascii="Times New Roman" w:hAnsi="Times New Roman" w:eastAsia="黑体"/>
          <w:color w:val="auto"/>
          <w:sz w:val="44"/>
          <w:szCs w:val="44"/>
          <w:highlight w:val="none"/>
        </w:rPr>
      </w:pPr>
    </w:p>
    <w:p w14:paraId="6DEA221F">
      <w:pPr>
        <w:pStyle w:val="2"/>
        <w:rPr>
          <w:rFonts w:hint="eastAsia" w:ascii="Times New Roman" w:hAnsi="Times New Roman" w:eastAsia="黑体"/>
          <w:color w:val="auto"/>
          <w:sz w:val="44"/>
          <w:szCs w:val="44"/>
          <w:highlight w:val="none"/>
        </w:rPr>
      </w:pPr>
    </w:p>
    <w:p w14:paraId="1AF15724">
      <w:pPr>
        <w:pStyle w:val="2"/>
        <w:rPr>
          <w:rFonts w:hint="eastAsia" w:ascii="Times New Roman" w:hAnsi="Times New Roman" w:eastAsia="黑体"/>
          <w:color w:val="auto"/>
          <w:sz w:val="44"/>
          <w:szCs w:val="44"/>
          <w:highlight w:val="none"/>
        </w:rPr>
      </w:pPr>
    </w:p>
    <w:p w14:paraId="642BF566">
      <w:pPr>
        <w:spacing w:line="600" w:lineRule="exact"/>
        <w:jc w:val="center"/>
        <w:rPr>
          <w:rFonts w:hint="eastAsia" w:ascii="Times New Roman" w:hAnsi="Times New Roman" w:eastAsia="黑体"/>
          <w:color w:val="auto"/>
          <w:sz w:val="44"/>
          <w:szCs w:val="44"/>
          <w:highlight w:val="none"/>
        </w:rPr>
      </w:pPr>
    </w:p>
    <w:p w14:paraId="55D18AA9">
      <w:pPr>
        <w:spacing w:line="600" w:lineRule="exact"/>
        <w:jc w:val="center"/>
        <w:rPr>
          <w:rFonts w:hint="eastAsia" w:ascii="Times New Roman" w:hAnsi="Times New Roman" w:eastAsia="黑体"/>
          <w:color w:val="auto"/>
          <w:sz w:val="44"/>
          <w:szCs w:val="44"/>
          <w:highlight w:val="none"/>
        </w:rPr>
      </w:pPr>
    </w:p>
    <w:p w14:paraId="619D2339">
      <w:pPr>
        <w:spacing w:line="600" w:lineRule="exact"/>
        <w:jc w:val="center"/>
        <w:rPr>
          <w:rFonts w:hint="eastAsia" w:ascii="Times New Roman" w:hAnsi="Times New Roman" w:eastAsia="黑体"/>
          <w:color w:val="auto"/>
          <w:sz w:val="44"/>
          <w:szCs w:val="44"/>
          <w:highlight w:val="none"/>
        </w:rPr>
      </w:pPr>
    </w:p>
    <w:p w14:paraId="6D9D7CC6">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7"/>
    </w:p>
    <w:p w14:paraId="6B2A6EA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20C6A66B">
      <w:pPr>
        <w:pStyle w:val="7"/>
        <w:keepNext w:val="0"/>
        <w:keepLines w:val="0"/>
        <w:pageBreakBefore w:val="0"/>
        <w:numPr>
          <w:ilvl w:val="0"/>
          <w:numId w:val="0"/>
        </w:numPr>
        <w:kinsoku/>
        <w:wordWrap/>
        <w:overflowPunct/>
        <w:topLinePunct w:val="0"/>
        <w:autoSpaceDE/>
        <w:autoSpaceDN/>
        <w:bidi w:val="0"/>
        <w:spacing w:line="560" w:lineRule="exact"/>
        <w:ind w:firstLine="960" w:firstLineChars="3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BE8C76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p>
    <w:p w14:paraId="0A7771ED">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75A7C2AC">
      <w:pPr>
        <w:pStyle w:val="2"/>
        <w:rPr>
          <w:rFonts w:hint="eastAsia" w:ascii="Times New Roman" w:hAnsi="Times New Roman" w:cs="宋体"/>
          <w:color w:val="FF0000"/>
          <w:kern w:val="0"/>
          <w:sz w:val="32"/>
          <w:szCs w:val="32"/>
          <w:highlight w:val="yellow"/>
          <w:shd w:val="clear" w:color="auto" w:fill="FFFFFF"/>
          <w:lang w:val="zh-CN"/>
        </w:rPr>
      </w:pPr>
    </w:p>
    <w:p w14:paraId="565F2611">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06693043">
      <w:pPr>
        <w:widowControl/>
        <w:jc w:val="center"/>
        <w:rPr>
          <w:rFonts w:hint="eastAsia" w:ascii="Times New Roman" w:hAnsi="Times New Roman" w:eastAsia="仿宋"/>
          <w:b w:val="0"/>
          <w:color w:val="auto"/>
          <w:highlight w:val="none"/>
        </w:rPr>
      </w:pPr>
      <w:bookmarkStart w:id="59"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8"/>
      <w:bookmarkEnd w:id="59"/>
      <w:bookmarkStart w:id="60" w:name="_Toc15396619"/>
    </w:p>
    <w:p w14:paraId="392FED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E5A917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0"/>
    </w:p>
    <w:p w14:paraId="430A21E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0"/>
      <w:r>
        <w:rPr>
          <w:rFonts w:hint="eastAsia" w:ascii="Times New Roman" w:hAnsi="Times New Roman" w:eastAsia="仿宋_GB2312" w:cs="仿宋_GB2312"/>
          <w:color w:val="auto"/>
          <w:sz w:val="32"/>
          <w:szCs w:val="32"/>
          <w:highlight w:val="none"/>
        </w:rPr>
        <w:t>二、收入决算表</w:t>
      </w:r>
      <w:bookmarkEnd w:id="61"/>
    </w:p>
    <w:p w14:paraId="1DAC167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1"/>
      <w:r>
        <w:rPr>
          <w:rFonts w:hint="eastAsia" w:ascii="Times New Roman" w:hAnsi="Times New Roman" w:eastAsia="仿宋_GB2312" w:cs="仿宋_GB2312"/>
          <w:color w:val="auto"/>
          <w:sz w:val="32"/>
          <w:szCs w:val="32"/>
          <w:highlight w:val="none"/>
        </w:rPr>
        <w:t>三、支出决算表</w:t>
      </w:r>
      <w:bookmarkEnd w:id="62"/>
    </w:p>
    <w:p w14:paraId="3418AFB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2"/>
      <w:r>
        <w:rPr>
          <w:rFonts w:hint="eastAsia" w:ascii="Times New Roman" w:hAnsi="Times New Roman" w:eastAsia="仿宋_GB2312" w:cs="仿宋_GB2312"/>
          <w:color w:val="auto"/>
          <w:sz w:val="32"/>
          <w:szCs w:val="32"/>
          <w:highlight w:val="none"/>
        </w:rPr>
        <w:t>四、财政拨款收入支出决算总表</w:t>
      </w:r>
      <w:bookmarkEnd w:id="63"/>
    </w:p>
    <w:p w14:paraId="196FE2D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3"/>
      <w:r>
        <w:rPr>
          <w:rFonts w:hint="eastAsia" w:ascii="Times New Roman" w:hAnsi="Times New Roman" w:eastAsia="仿宋_GB2312" w:cs="仿宋_GB2312"/>
          <w:color w:val="auto"/>
          <w:sz w:val="32"/>
          <w:szCs w:val="32"/>
          <w:highlight w:val="none"/>
        </w:rPr>
        <w:t>五、财政拨款支出决算明细表</w:t>
      </w:r>
      <w:bookmarkEnd w:id="64"/>
      <w:bookmarkStart w:id="65" w:name="_Toc15396624"/>
    </w:p>
    <w:p w14:paraId="6379B8C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5"/>
    </w:p>
    <w:p w14:paraId="214401A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5"/>
      <w:r>
        <w:rPr>
          <w:rFonts w:hint="eastAsia" w:ascii="Times New Roman" w:hAnsi="Times New Roman" w:eastAsia="仿宋_GB2312" w:cs="仿宋_GB2312"/>
          <w:color w:val="auto"/>
          <w:sz w:val="32"/>
          <w:szCs w:val="32"/>
          <w:highlight w:val="none"/>
        </w:rPr>
        <w:t>七、一般公共预算财政拨款支出决算明细表</w:t>
      </w:r>
      <w:bookmarkEnd w:id="66"/>
    </w:p>
    <w:p w14:paraId="3769902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6"/>
      <w:r>
        <w:rPr>
          <w:rFonts w:hint="eastAsia" w:ascii="Times New Roman" w:hAnsi="Times New Roman" w:eastAsia="仿宋_GB2312" w:cs="仿宋_GB2312"/>
          <w:color w:val="auto"/>
          <w:sz w:val="32"/>
          <w:szCs w:val="32"/>
          <w:highlight w:val="none"/>
        </w:rPr>
        <w:t>八、一般公共预算财政拨款基本支出决算表</w:t>
      </w:r>
      <w:bookmarkEnd w:id="67"/>
    </w:p>
    <w:p w14:paraId="0331069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7"/>
      <w:r>
        <w:rPr>
          <w:rFonts w:hint="eastAsia" w:ascii="Times New Roman" w:hAnsi="Times New Roman" w:eastAsia="仿宋_GB2312" w:cs="仿宋_GB2312"/>
          <w:color w:val="auto"/>
          <w:sz w:val="32"/>
          <w:szCs w:val="32"/>
          <w:highlight w:val="none"/>
        </w:rPr>
        <w:t>九、一般公共预算财政拨款项目支出决算表</w:t>
      </w:r>
      <w:bookmarkEnd w:id="68"/>
    </w:p>
    <w:p w14:paraId="3D37D09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8"/>
      <w:r>
        <w:rPr>
          <w:rFonts w:hint="eastAsia" w:ascii="Times New Roman" w:hAnsi="Times New Roman" w:eastAsia="仿宋_GB2312" w:cs="仿宋_GB2312"/>
          <w:color w:val="auto"/>
          <w:sz w:val="32"/>
          <w:szCs w:val="32"/>
          <w:highlight w:val="none"/>
        </w:rPr>
        <w:t>十、</w:t>
      </w:r>
      <w:bookmarkEnd w:id="69"/>
      <w:r>
        <w:rPr>
          <w:rFonts w:hint="eastAsia" w:ascii="Times New Roman" w:hAnsi="Times New Roman" w:eastAsia="仿宋_GB2312" w:cs="仿宋_GB2312"/>
          <w:color w:val="auto"/>
          <w:sz w:val="32"/>
          <w:szCs w:val="32"/>
          <w:highlight w:val="none"/>
        </w:rPr>
        <w:t>政府性基金预算财政拨款收入支出决算表</w:t>
      </w:r>
    </w:p>
    <w:p w14:paraId="028A294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9"/>
      <w:r>
        <w:rPr>
          <w:rFonts w:hint="eastAsia" w:ascii="Times New Roman" w:hAnsi="Times New Roman" w:eastAsia="仿宋_GB2312" w:cs="仿宋_GB2312"/>
          <w:color w:val="auto"/>
          <w:sz w:val="32"/>
          <w:szCs w:val="32"/>
          <w:highlight w:val="none"/>
        </w:rPr>
        <w:t>十一、</w:t>
      </w:r>
      <w:bookmarkEnd w:id="7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6F65A9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30"/>
      <w:r>
        <w:rPr>
          <w:rFonts w:hint="eastAsia" w:ascii="Times New Roman" w:hAnsi="Times New Roman" w:eastAsia="仿宋_GB2312" w:cs="仿宋_GB2312"/>
          <w:color w:val="auto"/>
          <w:sz w:val="32"/>
          <w:szCs w:val="32"/>
          <w:highlight w:val="none"/>
        </w:rPr>
        <w:t>十二、</w:t>
      </w:r>
      <w:bookmarkEnd w:id="71"/>
      <w:r>
        <w:rPr>
          <w:rFonts w:hint="eastAsia" w:ascii="Times New Roman" w:hAnsi="Times New Roman" w:eastAsia="仿宋_GB2312" w:cs="仿宋_GB2312"/>
          <w:color w:val="auto"/>
          <w:sz w:val="32"/>
          <w:szCs w:val="32"/>
          <w:highlight w:val="none"/>
          <w:lang w:eastAsia="zh-CN"/>
        </w:rPr>
        <w:t>国有资本经营预算财政拨款支出决算表</w:t>
      </w:r>
    </w:p>
    <w:p w14:paraId="13ABA02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2" w:name="_Toc15396631"/>
      <w:r>
        <w:rPr>
          <w:rFonts w:hint="eastAsia" w:ascii="Times New Roman" w:hAnsi="Times New Roman" w:eastAsia="仿宋_GB2312" w:cs="仿宋_GB2312"/>
          <w:color w:val="auto"/>
          <w:sz w:val="32"/>
          <w:szCs w:val="32"/>
          <w:highlight w:val="none"/>
        </w:rPr>
        <w:t>十三、</w:t>
      </w:r>
      <w:bookmarkEnd w:id="72"/>
      <w:r>
        <w:rPr>
          <w:rFonts w:hint="eastAsia" w:ascii="Times New Roman" w:hAnsi="Times New Roman" w:eastAsia="仿宋_GB2312" w:cs="仿宋_GB2312"/>
          <w:color w:val="auto"/>
          <w:sz w:val="32"/>
          <w:szCs w:val="32"/>
          <w:highlight w:val="none"/>
          <w:lang w:eastAsia="zh-CN"/>
        </w:rPr>
        <w:t>财政拨款“三公”经费支出决算表</w:t>
      </w:r>
    </w:p>
    <w:p w14:paraId="4D3E56E4">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A9D2C">
    <w:pPr>
      <w:pStyle w:val="10"/>
      <w:jc w:val="center"/>
    </w:pPr>
  </w:p>
  <w:p w14:paraId="2C56237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C459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49DB">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226"/>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BE02BD"/>
    <w:rsid w:val="02FEBE30"/>
    <w:rsid w:val="04916F1E"/>
    <w:rsid w:val="061E35DE"/>
    <w:rsid w:val="066E0107"/>
    <w:rsid w:val="06E45A7E"/>
    <w:rsid w:val="077741FC"/>
    <w:rsid w:val="07996F6E"/>
    <w:rsid w:val="07DFD8BA"/>
    <w:rsid w:val="09867E8F"/>
    <w:rsid w:val="0A2032A3"/>
    <w:rsid w:val="0C6B1B40"/>
    <w:rsid w:val="0CA8290A"/>
    <w:rsid w:val="0D35B1ED"/>
    <w:rsid w:val="0E254B6B"/>
    <w:rsid w:val="0F075705"/>
    <w:rsid w:val="0F45125C"/>
    <w:rsid w:val="0F98263C"/>
    <w:rsid w:val="10047DEA"/>
    <w:rsid w:val="101860EC"/>
    <w:rsid w:val="101F47CC"/>
    <w:rsid w:val="10C055FF"/>
    <w:rsid w:val="10ED3781"/>
    <w:rsid w:val="11694EBD"/>
    <w:rsid w:val="11772AA4"/>
    <w:rsid w:val="118107EC"/>
    <w:rsid w:val="12E24EE2"/>
    <w:rsid w:val="13D50BC4"/>
    <w:rsid w:val="14A02BEE"/>
    <w:rsid w:val="14B17F78"/>
    <w:rsid w:val="14D844E4"/>
    <w:rsid w:val="15502B4A"/>
    <w:rsid w:val="156864D6"/>
    <w:rsid w:val="165E0673"/>
    <w:rsid w:val="16B831D5"/>
    <w:rsid w:val="16BB723D"/>
    <w:rsid w:val="16D93C61"/>
    <w:rsid w:val="16E8049F"/>
    <w:rsid w:val="17E50567"/>
    <w:rsid w:val="186504BB"/>
    <w:rsid w:val="19A445FC"/>
    <w:rsid w:val="1AD27C6F"/>
    <w:rsid w:val="1BB41732"/>
    <w:rsid w:val="1BE8440E"/>
    <w:rsid w:val="1D155CEE"/>
    <w:rsid w:val="1D1638FE"/>
    <w:rsid w:val="1E087E4C"/>
    <w:rsid w:val="1E312DEB"/>
    <w:rsid w:val="1E740ACF"/>
    <w:rsid w:val="1ED06F06"/>
    <w:rsid w:val="1FC16504"/>
    <w:rsid w:val="1FF35744"/>
    <w:rsid w:val="1FF6BC77"/>
    <w:rsid w:val="2186353C"/>
    <w:rsid w:val="22704C1C"/>
    <w:rsid w:val="236B0C61"/>
    <w:rsid w:val="23860B96"/>
    <w:rsid w:val="23CF7FDA"/>
    <w:rsid w:val="240371BF"/>
    <w:rsid w:val="244F3473"/>
    <w:rsid w:val="24C97D99"/>
    <w:rsid w:val="25A718F0"/>
    <w:rsid w:val="25BB59F6"/>
    <w:rsid w:val="25EE5B79"/>
    <w:rsid w:val="260F557C"/>
    <w:rsid w:val="26970054"/>
    <w:rsid w:val="27280C17"/>
    <w:rsid w:val="274E68CF"/>
    <w:rsid w:val="281408E2"/>
    <w:rsid w:val="28702875"/>
    <w:rsid w:val="29667B4D"/>
    <w:rsid w:val="2986590E"/>
    <w:rsid w:val="29A21154"/>
    <w:rsid w:val="29FA65CF"/>
    <w:rsid w:val="29FD04D3"/>
    <w:rsid w:val="2A385494"/>
    <w:rsid w:val="2AF27EBA"/>
    <w:rsid w:val="2BFF7BC6"/>
    <w:rsid w:val="2C8A61B5"/>
    <w:rsid w:val="2DF04E50"/>
    <w:rsid w:val="2E586DFA"/>
    <w:rsid w:val="2F040D46"/>
    <w:rsid w:val="2F2C0CD3"/>
    <w:rsid w:val="2F6B035B"/>
    <w:rsid w:val="2FAE5751"/>
    <w:rsid w:val="2FB1A395"/>
    <w:rsid w:val="2FD9A7D8"/>
    <w:rsid w:val="2FDBF714"/>
    <w:rsid w:val="303E4FB3"/>
    <w:rsid w:val="30AB6865"/>
    <w:rsid w:val="319F7F4E"/>
    <w:rsid w:val="328E2276"/>
    <w:rsid w:val="32BD1EF1"/>
    <w:rsid w:val="3304709D"/>
    <w:rsid w:val="33150BE9"/>
    <w:rsid w:val="337E0C62"/>
    <w:rsid w:val="33A773CB"/>
    <w:rsid w:val="349D6851"/>
    <w:rsid w:val="3651474A"/>
    <w:rsid w:val="36AA5135"/>
    <w:rsid w:val="36BE0DA7"/>
    <w:rsid w:val="372F1B4E"/>
    <w:rsid w:val="376B6AA6"/>
    <w:rsid w:val="376D39B2"/>
    <w:rsid w:val="37E16F03"/>
    <w:rsid w:val="37F53A3B"/>
    <w:rsid w:val="387B329C"/>
    <w:rsid w:val="389B6C89"/>
    <w:rsid w:val="38D469F0"/>
    <w:rsid w:val="38E2156D"/>
    <w:rsid w:val="39627CCD"/>
    <w:rsid w:val="397BAF1F"/>
    <w:rsid w:val="3AA36ADA"/>
    <w:rsid w:val="3AB79AF3"/>
    <w:rsid w:val="3AE834C0"/>
    <w:rsid w:val="3B05130C"/>
    <w:rsid w:val="3B7EF35A"/>
    <w:rsid w:val="3B9FDB6C"/>
    <w:rsid w:val="3BA31E3C"/>
    <w:rsid w:val="3BF5BC2F"/>
    <w:rsid w:val="3CA8754F"/>
    <w:rsid w:val="3CEBA265"/>
    <w:rsid w:val="3D98207C"/>
    <w:rsid w:val="3DEE7CF3"/>
    <w:rsid w:val="3E740A63"/>
    <w:rsid w:val="3E78745D"/>
    <w:rsid w:val="3E953E00"/>
    <w:rsid w:val="3EE17838"/>
    <w:rsid w:val="3F55381A"/>
    <w:rsid w:val="3F7F7599"/>
    <w:rsid w:val="3FF4CAE0"/>
    <w:rsid w:val="3FF7B227"/>
    <w:rsid w:val="43B9111D"/>
    <w:rsid w:val="44230431"/>
    <w:rsid w:val="44E268DA"/>
    <w:rsid w:val="450D13D7"/>
    <w:rsid w:val="45506656"/>
    <w:rsid w:val="461F0341"/>
    <w:rsid w:val="480706A9"/>
    <w:rsid w:val="486A6C7A"/>
    <w:rsid w:val="495E69EE"/>
    <w:rsid w:val="4A627F82"/>
    <w:rsid w:val="4A9621B8"/>
    <w:rsid w:val="4B0E749A"/>
    <w:rsid w:val="4B157580"/>
    <w:rsid w:val="4B2477C4"/>
    <w:rsid w:val="4B4F25DA"/>
    <w:rsid w:val="4B8B339F"/>
    <w:rsid w:val="4B963A09"/>
    <w:rsid w:val="4BE068DB"/>
    <w:rsid w:val="4C3E154D"/>
    <w:rsid w:val="4D577224"/>
    <w:rsid w:val="4DBF1CEB"/>
    <w:rsid w:val="4DF0007C"/>
    <w:rsid w:val="4EAB630A"/>
    <w:rsid w:val="4ECE2238"/>
    <w:rsid w:val="4F833267"/>
    <w:rsid w:val="4FC26207"/>
    <w:rsid w:val="4FD01CC8"/>
    <w:rsid w:val="4FE13762"/>
    <w:rsid w:val="4FE51175"/>
    <w:rsid w:val="4FE9BD67"/>
    <w:rsid w:val="4FFB052F"/>
    <w:rsid w:val="50716043"/>
    <w:rsid w:val="5259040A"/>
    <w:rsid w:val="537E6D0A"/>
    <w:rsid w:val="53F74C96"/>
    <w:rsid w:val="55170BA8"/>
    <w:rsid w:val="553218C9"/>
    <w:rsid w:val="55674E7D"/>
    <w:rsid w:val="567E1AA5"/>
    <w:rsid w:val="56E47B74"/>
    <w:rsid w:val="57175D52"/>
    <w:rsid w:val="57411DDB"/>
    <w:rsid w:val="57B36157"/>
    <w:rsid w:val="57BD3DD4"/>
    <w:rsid w:val="59DE358E"/>
    <w:rsid w:val="5A974C33"/>
    <w:rsid w:val="5AF92295"/>
    <w:rsid w:val="5B250254"/>
    <w:rsid w:val="5B8E574E"/>
    <w:rsid w:val="5BDD79E6"/>
    <w:rsid w:val="5BF561CA"/>
    <w:rsid w:val="5BFF5DFC"/>
    <w:rsid w:val="5CD71FC4"/>
    <w:rsid w:val="5D1F11B5"/>
    <w:rsid w:val="5D5E2925"/>
    <w:rsid w:val="5D695134"/>
    <w:rsid w:val="5DAE1B18"/>
    <w:rsid w:val="5DE7D9E5"/>
    <w:rsid w:val="5ECEC941"/>
    <w:rsid w:val="5F9745B0"/>
    <w:rsid w:val="5FBF9FF3"/>
    <w:rsid w:val="5FCA6734"/>
    <w:rsid w:val="5FCD4E2C"/>
    <w:rsid w:val="5FEF394A"/>
    <w:rsid w:val="5FF67715"/>
    <w:rsid w:val="601C5F42"/>
    <w:rsid w:val="62BF3928"/>
    <w:rsid w:val="63B3701E"/>
    <w:rsid w:val="647F5392"/>
    <w:rsid w:val="658904F7"/>
    <w:rsid w:val="65BC08CD"/>
    <w:rsid w:val="65E66580"/>
    <w:rsid w:val="65EF0562"/>
    <w:rsid w:val="664B1D71"/>
    <w:rsid w:val="664B4E8E"/>
    <w:rsid w:val="66B56E58"/>
    <w:rsid w:val="67277B67"/>
    <w:rsid w:val="67AA3209"/>
    <w:rsid w:val="698D0931"/>
    <w:rsid w:val="6A7FE5F3"/>
    <w:rsid w:val="6B025405"/>
    <w:rsid w:val="6B053271"/>
    <w:rsid w:val="6B574BF4"/>
    <w:rsid w:val="6BDD78B3"/>
    <w:rsid w:val="6BF6440D"/>
    <w:rsid w:val="6C4A05C8"/>
    <w:rsid w:val="6C8742B8"/>
    <w:rsid w:val="6DBF5E93"/>
    <w:rsid w:val="6DFF077E"/>
    <w:rsid w:val="6E2039C3"/>
    <w:rsid w:val="6E481B75"/>
    <w:rsid w:val="6E714EF0"/>
    <w:rsid w:val="6E7E3605"/>
    <w:rsid w:val="6E7FDCC7"/>
    <w:rsid w:val="6ED6A62E"/>
    <w:rsid w:val="6EDC1FE0"/>
    <w:rsid w:val="6EDC27B1"/>
    <w:rsid w:val="6EE00B15"/>
    <w:rsid w:val="6EE42C42"/>
    <w:rsid w:val="6F045092"/>
    <w:rsid w:val="6F6FB3EB"/>
    <w:rsid w:val="6F8731EA"/>
    <w:rsid w:val="6FCE6052"/>
    <w:rsid w:val="6FD57C00"/>
    <w:rsid w:val="6FEFFFD8"/>
    <w:rsid w:val="6FF5CC65"/>
    <w:rsid w:val="6FFB47EC"/>
    <w:rsid w:val="6FFF034A"/>
    <w:rsid w:val="70484440"/>
    <w:rsid w:val="712A28F1"/>
    <w:rsid w:val="715C0E4B"/>
    <w:rsid w:val="71992E7C"/>
    <w:rsid w:val="71C823A7"/>
    <w:rsid w:val="72233669"/>
    <w:rsid w:val="72734D90"/>
    <w:rsid w:val="73160E6D"/>
    <w:rsid w:val="7332FE48"/>
    <w:rsid w:val="73AB61DA"/>
    <w:rsid w:val="73AD73D5"/>
    <w:rsid w:val="73B6EB34"/>
    <w:rsid w:val="73EB05CF"/>
    <w:rsid w:val="73FA497D"/>
    <w:rsid w:val="742F4960"/>
    <w:rsid w:val="744731E5"/>
    <w:rsid w:val="74BBD01D"/>
    <w:rsid w:val="74D774D1"/>
    <w:rsid w:val="74ED5379"/>
    <w:rsid w:val="74F6722B"/>
    <w:rsid w:val="75DEEEC2"/>
    <w:rsid w:val="75E32345"/>
    <w:rsid w:val="76E3355F"/>
    <w:rsid w:val="76E934EC"/>
    <w:rsid w:val="76FF5125"/>
    <w:rsid w:val="773B7B2B"/>
    <w:rsid w:val="776F6FFA"/>
    <w:rsid w:val="778769C8"/>
    <w:rsid w:val="77A75DCA"/>
    <w:rsid w:val="77DC22F5"/>
    <w:rsid w:val="783E271A"/>
    <w:rsid w:val="78616DE9"/>
    <w:rsid w:val="78E875D7"/>
    <w:rsid w:val="79086DAD"/>
    <w:rsid w:val="79C773E8"/>
    <w:rsid w:val="79D7FD79"/>
    <w:rsid w:val="79EE5BA4"/>
    <w:rsid w:val="7A894339"/>
    <w:rsid w:val="7AD284E8"/>
    <w:rsid w:val="7AFF7572"/>
    <w:rsid w:val="7B6A2721"/>
    <w:rsid w:val="7B6C7DFB"/>
    <w:rsid w:val="7BBFBED0"/>
    <w:rsid w:val="7BC3E394"/>
    <w:rsid w:val="7C0861C2"/>
    <w:rsid w:val="7C137F23"/>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1355;&#20581;&#31995;&#32479;2024&#24180;&#24230;&#22270;&#34920;&#12289;&#19978;&#20250;&#25253;&#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1355;&#20581;&#31995;&#32479;2024&#24180;&#24230;&#22270;&#34920;&#12289;&#19978;&#20250;&#25253;&#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1355;&#20581;&#31995;&#32479;2024&#24180;&#24230;&#22270;&#34920;&#12289;&#19978;&#20250;&#25253;&#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1355;&#20581;&#31995;&#32479;2024&#24180;&#24230;&#22270;&#34920;&#12289;&#19978;&#20250;&#25253;&#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37096;&#38376;&#20915;&#31639;\2024&#24180;&#37096;&#38376;&#20915;&#31639;\&#21355;&#20581;&#23616;\&#22270;&#34920;&#12289;&#19978;&#20250;&#25253;&#34920;&#27169;&#2925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4&#24180;&#24230;&#37096;&#38376;&#20915;&#31639;&#20844;&#24320;\&#22270;&#34920;&#12289;&#19978;&#20250;&#25253;&#34920;&#27169;&#292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58333333333333"/>
          <c:y val="0.0349537037037037"/>
          <c:w val="0.873888888888889"/>
          <c:h val="0.827083333333333"/>
        </c:manualLayout>
      </c:layout>
      <c:barChart>
        <c:barDir val="col"/>
        <c:grouping val="clustered"/>
        <c:varyColors val="0"/>
        <c:ser>
          <c:idx val="0"/>
          <c:order val="0"/>
          <c:invertIfNegative val="0"/>
          <c:dLbls>
            <c:dLbl>
              <c:idx val="0"/>
              <c:layout>
                <c:manualLayout>
                  <c:x val="-0.00902777777777775"/>
                  <c:y val="0.01967592592592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55555555555556"/>
                  <c:y val="0.027449791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[卫健系统2024年度图表、上会报表.xlsx]局机关单位图表!$B$3:$B$4</c:f>
              <c:strCache>
                <c:ptCount val="2"/>
                <c:pt idx="0">
                  <c:v>2023年度</c:v>
                </c:pt>
                <c:pt idx="1">
                  <c:v>2024年度</c:v>
                </c:pt>
              </c:strCache>
            </c:strRef>
          </c:cat>
          <c:val>
            <c:numRef>
              <c:f>[卫健系统2024年度图表、上会报表.xlsx]局机关单位图表!$C$3:$C$4</c:f>
              <c:numCache>
                <c:formatCode>General</c:formatCode>
                <c:ptCount val="2"/>
                <c:pt idx="0">
                  <c:v>1336.07</c:v>
                </c:pt>
                <c:pt idx="1">
                  <c:v>1622.46</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extLst>
      <c:ext uri="{0b15fc19-7d7d-44ad-8c2d-2c3a37ce22c3}">
        <chartProps xmlns="https://web.wps.cn/et/2018/main" chartId="{728b4604-9676-4468-a5ee-0a01d2ad2cb1}"/>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Lbls>
            <c:dLbl>
              <c:idx val="0"/>
              <c:layout>
                <c:manualLayout>
                  <c:x val="-0.0367514330695472"/>
                  <c:y val="-0.33120016382883"/>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22083333333333"/>
                      <c:h val="0.0893518518518518"/>
                    </c:manualLayout>
                  </c15:layout>
                </c:ext>
              </c:extLst>
            </c:dLbl>
            <c:dLbl>
              <c:idx val="1"/>
              <c:layout>
                <c:manualLayout>
                  <c:x val="0.00173512685914261"/>
                  <c:y val="-0.01710629921259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[卫健系统2024年度图表、上会报表.xlsx]局机关单位图表!$B$23:$B$24</c:f>
              <c:strCache>
                <c:ptCount val="2"/>
                <c:pt idx="0">
                  <c:v>一般公共预算财政拨款收入</c:v>
                </c:pt>
                <c:pt idx="1">
                  <c:v>政府性基金预算财政拨款收入</c:v>
                </c:pt>
              </c:strCache>
            </c:strRef>
          </c:cat>
          <c:val>
            <c:numRef>
              <c:f>[卫健系统2024年度图表、上会报表.xlsx]局机关单位图表!$C$23:$C$24</c:f>
              <c:numCache>
                <c:formatCode>General</c:formatCode>
                <c:ptCount val="2"/>
                <c:pt idx="0">
                  <c:v>1533.07</c:v>
                </c:pt>
                <c:pt idx="1">
                  <c:v>44.25</c:v>
                </c:pt>
              </c:numCache>
            </c:numRef>
          </c:val>
        </c:ser>
        <c:dLbls>
          <c:showLegendKey val="0"/>
          <c:showVal val="0"/>
          <c:showCatName val="0"/>
          <c:showSerName val="0"/>
          <c:showPercent val="1"/>
          <c:showBubbleSize val="0"/>
        </c:dLbls>
      </c:pie3D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f67e3f8e-0f42-467b-9d62-c207d97e356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[卫健系统2024年度图表、上会报表.xlsx]局机关单位图表!$B$48:$B$49</c:f>
              <c:strCache>
                <c:ptCount val="2"/>
                <c:pt idx="0">
                  <c:v>基本支出</c:v>
                </c:pt>
                <c:pt idx="1">
                  <c:v>项目支出</c:v>
                </c:pt>
              </c:strCache>
            </c:strRef>
          </c:cat>
          <c:val>
            <c:numRef>
              <c:f>[卫健系统2024年度图表、上会报表.xlsx]局机关单位图表!$C$48:$C$49</c:f>
              <c:numCache>
                <c:formatCode>General</c:formatCode>
                <c:ptCount val="2"/>
                <c:pt idx="0">
                  <c:v>387.99</c:v>
                </c:pt>
                <c:pt idx="1">
                  <c:v>1234.47</c:v>
                </c:pt>
              </c:numCache>
            </c:numRef>
          </c:val>
        </c:ser>
        <c:dLbls>
          <c:showLegendKey val="0"/>
          <c:showVal val="0"/>
          <c:showCatName val="0"/>
          <c:showSerName val="0"/>
          <c:showPercent val="1"/>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5e8dc44-d877-441e-9bb6-8ff83984603f}"/>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58333333333333"/>
          <c:y val="0.0349537037037037"/>
          <c:w val="0.873888888888889"/>
          <c:h val="0.827083333333333"/>
        </c:manualLayout>
      </c:layout>
      <c:barChart>
        <c:barDir val="col"/>
        <c:grouping val="clustered"/>
        <c:varyColors val="0"/>
        <c:ser>
          <c:idx val="0"/>
          <c:order val="0"/>
          <c:invertIfNegative val="0"/>
          <c:dLbls>
            <c:dLbl>
              <c:idx val="0"/>
              <c:layout>
                <c:manualLayout>
                  <c:x val="-0.00902777777777775"/>
                  <c:y val="0.01967592592592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555555555555556"/>
                  <c:y val="0.02744979166666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[卫健系统2024年度图表、上会报表.xlsx]局机关单位图表!$B$3:$B$4</c:f>
              <c:strCache>
                <c:ptCount val="2"/>
                <c:pt idx="0">
                  <c:v>2023年度</c:v>
                </c:pt>
                <c:pt idx="1">
                  <c:v>2024年度</c:v>
                </c:pt>
              </c:strCache>
            </c:strRef>
          </c:cat>
          <c:val>
            <c:numRef>
              <c:f>[卫健系统2024年度图表、上会报表.xlsx]局机关单位图表!$C$3:$C$4</c:f>
              <c:numCache>
                <c:formatCode>General</c:formatCode>
                <c:ptCount val="2"/>
                <c:pt idx="0">
                  <c:v>1336.07</c:v>
                </c:pt>
                <c:pt idx="1">
                  <c:v>1622.46</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extLst>
      <c:ext uri="{0b15fc19-7d7d-44ad-8c2d-2c3a37ce22c3}">
        <chartProps xmlns="https://web.wps.cn/et/2018/main" chartId="{728b4604-9676-4468-a5ee-0a01d2ad2cb1}"/>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1666666666667"/>
          <c:y val="0.00717592592592593"/>
          <c:w val="0.873888888888889"/>
          <c:h val="0.827083333333333"/>
        </c:manualLayout>
      </c:layout>
      <c:barChart>
        <c:barDir val="col"/>
        <c:grouping val="clustered"/>
        <c:varyColors val="0"/>
        <c:ser>
          <c:idx val="0"/>
          <c:order val="0"/>
          <c:invertIfNegative val="0"/>
          <c:dLbls>
            <c:dLbl>
              <c:idx val="0"/>
              <c:layout>
                <c:manualLayout>
                  <c:x val="-0.0131944444444444"/>
                  <c:y val="0.019675925925925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0694444444444444"/>
                  <c:y val="0.016518709490740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[图表、上会报表模版.xlsx]单位决算公开!$B$61:$B$62</c:f>
              <c:strCache>
                <c:ptCount val="2"/>
                <c:pt idx="0">
                  <c:v>2023年度</c:v>
                </c:pt>
                <c:pt idx="1">
                  <c:v>2024年度</c:v>
                </c:pt>
              </c:strCache>
            </c:strRef>
          </c:cat>
          <c:val>
            <c:numRef>
              <c:f>[图表、上会报表模版.xlsx]单位决算公开!$C$61:$C$62</c:f>
              <c:numCache>
                <c:formatCode>General</c:formatCode>
                <c:ptCount val="2"/>
                <c:pt idx="0">
                  <c:v>1335.11</c:v>
                </c:pt>
                <c:pt idx="1">
                  <c:v>1578.21</c:v>
                </c:pt>
              </c:numCache>
            </c:numRef>
          </c:val>
        </c:ser>
        <c:dLbls>
          <c:showLegendKey val="0"/>
          <c:showVal val="1"/>
          <c:showCatName val="0"/>
          <c:showSerName val="0"/>
          <c:showPercent val="0"/>
          <c:showBubbleSize val="0"/>
        </c:dLbls>
        <c:gapWidth val="150"/>
        <c:axId val="141997568"/>
        <c:axId val="141999104"/>
      </c:barChart>
      <c:catAx>
        <c:axId val="1419975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9104"/>
        <c:crosses val="autoZero"/>
        <c:auto val="1"/>
        <c:lblAlgn val="ctr"/>
        <c:lblOffset val="100"/>
        <c:noMultiLvlLbl val="0"/>
      </c:catAx>
      <c:valAx>
        <c:axId val="14199910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1997568"/>
        <c:crosses val="autoZero"/>
        <c:crossBetween val="between"/>
      </c:valAx>
      <c:spPr>
        <a:solidFill>
          <a:schemeClr val="bg1"/>
        </a:solidFill>
        <a:ln>
          <a:noFill/>
        </a:ln>
        <a:effectLst/>
      </c:spPr>
    </c:plotArea>
    <c:plotVisOnly val="1"/>
    <c:dispBlanksAs val="gap"/>
    <c:showDLblsOverMax val="0"/>
    <c:extLst>
      <c:ext uri="{0b15fc19-7d7d-44ad-8c2d-2c3a37ce22c3}">
        <chartProps xmlns="https://web.wps.cn/et/2018/main" chartId="{728b4604-9676-4468-a5ee-0a01d2ad2cb1}"/>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Lbls>
            <c:dLbl>
              <c:idx val="0"/>
              <c:layout>
                <c:manualLayout>
                  <c:x val="0.00588013998250226"/>
                  <c:y val="0.0198978733427553"/>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0855555555555556"/>
                      <c:h val="0.125356125356125"/>
                    </c:manualLayout>
                  </c15:layout>
                </c:ext>
              </c:extLst>
            </c:dLbl>
            <c:dLbl>
              <c:idx val="1"/>
              <c:layout>
                <c:manualLayout>
                  <c:x val="0.0388267716535433"/>
                  <c:y val="-0.32679016084527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270833333333333"/>
                  <c:y val="0"/>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[图表、上会报表模版.xlsx]图表!$B$63:$B$65</c:f>
              <c:strCache>
                <c:ptCount val="3"/>
                <c:pt idx="0">
                  <c:v>社会保障和就业支出</c:v>
                </c:pt>
                <c:pt idx="1">
                  <c:v>卫生健康支出</c:v>
                </c:pt>
                <c:pt idx="2">
                  <c:v>住房保障支出</c:v>
                </c:pt>
              </c:strCache>
            </c:strRef>
          </c:cat>
          <c:val>
            <c:numRef>
              <c:f>[图表、上会报表模版.xlsx]图表!$C$63:$C$65</c:f>
              <c:numCache>
                <c:formatCode>General</c:formatCode>
                <c:ptCount val="3"/>
                <c:pt idx="0">
                  <c:v>86.13</c:v>
                </c:pt>
                <c:pt idx="1">
                  <c:v>1471.83</c:v>
                </c:pt>
                <c:pt idx="2">
                  <c:v>20.25</c:v>
                </c:pt>
              </c:numCache>
            </c:numRef>
          </c:val>
        </c:ser>
        <c:dLbls>
          <c:showLegendKey val="0"/>
          <c:showVal val="0"/>
          <c:showCatName val="0"/>
          <c:showSerName val="0"/>
          <c:showPercent val="1"/>
          <c:showBubbleSize val="0"/>
        </c:dLbls>
      </c:pie3DChart>
    </c:plotArea>
    <c:legend>
      <c:legendPos val="r"/>
      <c:layout>
        <c:manualLayout>
          <c:xMode val="edge"/>
          <c:yMode val="edge"/>
          <c:x val="0.658376421697288"/>
          <c:y val="0.164747375328084"/>
          <c:w val="0.324956911636046"/>
          <c:h val="0.6982830271216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2b5557e-5375-4ec6-abca-150a11d041d2}"/>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Lbls>
            <c:dLbl>
              <c:idx val="0"/>
              <c:layout>
                <c:manualLayout>
                  <c:x val="0.00171347331583554"/>
                  <c:y val="-0.44450975426317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公务接待费100%</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[图表、上会报表模版.xlsx]单位决算公开图表!$B$78</c:f>
              <c:strCache>
                <c:ptCount val="1"/>
                <c:pt idx="0">
                  <c:v>公务接待费支出</c:v>
                </c:pt>
              </c:strCache>
            </c:strRef>
          </c:cat>
          <c:val>
            <c:numRef>
              <c:f>[图表、上会报表模版.xlsx]单位决算公开图表!$C$78</c:f>
              <c:numCache>
                <c:formatCode>General</c:formatCode>
                <c:ptCount val="1"/>
                <c:pt idx="0">
                  <c:v>0.34</c:v>
                </c:pt>
              </c:numCache>
            </c:numRef>
          </c:val>
        </c:ser>
        <c:dLbls>
          <c:showLegendKey val="0"/>
          <c:showVal val="0"/>
          <c:showCatName val="0"/>
          <c:showSerName val="0"/>
          <c:showPercent val="1"/>
          <c:showBubbleSize val="0"/>
        </c:dLbls>
      </c:pie3DChart>
    </c:plotArea>
    <c:legend>
      <c:legendPos val="r"/>
      <c:legendEntry>
        <c:idx val="0"/>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0e5694d-d674-49e9-835b-3c0600b21541}"/>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20</Pages>
  <Words>6369</Words>
  <Characters>6957</Characters>
  <Lines>61</Lines>
  <Paragraphs>17</Paragraphs>
  <TotalTime>8</TotalTime>
  <ScaleCrop>false</ScaleCrop>
  <LinksUpToDate>false</LinksUpToDate>
  <CharactersWithSpaces>7020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邓丽</cp:lastModifiedBy>
  <cp:lastPrinted>2025-08-06T17:34:00Z</cp:lastPrinted>
  <dcterms:modified xsi:type="dcterms:W3CDTF">2025-10-30T01:31:39Z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eyJoZGlkIjoiNjc3YWQ0OTgxNzMyMjllNTZlMTRmMzYyYmFkNjRhYTIiLCJ1c2VySWQiOiIxNjM3NzUzNzExIn0=</vt:lpwstr>
  </property>
</Properties>
</file>