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44"/>
          <w:szCs w:val="44"/>
        </w:rPr>
      </w:pPr>
      <w:bookmarkStart w:id="0" w:name="_Toc15306267"/>
      <w:bookmarkStart w:id="1" w:name="_Toc15396476"/>
      <w:bookmarkStart w:id="2" w:name="_Toc15396598"/>
      <w:bookmarkStart w:id="3" w:name="_Toc15377194"/>
      <w:bookmarkStart w:id="4" w:name="_Toc15377426"/>
      <w:bookmarkStart w:id="5" w:name="_Toc15378442"/>
    </w:p>
    <w:p>
      <w:pPr>
        <w:jc w:val="center"/>
        <w:rPr>
          <w:rFonts w:eastAsia="方正小标宋简体"/>
          <w:sz w:val="44"/>
          <w:szCs w:val="44"/>
        </w:rPr>
      </w:pPr>
    </w:p>
    <w:p>
      <w:pPr>
        <w:pStyle w:val="15"/>
        <w:rPr>
          <w:rFonts w:eastAsia="方正小标宋简体"/>
          <w:sz w:val="44"/>
          <w:szCs w:val="44"/>
        </w:rPr>
      </w:pPr>
    </w:p>
    <w:p>
      <w:pPr>
        <w:pStyle w:val="9"/>
        <w:ind w:left="420"/>
      </w:pPr>
    </w:p>
    <w:p>
      <w:pPr>
        <w:jc w:val="center"/>
        <w:rPr>
          <w:rFonts w:eastAsia="方正小标宋简体"/>
          <w:sz w:val="44"/>
          <w:szCs w:val="44"/>
        </w:rPr>
      </w:pPr>
      <w:r>
        <w:rPr>
          <w:rFonts w:hint="eastAsia" w:eastAsia="方正小标宋简体"/>
          <w:sz w:val="44"/>
          <w:szCs w:val="44"/>
        </w:rPr>
        <w:t>2024年度</w:t>
      </w:r>
      <w:bookmarkEnd w:id="0"/>
      <w:bookmarkStart w:id="6" w:name="_Toc15306268"/>
      <w:r>
        <w:rPr>
          <w:rFonts w:hint="eastAsia" w:eastAsia="方正小标宋简体"/>
          <w:sz w:val="44"/>
          <w:szCs w:val="44"/>
        </w:rPr>
        <w:t>中国人民政治协商会议</w:t>
      </w:r>
    </w:p>
    <w:p>
      <w:pPr>
        <w:jc w:val="center"/>
        <w:rPr>
          <w:rFonts w:eastAsia="方正小标宋简体"/>
          <w:sz w:val="48"/>
          <w:szCs w:val="48"/>
        </w:rPr>
        <w:sectPr>
          <w:footerReference r:id="rId4" w:type="first"/>
          <w:footerReference r:id="rId3" w:type="default"/>
          <w:pgSz w:w="11906" w:h="16838"/>
          <w:pgMar w:top="2098" w:right="1474" w:bottom="1984" w:left="1587" w:header="851" w:footer="992" w:gutter="0"/>
          <w:pgNumType w:fmt="numberInDash" w:start="1"/>
          <w:cols w:space="0" w:num="1"/>
          <w:titlePg/>
          <w:docGrid w:type="lines" w:linePitch="312" w:charSpace="0"/>
        </w:sectPr>
      </w:pPr>
      <w:r>
        <w:rPr>
          <w:rFonts w:hint="eastAsia" w:eastAsia="方正小标宋简体"/>
          <w:sz w:val="44"/>
          <w:szCs w:val="44"/>
        </w:rPr>
        <w:t>攀枝花市西区委员会办公室单位决算</w:t>
      </w:r>
      <w:bookmarkEnd w:id="1"/>
      <w:bookmarkEnd w:id="2"/>
      <w:bookmarkEnd w:id="3"/>
      <w:bookmarkEnd w:id="4"/>
      <w:bookmarkEnd w:id="5"/>
      <w:bookmarkEnd w:id="6"/>
      <w:r>
        <w:rPr>
          <w:rFonts w:hint="eastAsia" w:eastAsia="方正小标宋简体"/>
          <w:sz w:val="44"/>
          <w:szCs w:val="44"/>
        </w:rPr>
        <w:t>编制说明</w:t>
      </w:r>
    </w:p>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公开时间：2025年10月</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日</w:t>
      </w:r>
      <w:bookmarkStart w:id="65" w:name="_GoBack"/>
      <w:bookmarkEnd w:id="65"/>
    </w:p>
    <w:p>
      <w:pPr>
        <w:rPr>
          <w:rFonts w:ascii="仿宋_GB2312" w:eastAsia="仿宋_GB2312"/>
        </w:rPr>
      </w:pP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第一部分 部门概况</w:t>
      </w:r>
      <w:r>
        <w:rPr>
          <w:rFonts w:hint="eastAsia" w:ascii="仿宋_GB2312" w:hAnsi="Times New Roman" w:eastAsia="仿宋_GB2312"/>
        </w:rPr>
        <w:tab/>
      </w:r>
      <w:r>
        <w:rPr>
          <w:rFonts w:hint="eastAsia" w:ascii="仿宋_GB2312" w:hAnsi="Times New Roman" w:eastAsia="仿宋_GB2312"/>
        </w:rPr>
        <w:t>1</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一、部门职责</w:t>
      </w:r>
      <w:r>
        <w:rPr>
          <w:rFonts w:hint="eastAsia" w:ascii="仿宋_GB2312" w:eastAsia="仿宋_GB2312"/>
          <w:sz w:val="28"/>
          <w:szCs w:val="28"/>
        </w:rPr>
        <w:tab/>
      </w:r>
      <w:r>
        <w:rPr>
          <w:rFonts w:hint="eastAsia" w:ascii="仿宋_GB2312" w:eastAsia="仿宋_GB2312"/>
          <w:sz w:val="28"/>
          <w:szCs w:val="28"/>
        </w:rPr>
        <w:t>1</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二、机构设置</w:t>
      </w:r>
      <w:r>
        <w:rPr>
          <w:rFonts w:hint="eastAsia" w:ascii="仿宋_GB2312" w:eastAsia="仿宋_GB2312"/>
          <w:sz w:val="28"/>
          <w:szCs w:val="28"/>
        </w:rPr>
        <w:tab/>
      </w:r>
      <w:r>
        <w:rPr>
          <w:rFonts w:hint="eastAsia" w:ascii="仿宋_GB2312" w:eastAsia="仿宋_GB2312"/>
          <w:sz w:val="28"/>
          <w:szCs w:val="28"/>
        </w:rPr>
        <w:t>2</w:t>
      </w: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第二部分2024年度部门决算情况说明</w:t>
      </w:r>
      <w:r>
        <w:rPr>
          <w:rFonts w:hint="eastAsia" w:ascii="仿宋_GB2312" w:hAnsi="Times New Roman" w:eastAsia="仿宋_GB2312"/>
        </w:rPr>
        <w:tab/>
      </w:r>
      <w:r>
        <w:rPr>
          <w:rFonts w:hint="eastAsia" w:ascii="仿宋_GB2312" w:hAnsi="Times New Roman" w:eastAsia="仿宋_GB2312"/>
        </w:rPr>
        <w:t>3</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一、收入支出决算总体情况说明</w:t>
      </w:r>
      <w:r>
        <w:rPr>
          <w:rFonts w:hint="eastAsia" w:ascii="仿宋_GB2312" w:eastAsia="仿宋_GB2312"/>
          <w:sz w:val="28"/>
          <w:szCs w:val="28"/>
        </w:rPr>
        <w:tab/>
      </w:r>
      <w:r>
        <w:rPr>
          <w:rFonts w:hint="eastAsia" w:ascii="仿宋_GB2312" w:eastAsia="仿宋_GB2312"/>
          <w:sz w:val="28"/>
          <w:szCs w:val="28"/>
        </w:rPr>
        <w:t>3</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二、收入决算情况说明</w:t>
      </w:r>
      <w:r>
        <w:rPr>
          <w:rFonts w:hint="eastAsia" w:ascii="仿宋_GB2312" w:eastAsia="仿宋_GB2312"/>
          <w:sz w:val="28"/>
          <w:szCs w:val="28"/>
        </w:rPr>
        <w:tab/>
      </w:r>
      <w:r>
        <w:rPr>
          <w:rFonts w:hint="eastAsia" w:ascii="仿宋_GB2312" w:eastAsia="仿宋_GB2312"/>
          <w:sz w:val="28"/>
          <w:szCs w:val="28"/>
        </w:rPr>
        <w:t>3</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三、支出决算情况说明</w:t>
      </w:r>
      <w:r>
        <w:rPr>
          <w:rFonts w:hint="eastAsia" w:ascii="仿宋_GB2312" w:eastAsia="仿宋_GB2312"/>
          <w:sz w:val="28"/>
          <w:szCs w:val="28"/>
        </w:rPr>
        <w:tab/>
      </w:r>
      <w:r>
        <w:rPr>
          <w:rFonts w:hint="eastAsia" w:ascii="仿宋_GB2312" w:eastAsia="仿宋_GB2312"/>
          <w:sz w:val="28"/>
          <w:szCs w:val="28"/>
        </w:rPr>
        <w:t>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四、财政拨款收入支出决算总体情况说明</w:t>
      </w:r>
      <w:r>
        <w:rPr>
          <w:rFonts w:hint="eastAsia" w:ascii="仿宋_GB2312" w:eastAsia="仿宋_GB2312"/>
          <w:sz w:val="28"/>
          <w:szCs w:val="28"/>
        </w:rPr>
        <w:tab/>
      </w:r>
      <w:r>
        <w:rPr>
          <w:rFonts w:hint="eastAsia" w:ascii="仿宋_GB2312" w:eastAsia="仿宋_GB2312"/>
          <w:sz w:val="28"/>
          <w:szCs w:val="28"/>
        </w:rPr>
        <w:t>5</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五、一般公共预算财政拨款支出决算情况说明</w:t>
      </w:r>
      <w:r>
        <w:rPr>
          <w:rFonts w:hint="eastAsia" w:ascii="仿宋_GB2312" w:eastAsia="仿宋_GB2312"/>
          <w:sz w:val="28"/>
          <w:szCs w:val="28"/>
        </w:rPr>
        <w:tab/>
      </w:r>
      <w:r>
        <w:rPr>
          <w:rFonts w:hint="eastAsia" w:ascii="仿宋_GB2312" w:eastAsia="仿宋_GB2312"/>
          <w:sz w:val="28"/>
          <w:szCs w:val="28"/>
        </w:rPr>
        <w:t>6</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六、一般公共预算财政拨款基本支出决算情况说明</w:t>
      </w:r>
      <w:r>
        <w:rPr>
          <w:rFonts w:hint="eastAsia" w:ascii="仿宋_GB2312" w:eastAsia="仿宋_GB2312"/>
          <w:sz w:val="28"/>
          <w:szCs w:val="28"/>
        </w:rPr>
        <w:tab/>
      </w:r>
      <w:r>
        <w:rPr>
          <w:rFonts w:hint="eastAsia" w:ascii="仿宋_GB2312" w:eastAsia="仿宋_GB2312"/>
          <w:sz w:val="28"/>
          <w:szCs w:val="28"/>
        </w:rPr>
        <w:t>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七、财政拨款“三公”经费支出决算情况说明</w:t>
      </w:r>
      <w:r>
        <w:rPr>
          <w:rFonts w:hint="eastAsia" w:ascii="仿宋_GB2312" w:eastAsia="仿宋_GB2312"/>
          <w:sz w:val="28"/>
          <w:szCs w:val="28"/>
        </w:rPr>
        <w:tab/>
      </w:r>
      <w:r>
        <w:rPr>
          <w:rFonts w:hint="eastAsia" w:ascii="仿宋_GB2312" w:eastAsia="仿宋_GB2312"/>
          <w:sz w:val="28"/>
          <w:szCs w:val="28"/>
        </w:rPr>
        <w:t>9</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八、政府性基金预算支出决算情况说明</w:t>
      </w:r>
      <w:r>
        <w:rPr>
          <w:rFonts w:hint="eastAsia" w:ascii="仿宋_GB2312" w:eastAsia="仿宋_GB2312"/>
          <w:sz w:val="28"/>
          <w:szCs w:val="28"/>
        </w:rPr>
        <w:tab/>
      </w:r>
      <w:r>
        <w:rPr>
          <w:rFonts w:hint="eastAsia" w:ascii="仿宋_GB2312" w:eastAsia="仿宋_GB2312"/>
          <w:sz w:val="28"/>
          <w:szCs w:val="28"/>
        </w:rPr>
        <w:t>11</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九、国有资本经营预算支出决算情况说明</w:t>
      </w:r>
      <w:r>
        <w:rPr>
          <w:rFonts w:hint="eastAsia" w:ascii="仿宋_GB2312" w:eastAsia="仿宋_GB2312"/>
          <w:sz w:val="28"/>
          <w:szCs w:val="28"/>
        </w:rPr>
        <w:tab/>
      </w:r>
      <w:r>
        <w:rPr>
          <w:rFonts w:hint="eastAsia" w:ascii="仿宋_GB2312" w:eastAsia="仿宋_GB2312"/>
          <w:sz w:val="28"/>
          <w:szCs w:val="28"/>
        </w:rPr>
        <w:t>11</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十、其他重要事项的情况说明</w:t>
      </w:r>
      <w:r>
        <w:rPr>
          <w:rFonts w:hint="eastAsia" w:ascii="仿宋_GB2312" w:eastAsia="仿宋_GB2312"/>
          <w:sz w:val="28"/>
          <w:szCs w:val="28"/>
        </w:rPr>
        <w:tab/>
      </w:r>
      <w:r>
        <w:rPr>
          <w:rFonts w:hint="eastAsia" w:ascii="仿宋_GB2312" w:eastAsia="仿宋_GB2312"/>
          <w:sz w:val="28"/>
          <w:szCs w:val="28"/>
        </w:rPr>
        <w:t>11</w:t>
      </w: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第三部分 名词解释</w:t>
      </w:r>
      <w:r>
        <w:rPr>
          <w:rFonts w:hint="eastAsia" w:ascii="仿宋_GB2312" w:hAnsi="Times New Roman" w:eastAsia="仿宋_GB2312"/>
        </w:rPr>
        <w:tab/>
      </w:r>
      <w:r>
        <w:rPr>
          <w:rFonts w:hint="eastAsia" w:ascii="仿宋_GB2312" w:hAnsi="Times New Roman" w:eastAsia="仿宋_GB2312"/>
        </w:rPr>
        <w:t>14</w:t>
      </w: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第四部分 附件</w:t>
      </w:r>
      <w:r>
        <w:rPr>
          <w:rFonts w:hint="eastAsia" w:ascii="仿宋_GB2312" w:hAnsi="Times New Roman" w:eastAsia="仿宋_GB2312"/>
        </w:rPr>
        <w:tab/>
      </w:r>
      <w:r>
        <w:rPr>
          <w:rFonts w:hint="eastAsia" w:ascii="仿宋_GB2312" w:hAnsi="Times New Roman" w:eastAsia="仿宋_GB2312"/>
        </w:rPr>
        <w:t>17</w:t>
      </w: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第五部分 附表</w:t>
      </w:r>
      <w:r>
        <w:rPr>
          <w:rFonts w:hint="eastAsia" w:ascii="仿宋_GB2312" w:hAnsi="Times New Roman" w:eastAsia="仿宋_GB2312"/>
        </w:rPr>
        <w:tab/>
      </w:r>
      <w:r>
        <w:rPr>
          <w:rFonts w:hint="eastAsia" w:ascii="仿宋_GB2312" w:hAnsi="Times New Roman" w:eastAsia="仿宋_GB2312"/>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一、收入支出决算总表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二、收入决算表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三、支出决算表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sectPr>
          <w:footerReference r:id="rId6" w:type="first"/>
          <w:footerReference r:id="rId5" w:type="default"/>
          <w:pgSz w:w="11906" w:h="16838"/>
          <w:pgMar w:top="2098" w:right="1474" w:bottom="1984" w:left="1587" w:header="851" w:footer="992" w:gutter="0"/>
          <w:pgNumType w:fmt="numberInDash" w:start="1"/>
          <w:cols w:space="0" w:num="1"/>
          <w:docGrid w:type="lines" w:linePitch="312" w:charSpace="0"/>
        </w:sectPr>
      </w:pP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四、财政拨款收入支出决算总表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五、财政拨款支出决算明细表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六、一般公共预算财政拨款支出决算表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七、一般公共预算财政拨款支出决算明细表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八、一般公共预算财政拨款基本支出决算明细表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九、一般公共预算财政拨款项目支出决算表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十、政府性基金预算财政拨款收入支出决算表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十一、国有资本经营预算财政拨款收入支出决算表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十二、国有资本经营预算财政拨款支出决算表</w:t>
      </w:r>
      <w:r>
        <w:rPr>
          <w:rFonts w:hint="eastAsia" w:ascii="仿宋_GB2312" w:eastAsia="仿宋_GB2312"/>
          <w:sz w:val="28"/>
          <w:szCs w:val="28"/>
        </w:rPr>
        <w:tab/>
      </w:r>
      <w:r>
        <w:rPr>
          <w:rFonts w:hint="eastAsia" w:ascii="仿宋_GB2312" w:eastAsia="仿宋_GB2312"/>
          <w:sz w:val="28"/>
          <w:szCs w:val="28"/>
        </w:rPr>
        <w:t>18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十三、财政拨款“三公”经费支出决算表</w:t>
      </w:r>
      <w:r>
        <w:rPr>
          <w:rFonts w:hint="eastAsia" w:ascii="仿宋_GB2312" w:eastAsia="仿宋_GB2312"/>
          <w:sz w:val="28"/>
          <w:szCs w:val="28"/>
        </w:rPr>
        <w:tab/>
      </w:r>
      <w:r>
        <w:rPr>
          <w:rFonts w:hint="eastAsia" w:ascii="仿宋_GB2312" w:eastAsia="仿宋_GB2312"/>
          <w:sz w:val="28"/>
          <w:szCs w:val="28"/>
        </w:rPr>
        <w:t>18</w:t>
      </w:r>
    </w:p>
    <w:p/>
    <w:p>
      <w:pPr>
        <w:widowControl/>
        <w:jc w:val="center"/>
        <w:rPr>
          <w:rFonts w:ascii="仿宋_GB2312" w:hAnsi="黑体" w:eastAsia="仿宋_GB2312"/>
        </w:rPr>
      </w:pPr>
    </w:p>
    <w:p>
      <w:pPr>
        <w:widowControl/>
        <w:jc w:val="center"/>
        <w:rPr>
          <w:rFonts w:ascii="黑体" w:hAnsi="黑体" w:eastAsia="黑体"/>
        </w:rPr>
      </w:pPr>
    </w:p>
    <w:p>
      <w:pPr>
        <w:widowControl/>
        <w:jc w:val="center"/>
        <w:rPr>
          <w:rFonts w:ascii="黑体" w:hAnsi="黑体" w:eastAsia="黑体"/>
        </w:rPr>
      </w:pPr>
    </w:p>
    <w:p/>
    <w:p>
      <w:pPr>
        <w:pStyle w:val="21"/>
      </w:pPr>
    </w:p>
    <w:p/>
    <w:p>
      <w:pPr>
        <w:pStyle w:val="21"/>
      </w:pPr>
    </w:p>
    <w:p/>
    <w:p>
      <w:pPr>
        <w:pStyle w:val="21"/>
      </w:pPr>
    </w:p>
    <w:p/>
    <w:p>
      <w:pPr>
        <w:pStyle w:val="21"/>
      </w:pPr>
    </w:p>
    <w:p/>
    <w:p>
      <w:pPr>
        <w:pStyle w:val="21"/>
      </w:pPr>
    </w:p>
    <w:p/>
    <w:p>
      <w:pPr>
        <w:sectPr>
          <w:footerReference r:id="rId7" w:type="default"/>
          <w:pgSz w:w="11906" w:h="16838"/>
          <w:pgMar w:top="2098" w:right="1474" w:bottom="1984" w:left="1587" w:header="851" w:footer="992" w:gutter="0"/>
          <w:pgNumType w:fmt="numberInDash" w:start="1"/>
          <w:cols w:space="0" w:num="1"/>
          <w:docGrid w:type="lines" w:linePitch="312" w:charSpace="0"/>
        </w:sectPr>
      </w:pPr>
    </w:p>
    <w:p>
      <w:pPr>
        <w:pStyle w:val="3"/>
        <w:spacing w:before="0" w:after="0"/>
        <w:jc w:val="center"/>
        <w:rPr>
          <w:rStyle w:val="30"/>
          <w:rFonts w:eastAsia="方正小标宋简体" w:cs="方正小标宋简体"/>
          <w:b/>
          <w:bCs w:val="0"/>
        </w:rPr>
      </w:pPr>
      <w:bookmarkStart w:id="7" w:name="_Toc15396599"/>
      <w:bookmarkStart w:id="8" w:name="_Toc15377196"/>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7"/>
      <w:bookmarkEnd w:id="8"/>
    </w:p>
    <w:p>
      <w:pPr>
        <w:widowControl/>
        <w:ind w:firstLine="640" w:firstLineChars="200"/>
        <w:jc w:val="left"/>
        <w:rPr>
          <w:rFonts w:ascii="黑体" w:hAnsi="黑体" w:eastAsia="黑体" w:cs="黑体"/>
          <w:sz w:val="32"/>
          <w:szCs w:val="32"/>
        </w:rPr>
      </w:pPr>
    </w:p>
    <w:p>
      <w:pPr>
        <w:pStyle w:val="4"/>
        <w:spacing w:before="0" w:after="0"/>
        <w:ind w:firstLine="640" w:firstLineChars="200"/>
        <w:rPr>
          <w:rStyle w:val="31"/>
          <w:rFonts w:ascii="黑体" w:hAnsi="黑体" w:eastAsia="黑体" w:cs="黑体"/>
          <w:b w:val="0"/>
          <w:bCs w:val="0"/>
        </w:rPr>
      </w:pPr>
      <w:bookmarkStart w:id="9" w:name="_Toc15377197"/>
      <w:bookmarkStart w:id="10" w:name="_Toc15396600"/>
      <w:r>
        <w:rPr>
          <w:rFonts w:hint="eastAsia" w:ascii="黑体" w:hAnsi="黑体" w:eastAsia="黑体" w:cs="黑体"/>
          <w:b w:val="0"/>
        </w:rPr>
        <w:t>一、</w:t>
      </w:r>
      <w:bookmarkEnd w:id="9"/>
      <w:bookmarkEnd w:id="10"/>
      <w:r>
        <w:rPr>
          <w:rFonts w:hint="eastAsia" w:ascii="黑体" w:hAnsi="黑体" w:eastAsia="黑体" w:cs="黑体"/>
          <w:b w:val="0"/>
        </w:rPr>
        <w:t>部门职责</w:t>
      </w:r>
    </w:p>
    <w:p>
      <w:pPr>
        <w:spacing w:line="600" w:lineRule="exact"/>
        <w:ind w:firstLine="707" w:firstLineChars="221"/>
        <w:rPr>
          <w:rFonts w:ascii="仿宋_GB2312" w:eastAsia="仿宋_GB2312"/>
          <w:sz w:val="32"/>
          <w:szCs w:val="32"/>
        </w:rPr>
      </w:pPr>
      <w:bookmarkStart w:id="11" w:name="_Toc15377200"/>
      <w:bookmarkStart w:id="12" w:name="_Toc15396601"/>
      <w:r>
        <w:rPr>
          <w:rFonts w:hint="eastAsia" w:ascii="仿宋_GB2312" w:eastAsia="仿宋_GB2312"/>
          <w:sz w:val="32"/>
          <w:szCs w:val="32"/>
        </w:rPr>
        <w:t>政协攀枝花市西区委员会办公室是政协攀枝花市西区委员会的综合办事机构，承担为区政协履行政治协商、民主监督、参政议政职能服务的各项工作。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1.负责政协攀枝花市西区委员会全体会议、常委会会议、主席会议和其他重要会议的会务工作；并起草全体会议、常委会会议和其他会议的文字工作以及政协工作的综合性文件。</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2.组织实施区政协组织的调研、视察、考察和其他各种活动的协调服务工作。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3.负责住区市政协委员活动服务工作和区政协委员活动的服务工作。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4.负责政协工作的对内对外宣传，收集反映各族各界人士的意见和建议。</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5.密切联系区委办公室、区人大常委会办公室、区政府办公室以及区级各部门，相互配合，协同工作。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6.负责区政协机关文电处理、文书档案、文印、通讯、机要保密工作。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7.负责区政协机关各种接待和联络工作。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8.承办区政协委员和各界人士的来信来访工作，加强与委员联系，为他们履职尽责做好服务工作。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9.负责区政协机关国有资产管理、财务管理、车辆管理和物品采购管理，负责区政协机关综治、精神文明、卫生、消防和后勤保障及管理工作。</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10.负责区政协机构编制、干部考核、目标管理和区政协机关的自身建设工作。</w:t>
      </w:r>
    </w:p>
    <w:p>
      <w:pPr>
        <w:pStyle w:val="4"/>
        <w:spacing w:before="0" w:after="0"/>
        <w:ind w:firstLine="640" w:firstLineChars="200"/>
        <w:rPr>
          <w:rFonts w:ascii="仿宋_GB2312" w:eastAsia="仿宋_GB2312"/>
          <w:b w:val="0"/>
          <w:bCs w:val="0"/>
        </w:rPr>
      </w:pPr>
      <w:r>
        <w:rPr>
          <w:rFonts w:hint="eastAsia" w:ascii="仿宋_GB2312" w:eastAsia="仿宋_GB2312"/>
          <w:b w:val="0"/>
          <w:bCs w:val="0"/>
        </w:rPr>
        <w:t>11.承担区政协主席、副主席交办的其他事项。</w:t>
      </w:r>
    </w:p>
    <w:p>
      <w:pPr>
        <w:pStyle w:val="4"/>
        <w:spacing w:before="0" w:after="0"/>
        <w:ind w:firstLine="640" w:firstLineChars="200"/>
        <w:rPr>
          <w:rStyle w:val="31"/>
          <w:rFonts w:ascii="黑体" w:hAnsi="黑体" w:eastAsia="黑体" w:cs="黑体"/>
          <w:b w:val="0"/>
          <w:bCs w:val="0"/>
        </w:rPr>
      </w:pPr>
      <w:r>
        <w:rPr>
          <w:rFonts w:hint="eastAsia" w:ascii="黑体" w:hAnsi="黑体" w:eastAsia="黑体" w:cs="黑体"/>
          <w:b w:val="0"/>
        </w:rPr>
        <w:t>二、机</w:t>
      </w:r>
      <w:r>
        <w:rPr>
          <w:rStyle w:val="31"/>
          <w:rFonts w:hint="eastAsia" w:ascii="黑体" w:hAnsi="黑体" w:eastAsia="黑体" w:cs="黑体"/>
          <w:b w:val="0"/>
          <w:bCs w:val="0"/>
        </w:rPr>
        <w:t>构设置</w:t>
      </w:r>
      <w:bookmarkEnd w:id="11"/>
      <w:bookmarkEnd w:id="12"/>
    </w:p>
    <w:p>
      <w:pPr>
        <w:spacing w:line="600" w:lineRule="exact"/>
        <w:ind w:firstLine="640" w:firstLineChars="200"/>
        <w:rPr>
          <w:rFonts w:eastAsia="方正仿宋_GBK"/>
          <w:sz w:val="33"/>
          <w:szCs w:val="33"/>
        </w:rPr>
      </w:pPr>
      <w:r>
        <w:rPr>
          <w:rFonts w:hint="eastAsia" w:ascii="仿宋_GB2312" w:hAnsi="仿宋" w:eastAsia="仿宋_GB2312"/>
          <w:sz w:val="32"/>
          <w:szCs w:val="32"/>
        </w:rPr>
        <w:t>政协攀枝花市西区委员会内设二室七委：办公室（挂研究室牌子）、提案委员会、</w:t>
      </w:r>
      <w:r>
        <w:rPr>
          <w:rFonts w:eastAsia="方正仿宋_GBK"/>
          <w:sz w:val="33"/>
          <w:szCs w:val="33"/>
        </w:rPr>
        <w:t>经济委员会、人口资源环境委员会、社会和法制委员会、文化文史和学习委员会、教科卫体委员会、委员联络委员会。</w:t>
      </w:r>
    </w:p>
    <w:p>
      <w:pPr>
        <w:spacing w:line="600" w:lineRule="exact"/>
        <w:ind w:firstLine="537" w:firstLineChars="168"/>
        <w:rPr>
          <w:rFonts w:ascii="仿宋_GB2312" w:hAnsi="仿宋" w:eastAsia="仿宋_GB2312"/>
          <w:sz w:val="32"/>
          <w:szCs w:val="32"/>
        </w:rPr>
      </w:pPr>
      <w:r>
        <w:rPr>
          <w:rFonts w:hint="eastAsia" w:ascii="仿宋_GB2312" w:hAnsi="仿宋" w:eastAsia="仿宋_GB2312"/>
          <w:sz w:val="32"/>
          <w:szCs w:val="32"/>
        </w:rPr>
        <w:t>本单位下属二级单位1个，财务未独立。</w:t>
      </w:r>
    </w:p>
    <w:p/>
    <w:p>
      <w:pPr>
        <w:pStyle w:val="3"/>
        <w:jc w:val="center"/>
        <w:rPr>
          <w:rFonts w:eastAsia="方正小标宋简体" w:cs="方正小标宋简体"/>
          <w:b w:val="0"/>
        </w:rPr>
        <w:sectPr>
          <w:footerReference r:id="rId8" w:type="default"/>
          <w:pgSz w:w="11906" w:h="16838"/>
          <w:pgMar w:top="2098" w:right="1474" w:bottom="1984" w:left="1587" w:header="851" w:footer="992" w:gutter="0"/>
          <w:pgNumType w:fmt="numberInDash" w:start="1"/>
          <w:cols w:space="0" w:num="1"/>
          <w:docGrid w:type="lines" w:linePitch="312" w:charSpace="0"/>
        </w:sectPr>
      </w:pPr>
      <w:bookmarkStart w:id="13" w:name="_Toc15396602"/>
      <w:bookmarkStart w:id="14" w:name="_Toc15377204"/>
    </w:p>
    <w:p>
      <w:pPr>
        <w:pStyle w:val="3"/>
        <w:jc w:val="center"/>
        <w:rPr>
          <w:rFonts w:eastAsia="方正小标宋简体" w:cs="方正小标宋简体"/>
          <w:b w:val="0"/>
        </w:rPr>
      </w:pPr>
      <w:r>
        <w:rPr>
          <w:rFonts w:hint="eastAsia" w:eastAsia="方正小标宋简体" w:cs="方正小标宋简体"/>
          <w:b w:val="0"/>
        </w:rPr>
        <w:t>第二部分  2024年度部门决算情况说明</w:t>
      </w:r>
      <w:bookmarkEnd w:id="13"/>
      <w:bookmarkEnd w:id="14"/>
    </w:p>
    <w:p/>
    <w:p>
      <w:pPr>
        <w:pStyle w:val="29"/>
        <w:spacing w:line="600" w:lineRule="exact"/>
        <w:ind w:firstLine="640"/>
        <w:outlineLvl w:val="1"/>
        <w:rPr>
          <w:rStyle w:val="31"/>
          <w:rFonts w:ascii="Times New Roman" w:hAnsi="Times New Roman" w:eastAsia="黑体"/>
          <w:b w:val="0"/>
        </w:rPr>
      </w:pPr>
      <w:bookmarkStart w:id="15" w:name="_Toc15377205"/>
      <w:bookmarkStart w:id="16" w:name="_Toc15396603"/>
      <w:r>
        <w:rPr>
          <w:rFonts w:hint="eastAsia" w:eastAsia="黑体"/>
          <w:sz w:val="32"/>
          <w:szCs w:val="32"/>
        </w:rPr>
        <w:t>一、收</w:t>
      </w:r>
      <w:r>
        <w:rPr>
          <w:rStyle w:val="31"/>
          <w:rFonts w:hint="eastAsia" w:ascii="Times New Roman" w:hAnsi="Times New Roman" w:eastAsia="黑体"/>
          <w:b w:val="0"/>
        </w:rPr>
        <w:t>入支出决算总体情况说明</w:t>
      </w:r>
      <w:bookmarkEnd w:id="15"/>
      <w:bookmarkEnd w:id="16"/>
    </w:p>
    <w:p>
      <w:pPr>
        <w:snapToGrid w:val="0"/>
        <w:spacing w:line="520" w:lineRule="exact"/>
        <w:ind w:firstLine="972" w:firstLineChars="304"/>
        <w:rPr>
          <w:rFonts w:ascii="仿宋_GB2312" w:hAnsi="仿宋_GB2312" w:eastAsia="仿宋_GB2312" w:cs="仿宋_GB2312"/>
          <w:color w:val="FF0000"/>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696.79</w:t>
      </w:r>
      <w:r>
        <w:rPr>
          <w:rFonts w:hint="eastAsia" w:eastAsia="仿宋_GB2312" w:cs="仿宋_GB2312"/>
          <w:sz w:val="32"/>
          <w:szCs w:val="32"/>
        </w:rPr>
        <w:t>万元，与2023年度相比，收入、支出总计均减少20.11万元，下降2.81%。主要变动原因是</w:t>
      </w:r>
      <w:r>
        <w:rPr>
          <w:rFonts w:hint="eastAsia" w:ascii="仿宋_GB2312" w:hAnsi="仿宋_GB2312" w:eastAsia="仿宋_GB2312" w:cs="仿宋_GB2312"/>
          <w:sz w:val="32"/>
          <w:szCs w:val="32"/>
        </w:rPr>
        <w:t>人员变动，工资福利支出减少。</w:t>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ind w:firstLine="420" w:firstLineChars="200"/>
        <w:rPr>
          <w:rFonts w:eastAsia="仿宋_GB2312" w:cs="仿宋_GB2312"/>
          <w:sz w:val="32"/>
          <w:szCs w:val="32"/>
        </w:rPr>
      </w:pPr>
      <w:r>
        <w:drawing>
          <wp:inline distT="0" distB="0" distL="114300" distR="114300">
            <wp:extent cx="4705350" cy="2667000"/>
            <wp:effectExtent l="4445" t="4445" r="1460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9"/>
        <w:spacing w:line="600" w:lineRule="exact"/>
        <w:ind w:firstLine="640"/>
        <w:outlineLvl w:val="1"/>
        <w:rPr>
          <w:rFonts w:eastAsia="黑体"/>
          <w:sz w:val="32"/>
          <w:szCs w:val="32"/>
        </w:rPr>
      </w:pPr>
      <w:bookmarkStart w:id="17" w:name="_Toc15377206"/>
      <w:bookmarkStart w:id="18" w:name="_Toc15396604"/>
      <w:r>
        <w:rPr>
          <w:rFonts w:hint="eastAsia" w:eastAsia="黑体"/>
          <w:sz w:val="32"/>
          <w:szCs w:val="32"/>
        </w:rPr>
        <w:t>二、收入决算情况说明</w:t>
      </w:r>
      <w:bookmarkEnd w:id="17"/>
      <w:bookmarkEnd w:id="18"/>
    </w:p>
    <w:p>
      <w:pPr>
        <w:pStyle w:val="29"/>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694.7万元，其中：一般公共预算财政拨款收入660.77万元，占95.12%；政府性基金预算财政拨款收入33.93万元，占4.88%；国有资本经营预算财政拨款收入0万元，占0%；上级补助收入0万元，占0%；事业收入0万元，占0%；经营收入0万元，占0%；附属单位上缴收入0万元，占0%；其他收入0万元，占0%。</w:t>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ind w:firstLine="525" w:firstLineChars="250"/>
        <w:rPr>
          <w:rFonts w:eastAsia="仿宋_GB2312" w:cs="仿宋_GB2312"/>
          <w:sz w:val="32"/>
          <w:szCs w:val="32"/>
        </w:rPr>
      </w:pPr>
      <w:r>
        <w:drawing>
          <wp:inline distT="0" distB="0" distL="114300" distR="114300">
            <wp:extent cx="4705350" cy="3629025"/>
            <wp:effectExtent l="4445" t="4445" r="14605" b="1143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9"/>
        <w:spacing w:line="600" w:lineRule="exact"/>
        <w:ind w:firstLine="640"/>
        <w:outlineLvl w:val="1"/>
        <w:rPr>
          <w:rStyle w:val="31"/>
          <w:rFonts w:ascii="Times New Roman" w:hAnsi="Times New Roman" w:eastAsia="黑体"/>
          <w:b w:val="0"/>
        </w:rPr>
      </w:pPr>
      <w:bookmarkStart w:id="19" w:name="_Toc15377207"/>
      <w:bookmarkStart w:id="20" w:name="_Toc15396605"/>
      <w:r>
        <w:rPr>
          <w:rFonts w:hint="eastAsia" w:eastAsia="黑体"/>
          <w:sz w:val="32"/>
          <w:szCs w:val="32"/>
        </w:rPr>
        <w:t>三、支</w:t>
      </w:r>
      <w:r>
        <w:rPr>
          <w:rStyle w:val="31"/>
          <w:rFonts w:hint="eastAsia" w:ascii="Times New Roman" w:hAnsi="Times New Roman" w:eastAsia="黑体"/>
          <w:b w:val="0"/>
        </w:rPr>
        <w:t>出决算情况说明</w:t>
      </w:r>
      <w:bookmarkEnd w:id="19"/>
      <w:bookmarkEnd w:id="20"/>
    </w:p>
    <w:p>
      <w:pPr>
        <w:pStyle w:val="29"/>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2024年度本年支出合计694.79万元，其中：基本支出660.86万元，占95.11%；项目支出33.93万元，占4.88%；上缴上级支出0万元，占0%；经营支出0万元，占0%；对附属单位补助支出0万元，占0%%。</w:t>
      </w: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ind w:firstLine="525" w:firstLineChars="250"/>
        <w:rPr>
          <w:rFonts w:eastAsia="仿宋_GB2312" w:cs="仿宋_GB2312"/>
          <w:sz w:val="32"/>
          <w:szCs w:val="32"/>
        </w:rPr>
      </w:pPr>
      <w:r>
        <w:drawing>
          <wp:inline distT="0" distB="0" distL="114300" distR="114300">
            <wp:extent cx="4705350" cy="2486025"/>
            <wp:effectExtent l="4445" t="4445" r="14605" b="1143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31"/>
          <w:rFonts w:ascii="Times New Roman" w:hAnsi="Times New Roman" w:eastAsia="黑体"/>
          <w:b w:val="0"/>
        </w:rPr>
      </w:pPr>
      <w:bookmarkStart w:id="21" w:name="_Toc15377208"/>
      <w:bookmarkStart w:id="22" w:name="_Toc15396606"/>
      <w:r>
        <w:rPr>
          <w:rFonts w:hint="eastAsia" w:eastAsia="黑体"/>
          <w:sz w:val="32"/>
          <w:szCs w:val="32"/>
        </w:rPr>
        <w:t>四、财</w:t>
      </w:r>
      <w:r>
        <w:rPr>
          <w:rStyle w:val="31"/>
          <w:rFonts w:hint="eastAsia" w:ascii="Times New Roman" w:hAnsi="Times New Roman" w:eastAsia="黑体"/>
          <w:b w:val="0"/>
        </w:rPr>
        <w:t>政拨款收入支出决算总体情况说明</w:t>
      </w:r>
      <w:bookmarkEnd w:id="21"/>
      <w:bookmarkEnd w:id="22"/>
    </w:p>
    <w:p>
      <w:pPr>
        <w:snapToGrid w:val="0"/>
        <w:spacing w:line="520" w:lineRule="exact"/>
        <w:ind w:firstLine="640" w:firstLineChars="200"/>
        <w:rPr>
          <w:rFonts w:ascii="仿宋_GB2312" w:hAnsi="仿宋_GB2312"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694.7</w:t>
      </w:r>
      <w:r>
        <w:rPr>
          <w:rFonts w:hint="eastAsia" w:eastAsia="仿宋_GB2312" w:cs="仿宋_GB2312"/>
          <w:sz w:val="32"/>
          <w:szCs w:val="32"/>
        </w:rPr>
        <w:t>万元，与2023年度相比，财政拨款收入、支出总计均减少20.03万元，下降2.8%。主要变动原因是</w:t>
      </w:r>
      <w:r>
        <w:rPr>
          <w:rFonts w:hint="eastAsia" w:ascii="仿宋_GB2312" w:hAnsi="仿宋_GB2312" w:eastAsia="仿宋_GB2312" w:cs="仿宋_GB2312"/>
          <w:sz w:val="32"/>
          <w:szCs w:val="32"/>
        </w:rPr>
        <w:t>人员变动，工资福利支出、商品和服务支出减少。</w:t>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rPr>
          <w:rFonts w:eastAsia="仿宋_GB2312" w:cs="仿宋_GB2312"/>
          <w:sz w:val="32"/>
          <w:szCs w:val="32"/>
        </w:rPr>
      </w:pPr>
      <w:r>
        <w:drawing>
          <wp:anchor distT="0" distB="0" distL="114300" distR="114300" simplePos="0" relativeHeight="251661312" behindDoc="0" locked="0" layoutInCell="1" allowOverlap="1">
            <wp:simplePos x="0" y="0"/>
            <wp:positionH relativeFrom="column">
              <wp:posOffset>429260</wp:posOffset>
            </wp:positionH>
            <wp:positionV relativeFrom="paragraph">
              <wp:posOffset>174625</wp:posOffset>
            </wp:positionV>
            <wp:extent cx="4705350" cy="2933700"/>
            <wp:effectExtent l="5080" t="4445" r="13970" b="8255"/>
            <wp:wrapSquare wrapText="bothSides"/>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outlineLvl w:val="1"/>
        <w:rPr>
          <w:rFonts w:eastAsia="黑体"/>
          <w:sz w:val="32"/>
          <w:szCs w:val="32"/>
        </w:rPr>
      </w:pPr>
      <w:bookmarkStart w:id="23" w:name="_Toc15377209"/>
      <w:bookmarkStart w:id="24" w:name="_Toc15396607"/>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Style w:val="31"/>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3"/>
      <w:bookmarkEnd w:id="24"/>
    </w:p>
    <w:p>
      <w:pPr>
        <w:spacing w:line="600" w:lineRule="exact"/>
        <w:ind w:firstLine="643" w:firstLineChars="200"/>
        <w:outlineLvl w:val="2"/>
        <w:rPr>
          <w:rFonts w:eastAsia="楷体_GB2312" w:cs="楷体_GB2312"/>
          <w:b/>
          <w:sz w:val="32"/>
          <w:szCs w:val="32"/>
        </w:rPr>
      </w:pPr>
      <w:bookmarkStart w:id="25" w:name="_Toc15377210"/>
      <w:r>
        <w:rPr>
          <w:rFonts w:hint="eastAsia" w:eastAsia="楷体_GB2312" w:cs="楷体_GB2312"/>
          <w:b/>
          <w:sz w:val="32"/>
          <w:szCs w:val="32"/>
        </w:rPr>
        <w:t>（一）一般公共预算财政拨款支出决算总体情况</w:t>
      </w:r>
      <w:bookmarkEnd w:id="25"/>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2024年度一般公共预算财政拨款支出660.77万元，占本年支出合计的95.1%。与2023年度相比，一般公共预算财政拨款支出减少33.64万元，下降4.84%。主要变动原因是</w:t>
      </w:r>
      <w:r>
        <w:rPr>
          <w:rFonts w:hint="eastAsia" w:eastAsia="仿宋_GB2312" w:cs="仿宋_GB2312"/>
          <w:sz w:val="32"/>
          <w:szCs w:val="32"/>
        </w:rPr>
        <w:t>退休</w:t>
      </w:r>
      <w:r>
        <w:rPr>
          <w:rFonts w:hint="eastAsia" w:ascii="仿宋_GB2312" w:hAnsi="仿宋_GB2312" w:eastAsia="仿宋_GB2312" w:cs="仿宋_GB2312"/>
          <w:sz w:val="32"/>
          <w:szCs w:val="32"/>
        </w:rPr>
        <w:t>人员增加3人，人员经费和日常公用经费减少；二是项目资金全部使用政府性基金预算财政拨款收入支付。</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pPr>
      <w:r>
        <w:drawing>
          <wp:anchor distT="0" distB="0" distL="114300" distR="114300" simplePos="0" relativeHeight="251659264" behindDoc="0" locked="0" layoutInCell="1" allowOverlap="1">
            <wp:simplePos x="0" y="0"/>
            <wp:positionH relativeFrom="column">
              <wp:posOffset>156210</wp:posOffset>
            </wp:positionH>
            <wp:positionV relativeFrom="paragraph">
              <wp:posOffset>104775</wp:posOffset>
            </wp:positionV>
            <wp:extent cx="4751705" cy="2667000"/>
            <wp:effectExtent l="4445" t="4445" r="6350" b="8255"/>
            <wp:wrapSquare wrapText="bothSides"/>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26" w:name="_Toc15377211"/>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r>
        <w:rPr>
          <w:rFonts w:hint="eastAsia" w:eastAsia="楷体_GB2312" w:cs="楷体_GB2312"/>
          <w:b/>
          <w:sz w:val="32"/>
          <w:szCs w:val="32"/>
        </w:rPr>
        <w:t>（二）一般公共预算财政拨款支出决算结构情况</w:t>
      </w:r>
      <w:bookmarkEnd w:id="26"/>
    </w:p>
    <w:p>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660.77万元</w:t>
      </w:r>
      <w:r>
        <w:rPr>
          <w:rFonts w:hint="eastAsia" w:eastAsia="仿宋_GB2312" w:cs="仿宋_GB2312"/>
          <w:sz w:val="32"/>
          <w:szCs w:val="32"/>
        </w:rPr>
        <w:t>，主要用于以下方面：一般公共服务支出447.99万元，占67.80%；教育支出0万元，占0%；科学技术支出0万元，占0%；文化旅游体育与传媒支出0万元，占0%；社会保障和就业支出108.74万元，占16.46%；卫生健康支出58.7万元，占8.88%；住房保障支出45.34万元，占6.86%。</w:t>
      </w:r>
    </w:p>
    <w:p>
      <w:pPr>
        <w:spacing w:line="600" w:lineRule="exact"/>
        <w:ind w:firstLine="640"/>
        <w:rPr>
          <w:rFonts w:eastAsia="仿宋_GB2312" w:cs="仿宋_GB2312"/>
          <w:sz w:val="32"/>
          <w:szCs w:val="32"/>
        </w:rPr>
      </w:pPr>
      <w:r>
        <w:drawing>
          <wp:anchor distT="0" distB="0" distL="114300" distR="114300" simplePos="0" relativeHeight="251660288" behindDoc="0" locked="0" layoutInCell="1" allowOverlap="1">
            <wp:simplePos x="0" y="0"/>
            <wp:positionH relativeFrom="column">
              <wp:posOffset>347980</wp:posOffset>
            </wp:positionH>
            <wp:positionV relativeFrom="paragraph">
              <wp:posOffset>611505</wp:posOffset>
            </wp:positionV>
            <wp:extent cx="4724400" cy="3329305"/>
            <wp:effectExtent l="4445" t="4445" r="8255" b="635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eastAsia="仿宋_GB2312" w:cs="仿宋_GB2312"/>
          <w:sz w:val="32"/>
          <w:szCs w:val="32"/>
        </w:rPr>
        <w:t>（图6：一般公共预算财政拨款支出决算结构）（饼状图）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7" w:name="_Toc15377212"/>
    </w:p>
    <w:p>
      <w:pPr>
        <w:spacing w:line="600" w:lineRule="exact"/>
        <w:ind w:firstLine="643" w:firstLineChars="200"/>
        <w:outlineLvl w:val="2"/>
        <w:rPr>
          <w:rFonts w:eastAsia="楷体_GB2312" w:cs="楷体_GB2312"/>
          <w:b/>
          <w:sz w:val="32"/>
          <w:szCs w:val="32"/>
        </w:rPr>
      </w:pPr>
    </w:p>
    <w:p>
      <w:pPr>
        <w:spacing w:line="600" w:lineRule="exact"/>
        <w:ind w:firstLine="643" w:firstLineChars="200"/>
        <w:outlineLvl w:val="2"/>
        <w:rPr>
          <w:rFonts w:eastAsia="楷体_GB2312" w:cs="楷体_GB2312"/>
          <w:b/>
          <w:sz w:val="32"/>
          <w:szCs w:val="32"/>
        </w:rPr>
      </w:pPr>
    </w:p>
    <w:p>
      <w:pPr>
        <w:spacing w:line="600" w:lineRule="exact"/>
        <w:ind w:firstLine="643" w:firstLineChars="200"/>
        <w:outlineLvl w:val="2"/>
        <w:rPr>
          <w:rFonts w:eastAsia="楷体_GB2312" w:cs="楷体_GB2312"/>
          <w:b/>
          <w:sz w:val="32"/>
          <w:szCs w:val="32"/>
        </w:rPr>
      </w:pP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27"/>
    </w:p>
    <w:p>
      <w:pPr>
        <w:spacing w:line="600" w:lineRule="exact"/>
        <w:ind w:firstLine="640"/>
        <w:rPr>
          <w:rFonts w:eastAsia="仿宋_GB2312" w:cs="仿宋_GB2312"/>
          <w:sz w:val="32"/>
          <w:szCs w:val="32"/>
        </w:rPr>
      </w:pPr>
      <w:bookmarkStart w:id="28" w:name="_Toc15377444"/>
      <w:bookmarkStart w:id="29" w:name="_Toc15378460"/>
      <w:bookmarkStart w:id="30"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660.77万元，</w:t>
      </w:r>
      <w:r>
        <w:rPr>
          <w:rFonts w:hint="eastAsia" w:eastAsia="仿宋_GB2312" w:cs="仿宋_GB2312"/>
          <w:sz w:val="32"/>
          <w:szCs w:val="32"/>
        </w:rPr>
        <w:t>完成预算100%。其中：</w:t>
      </w:r>
      <w:bookmarkEnd w:id="28"/>
      <w:bookmarkEnd w:id="29"/>
      <w:bookmarkEnd w:id="30"/>
    </w:p>
    <w:p>
      <w:pPr>
        <w:spacing w:line="640" w:lineRule="exact"/>
        <w:ind w:firstLine="643" w:firstLineChars="200"/>
        <w:rPr>
          <w:rStyle w:val="19"/>
          <w:rFonts w:ascii="仿宋_GB2312" w:hAnsi="仿宋" w:eastAsia="仿宋_GB2312"/>
          <w:b w:val="0"/>
          <w:bCs/>
          <w:sz w:val="32"/>
          <w:szCs w:val="32"/>
        </w:rPr>
      </w:pPr>
      <w:r>
        <w:rPr>
          <w:rStyle w:val="19"/>
          <w:rFonts w:hint="eastAsia" w:ascii="仿宋_GB2312" w:hAnsi="仿宋" w:eastAsia="仿宋_GB2312"/>
          <w:bCs/>
          <w:sz w:val="32"/>
          <w:szCs w:val="32"/>
        </w:rPr>
        <w:t>1.一般公共服务（类）政协事务（款）行政运行（项）</w:t>
      </w:r>
      <w:r>
        <w:rPr>
          <w:rStyle w:val="19"/>
          <w:rFonts w:hint="eastAsia" w:ascii="仿宋_GB2312" w:hAnsi="仿宋" w:eastAsia="仿宋_GB2312"/>
          <w:b w:val="0"/>
          <w:bCs/>
          <w:sz w:val="32"/>
          <w:szCs w:val="32"/>
        </w:rPr>
        <w:t>支出决算为404.59万元，完成预算100%</w:t>
      </w:r>
      <w:r>
        <w:rPr>
          <w:rStyle w:val="19"/>
          <w:rFonts w:hint="eastAsia" w:ascii="仿宋_GB2312" w:hAnsi="仿宋" w:eastAsia="仿宋_GB2312"/>
          <w:bCs/>
          <w:sz w:val="32"/>
          <w:szCs w:val="32"/>
        </w:rPr>
        <w:t>;一般行政管理事务（项）</w:t>
      </w:r>
      <w:r>
        <w:rPr>
          <w:rStyle w:val="19"/>
          <w:rFonts w:hint="eastAsia" w:ascii="仿宋_GB2312" w:hAnsi="仿宋" w:eastAsia="仿宋_GB2312"/>
          <w:b w:val="0"/>
          <w:bCs/>
          <w:sz w:val="32"/>
          <w:szCs w:val="32"/>
        </w:rPr>
        <w:t>支出决算为0万元，完成预算0%</w:t>
      </w:r>
      <w:r>
        <w:rPr>
          <w:rStyle w:val="19"/>
          <w:rFonts w:hint="eastAsia" w:ascii="仿宋_GB2312" w:hAnsi="仿宋" w:eastAsia="仿宋_GB2312"/>
          <w:bCs/>
          <w:sz w:val="32"/>
          <w:szCs w:val="32"/>
        </w:rPr>
        <w:t>;事业运行（项）</w:t>
      </w:r>
      <w:r>
        <w:rPr>
          <w:rStyle w:val="19"/>
          <w:rFonts w:hint="eastAsia" w:ascii="仿宋_GB2312" w:hAnsi="仿宋" w:eastAsia="仿宋_GB2312"/>
          <w:b w:val="0"/>
          <w:bCs/>
          <w:sz w:val="32"/>
          <w:szCs w:val="32"/>
        </w:rPr>
        <w:t>支出决算为43.4万元，完成预算100%。</w:t>
      </w:r>
    </w:p>
    <w:p>
      <w:pPr>
        <w:spacing w:line="640" w:lineRule="exact"/>
        <w:ind w:firstLine="643" w:firstLineChars="200"/>
        <w:rPr>
          <w:rStyle w:val="19"/>
          <w:rFonts w:ascii="仿宋_GB2312" w:hAnsi="仿宋" w:eastAsia="仿宋_GB2312"/>
          <w:b w:val="0"/>
          <w:bCs/>
          <w:sz w:val="32"/>
          <w:szCs w:val="32"/>
        </w:rPr>
      </w:pPr>
      <w:r>
        <w:rPr>
          <w:rStyle w:val="19"/>
          <w:rFonts w:hint="eastAsia" w:ascii="仿宋_GB2312" w:hAnsi="仿宋" w:eastAsia="仿宋_GB2312"/>
          <w:bCs/>
          <w:sz w:val="32"/>
          <w:szCs w:val="32"/>
        </w:rPr>
        <w:t>2.社会保障和就业（类）行政事业单位养老支出（款）行政单位离退休（项）</w:t>
      </w:r>
      <w:r>
        <w:rPr>
          <w:rStyle w:val="19"/>
          <w:rFonts w:hint="eastAsia" w:ascii="仿宋_GB2312" w:hAnsi="仿宋" w:eastAsia="仿宋_GB2312"/>
          <w:b w:val="0"/>
          <w:bCs/>
          <w:sz w:val="32"/>
          <w:szCs w:val="32"/>
        </w:rPr>
        <w:t>支出决算为27.62万元，完成预算100%</w:t>
      </w:r>
      <w:r>
        <w:rPr>
          <w:rStyle w:val="19"/>
          <w:rFonts w:hint="eastAsia" w:ascii="仿宋_GB2312" w:hAnsi="仿宋" w:eastAsia="仿宋_GB2312"/>
          <w:bCs/>
          <w:sz w:val="32"/>
          <w:szCs w:val="32"/>
        </w:rPr>
        <w:t>;机关事业单位基本养老保险缴费支出（项）</w:t>
      </w:r>
      <w:r>
        <w:rPr>
          <w:rStyle w:val="19"/>
          <w:rFonts w:hint="eastAsia" w:ascii="仿宋_GB2312" w:hAnsi="仿宋" w:eastAsia="仿宋_GB2312"/>
          <w:b w:val="0"/>
          <w:bCs/>
          <w:sz w:val="32"/>
          <w:szCs w:val="32"/>
        </w:rPr>
        <w:t>支出决算为53.34万元，完成预算100%。机关事业单位职业年金缴费支出27.78万元，完成预算100%。</w:t>
      </w:r>
    </w:p>
    <w:p>
      <w:pPr>
        <w:spacing w:line="640" w:lineRule="exact"/>
        <w:ind w:firstLine="643" w:firstLineChars="200"/>
        <w:rPr>
          <w:rFonts w:ascii="仿宋_GB2312" w:hAnsi="仿宋" w:eastAsia="仿宋_GB2312"/>
          <w:b/>
          <w:sz w:val="32"/>
          <w:szCs w:val="32"/>
        </w:rPr>
      </w:pPr>
      <w:r>
        <w:rPr>
          <w:rStyle w:val="19"/>
          <w:rFonts w:hint="eastAsia" w:ascii="仿宋_GB2312" w:hAnsi="仿宋" w:eastAsia="仿宋_GB2312"/>
          <w:bCs/>
          <w:sz w:val="32"/>
          <w:szCs w:val="32"/>
        </w:rPr>
        <w:t>3.</w:t>
      </w:r>
      <w:r>
        <w:rPr>
          <w:rFonts w:hint="eastAsia" w:ascii="仿宋_GB2312" w:hAnsi="仿宋" w:eastAsia="仿宋_GB2312"/>
          <w:b/>
          <w:bCs/>
          <w:sz w:val="32"/>
          <w:szCs w:val="32"/>
        </w:rPr>
        <w:t>卫生健康210</w:t>
      </w:r>
      <w:r>
        <w:rPr>
          <w:rStyle w:val="19"/>
          <w:rFonts w:hint="eastAsia" w:ascii="仿宋_GB2312" w:hAnsi="仿宋" w:eastAsia="仿宋_GB2312"/>
          <w:bCs/>
          <w:sz w:val="32"/>
          <w:szCs w:val="32"/>
        </w:rPr>
        <w:t>（类）行政事业单位医疗（款）行政单位医疗（项）</w:t>
      </w:r>
      <w:r>
        <w:rPr>
          <w:rStyle w:val="19"/>
          <w:rFonts w:hint="eastAsia" w:ascii="仿宋_GB2312" w:hAnsi="仿宋" w:eastAsia="仿宋_GB2312"/>
          <w:b w:val="0"/>
          <w:bCs/>
          <w:sz w:val="32"/>
          <w:szCs w:val="32"/>
        </w:rPr>
        <w:t>支出决算为28.56万元，完成预算100% ;</w:t>
      </w:r>
      <w:r>
        <w:rPr>
          <w:rStyle w:val="19"/>
          <w:rFonts w:hint="eastAsia" w:ascii="仿宋_GB2312" w:hAnsi="仿宋" w:eastAsia="仿宋_GB2312"/>
          <w:bCs/>
          <w:sz w:val="32"/>
          <w:szCs w:val="32"/>
        </w:rPr>
        <w:t>事业单位医疗（项）</w:t>
      </w:r>
      <w:r>
        <w:rPr>
          <w:rStyle w:val="19"/>
          <w:rFonts w:hint="eastAsia" w:ascii="仿宋_GB2312" w:hAnsi="仿宋" w:eastAsia="仿宋_GB2312"/>
          <w:b w:val="0"/>
          <w:bCs/>
          <w:sz w:val="32"/>
          <w:szCs w:val="32"/>
        </w:rPr>
        <w:t>支出决算为3.41万元，完成预算100% ;</w:t>
      </w:r>
      <w:r>
        <w:rPr>
          <w:rStyle w:val="19"/>
          <w:rFonts w:hint="eastAsia" w:ascii="仿宋_GB2312" w:hAnsi="仿宋" w:eastAsia="仿宋_GB2312"/>
          <w:bCs/>
          <w:sz w:val="32"/>
          <w:szCs w:val="32"/>
        </w:rPr>
        <w:t>公务员医疗补助（项）</w:t>
      </w:r>
      <w:r>
        <w:rPr>
          <w:rStyle w:val="19"/>
          <w:rFonts w:hint="eastAsia" w:ascii="仿宋_GB2312" w:hAnsi="仿宋" w:eastAsia="仿宋_GB2312"/>
          <w:b w:val="0"/>
          <w:bCs/>
          <w:sz w:val="32"/>
          <w:szCs w:val="32"/>
        </w:rPr>
        <w:t>支出决算为25.19万元，完成预算100%;其他行政事业单位医疗支出</w:t>
      </w:r>
      <w:r>
        <w:rPr>
          <w:rStyle w:val="19"/>
          <w:rFonts w:hint="eastAsia" w:ascii="仿宋_GB2312" w:hAnsi="仿宋" w:eastAsia="仿宋_GB2312"/>
          <w:bCs/>
          <w:sz w:val="32"/>
          <w:szCs w:val="32"/>
        </w:rPr>
        <w:t>（项）</w:t>
      </w:r>
      <w:r>
        <w:rPr>
          <w:rStyle w:val="19"/>
          <w:rFonts w:hint="eastAsia" w:ascii="仿宋_GB2312" w:hAnsi="仿宋" w:eastAsia="仿宋_GB2312"/>
          <w:b w:val="0"/>
          <w:bCs/>
          <w:sz w:val="32"/>
          <w:szCs w:val="32"/>
        </w:rPr>
        <w:t>支出决算为1.54万元，完成预算100%。</w:t>
      </w:r>
    </w:p>
    <w:p>
      <w:pPr>
        <w:spacing w:line="6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w:t>
      </w:r>
      <w:r>
        <w:rPr>
          <w:rFonts w:hint="eastAsia" w:ascii="仿宋_GB2312" w:eastAsia="仿宋_GB2312" w:cs="方正仿宋_GBK"/>
          <w:b/>
          <w:bCs/>
          <w:sz w:val="32"/>
          <w:szCs w:val="32"/>
        </w:rPr>
        <w:t>住房保障支出</w:t>
      </w:r>
      <w:r>
        <w:rPr>
          <w:rFonts w:hint="eastAsia" w:ascii="仿宋_GB2312" w:hAnsi="仿宋" w:eastAsia="仿宋_GB2312" w:cs="仿宋"/>
          <w:b/>
          <w:bCs/>
          <w:sz w:val="32"/>
          <w:szCs w:val="32"/>
        </w:rPr>
        <w:t>（类）住房改革支出（款）住房公积金（项）：</w:t>
      </w:r>
      <w:r>
        <w:rPr>
          <w:rStyle w:val="19"/>
          <w:rFonts w:hint="eastAsia" w:ascii="仿宋_GB2312" w:hAnsi="仿宋" w:eastAsia="仿宋_GB2312"/>
          <w:b w:val="0"/>
          <w:bCs/>
          <w:sz w:val="32"/>
          <w:szCs w:val="32"/>
        </w:rPr>
        <w:t>支出决算为45.34万元，完成预算100%。</w:t>
      </w:r>
    </w:p>
    <w:p>
      <w:pPr>
        <w:tabs>
          <w:tab w:val="right" w:pos="8306"/>
        </w:tabs>
        <w:spacing w:line="600" w:lineRule="exact"/>
        <w:ind w:firstLine="640"/>
        <w:outlineLvl w:val="1"/>
        <w:rPr>
          <w:rStyle w:val="31"/>
          <w:rFonts w:ascii="Times New Roman" w:hAnsi="Times New Roman"/>
        </w:rPr>
      </w:pPr>
      <w:bookmarkStart w:id="31" w:name="_Toc15377214"/>
      <w:bookmarkStart w:id="32" w:name="_Toc15396608"/>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1"/>
      <w:bookmarkEnd w:id="32"/>
      <w:r>
        <w:rPr>
          <w:rStyle w:val="31"/>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660.77万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610.64万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退休费、抚恤金、生活补助、医疗费补助、住房公积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50.13万</w:t>
      </w:r>
      <w:r>
        <w:rPr>
          <w:rFonts w:hint="eastAsia" w:eastAsia="仿宋_GB2312" w:cs="仿宋_GB2312"/>
          <w:sz w:val="32"/>
          <w:szCs w:val="32"/>
        </w:rPr>
        <w:t>元，主要包括：办公费、邮电费、差旅费、因公出国（境）费用、会议费、培训费、公务接待费、劳务费、委托业务费、工会经费、福利费、其他交通费、其他商品和服务支出、办公设备购置、专用设备购置等。</w:t>
      </w:r>
    </w:p>
    <w:p>
      <w:pPr>
        <w:spacing w:line="600" w:lineRule="exact"/>
        <w:ind w:firstLine="640"/>
        <w:outlineLvl w:val="1"/>
        <w:rPr>
          <w:rStyle w:val="31"/>
          <w:rFonts w:ascii="Times New Roman" w:hAnsi="Times New Roman" w:eastAsia="黑体"/>
          <w:b w:val="0"/>
        </w:rPr>
      </w:pPr>
      <w:bookmarkStart w:id="33" w:name="_Toc15377215"/>
      <w:bookmarkStart w:id="34" w:name="_Toc15396609"/>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3"/>
      <w:bookmarkEnd w:id="34"/>
    </w:p>
    <w:p>
      <w:pPr>
        <w:spacing w:line="600" w:lineRule="exact"/>
        <w:ind w:firstLine="643" w:firstLineChars="200"/>
        <w:outlineLvl w:val="2"/>
        <w:rPr>
          <w:rFonts w:eastAsia="楷体_GB2312" w:cs="楷体_GB2312"/>
          <w:b/>
          <w:sz w:val="32"/>
          <w:szCs w:val="32"/>
        </w:rPr>
      </w:pPr>
      <w:bookmarkStart w:id="35" w:name="_Toc15377216"/>
      <w:r>
        <w:rPr>
          <w:rFonts w:hint="eastAsia" w:eastAsia="楷体_GB2312" w:cs="楷体_GB2312"/>
          <w:b/>
          <w:sz w:val="32"/>
          <w:szCs w:val="32"/>
        </w:rPr>
        <w:t>（一）“三公”经费财政拨款支出决算总体情况说明</w:t>
      </w:r>
      <w:bookmarkEnd w:id="35"/>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0.59万元，完成预算100%，</w:t>
      </w:r>
      <w:r>
        <w:rPr>
          <w:rFonts w:hint="eastAsia" w:eastAsia="仿宋_GB2312" w:cs="仿宋_GB2312"/>
          <w:sz w:val="32"/>
          <w:szCs w:val="32"/>
        </w:rPr>
        <w:t>较上年度增加0.3万元，增长103.45%。决算数与预算数持平的主要原因是</w:t>
      </w:r>
      <w:r>
        <w:rPr>
          <w:rFonts w:eastAsia="仿宋_GB2312"/>
          <w:kern w:val="0"/>
          <w:sz w:val="32"/>
          <w:szCs w:val="32"/>
        </w:rPr>
        <w:t>单位厉行节约</w:t>
      </w:r>
      <w:r>
        <w:rPr>
          <w:rFonts w:hint="eastAsia" w:eastAsia="仿宋_GB2312"/>
          <w:b/>
          <w:bCs/>
          <w:sz w:val="32"/>
          <w:szCs w:val="32"/>
        </w:rPr>
        <w:t>，</w:t>
      </w:r>
      <w:r>
        <w:rPr>
          <w:rFonts w:hint="eastAsia" w:eastAsia="仿宋_GB2312" w:cs="仿宋_GB2312"/>
          <w:sz w:val="32"/>
          <w:szCs w:val="32"/>
        </w:rPr>
        <w:t>公务接待严格按预算编制执行，无预算不接待。</w:t>
      </w:r>
    </w:p>
    <w:p>
      <w:pPr>
        <w:spacing w:line="600" w:lineRule="exact"/>
        <w:ind w:firstLine="643" w:firstLineChars="200"/>
        <w:outlineLvl w:val="2"/>
        <w:rPr>
          <w:rFonts w:eastAsia="楷体_GB2312" w:cs="楷体_GB2312"/>
          <w:b/>
          <w:sz w:val="32"/>
          <w:szCs w:val="32"/>
        </w:rPr>
      </w:pPr>
      <w:bookmarkStart w:id="36" w:name="_Toc15377217"/>
      <w:r>
        <w:rPr>
          <w:rFonts w:hint="eastAsia" w:eastAsia="楷体_GB2312" w:cs="楷体_GB2312"/>
          <w:b/>
          <w:sz w:val="32"/>
          <w:szCs w:val="32"/>
        </w:rPr>
        <w:t>（二）“三公”经费财政拨款支出决算具体情况说明</w:t>
      </w:r>
      <w:bookmarkEnd w:id="36"/>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2024年度“三公”经费财政拨款支出决算中，因公出国（境）费支出决算0万元，占0%；公务用车购置及运行维护费支出决算0万元，占0%；公务接待费支出决算0.59万元，占100%。具体情况如下：</w:t>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pStyle w:val="21"/>
        <w:rPr>
          <w:rFonts w:eastAsia="仿宋_GB2312" w:cs="仿宋_GB2312"/>
          <w:sz w:val="32"/>
          <w:szCs w:val="32"/>
        </w:rPr>
      </w:pPr>
      <w:r>
        <w:drawing>
          <wp:inline distT="0" distB="0" distL="114300" distR="114300">
            <wp:extent cx="4575175" cy="2289810"/>
            <wp:effectExtent l="4445" t="4445" r="5080" b="17145"/>
            <wp:docPr id="6"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。因公出国（境）支出决算与2023年度持平。</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公务用车购置及运行维护费支出决算与2023年度持平。</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w:t>
      </w:r>
    </w:p>
    <w:p>
      <w:pPr>
        <w:spacing w:line="600" w:lineRule="exact"/>
        <w:ind w:firstLine="640"/>
        <w:rPr>
          <w:rFonts w:eastAsia="仿宋_GB2312" w:cs="仿宋_GB2312"/>
          <w:sz w:val="32"/>
          <w:szCs w:val="32"/>
        </w:rPr>
      </w:pPr>
      <w:r>
        <w:rPr>
          <w:rFonts w:hint="eastAsia" w:eastAsia="仿宋_GB2312" w:cs="仿宋_GB2312"/>
          <w:sz w:val="32"/>
          <w:szCs w:val="32"/>
        </w:rPr>
        <w:t>截至2024年12月31日，单位共有公务用车0辆，其中：轿车0辆、越野车0辆、载客汽车0辆。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0.59万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公务接待费支出决算比2023年度增加0.3万元，增长103.45%。主要原因是工作需要，相关部门来本单位调研、</w:t>
      </w:r>
      <w:r>
        <w:rPr>
          <w:rFonts w:eastAsia="仿宋_GB2312"/>
          <w:color w:val="000000"/>
          <w:sz w:val="32"/>
          <w:szCs w:val="32"/>
        </w:rPr>
        <w:t>学习交流、检查指导</w:t>
      </w:r>
      <w:r>
        <w:rPr>
          <w:rFonts w:hint="eastAsia" w:eastAsia="仿宋_GB2312"/>
          <w:color w:val="000000"/>
          <w:sz w:val="32"/>
          <w:szCs w:val="32"/>
        </w:rPr>
        <w:t>工作</w:t>
      </w:r>
      <w:r>
        <w:rPr>
          <w:rFonts w:hint="eastAsia" w:eastAsia="仿宋_GB2312" w:cs="仿宋_GB2312"/>
          <w:sz w:val="32"/>
          <w:szCs w:val="32"/>
        </w:rPr>
        <w:t>次数较上年增多。</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出0.59万</w:t>
      </w:r>
      <w:r>
        <w:rPr>
          <w:rFonts w:hint="eastAsia" w:eastAsia="仿宋_GB2312" w:cs="仿宋_GB2312"/>
          <w:sz w:val="32"/>
          <w:szCs w:val="32"/>
        </w:rPr>
        <w:t>元，主要用于</w:t>
      </w:r>
      <w:r>
        <w:rPr>
          <w:rFonts w:hint="eastAsia" w:ascii="仿宋_GB2312" w:eastAsia="仿宋_GB2312"/>
          <w:sz w:val="32"/>
          <w:szCs w:val="32"/>
        </w:rPr>
        <w:t>相关部门来我办调研、</w:t>
      </w:r>
      <w:r>
        <w:rPr>
          <w:rFonts w:eastAsia="仿宋_GB2312"/>
          <w:color w:val="000000"/>
          <w:sz w:val="32"/>
          <w:szCs w:val="32"/>
        </w:rPr>
        <w:t>学习交流、检查指导</w:t>
      </w:r>
      <w:r>
        <w:rPr>
          <w:rFonts w:hint="eastAsia" w:ascii="仿宋_GB2312" w:eastAsia="仿宋_GB2312"/>
          <w:sz w:val="32"/>
          <w:szCs w:val="32"/>
        </w:rPr>
        <w:t>工作</w:t>
      </w:r>
      <w:r>
        <w:rPr>
          <w:rFonts w:hint="eastAsia" w:eastAsia="仿宋_GB2312"/>
          <w:color w:val="000000"/>
          <w:sz w:val="32"/>
          <w:szCs w:val="32"/>
        </w:rPr>
        <w:t>等</w:t>
      </w:r>
      <w:r>
        <w:rPr>
          <w:rFonts w:hint="eastAsia" w:ascii="仿宋_GB2312" w:eastAsia="仿宋_GB2312"/>
          <w:sz w:val="32"/>
          <w:szCs w:val="32"/>
        </w:rPr>
        <w:t>服务保障</w:t>
      </w:r>
      <w:r>
        <w:rPr>
          <w:rFonts w:hint="eastAsia" w:eastAsia="仿宋_GB2312" w:cs="仿宋_GB2312"/>
          <w:sz w:val="32"/>
          <w:szCs w:val="32"/>
        </w:rPr>
        <w:t>。国内公务接</w:t>
      </w:r>
      <w:r>
        <w:rPr>
          <w:rFonts w:hint="eastAsia" w:ascii="仿宋_GB2312" w:hAnsi="仿宋_GB2312" w:eastAsia="仿宋_GB2312" w:cs="仿宋_GB2312"/>
          <w:sz w:val="32"/>
          <w:szCs w:val="32"/>
        </w:rPr>
        <w:t>待4批次，42</w:t>
      </w:r>
      <w:r>
        <w:rPr>
          <w:rFonts w:hint="eastAsia" w:eastAsia="仿宋_GB2312" w:cs="仿宋_GB2312"/>
          <w:sz w:val="32"/>
          <w:szCs w:val="32"/>
        </w:rPr>
        <w:t>人次（不包括陪同人员），共计支出0.59万元，具体内容包括：接待泸县政协调研西区医养结合支出0.14万元；接待大英县政协赴西区考察支出0.19万元；接待市政协考察全市政协机关运动会场地、项目等支出0.06万元；接待人民政协四川记者站调研市区两级政协委员履职实效支出0.08万元；接待市政协赴西区调研咖啡消费及种植情况支出0.12万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p>
    <w:p>
      <w:pPr>
        <w:spacing w:line="600" w:lineRule="exact"/>
        <w:ind w:firstLine="640"/>
        <w:outlineLvl w:val="1"/>
        <w:rPr>
          <w:rStyle w:val="31"/>
          <w:rFonts w:ascii="Times New Roman" w:hAnsi="Times New Roman" w:eastAsia="黑体"/>
        </w:rPr>
      </w:pPr>
      <w:bookmarkStart w:id="37" w:name="_Toc15377218"/>
      <w:bookmarkStart w:id="38" w:name="_Toc15396610"/>
      <w:r>
        <w:rPr>
          <w:rFonts w:hint="eastAsia" w:eastAsia="黑体"/>
          <w:sz w:val="32"/>
          <w:szCs w:val="32"/>
        </w:rPr>
        <w:t>八、</w:t>
      </w:r>
      <w:r>
        <w:rPr>
          <w:rStyle w:val="31"/>
          <w:rFonts w:hint="eastAsia" w:ascii="Times New Roman" w:hAnsi="Times New Roman" w:eastAsia="黑体"/>
          <w:b w:val="0"/>
        </w:rPr>
        <w:t>政府性基金预算支出决算情况说明</w:t>
      </w:r>
      <w:bookmarkEnd w:id="37"/>
      <w:bookmarkEnd w:id="38"/>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2024年度政府性基金预算财政拨款支出33.93万元，占本年支出合计的4.88%</w:t>
      </w:r>
      <w:r>
        <w:rPr>
          <w:rFonts w:hint="eastAsia" w:eastAsia="仿宋_GB2312" w:cs="仿宋_GB2312"/>
          <w:sz w:val="32"/>
          <w:szCs w:val="32"/>
        </w:rPr>
        <w:t>。与2023年度相比，政府性基金预算财政拨款支出增加</w:t>
      </w:r>
      <w:r>
        <w:rPr>
          <w:rFonts w:hint="eastAsia" w:ascii="仿宋_GB2312" w:hAnsi="仿宋_GB2312" w:eastAsia="仿宋_GB2312" w:cs="仿宋_GB2312"/>
          <w:sz w:val="32"/>
          <w:szCs w:val="32"/>
        </w:rPr>
        <w:t>13.61万元，增加66.98%，增加的主要原因是本年度项目资金全部使用政府性基金预算财政拨款收入支付。</w:t>
      </w:r>
    </w:p>
    <w:p>
      <w:pPr>
        <w:spacing w:line="600" w:lineRule="exact"/>
        <w:ind w:left="630"/>
        <w:outlineLvl w:val="1"/>
        <w:rPr>
          <w:rStyle w:val="31"/>
          <w:rFonts w:ascii="Times New Roman" w:hAnsi="Times New Roman" w:eastAsia="黑体"/>
          <w:b w:val="0"/>
        </w:rPr>
      </w:pPr>
      <w:bookmarkStart w:id="39" w:name="_Toc15377219"/>
      <w:bookmarkStart w:id="40" w:name="_Toc15396611"/>
      <w:r>
        <w:rPr>
          <w:rStyle w:val="31"/>
          <w:rFonts w:hint="eastAsia" w:ascii="Times New Roman" w:hAnsi="Times New Roman" w:eastAsia="黑体"/>
          <w:b w:val="0"/>
        </w:rPr>
        <w:t>九、国有资本经营预算支出决算情况说明</w:t>
      </w:r>
      <w:bookmarkEnd w:id="39"/>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。与2023年度持平。</w:t>
      </w:r>
    </w:p>
    <w:p>
      <w:pPr>
        <w:spacing w:line="600" w:lineRule="exact"/>
        <w:ind w:left="630"/>
        <w:outlineLvl w:val="1"/>
        <w:rPr>
          <w:rStyle w:val="31"/>
          <w:rFonts w:ascii="Times New Roman" w:hAnsi="Times New Roman" w:eastAsia="黑体"/>
          <w:b w:val="0"/>
        </w:rPr>
      </w:pPr>
      <w:bookmarkStart w:id="41" w:name="_Toc15377221"/>
      <w:bookmarkStart w:id="42" w:name="_Toc15396612"/>
      <w:r>
        <w:rPr>
          <w:rStyle w:val="31"/>
          <w:rFonts w:hint="eastAsia" w:ascii="Times New Roman" w:hAnsi="Times New Roman" w:eastAsia="黑体"/>
          <w:b w:val="0"/>
        </w:rPr>
        <w:t>十、其他重要事项的情况说明</w:t>
      </w:r>
      <w:bookmarkEnd w:id="41"/>
      <w:bookmarkEnd w:id="42"/>
    </w:p>
    <w:p>
      <w:pPr>
        <w:spacing w:line="600" w:lineRule="exact"/>
        <w:ind w:firstLine="643" w:firstLineChars="200"/>
        <w:outlineLvl w:val="2"/>
        <w:rPr>
          <w:rFonts w:eastAsia="楷体_GB2312" w:cs="楷体_GB2312"/>
          <w:b/>
          <w:sz w:val="32"/>
          <w:szCs w:val="32"/>
        </w:rPr>
      </w:pPr>
      <w:bookmarkStart w:id="43" w:name="_Toc15377222"/>
      <w:r>
        <w:rPr>
          <w:rFonts w:hint="eastAsia" w:eastAsia="楷体_GB2312" w:cs="楷体_GB2312"/>
          <w:b/>
          <w:sz w:val="32"/>
          <w:szCs w:val="32"/>
        </w:rPr>
        <w:t>（一）机关运行经费支出情况</w:t>
      </w:r>
      <w:bookmarkEnd w:id="43"/>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，中国人民政治协商会议攀枝花市西区委员会办公室机关运行经费支出50.13万</w:t>
      </w:r>
      <w:r>
        <w:rPr>
          <w:rFonts w:hint="eastAsia" w:eastAsia="仿宋_GB2312" w:cs="仿宋_GB2312"/>
          <w:sz w:val="32"/>
          <w:szCs w:val="32"/>
        </w:rPr>
        <w:t>元，比2023年度减少7.65万元，减少15.26%。主要原因是</w:t>
      </w:r>
      <w:r>
        <w:rPr>
          <w:rFonts w:eastAsia="仿宋_GB2312"/>
          <w:sz w:val="32"/>
          <w:szCs w:val="32"/>
        </w:rPr>
        <w:t>厉行节约，减少支出。</w:t>
      </w:r>
    </w:p>
    <w:p>
      <w:pPr>
        <w:spacing w:line="600" w:lineRule="exact"/>
        <w:ind w:firstLine="643" w:firstLineChars="200"/>
        <w:outlineLvl w:val="2"/>
        <w:rPr>
          <w:rFonts w:eastAsia="楷体_GB2312" w:cs="楷体_GB2312"/>
          <w:b/>
          <w:sz w:val="32"/>
          <w:szCs w:val="32"/>
        </w:rPr>
      </w:pPr>
      <w:bookmarkStart w:id="44" w:name="_Toc15377223"/>
      <w:r>
        <w:rPr>
          <w:rFonts w:hint="eastAsia" w:eastAsia="楷体_GB2312" w:cs="楷体_GB2312"/>
          <w:b/>
          <w:sz w:val="32"/>
          <w:szCs w:val="32"/>
        </w:rPr>
        <w:t>（二）政府采购支出情况</w:t>
      </w:r>
      <w:bookmarkEnd w:id="4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中国人民政治协商会议攀枝花市西区委员会办公室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3" w:firstLineChars="200"/>
        <w:outlineLvl w:val="2"/>
        <w:rPr>
          <w:rFonts w:eastAsia="楷体_GB2312" w:cs="楷体_GB2312"/>
          <w:b/>
          <w:sz w:val="32"/>
          <w:szCs w:val="32"/>
        </w:rPr>
      </w:pPr>
      <w:bookmarkStart w:id="45" w:name="_Toc15377224"/>
      <w:r>
        <w:rPr>
          <w:rFonts w:hint="eastAsia" w:eastAsia="楷体_GB2312" w:cs="楷体_GB2312"/>
          <w:b/>
          <w:sz w:val="32"/>
          <w:szCs w:val="32"/>
        </w:rPr>
        <w:t>（三）国有资产占有使用情况</w:t>
      </w:r>
      <w:bookmarkEnd w:id="4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中国人民政治协商会议攀枝花市西区委员会办公室共有车辆0辆，其中：主要负责人用车0辆、机要通信用车0辆、应急保障用车0辆、其他用车0辆。单价100万元（含）以上设备（不含车辆）0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w:t>
      </w:r>
      <w:r>
        <w:rPr>
          <w:rFonts w:hint="eastAsia" w:ascii="仿宋_GB2312" w:hAnsi="仿宋_GB2312" w:eastAsia="仿宋_GB2312" w:cs="仿宋_GB2312"/>
          <w:sz w:val="32"/>
          <w:szCs w:val="32"/>
        </w:rPr>
        <w:t>政协业务经费、政协会议经费</w:t>
      </w:r>
      <w:r>
        <w:rPr>
          <w:rFonts w:hint="eastAsia" w:eastAsia="仿宋_GB2312" w:cs="仿宋_GB2312"/>
          <w:sz w:val="32"/>
          <w:szCs w:val="32"/>
        </w:rPr>
        <w:t>2个项目开展了预算事前绩效评估，对3个项目编制了绩效目标，预算执行过程中，选取3个项目开展绩效监控。其中，本部门整体（含部门预算项目）绩效自评得分为97分，</w:t>
      </w:r>
      <w:r>
        <w:rPr>
          <w:rFonts w:eastAsia="仿宋_GB2312" w:cs="仿宋_GB2312"/>
          <w:sz w:val="32"/>
          <w:szCs w:val="32"/>
        </w:rPr>
        <w:t>2024年部门整体运行情况良好，严格执行了部门预算整体绩效评价机制，达到了预期效果。款项支付规范，专款专用，最大限度地发挥了财政资金的使用效率，较好的完成了年度工作目标。</w:t>
      </w:r>
      <w:r>
        <w:rPr>
          <w:rFonts w:hint="eastAsia" w:eastAsia="仿宋_GB2312" w:cs="仿宋_GB2312"/>
          <w:sz w:val="32"/>
          <w:szCs w:val="32"/>
        </w:rPr>
        <w:t>《2024年政协攀枝花市西区委员会办公室</w:t>
      </w:r>
      <w:r>
        <w:rPr>
          <w:rFonts w:eastAsia="仿宋_GB2312" w:cs="仿宋_GB2312"/>
          <w:sz w:val="32"/>
          <w:szCs w:val="32"/>
        </w:rPr>
        <w:t>部门整体绩效自评报告</w:t>
      </w:r>
      <w:r>
        <w:rPr>
          <w:rFonts w:hint="eastAsia" w:eastAsia="仿宋_GB2312" w:cs="仿宋_GB2312"/>
          <w:sz w:val="32"/>
          <w:szCs w:val="32"/>
        </w:rPr>
        <w:t>绩效自评报告》详见附件四。</w:t>
      </w:r>
    </w:p>
    <w:p>
      <w:pPr>
        <w:pStyle w:val="15"/>
        <w:rPr>
          <w:rFonts w:eastAsia="仿宋_GB2312" w:cs="仿宋_GB2312"/>
          <w:sz w:val="32"/>
          <w:szCs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spacing w:line="600" w:lineRule="exact"/>
        <w:jc w:val="center"/>
        <w:outlineLvl w:val="0"/>
        <w:rPr>
          <w:rFonts w:eastAsia="黑体"/>
          <w:sz w:val="44"/>
          <w:szCs w:val="44"/>
        </w:rPr>
      </w:pPr>
      <w:bookmarkStart w:id="46" w:name="_Toc15396613"/>
      <w:bookmarkStart w:id="47" w:name="_Toc15377225"/>
      <w:r>
        <w:rPr>
          <w:rFonts w:hint="eastAsia" w:eastAsia="黑体"/>
          <w:sz w:val="44"/>
          <w:szCs w:val="44"/>
        </w:rPr>
        <w:t>第三部分  名词解释</w:t>
      </w:r>
      <w:bookmarkEnd w:id="46"/>
      <w:bookmarkEnd w:id="47"/>
    </w:p>
    <w:p>
      <w:pPr>
        <w:spacing w:line="600" w:lineRule="exact"/>
        <w:jc w:val="left"/>
        <w:rPr>
          <w:b/>
          <w:sz w:val="44"/>
          <w:szCs w:val="44"/>
        </w:rPr>
      </w:pPr>
    </w:p>
    <w:p>
      <w:pPr>
        <w:pStyle w:val="28"/>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w:t>
      </w:r>
      <w:r>
        <w:rPr>
          <w:rFonts w:hint="eastAsia" w:eastAsia="仿宋_GB2312"/>
          <w:sz w:val="32"/>
          <w:szCs w:val="32"/>
        </w:rPr>
        <w:t>单位</w:t>
      </w:r>
      <w:r>
        <w:rPr>
          <w:rFonts w:ascii="Times New Roman" w:hAnsi="Times New Roman" w:eastAsia="仿宋_GB2312" w:cs="Times New Roman"/>
          <w:color w:val="auto"/>
          <w:sz w:val="32"/>
          <w:szCs w:val="32"/>
        </w:rPr>
        <w:t>从同级财政部门取得的财政预算资金。</w:t>
      </w:r>
    </w:p>
    <w:p>
      <w:pPr>
        <w:pStyle w:val="28"/>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2.其他收入：指单位取得的除上述收入以外的各项收入。</w:t>
      </w:r>
    </w:p>
    <w:p>
      <w:pPr>
        <w:ind w:firstLine="640" w:firstLineChars="200"/>
        <w:rPr>
          <w:rFonts w:ascii="仿宋_GB2312" w:eastAsia="仿宋_GB2312"/>
          <w:sz w:val="32"/>
          <w:szCs w:val="32"/>
        </w:rPr>
      </w:pPr>
      <w:r>
        <w:rPr>
          <w:rFonts w:hint="eastAsia" w:ascii="仿宋_GB2312" w:eastAsia="仿宋_GB2312"/>
          <w:sz w:val="32"/>
          <w:szCs w:val="32"/>
        </w:rPr>
        <w:t xml:space="preserve">3.年初结转和结余：指以前年度尚未完成、结转到本年按有关规定继续使用的资金。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adjustRightInd w:val="0"/>
        <w:snapToGrid w:val="0"/>
        <w:spacing w:line="560" w:lineRule="exact"/>
        <w:ind w:firstLine="660" w:firstLineChars="200"/>
        <w:rPr>
          <w:rFonts w:eastAsia="方正仿宋_GBK"/>
          <w:color w:val="000000"/>
          <w:sz w:val="33"/>
          <w:szCs w:val="33"/>
        </w:rPr>
      </w:pPr>
      <w:r>
        <w:rPr>
          <w:rFonts w:hint="eastAsia" w:eastAsia="方正仿宋_GBK"/>
          <w:color w:val="000000"/>
          <w:sz w:val="33"/>
          <w:szCs w:val="33"/>
        </w:rPr>
        <w:t>5</w:t>
      </w:r>
      <w:r>
        <w:rPr>
          <w:rFonts w:eastAsia="方正仿宋_GBK"/>
          <w:color w:val="000000"/>
          <w:sz w:val="33"/>
          <w:szCs w:val="33"/>
        </w:rPr>
        <w:t>.基本支出：指为保障机构正常运转、完成日常工作任务而发生的人员支出和公用支出。</w:t>
      </w:r>
    </w:p>
    <w:p>
      <w:pPr>
        <w:adjustRightInd w:val="0"/>
        <w:snapToGrid w:val="0"/>
        <w:spacing w:line="560" w:lineRule="exact"/>
        <w:ind w:firstLine="660" w:firstLineChars="200"/>
        <w:rPr>
          <w:rFonts w:eastAsia="方正仿宋_GBK"/>
          <w:color w:val="000000"/>
          <w:sz w:val="33"/>
          <w:szCs w:val="33"/>
        </w:rPr>
      </w:pPr>
      <w:r>
        <w:rPr>
          <w:rFonts w:hint="eastAsia" w:eastAsia="方正仿宋_GBK"/>
          <w:color w:val="000000"/>
          <w:sz w:val="33"/>
          <w:szCs w:val="33"/>
        </w:rPr>
        <w:t>6</w:t>
      </w:r>
      <w:r>
        <w:rPr>
          <w:rFonts w:eastAsia="方正仿宋_GBK"/>
          <w:color w:val="000000"/>
          <w:sz w:val="33"/>
          <w:szCs w:val="33"/>
        </w:rPr>
        <w:t>.项目支出：指在基本支出之外为完成特定行政任务和事业发展目标所发生的支出。</w:t>
      </w:r>
    </w:p>
    <w:p>
      <w:pPr>
        <w:adjustRightInd w:val="0"/>
        <w:snapToGrid w:val="0"/>
        <w:spacing w:line="560" w:lineRule="exact"/>
        <w:ind w:firstLine="640" w:firstLineChars="200"/>
        <w:rPr>
          <w:rFonts w:eastAsia="方正仿宋_GBK" w:cs="方正仿宋_GBK"/>
          <w:color w:val="000000" w:themeColor="text1"/>
          <w:sz w:val="32"/>
          <w:szCs w:val="32"/>
        </w:rPr>
      </w:pPr>
      <w:r>
        <w:rPr>
          <w:rFonts w:hint="eastAsia" w:eastAsia="仿宋_GB2312"/>
          <w:kern w:val="0"/>
          <w:sz w:val="32"/>
          <w:szCs w:val="32"/>
        </w:rPr>
        <w:t>7</w:t>
      </w:r>
      <w:r>
        <w:rPr>
          <w:rFonts w:eastAsia="仿宋_GB2312"/>
          <w:kern w:val="0"/>
          <w:sz w:val="32"/>
          <w:szCs w:val="32"/>
        </w:rPr>
        <w:t>.</w:t>
      </w:r>
      <w:bookmarkStart w:id="48" w:name="_Toc208824045"/>
      <w:r>
        <w:rPr>
          <w:rFonts w:hint="eastAsia" w:eastAsia="方正仿宋_GBK" w:cs="方正仿宋_GBK"/>
          <w:color w:val="000000" w:themeColor="text1"/>
          <w:sz w:val="32"/>
          <w:szCs w:val="32"/>
        </w:rPr>
        <w:t>一般公共服务支出</w:t>
      </w:r>
      <w:r>
        <w:rPr>
          <w:rFonts w:eastAsia="方正仿宋_GBK"/>
          <w:color w:val="000000" w:themeColor="text1"/>
          <w:sz w:val="32"/>
          <w:szCs w:val="32"/>
        </w:rPr>
        <w:t>201</w:t>
      </w:r>
      <w:r>
        <w:rPr>
          <w:rFonts w:hint="eastAsia" w:eastAsia="方正仿宋_GBK" w:cs="方正仿宋_GBK"/>
          <w:color w:val="000000" w:themeColor="text1"/>
          <w:sz w:val="32"/>
          <w:szCs w:val="32"/>
        </w:rPr>
        <w:t>（类）</w:t>
      </w:r>
      <w:r>
        <w:rPr>
          <w:rFonts w:hint="eastAsia" w:eastAsia="方正仿宋_GBK"/>
          <w:color w:val="000000" w:themeColor="text1"/>
          <w:sz w:val="32"/>
          <w:szCs w:val="32"/>
        </w:rPr>
        <w:t>02</w:t>
      </w:r>
      <w:r>
        <w:rPr>
          <w:rFonts w:hint="eastAsia" w:eastAsia="方正仿宋_GBK" w:cs="方正仿宋_GBK"/>
          <w:color w:val="000000" w:themeColor="text1"/>
          <w:sz w:val="32"/>
          <w:szCs w:val="32"/>
        </w:rPr>
        <w:t>（款）</w:t>
      </w:r>
      <w:r>
        <w:rPr>
          <w:rFonts w:eastAsia="方正仿宋_GBK"/>
          <w:color w:val="000000" w:themeColor="text1"/>
          <w:sz w:val="32"/>
          <w:szCs w:val="32"/>
        </w:rPr>
        <w:t>01</w:t>
      </w:r>
      <w:r>
        <w:rPr>
          <w:rFonts w:hint="eastAsia" w:eastAsia="方正仿宋_GBK" w:cs="方正仿宋_GBK"/>
          <w:color w:val="000000" w:themeColor="text1"/>
          <w:sz w:val="32"/>
          <w:szCs w:val="32"/>
        </w:rPr>
        <w:t>、</w:t>
      </w:r>
      <w:r>
        <w:rPr>
          <w:rFonts w:eastAsia="方正仿宋_GBK"/>
          <w:color w:val="000000" w:themeColor="text1"/>
          <w:sz w:val="32"/>
          <w:szCs w:val="32"/>
        </w:rPr>
        <w:t>50</w:t>
      </w:r>
      <w:r>
        <w:rPr>
          <w:rFonts w:hint="eastAsia" w:eastAsia="方正仿宋_GBK" w:cs="方正仿宋_GBK"/>
          <w:color w:val="000000" w:themeColor="text1"/>
          <w:sz w:val="32"/>
          <w:szCs w:val="32"/>
        </w:rPr>
        <w:t>（项）：指反映政协方面的支出。</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201</w:t>
      </w:r>
      <w:r>
        <w:rPr>
          <w:rFonts w:hint="eastAsia" w:eastAsia="方正仿宋_GBK"/>
          <w:color w:val="000000"/>
          <w:sz w:val="33"/>
          <w:szCs w:val="33"/>
        </w:rPr>
        <w:t>02</w:t>
      </w:r>
      <w:r>
        <w:rPr>
          <w:rFonts w:eastAsia="方正仿宋_GBK"/>
          <w:color w:val="000000"/>
          <w:sz w:val="33"/>
          <w:szCs w:val="33"/>
        </w:rPr>
        <w:t>01—行政运行：指反映行政单位（包括实行公务员管理的事业单位）的基本支出。</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201</w:t>
      </w:r>
      <w:r>
        <w:rPr>
          <w:rFonts w:hint="eastAsia" w:eastAsia="方正仿宋_GBK"/>
          <w:color w:val="000000"/>
          <w:sz w:val="33"/>
          <w:szCs w:val="33"/>
        </w:rPr>
        <w:t>02</w:t>
      </w:r>
      <w:r>
        <w:rPr>
          <w:rFonts w:eastAsia="方正仿宋_GBK"/>
          <w:color w:val="000000"/>
          <w:sz w:val="33"/>
          <w:szCs w:val="33"/>
        </w:rPr>
        <w:t>50—事业运行：指反映事业单位的基本支出，不包括行政单位（包括实行公务员管理的事业单位）后勤服务中心、医务室等附属事业单位。</w:t>
      </w:r>
    </w:p>
    <w:p>
      <w:pPr>
        <w:adjustRightInd w:val="0"/>
        <w:snapToGrid w:val="0"/>
        <w:spacing w:line="560" w:lineRule="exact"/>
        <w:ind w:firstLine="640" w:firstLineChars="200"/>
        <w:rPr>
          <w:rFonts w:eastAsia="方正仿宋_GBK"/>
          <w:color w:val="000000"/>
          <w:sz w:val="33"/>
          <w:szCs w:val="33"/>
        </w:rPr>
      </w:pPr>
      <w:r>
        <w:rPr>
          <w:rFonts w:hint="eastAsia" w:eastAsia="方正仿宋_GBK" w:cs="方正仿宋_GBK"/>
          <w:color w:val="000000"/>
          <w:sz w:val="32"/>
          <w:szCs w:val="32"/>
        </w:rPr>
        <w:t>9.社会保障和就业支出</w:t>
      </w:r>
      <w:r>
        <w:rPr>
          <w:rFonts w:eastAsia="方正仿宋_GBK"/>
          <w:color w:val="000000"/>
          <w:sz w:val="32"/>
          <w:szCs w:val="32"/>
        </w:rPr>
        <w:t>208</w:t>
      </w:r>
      <w:r>
        <w:rPr>
          <w:rFonts w:hint="eastAsia" w:eastAsia="方正仿宋_GBK" w:cs="方正仿宋_GBK"/>
          <w:color w:val="000000"/>
          <w:sz w:val="32"/>
          <w:szCs w:val="32"/>
        </w:rPr>
        <w:t>（类）</w:t>
      </w:r>
      <w:r>
        <w:rPr>
          <w:rFonts w:eastAsia="方正仿宋_GBK"/>
          <w:color w:val="000000"/>
          <w:sz w:val="32"/>
          <w:szCs w:val="32"/>
        </w:rPr>
        <w:t>05</w:t>
      </w:r>
      <w:r>
        <w:rPr>
          <w:rFonts w:hint="eastAsia" w:eastAsia="方正仿宋_GBK" w:cs="方正仿宋_GBK"/>
          <w:color w:val="000000"/>
          <w:sz w:val="32"/>
          <w:szCs w:val="32"/>
        </w:rPr>
        <w:t>（款）</w:t>
      </w:r>
      <w:r>
        <w:rPr>
          <w:rFonts w:eastAsia="方正仿宋_GBK"/>
          <w:color w:val="000000"/>
          <w:sz w:val="32"/>
          <w:szCs w:val="32"/>
        </w:rPr>
        <w:t>01</w:t>
      </w:r>
      <w:r>
        <w:rPr>
          <w:rFonts w:hint="eastAsia" w:eastAsia="方正仿宋_GBK" w:cs="方正仿宋_GBK"/>
          <w:color w:val="000000"/>
          <w:sz w:val="32"/>
          <w:szCs w:val="32"/>
        </w:rPr>
        <w:t>、</w:t>
      </w:r>
      <w:r>
        <w:rPr>
          <w:rFonts w:eastAsia="方正仿宋_GBK"/>
          <w:color w:val="000000"/>
          <w:sz w:val="32"/>
          <w:szCs w:val="32"/>
        </w:rPr>
        <w:t>05</w:t>
      </w:r>
      <w:r>
        <w:rPr>
          <w:rFonts w:hint="eastAsia" w:eastAsia="方正仿宋_GBK" w:cs="方正仿宋_GBK"/>
          <w:color w:val="000000"/>
          <w:sz w:val="32"/>
          <w:szCs w:val="32"/>
        </w:rPr>
        <w:t>（项）：指行政事业单位离退休（未归口管理的行政单位离退休、机关事业单位基本养老保险缴费支出等）。</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2080501—</w:t>
      </w:r>
      <w:r>
        <w:rPr>
          <w:rFonts w:hint="eastAsia" w:eastAsia="方正仿宋_GBK" w:cs="方正仿宋_GBK"/>
          <w:color w:val="000000"/>
          <w:sz w:val="32"/>
          <w:szCs w:val="32"/>
        </w:rPr>
        <w:t>行政单位离退休：指反映行政单位（包括实行公务员管理的事业单位）开支的离退休支出。</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2080502—</w:t>
      </w:r>
      <w:r>
        <w:rPr>
          <w:rFonts w:hint="eastAsia" w:eastAsia="方正仿宋_GBK" w:cs="方正仿宋_GBK"/>
          <w:color w:val="000000"/>
          <w:sz w:val="32"/>
          <w:szCs w:val="32"/>
        </w:rPr>
        <w:t>事业单位离退休：指反映事业单位开支的离退休经费。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2080505—</w:t>
      </w:r>
      <w:r>
        <w:rPr>
          <w:rFonts w:hint="eastAsia" w:eastAsia="方正仿宋_GBK" w:cs="方正仿宋_GBK"/>
          <w:color w:val="000000"/>
          <w:sz w:val="32"/>
          <w:szCs w:val="32"/>
        </w:rPr>
        <w:t>机关事业单位基本养老保险缴费支出：指反映机关事业单位实施养老保险制度由单位实际缴纳的基本保险费支出。</w:t>
      </w:r>
    </w:p>
    <w:p>
      <w:pPr>
        <w:adjustRightInd w:val="0"/>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10.医疗卫生与计划生育支出</w:t>
      </w:r>
      <w:r>
        <w:rPr>
          <w:rFonts w:eastAsia="方正仿宋_GBK"/>
          <w:color w:val="000000"/>
          <w:sz w:val="32"/>
          <w:szCs w:val="32"/>
        </w:rPr>
        <w:t>210</w:t>
      </w:r>
      <w:r>
        <w:rPr>
          <w:rFonts w:hint="eastAsia" w:eastAsia="方正仿宋_GBK" w:cs="方正仿宋_GBK"/>
          <w:color w:val="000000"/>
          <w:sz w:val="32"/>
          <w:szCs w:val="32"/>
        </w:rPr>
        <w:t>（类）</w:t>
      </w:r>
      <w:r>
        <w:rPr>
          <w:rFonts w:eastAsia="方正仿宋_GBK"/>
          <w:color w:val="000000"/>
          <w:sz w:val="32"/>
          <w:szCs w:val="32"/>
        </w:rPr>
        <w:t>11</w:t>
      </w:r>
      <w:r>
        <w:rPr>
          <w:rFonts w:hint="eastAsia" w:eastAsia="方正仿宋_GBK" w:cs="方正仿宋_GBK"/>
          <w:color w:val="000000"/>
          <w:sz w:val="32"/>
          <w:szCs w:val="32"/>
        </w:rPr>
        <w:t>（款）</w:t>
      </w:r>
      <w:r>
        <w:rPr>
          <w:rFonts w:eastAsia="方正仿宋_GBK"/>
          <w:color w:val="000000"/>
          <w:sz w:val="32"/>
          <w:szCs w:val="32"/>
        </w:rPr>
        <w:t>01</w:t>
      </w:r>
      <w:r>
        <w:rPr>
          <w:rFonts w:hint="eastAsia" w:eastAsia="方正仿宋_GBK" w:cs="方正仿宋_GBK"/>
          <w:color w:val="000000"/>
          <w:sz w:val="32"/>
          <w:szCs w:val="32"/>
        </w:rPr>
        <w:t>、</w:t>
      </w:r>
      <w:r>
        <w:rPr>
          <w:rFonts w:eastAsia="方正仿宋_GBK"/>
          <w:color w:val="000000"/>
          <w:sz w:val="32"/>
          <w:szCs w:val="32"/>
        </w:rPr>
        <w:t>02</w:t>
      </w:r>
      <w:r>
        <w:rPr>
          <w:rFonts w:hint="eastAsia" w:eastAsia="方正仿宋_GBK" w:cs="方正仿宋_GBK"/>
          <w:color w:val="000000"/>
          <w:sz w:val="32"/>
          <w:szCs w:val="32"/>
        </w:rPr>
        <w:t>、</w:t>
      </w:r>
      <w:r>
        <w:rPr>
          <w:rFonts w:eastAsia="方正仿宋_GBK"/>
          <w:color w:val="000000"/>
          <w:sz w:val="32"/>
          <w:szCs w:val="32"/>
        </w:rPr>
        <w:t>03</w:t>
      </w:r>
      <w:r>
        <w:rPr>
          <w:rFonts w:hint="eastAsia" w:eastAsia="方正仿宋_GBK"/>
          <w:color w:val="000000"/>
          <w:sz w:val="32"/>
          <w:szCs w:val="32"/>
        </w:rPr>
        <w:t>、99</w:t>
      </w:r>
      <w:r>
        <w:rPr>
          <w:rFonts w:hint="eastAsia" w:eastAsia="方正仿宋_GBK" w:cs="方正仿宋_GBK"/>
          <w:color w:val="000000"/>
          <w:sz w:val="32"/>
          <w:szCs w:val="32"/>
        </w:rPr>
        <w:t>（项）：指行政事业单位医疗支出。</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2101101—</w:t>
      </w:r>
      <w:r>
        <w:rPr>
          <w:rFonts w:hint="eastAsia" w:eastAsia="方正仿宋_GBK" w:cs="方正仿宋_GBK"/>
          <w:color w:val="000000"/>
          <w:sz w:val="32"/>
          <w:szCs w:val="32"/>
        </w:rPr>
        <w:t>行政单位医疗：指反映财政部门安排的行政单位基本医疗保险缴费经费。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2101102—</w:t>
      </w:r>
      <w:r>
        <w:rPr>
          <w:rFonts w:hint="eastAsia" w:eastAsia="方正仿宋_GBK" w:cs="方正仿宋_GBK"/>
          <w:color w:val="000000"/>
          <w:sz w:val="32"/>
          <w:szCs w:val="32"/>
        </w:rPr>
        <w:t>事业单位医疗：指反映财政部门安排的事业单位基本医疗保险缴费经费。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2101103—</w:t>
      </w:r>
      <w:r>
        <w:rPr>
          <w:rFonts w:hint="eastAsia" w:eastAsia="方正仿宋_GBK" w:cs="方正仿宋_GBK"/>
          <w:color w:val="000000"/>
          <w:sz w:val="32"/>
          <w:szCs w:val="32"/>
        </w:rPr>
        <w:t>公务员医疗补助：指反映财政部门安排的公务员医疗补助经费。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2101199—</w:t>
      </w:r>
      <w:r>
        <w:rPr>
          <w:rFonts w:hint="eastAsia" w:eastAsia="方正仿宋_GBK" w:cs="方正仿宋_GBK"/>
          <w:color w:val="000000"/>
          <w:sz w:val="32"/>
          <w:szCs w:val="32"/>
        </w:rPr>
        <w:t>其他行政事业单位医疗支出：指反映除上项目以外的其他用于行政事业单位医疗方面的支出了。</w:t>
      </w:r>
    </w:p>
    <w:p>
      <w:pPr>
        <w:adjustRightInd w:val="0"/>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11</w:t>
      </w:r>
      <w:r>
        <w:rPr>
          <w:rFonts w:eastAsia="方正仿宋_GBK"/>
          <w:color w:val="000000"/>
          <w:sz w:val="32"/>
          <w:szCs w:val="32"/>
        </w:rPr>
        <w:t>.</w:t>
      </w:r>
      <w:r>
        <w:rPr>
          <w:rFonts w:hint="eastAsia" w:eastAsia="方正仿宋_GBK" w:cs="方正仿宋_GBK"/>
          <w:color w:val="000000"/>
          <w:sz w:val="32"/>
          <w:szCs w:val="32"/>
        </w:rPr>
        <w:t>城乡社区支出</w:t>
      </w:r>
      <w:r>
        <w:rPr>
          <w:rFonts w:eastAsia="方正仿宋_GBK"/>
          <w:color w:val="000000"/>
          <w:sz w:val="32"/>
          <w:szCs w:val="32"/>
        </w:rPr>
        <w:t>212</w:t>
      </w:r>
      <w:r>
        <w:rPr>
          <w:rFonts w:hint="eastAsia" w:eastAsia="方正仿宋_GBK" w:cs="方正仿宋_GBK"/>
          <w:color w:val="000000"/>
          <w:sz w:val="32"/>
          <w:szCs w:val="32"/>
        </w:rPr>
        <w:t>（类）</w:t>
      </w:r>
      <w:r>
        <w:rPr>
          <w:rFonts w:eastAsia="方正仿宋_GBK"/>
          <w:color w:val="000000"/>
          <w:sz w:val="32"/>
          <w:szCs w:val="32"/>
        </w:rPr>
        <w:t>08</w:t>
      </w:r>
      <w:r>
        <w:rPr>
          <w:rFonts w:hint="eastAsia" w:eastAsia="方正仿宋_GBK" w:cs="方正仿宋_GBK"/>
          <w:color w:val="000000"/>
          <w:sz w:val="32"/>
          <w:szCs w:val="32"/>
        </w:rPr>
        <w:t>（款）</w:t>
      </w:r>
      <w:r>
        <w:rPr>
          <w:rFonts w:hint="eastAsia" w:eastAsia="方正仿宋_GBK"/>
          <w:color w:val="000000"/>
          <w:sz w:val="32"/>
          <w:szCs w:val="32"/>
        </w:rPr>
        <w:t>02</w:t>
      </w:r>
      <w:r>
        <w:rPr>
          <w:rFonts w:hint="eastAsia" w:eastAsia="方正仿宋_GBK" w:cs="方正仿宋_GBK"/>
          <w:color w:val="000000"/>
          <w:sz w:val="32"/>
          <w:szCs w:val="32"/>
        </w:rPr>
        <w:t>（项）：指反映不含计提和划转部分的国有土地使用权出让收入及对应专项债务收入安排的支出。</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2120802—</w:t>
      </w:r>
      <w:r>
        <w:rPr>
          <w:rFonts w:hint="eastAsia" w:eastAsia="方正仿宋_GBK" w:cs="方正仿宋_GBK"/>
          <w:color w:val="000000"/>
          <w:sz w:val="32"/>
          <w:szCs w:val="32"/>
        </w:rPr>
        <w:t>土地开发支出（基金）。</w:t>
      </w:r>
    </w:p>
    <w:p>
      <w:pPr>
        <w:adjustRightInd w:val="0"/>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12.住房保障支出</w:t>
      </w:r>
      <w:r>
        <w:rPr>
          <w:rFonts w:eastAsia="方正仿宋_GBK"/>
          <w:color w:val="000000"/>
          <w:sz w:val="32"/>
          <w:szCs w:val="32"/>
        </w:rPr>
        <w:t>221</w:t>
      </w:r>
      <w:r>
        <w:rPr>
          <w:rFonts w:hint="eastAsia" w:eastAsia="方正仿宋_GBK" w:cs="方正仿宋_GBK"/>
          <w:color w:val="000000"/>
          <w:sz w:val="32"/>
          <w:szCs w:val="32"/>
        </w:rPr>
        <w:t>（类）</w:t>
      </w:r>
      <w:r>
        <w:rPr>
          <w:rFonts w:eastAsia="方正仿宋_GBK"/>
          <w:color w:val="000000"/>
          <w:sz w:val="32"/>
          <w:szCs w:val="32"/>
        </w:rPr>
        <w:t>02</w:t>
      </w:r>
      <w:r>
        <w:rPr>
          <w:rFonts w:hint="eastAsia" w:eastAsia="方正仿宋_GBK" w:cs="方正仿宋_GBK"/>
          <w:color w:val="000000"/>
          <w:sz w:val="32"/>
          <w:szCs w:val="32"/>
        </w:rPr>
        <w:t>（款）</w:t>
      </w:r>
      <w:r>
        <w:rPr>
          <w:rFonts w:eastAsia="方正仿宋_GBK"/>
          <w:color w:val="000000"/>
          <w:sz w:val="32"/>
          <w:szCs w:val="32"/>
        </w:rPr>
        <w:t>01</w:t>
      </w:r>
      <w:r>
        <w:rPr>
          <w:rFonts w:hint="eastAsia" w:eastAsia="方正仿宋_GBK" w:cs="方正仿宋_GBK"/>
          <w:color w:val="000000"/>
          <w:sz w:val="32"/>
          <w:szCs w:val="32"/>
        </w:rPr>
        <w:t>（项）：指住房改革支出</w:t>
      </w:r>
      <w:r>
        <w:rPr>
          <w:rFonts w:eastAsia="方正仿宋_GBK"/>
          <w:color w:val="000000"/>
          <w:sz w:val="32"/>
          <w:szCs w:val="32"/>
        </w:rPr>
        <w:t>—</w:t>
      </w:r>
      <w:r>
        <w:rPr>
          <w:rFonts w:hint="eastAsia" w:eastAsia="方正仿宋_GBK" w:cs="方正仿宋_GBK"/>
          <w:color w:val="000000"/>
          <w:sz w:val="32"/>
          <w:szCs w:val="32"/>
        </w:rPr>
        <w:t>住房公积金支出。</w:t>
      </w:r>
    </w:p>
    <w:p>
      <w:pPr>
        <w:adjustRightInd w:val="0"/>
        <w:snapToGrid w:val="0"/>
        <w:spacing w:line="600" w:lineRule="exact"/>
        <w:ind w:firstLine="640" w:firstLineChars="200"/>
        <w:rPr>
          <w:rFonts w:eastAsia="方正仿宋_GBK" w:cs="方正仿宋_GBK"/>
          <w:color w:val="000000"/>
          <w:sz w:val="32"/>
          <w:szCs w:val="32"/>
        </w:rPr>
      </w:pPr>
      <w:r>
        <w:rPr>
          <w:rFonts w:eastAsia="方正仿宋_GBK"/>
          <w:color w:val="000000"/>
          <w:sz w:val="32"/>
          <w:szCs w:val="32"/>
        </w:rPr>
        <w:t>2210201—</w:t>
      </w:r>
      <w:r>
        <w:rPr>
          <w:rFonts w:hint="eastAsia" w:eastAsia="方正仿宋_GBK" w:cs="方正仿宋_GBK"/>
          <w:color w:val="000000"/>
          <w:sz w:val="32"/>
          <w:szCs w:val="32"/>
        </w:rPr>
        <w:t>住房公积金：指反映行政事业单位按人力资源部和社会保障部、财政部规定的基本工资和津贴补贴以及规定比例为职工缴纳的住房公积金。</w:t>
      </w:r>
    </w:p>
    <w:p>
      <w:pPr>
        <w:spacing w:line="600" w:lineRule="exact"/>
        <w:ind w:firstLine="640"/>
        <w:rPr>
          <w:rFonts w:eastAsia="仿宋_GB2312"/>
          <w:kern w:val="0"/>
          <w:sz w:val="32"/>
          <w:szCs w:val="32"/>
        </w:rPr>
      </w:pPr>
      <w:r>
        <w:rPr>
          <w:rFonts w:eastAsia="仿宋_GB2312"/>
          <w:kern w:val="0"/>
          <w:sz w:val="32"/>
          <w:szCs w:val="32"/>
        </w:rPr>
        <w:t>13.机关运行经费：为保障行政单位（包括实行公务员管理的事业单位）运行用于购买货物和服务的各项资金，包括办公及印刷费、邮电费、差旅费、会议费、津补贴费、日常维修费、专用材料及一般设备购置费、办公用房水电费、办公用房取暖费、办公用房物业管理费、公务用车运行维护费以及其他费用。</w:t>
      </w:r>
      <w:bookmarkEnd w:id="48"/>
    </w:p>
    <w:p>
      <w:pPr>
        <w:spacing w:line="600" w:lineRule="exact"/>
        <w:ind w:firstLine="640"/>
        <w:rPr>
          <w:rFonts w:eastAsia="仿宋_GB2312" w:cs="仿宋_GB2312"/>
          <w:sz w:val="32"/>
          <w:szCs w:val="32"/>
        </w:rPr>
      </w:pPr>
      <w:r>
        <w:rPr>
          <w:rFonts w:eastAsia="仿宋_GB2312"/>
          <w:kern w:val="0"/>
          <w:sz w:val="32"/>
          <w:szCs w:val="32"/>
        </w:rPr>
        <w:t>14.“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pPr>
        <w:spacing w:line="600" w:lineRule="exact"/>
        <w:jc w:val="center"/>
        <w:rPr>
          <w:rFonts w:eastAsia="黑体"/>
          <w:sz w:val="44"/>
          <w:szCs w:val="44"/>
        </w:rPr>
      </w:pPr>
      <w:bookmarkStart w:id="49" w:name="_Toc15396614"/>
      <w:bookmarkStart w:id="50" w:name="_Toc15377226"/>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Style w:val="30"/>
          <w:rFonts w:eastAsia="黑体"/>
          <w:b w:val="0"/>
        </w:rPr>
      </w:pPr>
      <w:r>
        <w:rPr>
          <w:rFonts w:hint="eastAsia" w:eastAsia="黑体"/>
          <w:sz w:val="44"/>
          <w:szCs w:val="44"/>
        </w:rPr>
        <w:t>第四部分  附件</w:t>
      </w:r>
      <w:bookmarkEnd w:id="49"/>
    </w:p>
    <w:p>
      <w:pPr>
        <w:spacing w:line="572" w:lineRule="exact"/>
        <w:jc w:val="left"/>
        <w:outlineLvl w:val="0"/>
        <w:rPr>
          <w:rFonts w:eastAsia="黑体" w:cs="黑体"/>
          <w:color w:val="FF0000"/>
          <w:sz w:val="32"/>
          <w:szCs w:val="32"/>
        </w:rPr>
      </w:pPr>
    </w:p>
    <w:p>
      <w:pPr>
        <w:pStyle w:val="9"/>
        <w:spacing w:line="560" w:lineRule="exact"/>
        <w:ind w:left="0" w:leftChars="0" w:firstLine="640"/>
        <w:rPr>
          <w:rFonts w:hint="eastAsia" w:ascii="Times New Roman" w:eastAsia="仿宋_GB2312"/>
          <w:sz w:val="32"/>
          <w:lang w:val="zh-CN"/>
        </w:rPr>
      </w:pPr>
      <w:r>
        <w:rPr>
          <w:rFonts w:hint="eastAsia" w:ascii="Times New Roman" w:eastAsia="仿宋_GB2312"/>
          <w:sz w:val="32"/>
          <w:lang w:val="zh-CN"/>
        </w:rPr>
        <w:t>本单位按要求对2024年部门整体支出绩效评价情况开展自评，</w:t>
      </w:r>
      <w:r>
        <w:rPr>
          <w:rFonts w:hint="eastAsia" w:ascii="Times New Roman" w:eastAsia="仿宋_GB2312"/>
          <w:sz w:val="32"/>
        </w:rPr>
        <w:t>部门预算项目支出绩效自评表见附件3。</w:t>
      </w:r>
    </w:p>
    <w:p>
      <w:pPr>
        <w:pStyle w:val="9"/>
        <w:spacing w:line="560" w:lineRule="exact"/>
        <w:ind w:left="0" w:leftChars="0" w:firstLine="0" w:firstLineChars="0"/>
        <w:rPr>
          <w:rFonts w:ascii="Times New Roman"/>
          <w:sz w:val="32"/>
          <w:highlight w:val="yellow"/>
          <w:lang w:val="zh-CN"/>
        </w:rPr>
      </w:pPr>
    </w:p>
    <w:p>
      <w:pPr>
        <w:pStyle w:val="7"/>
        <w:spacing w:before="93"/>
        <w:rPr>
          <w:rFonts w:ascii="Times New Roman" w:cs="宋体"/>
          <w:color w:val="FF0000"/>
          <w:sz w:val="32"/>
          <w:szCs w:val="32"/>
          <w:highlight w:val="yellow"/>
          <w:shd w:val="clear" w:color="auto" w:fill="FFFFFF"/>
          <w:lang w:val="zh-CN"/>
        </w:rPr>
      </w:pPr>
    </w:p>
    <w:p>
      <w:pPr>
        <w:rPr>
          <w:rFonts w:eastAsia="仿宋_GB2312" w:cs="仿宋_GB2312"/>
          <w:kern w:val="0"/>
          <w:sz w:val="32"/>
          <w:szCs w:val="32"/>
        </w:rPr>
      </w:pPr>
      <w:r>
        <w:rPr>
          <w:rFonts w:hint="eastAsia" w:eastAsia="黑体" w:cs="黑体"/>
          <w:kern w:val="0"/>
          <w:sz w:val="32"/>
          <w:szCs w:val="32"/>
          <w:shd w:val="clear" w:color="auto" w:fill="FFFFFF"/>
          <w:lang w:val="zh-CN"/>
        </w:rPr>
        <w:br w:type="page"/>
      </w:r>
      <w:bookmarkStart w:id="51" w:name="_Toc15396618"/>
    </w:p>
    <w:p>
      <w:pPr>
        <w:widowControl/>
        <w:jc w:val="center"/>
        <w:rPr>
          <w:rFonts w:eastAsia="仿宋"/>
        </w:rPr>
      </w:pPr>
      <w:r>
        <w:rPr>
          <w:rFonts w:hint="eastAsia" w:eastAsia="黑体"/>
          <w:sz w:val="44"/>
          <w:szCs w:val="44"/>
        </w:rPr>
        <w:t>第</w:t>
      </w:r>
      <w:r>
        <w:rPr>
          <w:rStyle w:val="30"/>
          <w:rFonts w:hint="eastAsia" w:eastAsia="黑体"/>
          <w:b w:val="0"/>
        </w:rPr>
        <w:t>五部分 附表</w:t>
      </w:r>
      <w:bookmarkEnd w:id="50"/>
      <w:bookmarkEnd w:id="51"/>
      <w:bookmarkStart w:id="52" w:name="_Toc15396619"/>
    </w:p>
    <w:p>
      <w:pPr>
        <w:pStyle w:val="16"/>
        <w:adjustRightInd w:val="0"/>
        <w:snapToGrid w:val="0"/>
        <w:spacing w:line="560" w:lineRule="exact"/>
        <w:jc w:val="left"/>
        <w:rPr>
          <w:rFonts w:eastAsia="仿宋_GB2312" w:cs="仿宋_GB2312"/>
          <w:sz w:val="32"/>
          <w:szCs w:val="32"/>
        </w:rPr>
      </w:pPr>
    </w:p>
    <w:p>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2"/>
    </w:p>
    <w:p>
      <w:pPr>
        <w:pStyle w:val="16"/>
        <w:adjustRightInd w:val="0"/>
        <w:snapToGrid w:val="0"/>
        <w:spacing w:line="560" w:lineRule="exact"/>
        <w:jc w:val="left"/>
        <w:rPr>
          <w:rFonts w:eastAsia="仿宋_GB2312" w:cs="仿宋_GB2312"/>
          <w:sz w:val="32"/>
          <w:szCs w:val="32"/>
        </w:rPr>
      </w:pPr>
      <w:bookmarkStart w:id="53" w:name="_Toc15396620"/>
      <w:r>
        <w:rPr>
          <w:rFonts w:hint="eastAsia" w:eastAsia="仿宋_GB2312" w:cs="仿宋_GB2312"/>
          <w:sz w:val="32"/>
          <w:szCs w:val="32"/>
        </w:rPr>
        <w:t>二、收入决算表</w:t>
      </w:r>
      <w:bookmarkEnd w:id="53"/>
    </w:p>
    <w:p>
      <w:pPr>
        <w:pStyle w:val="16"/>
        <w:adjustRightInd w:val="0"/>
        <w:snapToGrid w:val="0"/>
        <w:spacing w:line="560" w:lineRule="exact"/>
        <w:jc w:val="left"/>
        <w:rPr>
          <w:rFonts w:eastAsia="仿宋_GB2312" w:cs="仿宋_GB2312"/>
          <w:sz w:val="32"/>
          <w:szCs w:val="32"/>
        </w:rPr>
      </w:pPr>
      <w:bookmarkStart w:id="54" w:name="_Toc15396621"/>
      <w:r>
        <w:rPr>
          <w:rFonts w:hint="eastAsia" w:eastAsia="仿宋_GB2312" w:cs="仿宋_GB2312"/>
          <w:sz w:val="32"/>
          <w:szCs w:val="32"/>
        </w:rPr>
        <w:t>三、支出决算表</w:t>
      </w:r>
      <w:bookmarkEnd w:id="54"/>
    </w:p>
    <w:p>
      <w:pPr>
        <w:pStyle w:val="16"/>
        <w:adjustRightInd w:val="0"/>
        <w:snapToGrid w:val="0"/>
        <w:spacing w:line="560" w:lineRule="exact"/>
        <w:jc w:val="left"/>
        <w:rPr>
          <w:rFonts w:eastAsia="仿宋_GB2312" w:cs="仿宋_GB2312"/>
          <w:sz w:val="32"/>
          <w:szCs w:val="32"/>
        </w:rPr>
      </w:pPr>
      <w:bookmarkStart w:id="55" w:name="_Toc15396622"/>
      <w:r>
        <w:rPr>
          <w:rFonts w:hint="eastAsia" w:eastAsia="仿宋_GB2312" w:cs="仿宋_GB2312"/>
          <w:sz w:val="32"/>
          <w:szCs w:val="32"/>
        </w:rPr>
        <w:t>四、财政拨款收入支出决算总表</w:t>
      </w:r>
      <w:bookmarkEnd w:id="55"/>
    </w:p>
    <w:p>
      <w:pPr>
        <w:pStyle w:val="16"/>
        <w:adjustRightInd w:val="0"/>
        <w:snapToGrid w:val="0"/>
        <w:spacing w:line="560" w:lineRule="exact"/>
        <w:jc w:val="left"/>
        <w:rPr>
          <w:rFonts w:eastAsia="仿宋_GB2312" w:cs="仿宋_GB2312"/>
          <w:sz w:val="32"/>
          <w:szCs w:val="32"/>
        </w:rPr>
      </w:pPr>
      <w:bookmarkStart w:id="56" w:name="_Toc15396623"/>
      <w:r>
        <w:rPr>
          <w:rFonts w:hint="eastAsia" w:eastAsia="仿宋_GB2312" w:cs="仿宋_GB2312"/>
          <w:sz w:val="32"/>
          <w:szCs w:val="32"/>
        </w:rPr>
        <w:t>五、财政拨款支出决算明细表</w:t>
      </w:r>
      <w:bookmarkEnd w:id="56"/>
      <w:bookmarkStart w:id="57" w:name="_Toc15396624"/>
    </w:p>
    <w:p>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7"/>
    </w:p>
    <w:p>
      <w:pPr>
        <w:pStyle w:val="16"/>
        <w:adjustRightInd w:val="0"/>
        <w:snapToGrid w:val="0"/>
        <w:spacing w:line="560" w:lineRule="exact"/>
        <w:jc w:val="left"/>
        <w:rPr>
          <w:rFonts w:eastAsia="仿宋_GB2312" w:cs="仿宋_GB2312"/>
          <w:sz w:val="32"/>
          <w:szCs w:val="32"/>
        </w:rPr>
      </w:pPr>
      <w:bookmarkStart w:id="58" w:name="_Toc15396625"/>
      <w:r>
        <w:rPr>
          <w:rFonts w:hint="eastAsia" w:eastAsia="仿宋_GB2312" w:cs="仿宋_GB2312"/>
          <w:sz w:val="32"/>
          <w:szCs w:val="32"/>
        </w:rPr>
        <w:t>七、一般公共预算财政拨款支出决算明细表</w:t>
      </w:r>
      <w:bookmarkEnd w:id="58"/>
    </w:p>
    <w:p>
      <w:pPr>
        <w:pStyle w:val="16"/>
        <w:adjustRightInd w:val="0"/>
        <w:snapToGrid w:val="0"/>
        <w:spacing w:line="560" w:lineRule="exact"/>
        <w:jc w:val="left"/>
        <w:rPr>
          <w:rFonts w:eastAsia="仿宋_GB2312" w:cs="仿宋_GB2312"/>
          <w:sz w:val="32"/>
          <w:szCs w:val="32"/>
        </w:rPr>
      </w:pPr>
      <w:bookmarkStart w:id="59" w:name="_Toc15396626"/>
      <w:r>
        <w:rPr>
          <w:rFonts w:hint="eastAsia" w:eastAsia="仿宋_GB2312" w:cs="仿宋_GB2312"/>
          <w:sz w:val="32"/>
          <w:szCs w:val="32"/>
        </w:rPr>
        <w:t>八、一般公共预算财政拨款基本支出决算表</w:t>
      </w:r>
      <w:bookmarkEnd w:id="59"/>
    </w:p>
    <w:p>
      <w:pPr>
        <w:pStyle w:val="16"/>
        <w:adjustRightInd w:val="0"/>
        <w:snapToGrid w:val="0"/>
        <w:spacing w:line="560" w:lineRule="exact"/>
        <w:jc w:val="left"/>
        <w:rPr>
          <w:rFonts w:eastAsia="仿宋_GB2312" w:cs="仿宋_GB2312"/>
          <w:sz w:val="32"/>
          <w:szCs w:val="32"/>
        </w:rPr>
      </w:pPr>
      <w:bookmarkStart w:id="60" w:name="_Toc15396627"/>
      <w:r>
        <w:rPr>
          <w:rFonts w:hint="eastAsia" w:eastAsia="仿宋_GB2312" w:cs="仿宋_GB2312"/>
          <w:sz w:val="32"/>
          <w:szCs w:val="32"/>
        </w:rPr>
        <w:t>九、一般公共预算财政拨款项目支出决算表</w:t>
      </w:r>
      <w:bookmarkEnd w:id="60"/>
    </w:p>
    <w:p>
      <w:pPr>
        <w:pStyle w:val="16"/>
        <w:adjustRightInd w:val="0"/>
        <w:snapToGrid w:val="0"/>
        <w:spacing w:line="560" w:lineRule="exact"/>
        <w:jc w:val="left"/>
        <w:rPr>
          <w:rFonts w:eastAsia="仿宋_GB2312" w:cs="仿宋_GB2312"/>
          <w:sz w:val="32"/>
          <w:szCs w:val="32"/>
        </w:rPr>
      </w:pPr>
      <w:bookmarkStart w:id="61" w:name="_Toc15396628"/>
      <w:r>
        <w:rPr>
          <w:rFonts w:hint="eastAsia" w:eastAsia="仿宋_GB2312" w:cs="仿宋_GB2312"/>
          <w:sz w:val="32"/>
          <w:szCs w:val="32"/>
        </w:rPr>
        <w:t>十、</w:t>
      </w:r>
      <w:bookmarkEnd w:id="61"/>
      <w:r>
        <w:rPr>
          <w:rFonts w:hint="eastAsia" w:eastAsia="仿宋_GB2312" w:cs="仿宋_GB2312"/>
          <w:sz w:val="32"/>
          <w:szCs w:val="32"/>
        </w:rPr>
        <w:t>政府性基金预算财政拨款收入支出决算表</w:t>
      </w:r>
    </w:p>
    <w:p>
      <w:pPr>
        <w:pStyle w:val="16"/>
        <w:adjustRightInd w:val="0"/>
        <w:snapToGrid w:val="0"/>
        <w:spacing w:line="560" w:lineRule="exact"/>
        <w:jc w:val="left"/>
        <w:rPr>
          <w:rFonts w:eastAsia="仿宋_GB2312" w:cs="仿宋_GB2312"/>
          <w:sz w:val="32"/>
          <w:szCs w:val="32"/>
        </w:rPr>
      </w:pPr>
      <w:bookmarkStart w:id="62" w:name="_Toc15396629"/>
      <w:r>
        <w:rPr>
          <w:rFonts w:hint="eastAsia" w:eastAsia="仿宋_GB2312" w:cs="仿宋_GB2312"/>
          <w:sz w:val="32"/>
          <w:szCs w:val="32"/>
        </w:rPr>
        <w:t>十一、</w:t>
      </w:r>
      <w:bookmarkEnd w:id="62"/>
      <w:r>
        <w:rPr>
          <w:rFonts w:hint="eastAsia" w:eastAsia="仿宋_GB2312" w:cs="仿宋_GB2312"/>
          <w:sz w:val="32"/>
          <w:szCs w:val="32"/>
        </w:rPr>
        <w:t>国有资本经营预算财政拨款收入支出决算表</w:t>
      </w:r>
    </w:p>
    <w:p>
      <w:pPr>
        <w:pStyle w:val="16"/>
        <w:adjustRightInd w:val="0"/>
        <w:snapToGrid w:val="0"/>
        <w:spacing w:line="560" w:lineRule="exact"/>
        <w:jc w:val="left"/>
        <w:rPr>
          <w:rFonts w:eastAsia="仿宋_GB2312" w:cs="仿宋_GB2312"/>
          <w:sz w:val="32"/>
          <w:szCs w:val="32"/>
        </w:rPr>
      </w:pPr>
      <w:bookmarkStart w:id="63" w:name="_Toc15396630"/>
      <w:r>
        <w:rPr>
          <w:rFonts w:hint="eastAsia" w:eastAsia="仿宋_GB2312" w:cs="仿宋_GB2312"/>
          <w:sz w:val="32"/>
          <w:szCs w:val="32"/>
        </w:rPr>
        <w:t>十二、</w:t>
      </w:r>
      <w:bookmarkEnd w:id="63"/>
      <w:r>
        <w:rPr>
          <w:rFonts w:hint="eastAsia" w:eastAsia="仿宋_GB2312" w:cs="仿宋_GB2312"/>
          <w:sz w:val="32"/>
          <w:szCs w:val="32"/>
        </w:rPr>
        <w:t>国有资本经营预算财政拨款支出决算表</w:t>
      </w:r>
    </w:p>
    <w:p>
      <w:pPr>
        <w:pStyle w:val="16"/>
        <w:adjustRightInd w:val="0"/>
        <w:snapToGrid w:val="0"/>
        <w:spacing w:line="560" w:lineRule="exact"/>
        <w:jc w:val="left"/>
        <w:rPr>
          <w:rFonts w:eastAsia="仿宋_GB2312" w:cs="仿宋_GB2312"/>
          <w:sz w:val="32"/>
          <w:szCs w:val="32"/>
        </w:rPr>
      </w:pPr>
      <w:bookmarkStart w:id="64" w:name="_Toc15396631"/>
      <w:r>
        <w:rPr>
          <w:rFonts w:hint="eastAsia" w:eastAsia="仿宋_GB2312" w:cs="仿宋_GB2312"/>
          <w:sz w:val="32"/>
          <w:szCs w:val="32"/>
        </w:rPr>
        <w:t>十三、</w:t>
      </w:r>
      <w:bookmarkEnd w:id="64"/>
      <w:r>
        <w:rPr>
          <w:rFonts w:hint="eastAsia" w:eastAsia="仿宋_GB2312" w:cs="仿宋_GB2312"/>
          <w:sz w:val="32"/>
          <w:szCs w:val="32"/>
        </w:rPr>
        <w:t>财政拨款“三公”经费支出决算表</w:t>
      </w:r>
    </w:p>
    <w:p/>
    <w:sectPr>
      <w:footerReference r:id="rId9"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56" o:spid="_x0000_s2056"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2061" o:spid="_x0000_s2061"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2059" o:spid="_x0000_s2059"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JiYmQwZWRkM2Y5NDNiNDY1ZTFiYWQxMWYzNjkyY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14B3"/>
    <w:rsid w:val="00505A47"/>
    <w:rsid w:val="00512FDA"/>
    <w:rsid w:val="00520DA0"/>
    <w:rsid w:val="00562B3E"/>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14D9"/>
    <w:rsid w:val="0098660A"/>
    <w:rsid w:val="009931C3"/>
    <w:rsid w:val="009B2044"/>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778E"/>
    <w:rsid w:val="011949CD"/>
    <w:rsid w:val="012A5EC2"/>
    <w:rsid w:val="015975B8"/>
    <w:rsid w:val="02FEBE30"/>
    <w:rsid w:val="04916F1E"/>
    <w:rsid w:val="05C6439D"/>
    <w:rsid w:val="061E35DE"/>
    <w:rsid w:val="066E0107"/>
    <w:rsid w:val="07996F6E"/>
    <w:rsid w:val="07B9742A"/>
    <w:rsid w:val="07DFD8BA"/>
    <w:rsid w:val="09867E8F"/>
    <w:rsid w:val="0A2032A3"/>
    <w:rsid w:val="0CA8290A"/>
    <w:rsid w:val="0D35B1ED"/>
    <w:rsid w:val="0D7F762E"/>
    <w:rsid w:val="0E254B6B"/>
    <w:rsid w:val="0F6E5123"/>
    <w:rsid w:val="0F98263C"/>
    <w:rsid w:val="101860EC"/>
    <w:rsid w:val="101F47CC"/>
    <w:rsid w:val="10C055FF"/>
    <w:rsid w:val="11694EBD"/>
    <w:rsid w:val="11772AA4"/>
    <w:rsid w:val="118107EC"/>
    <w:rsid w:val="12E24EE2"/>
    <w:rsid w:val="13D50BC4"/>
    <w:rsid w:val="14B17F78"/>
    <w:rsid w:val="165E0673"/>
    <w:rsid w:val="16B831D5"/>
    <w:rsid w:val="16BB723D"/>
    <w:rsid w:val="16F40246"/>
    <w:rsid w:val="17451C21"/>
    <w:rsid w:val="17A73B1A"/>
    <w:rsid w:val="17E50567"/>
    <w:rsid w:val="186504BB"/>
    <w:rsid w:val="19442920"/>
    <w:rsid w:val="19A445FC"/>
    <w:rsid w:val="1BE8440E"/>
    <w:rsid w:val="1CB57848"/>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8932A2"/>
    <w:rsid w:val="29EC628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1E1296"/>
    <w:rsid w:val="33A773CB"/>
    <w:rsid w:val="33CD485B"/>
    <w:rsid w:val="349D6851"/>
    <w:rsid w:val="36AA5135"/>
    <w:rsid w:val="36BE0DA7"/>
    <w:rsid w:val="376B6AA6"/>
    <w:rsid w:val="376D39B2"/>
    <w:rsid w:val="37E16F03"/>
    <w:rsid w:val="37F53A3B"/>
    <w:rsid w:val="389B6C89"/>
    <w:rsid w:val="38D469F0"/>
    <w:rsid w:val="39627CCD"/>
    <w:rsid w:val="397BAF1F"/>
    <w:rsid w:val="3AB79AF3"/>
    <w:rsid w:val="3AE834C0"/>
    <w:rsid w:val="3B4669EF"/>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D45651"/>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DFC378"/>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Salutation"/>
    <w:basedOn w:val="1"/>
    <w:next w:val="1"/>
    <w:qFormat/>
    <w:uiPriority w:val="0"/>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t>收、支决算总计变动情况图</a:t>
            </a:r>
            <a:endParaRPr lang="zh-CN" altLang="en-US"/>
          </a:p>
        </c:rich>
      </c:tx>
      <c:layout/>
      <c:overlay val="0"/>
    </c:title>
    <c:autoTitleDeleted val="0"/>
    <c:plotArea>
      <c:layout/>
      <c:barChart>
        <c:barDir val="col"/>
        <c:grouping val="clustered"/>
        <c:varyColors val="0"/>
        <c:ser>
          <c:idx val="0"/>
          <c:order val="0"/>
          <c:tx>
            <c:strRef>
              <c:f>[附表制作.xlsx]Sheet1!$A$4</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[附表制作.xlsx]Sheet1!$B$4:$E$4</c:f>
              <c:numCache>
                <c:formatCode>General</c:formatCode>
                <c:ptCount val="4"/>
                <c:pt idx="0">
                  <c:v>716.9</c:v>
                </c:pt>
                <c:pt idx="2">
                  <c:v>716.9</c:v>
                </c:pt>
              </c:numCache>
            </c:numRef>
          </c:val>
        </c:ser>
        <c:ser>
          <c:idx val="1"/>
          <c:order val="1"/>
          <c:tx>
            <c:strRef>
              <c:f>[附表制作.xlsx]Sheet1!$A$5</c:f>
              <c:strCache>
                <c:ptCount val="1"/>
                <c:pt idx="0">
                  <c:v>2024</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[附表制作.xlsx]Sheet1!$B$5:$E$5</c:f>
              <c:numCache>
                <c:formatCode>General</c:formatCode>
                <c:ptCount val="4"/>
                <c:pt idx="0">
                  <c:v>696.79</c:v>
                </c:pt>
                <c:pt idx="2">
                  <c:v>696.79</c:v>
                </c:pt>
              </c:numCache>
            </c:numRef>
          </c:val>
        </c:ser>
        <c:dLbls>
          <c:showLegendKey val="0"/>
          <c:showVal val="1"/>
          <c:showCatName val="0"/>
          <c:showSerName val="0"/>
          <c:showPercent val="0"/>
          <c:showBubbleSize val="0"/>
        </c:dLbls>
        <c:gapWidth val="150"/>
        <c:axId val="65709568"/>
        <c:axId val="65711104"/>
      </c:barChart>
      <c:catAx>
        <c:axId val="6570956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711104"/>
        <c:crosses val="autoZero"/>
        <c:auto val="1"/>
        <c:lblAlgn val="ctr"/>
        <c:lblOffset val="100"/>
        <c:noMultiLvlLbl val="0"/>
      </c:catAx>
      <c:valAx>
        <c:axId val="6571110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70956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660.77</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33.93</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[附表制作.xlsx]Sheet2!$B$4:$B$5</c:f>
              <c:strCache>
                <c:ptCount val="2"/>
                <c:pt idx="0">
                  <c:v>2024年度一般公共预算财政拨款收入</c:v>
                </c:pt>
                <c:pt idx="1">
                  <c:v>2024年度政府性基金预算财政拨款收入</c:v>
                </c:pt>
              </c:strCache>
            </c:strRef>
          </c:cat>
          <c:val>
            <c:numRef>
              <c:f>[附表制作.xlsx]Sheet2!$C$4:$C$5</c:f>
              <c:numCache>
                <c:formatCode>General</c:formatCode>
                <c:ptCount val="2"/>
                <c:pt idx="0">
                  <c:v>660.77</c:v>
                </c:pt>
                <c:pt idx="1">
                  <c:v>33.93</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Pt>
            <c:idx val="2"/>
            <c:bubble3D val="0"/>
          </c:dPt>
          <c:dLbls>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660.86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33.93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[附表制作.xlsx]Sheet7!$C$3:$C$5</c:f>
              <c:strCache>
                <c:ptCount val="3"/>
                <c:pt idx="0">
                  <c:v>2024年支出合计</c:v>
                </c:pt>
                <c:pt idx="1">
                  <c:v>基本支出</c:v>
                </c:pt>
                <c:pt idx="2">
                  <c:v>项目支出</c:v>
                </c:pt>
              </c:strCache>
            </c:strRef>
          </c:cat>
          <c:val>
            <c:numRef>
              <c:f>[附表制作.xlsx]Sheet7!$D$3:$D$5</c:f>
              <c:numCache>
                <c:formatCode>General</c:formatCode>
                <c:ptCount val="3"/>
                <c:pt idx="1">
                  <c:v>660.86</c:v>
                </c:pt>
                <c:pt idx="2">
                  <c:v>33.93</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财政拨款收、支总计变动表</a:t>
            </a:r>
            <a:endParaRPr lang="zh-CN" altLang="en-US"/>
          </a:p>
        </c:rich>
      </c:tx>
      <c:layout/>
      <c:overlay val="0"/>
    </c:title>
    <c:autoTitleDeleted val="0"/>
    <c:plotArea>
      <c:layout/>
      <c:barChart>
        <c:barDir val="col"/>
        <c:grouping val="clustered"/>
        <c:varyColors val="0"/>
        <c:ser>
          <c:idx val="0"/>
          <c:order val="0"/>
          <c:tx>
            <c:strRef>
              <c:f>[附表制作.xlsx]Sheet6!$B$4</c:f>
              <c:strCache>
                <c:ptCount val="1"/>
                <c:pt idx="0">
                  <c:v>2023</c:v>
                </c:pt>
              </c:strCache>
            </c:strRef>
          </c:tx>
          <c:invertIfNegative val="0"/>
          <c:dLbls>
            <c:delete val="1"/>
          </c:dLbls>
          <c:cat>
            <c:strRef>
              <c:f>[附表制作.xlsx]Sheet6!$C$3:$E$3</c:f>
              <c:strCache>
                <c:ptCount val="3"/>
                <c:pt idx="0">
                  <c:v>收入</c:v>
                </c:pt>
                <c:pt idx="2">
                  <c:v>支出</c:v>
                </c:pt>
              </c:strCache>
            </c:strRef>
          </c:cat>
          <c:val>
            <c:numRef>
              <c:f>[附表制作.xlsx]Sheet6!$C$4:$E$4</c:f>
              <c:numCache>
                <c:formatCode>General</c:formatCode>
                <c:ptCount val="3"/>
                <c:pt idx="0">
                  <c:v>714.73</c:v>
                </c:pt>
                <c:pt idx="2">
                  <c:v>714.73</c:v>
                </c:pt>
              </c:numCache>
            </c:numRef>
          </c:val>
        </c:ser>
        <c:ser>
          <c:idx val="1"/>
          <c:order val="1"/>
          <c:tx>
            <c:strRef>
              <c:f>[附表制作.xlsx]Sheet6!$B$5</c:f>
              <c:strCache>
                <c:ptCount val="1"/>
                <c:pt idx="0">
                  <c:v>2024</c:v>
                </c:pt>
              </c:strCache>
            </c:strRef>
          </c:tx>
          <c:invertIfNegative val="0"/>
          <c:dLbls>
            <c:delete val="1"/>
          </c:dLbls>
          <c:cat>
            <c:strRef>
              <c:f>[附表制作.xlsx]Sheet6!$C$3:$E$3</c:f>
              <c:strCache>
                <c:ptCount val="3"/>
                <c:pt idx="0">
                  <c:v>收入</c:v>
                </c:pt>
                <c:pt idx="2">
                  <c:v>支出</c:v>
                </c:pt>
              </c:strCache>
            </c:strRef>
          </c:cat>
          <c:val>
            <c:numRef>
              <c:f>[附表制作.xlsx]Sheet6!$C$5:$E$5</c:f>
              <c:numCache>
                <c:formatCode>General</c:formatCode>
                <c:ptCount val="3"/>
                <c:pt idx="0">
                  <c:v>694.7</c:v>
                </c:pt>
                <c:pt idx="2">
                  <c:v>694.7</c:v>
                </c:pt>
              </c:numCache>
            </c:numRef>
          </c:val>
        </c:ser>
        <c:dLbls>
          <c:showLegendKey val="0"/>
          <c:showVal val="0"/>
          <c:showCatName val="0"/>
          <c:showSerName val="0"/>
          <c:showPercent val="0"/>
          <c:showBubbleSize val="0"/>
        </c:dLbls>
        <c:gapWidth val="150"/>
        <c:axId val="65885696"/>
        <c:axId val="65887232"/>
      </c:barChart>
      <c:catAx>
        <c:axId val="658856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87232"/>
        <c:crosses val="autoZero"/>
        <c:auto val="1"/>
        <c:lblAlgn val="ctr"/>
        <c:lblOffset val="100"/>
        <c:noMultiLvlLbl val="0"/>
      </c:catAx>
      <c:valAx>
        <c:axId val="658872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8569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sz="1600"/>
              <a:t>一般公共预算财政拨款支出变动情况表</a:t>
            </a:r>
            <a:endParaRPr lang="zh-CN" sz="1600"/>
          </a:p>
        </c:rich>
      </c:tx>
      <c:layout>
        <c:manualLayout>
          <c:xMode val="edge"/>
          <c:yMode val="edge"/>
          <c:x val="0.0985415573053368"/>
          <c:y val="0.0277777777777778"/>
        </c:manualLayout>
      </c:layout>
      <c:overlay val="0"/>
    </c:title>
    <c:autoTitleDeleted val="0"/>
    <c:plotArea>
      <c:layout/>
      <c:barChart>
        <c:barDir val="col"/>
        <c:grouping val="stacked"/>
        <c:varyColors val="0"/>
        <c:ser>
          <c:idx val="0"/>
          <c:order val="0"/>
          <c:invertIfNegative val="0"/>
          <c:dLbls>
            <c:delete val="1"/>
          </c:dLbls>
          <c:cat>
            <c:strRef>
              <c:f>[附表制作.xlsx]Sheet5!$D$4:$D$6</c:f>
              <c:strCache>
                <c:ptCount val="3"/>
                <c:pt idx="1">
                  <c:v>2023年度一般公共预算财政拨款支出</c:v>
                </c:pt>
                <c:pt idx="2">
                  <c:v>2024年度一般公共预算财政拨款支出</c:v>
                </c:pt>
              </c:strCache>
            </c:strRef>
          </c:cat>
          <c:val>
            <c:numRef>
              <c:f>[附表制作.xlsx]Sheet5!$E$4:$E$6</c:f>
              <c:numCache>
                <c:formatCode>General</c:formatCode>
                <c:ptCount val="3"/>
                <c:pt idx="1">
                  <c:v>694.41</c:v>
                </c:pt>
                <c:pt idx="2">
                  <c:v>660.77</c:v>
                </c:pt>
              </c:numCache>
            </c:numRef>
          </c:val>
        </c:ser>
        <c:dLbls>
          <c:showLegendKey val="0"/>
          <c:showVal val="0"/>
          <c:showCatName val="0"/>
          <c:showSerName val="0"/>
          <c:showPercent val="0"/>
          <c:showBubbleSize val="0"/>
        </c:dLbls>
        <c:gapWidth val="95"/>
        <c:overlap val="100"/>
        <c:axId val="65925120"/>
        <c:axId val="65926656"/>
      </c:barChart>
      <c:catAx>
        <c:axId val="659251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926656"/>
        <c:crosses val="autoZero"/>
        <c:auto val="1"/>
        <c:lblAlgn val="ctr"/>
        <c:lblOffset val="100"/>
        <c:noMultiLvlLbl val="0"/>
      </c:catAx>
      <c:valAx>
        <c:axId val="65926656"/>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92512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[附表制作.xlsx]Sheet4!$B$3:$B$9</c:f>
              <c:strCache>
                <c:ptCount val="7"/>
                <c:pt idx="0">
                  <c:v>2024年一般公共服务支出</c:v>
                </c:pt>
                <c:pt idx="2">
                  <c:v>2024年社会保障和就业支出</c:v>
                </c:pt>
                <c:pt idx="4">
                  <c:v>2024年卫生健康支出</c:v>
                </c:pt>
                <c:pt idx="6">
                  <c:v>2024年住房保障支出</c:v>
                </c:pt>
              </c:strCache>
            </c:strRef>
          </c:cat>
          <c:val>
            <c:numRef>
              <c:f>[附表制作.xlsx]Sheet4!$C$3:$C$9</c:f>
              <c:numCache>
                <c:formatCode>General</c:formatCode>
                <c:ptCount val="7"/>
                <c:pt idx="0">
                  <c:v>447.99</c:v>
                </c:pt>
                <c:pt idx="2">
                  <c:v>108.74</c:v>
                </c:pt>
                <c:pt idx="4">
                  <c:v>58.7</c:v>
                </c:pt>
                <c:pt idx="6">
                  <c:v>45.34</c:v>
                </c:pt>
              </c:numCache>
            </c:numRef>
          </c:val>
        </c:ser>
        <c:dLbls>
          <c:showLegendKey val="0"/>
          <c:showVal val="1"/>
          <c:showCatName val="0"/>
          <c:showSerName val="0"/>
          <c:showPercent val="0"/>
          <c:showBubbleSize val="0"/>
          <c:showLeaderLines val="1"/>
        </c:dLbls>
        <c:firstSliceAng val="6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baseline="0"/>
              <a:t>“三公”经费财政拨款支出结构图</a:t>
            </a:r>
            <a:endParaRPr lang="zh-CN" altLang="zh-CN" sz="1800" b="1" i="0" baseline="0"/>
          </a:p>
        </c:rich>
      </c:tx>
      <c:layout/>
      <c:overlay val="0"/>
    </c:title>
    <c:autoTitleDeleted val="0"/>
    <c:plotArea>
      <c:layout/>
      <c:pieChart>
        <c:varyColors val="1"/>
        <c:ser>
          <c:idx val="0"/>
          <c:order val="0"/>
          <c:explosion val="25"/>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[附表制作.xlsx]Sheet7!$D$38:$D$40</c:f>
              <c:strCache>
                <c:ptCount val="3"/>
                <c:pt idx="0">
                  <c:v>因公出国（境）费</c:v>
                </c:pt>
                <c:pt idx="1">
                  <c:v>公务用车购置及运行维护费</c:v>
                </c:pt>
                <c:pt idx="2">
                  <c:v>公务接待费</c:v>
                </c:pt>
              </c:strCache>
            </c:strRef>
          </c:cat>
          <c:val>
            <c:numRef>
              <c:f>[附表制作.xlsx]Sheet7!$E$38:$E$40</c:f>
              <c:numCache>
                <c:formatCode>General</c:formatCode>
                <c:ptCount val="3"/>
                <c:pt idx="0">
                  <c:v>0</c:v>
                </c:pt>
                <c:pt idx="1">
                  <c:v>0</c:v>
                </c:pt>
                <c:pt idx="2">
                  <c:v>0.29</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customShpInfo spid="_x0000_s2061"/>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5721</Words>
  <Characters>881</Characters>
  <Lines>7</Lines>
  <Paragraphs>13</Paragraphs>
  <TotalTime>59</TotalTime>
  <ScaleCrop>false</ScaleCrop>
  <LinksUpToDate>false</LinksUpToDate>
  <CharactersWithSpaces>6589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2025-10-20T20:58:00Z</dcterms:created>
  <dc:creator>曹颖</dc:creator>
  <cp:lastModifiedBy>admin</cp:lastModifiedBy>
  <cp:lastPrinted>2025-08-07T01:34:00Z</cp:lastPrinted>
  <dcterms:modified xsi:type="dcterms:W3CDTF">2025-10-30T02:42:19Z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04787F2533EB45DC91BCDE4AB213247F</vt:lpwstr>
  </property>
</Properties>
</file>