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93"/>
        <w:rPr>
          <w:rFonts w:ascii="Times New Roman" w:eastAsia="方正小标宋简体"/>
          <w:kern w:val="2"/>
          <w:sz w:val="44"/>
          <w:szCs w:val="44"/>
        </w:rPr>
      </w:pPr>
      <w:bookmarkStart w:id="0" w:name="_Toc15377425"/>
      <w:bookmarkStart w:id="1" w:name="_Toc15377193"/>
      <w:bookmarkStart w:id="2" w:name="_Toc15396475"/>
      <w:bookmarkStart w:id="3" w:name="_Toc15396597"/>
      <w:bookmarkStart w:id="4" w:name="_Toc15378441"/>
      <w:bookmarkStart w:id="5" w:name="_Toc15306267"/>
    </w:p>
    <w:bookmarkEnd w:id="0"/>
    <w:bookmarkEnd w:id="1"/>
    <w:bookmarkEnd w:id="2"/>
    <w:bookmarkEnd w:id="3"/>
    <w:bookmarkEnd w:id="4"/>
    <w:bookmarkEnd w:id="5"/>
    <w:p>
      <w:pPr>
        <w:pStyle w:val="8"/>
        <w:spacing w:before="93"/>
        <w:jc w:val="center"/>
        <w:rPr>
          <w:rFonts w:hint="eastAsia" w:ascii="方正小标宋简体" w:hAnsi="宋体" w:eastAsia="方正小标宋简体"/>
          <w:sz w:val="44"/>
          <w:szCs w:val="44"/>
        </w:rPr>
      </w:pPr>
    </w:p>
    <w:p>
      <w:pPr>
        <w:pStyle w:val="8"/>
        <w:spacing w:before="93"/>
        <w:jc w:val="center"/>
        <w:rPr>
          <w:rFonts w:ascii="方正小标宋简体" w:hAnsi="宋体" w:eastAsia="方正小标宋简体"/>
          <w:sz w:val="44"/>
          <w:szCs w:val="44"/>
        </w:rPr>
      </w:pPr>
      <w:r>
        <w:rPr>
          <w:rFonts w:hint="eastAsia" w:ascii="方正小标宋简体" w:hAnsi="宋体" w:eastAsia="方正小标宋简体"/>
          <w:sz w:val="44"/>
          <w:szCs w:val="44"/>
        </w:rPr>
        <w:t>2024年度四川省攀枝花市</w:t>
      </w:r>
    </w:p>
    <w:p>
      <w:pPr>
        <w:pStyle w:val="8"/>
        <w:spacing w:before="93"/>
        <w:jc w:val="center"/>
        <w:rPr>
          <w:rFonts w:ascii="方正小标宋简体" w:hAnsi="宋体" w:eastAsia="方正小标宋简体"/>
          <w:sz w:val="44"/>
          <w:szCs w:val="44"/>
        </w:rPr>
      </w:pPr>
      <w:r>
        <w:rPr>
          <w:rFonts w:hint="eastAsia" w:ascii="方正小标宋简体" w:hAnsi="宋体" w:eastAsia="方正小标宋简体"/>
          <w:sz w:val="44"/>
          <w:szCs w:val="44"/>
        </w:rPr>
        <w:t>西区市场监督管理局部门决算</w:t>
      </w: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ascii="黑体" w:hAnsi="黑体" w:eastAsia="黑体"/>
          <w:sz w:val="48"/>
          <w:szCs w:val="48"/>
        </w:rPr>
      </w:pPr>
      <w:bookmarkStart w:id="6" w:name="_Toc15396599"/>
      <w:bookmarkStart w:id="7" w:name="_Toc15377196"/>
      <w:bookmarkStart w:id="8" w:name="_Toc2484"/>
      <w:bookmarkStart w:id="9" w:name="_Toc15396602"/>
      <w:bookmarkStart w:id="10" w:name="_Toc15377204"/>
      <w:r>
        <w:rPr>
          <w:rFonts w:hint="eastAsia" w:ascii="黑体" w:hAnsi="黑体" w:eastAsia="黑体"/>
          <w:sz w:val="48"/>
          <w:szCs w:val="48"/>
        </w:rPr>
        <w:t>目录</w:t>
      </w:r>
    </w:p>
    <w:p>
      <w:pPr>
        <w:widowControl/>
        <w:jc w:val="center"/>
        <w:rPr>
          <w:rFonts w:ascii="黑体" w:hAnsi="黑体" w:eastAsia="黑体"/>
          <w:sz w:val="28"/>
          <w:szCs w:val="28"/>
        </w:rPr>
      </w:pPr>
    </w:p>
    <w:p>
      <w:pPr>
        <w:pStyle w:val="13"/>
        <w:rPr>
          <w:sz w:val="24"/>
          <w:szCs w:val="24"/>
        </w:rPr>
      </w:pPr>
      <w:r>
        <w:rPr>
          <w:rFonts w:hint="eastAsia"/>
          <w:sz w:val="24"/>
          <w:szCs w:val="24"/>
        </w:rPr>
        <w:t>公开时间：2025年10月 2</w:t>
      </w:r>
      <w:r>
        <w:rPr>
          <w:rFonts w:hint="eastAsia"/>
          <w:sz w:val="24"/>
          <w:szCs w:val="24"/>
          <w:lang w:val="en-US" w:eastAsia="zh-CN"/>
        </w:rPr>
        <w:t>9</w:t>
      </w:r>
      <w:r>
        <w:rPr>
          <w:rFonts w:hint="eastAsia"/>
          <w:sz w:val="24"/>
          <w:szCs w:val="24"/>
        </w:rPr>
        <w:t>日</w:t>
      </w:r>
    </w:p>
    <w:p>
      <w:pPr>
        <w:rPr>
          <w:sz w:val="24"/>
        </w:rPr>
      </w:pPr>
    </w:p>
    <w:p>
      <w:pPr>
        <w:jc w:val="center"/>
        <w:rPr>
          <w:sz w:val="24"/>
        </w:rPr>
      </w:pPr>
    </w:p>
    <w:p>
      <w:pPr>
        <w:jc w:val="center"/>
      </w:pPr>
    </w:p>
    <w:bookmarkEnd w:id="6"/>
    <w:bookmarkEnd w:id="7"/>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"1-2" \h \u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HYPERLINK \l _Toc21329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 xml:space="preserve">第一部分 </w:t>
      </w:r>
      <w:r>
        <w:rPr>
          <w:rFonts w:hint="eastAsia" w:ascii="仿宋_GB2312" w:hAnsi="仿宋_GB2312" w:eastAsia="仿宋_GB2312" w:cs="仿宋_GB2312"/>
          <w:b/>
          <w:sz w:val="24"/>
          <w:szCs w:val="24"/>
          <w:lang w:val="en-US" w:eastAsia="zh-CN"/>
        </w:rPr>
        <w:t>部门</w:t>
      </w:r>
      <w:r>
        <w:rPr>
          <w:rFonts w:hint="eastAsia" w:ascii="仿宋_GB2312" w:hAnsi="仿宋_GB2312" w:eastAsia="仿宋_GB2312" w:cs="仿宋_GB2312"/>
          <w:b/>
          <w:sz w:val="24"/>
          <w:szCs w:val="24"/>
        </w:rPr>
        <w:t>概况</w:t>
      </w:r>
      <w:r>
        <w:rPr>
          <w:rFonts w:hint="eastAsia" w:ascii="仿宋_GB2312" w:hAnsi="仿宋_GB2312" w:eastAsia="仿宋_GB2312" w:cs="仿宋_GB2312"/>
          <w:b/>
          <w:sz w:val="24"/>
          <w:szCs w:val="24"/>
        </w:rPr>
        <w:tab/>
      </w: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PAGEREF _Toc21329 \h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4</w:t>
      </w:r>
      <w:r>
        <w:rPr>
          <w:rFonts w:hint="eastAsia" w:ascii="仿宋_GB2312" w:hAnsi="仿宋_GB2312" w:eastAsia="仿宋_GB2312" w:cs="仿宋_GB2312"/>
          <w:b/>
          <w:sz w:val="24"/>
          <w:szCs w:val="24"/>
        </w:rPr>
        <w:fldChar w:fldCharType="end"/>
      </w:r>
      <w:r>
        <w:rPr>
          <w:rFonts w:hint="eastAsia" w:ascii="仿宋_GB2312" w:hAnsi="仿宋_GB2312" w:eastAsia="仿宋_GB2312" w:cs="仿宋_GB2312"/>
          <w:b/>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_Toc6302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 xml:space="preserve">一、 </w:t>
      </w:r>
      <w:r>
        <w:rPr>
          <w:rFonts w:hint="eastAsia" w:ascii="仿宋_GB2312" w:hAnsi="仿宋_GB2312" w:eastAsia="仿宋_GB2312" w:cs="仿宋_GB2312"/>
          <w:sz w:val="24"/>
          <w:szCs w:val="24"/>
        </w:rPr>
        <w:t>主要职责</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_Toc6302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_Toc24537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二、机</w:t>
      </w:r>
      <w:r>
        <w:rPr>
          <w:rFonts w:hint="eastAsia" w:ascii="仿宋_GB2312" w:hAnsi="仿宋_GB2312" w:eastAsia="仿宋_GB2312" w:cs="仿宋_GB2312"/>
          <w:bCs w:val="0"/>
          <w:sz w:val="24"/>
          <w:szCs w:val="24"/>
        </w:rPr>
        <w:t>构设置</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HYPERLINK \l _Toc9591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第二部分 2023年度</w:t>
      </w:r>
      <w:r>
        <w:rPr>
          <w:rFonts w:hint="eastAsia" w:ascii="仿宋_GB2312" w:hAnsi="仿宋_GB2312" w:eastAsia="仿宋_GB2312" w:cs="仿宋_GB2312"/>
          <w:b/>
          <w:sz w:val="24"/>
          <w:szCs w:val="24"/>
          <w:lang w:val="en-US" w:eastAsia="zh-CN"/>
        </w:rPr>
        <w:t>部门</w:t>
      </w:r>
      <w:r>
        <w:rPr>
          <w:rFonts w:hint="eastAsia" w:ascii="仿宋_GB2312" w:hAnsi="仿宋_GB2312" w:eastAsia="仿宋_GB2312" w:cs="仿宋_GB2312"/>
          <w:b/>
          <w:bCs/>
          <w:sz w:val="24"/>
          <w:szCs w:val="24"/>
        </w:rPr>
        <w:t>决算情况说明</w:t>
      </w:r>
      <w:r>
        <w:rPr>
          <w:rFonts w:hint="eastAsia" w:ascii="仿宋_GB2312" w:hAnsi="仿宋_GB2312" w:eastAsia="仿宋_GB2312" w:cs="仿宋_GB2312"/>
          <w:b/>
          <w:sz w:val="24"/>
          <w:szCs w:val="24"/>
        </w:rPr>
        <w:tab/>
      </w:r>
      <w:r>
        <w:rPr>
          <w:rFonts w:hint="eastAsia" w:ascii="仿宋_GB2312" w:hAnsi="仿宋_GB2312" w:eastAsia="仿宋_GB2312" w:cs="仿宋_GB2312"/>
          <w:b/>
          <w:sz w:val="24"/>
          <w:szCs w:val="24"/>
          <w:lang w:val="en-US" w:eastAsia="zh-CN"/>
        </w:rPr>
        <w:t>8</w:t>
      </w:r>
      <w:r>
        <w:rPr>
          <w:rFonts w:hint="eastAsia" w:ascii="仿宋_GB2312" w:hAnsi="仿宋_GB2312" w:eastAsia="仿宋_GB2312" w:cs="仿宋_GB2312"/>
          <w:b/>
          <w:sz w:val="24"/>
          <w:szCs w:val="24"/>
        </w:rPr>
        <w:fldChar w:fldCharType="end"/>
      </w:r>
      <w:bookmarkStart w:id="101" w:name="_GoBack"/>
      <w:bookmarkEnd w:id="101"/>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_Toc8351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一、 收入支出决算总体情况说明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_Toc8351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_Toc12621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二、 收入决算情况说明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_Toc12621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_Toc2563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三、 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_Toc2563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_Toc16612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四、财政拨款收入支出决算总体情况说明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_Toc16612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_Toc1762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五、一般公共预算财政拨款支出决算情况说明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_Toc1762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_Toc1864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六、一般公共预算财政拨款基本支出决算情况说明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_Toc1864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_Toc21223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七、财政拨款“三公”经费支出决算情况说明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_Toc21223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_Toc32204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八、政府性基金预算支出决算情况说明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_Toc32204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_Toc14150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九、 国有资本经营预算支出决算情况说明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_Toc14150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_Toc29195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 其他重要事项的情况说明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_Toc29195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HYPERLINK \l _Toc2834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第三部分  名词解释</w:t>
      </w:r>
      <w:r>
        <w:rPr>
          <w:rFonts w:hint="eastAsia" w:ascii="仿宋_GB2312" w:hAnsi="仿宋_GB2312" w:eastAsia="仿宋_GB2312" w:cs="仿宋_GB2312"/>
          <w:b/>
          <w:sz w:val="24"/>
          <w:szCs w:val="24"/>
        </w:rPr>
        <w:tab/>
      </w: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PAGEREF _Toc2834 \h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17</w:t>
      </w:r>
      <w:r>
        <w:rPr>
          <w:rFonts w:hint="eastAsia" w:ascii="仿宋_GB2312" w:hAnsi="仿宋_GB2312" w:eastAsia="仿宋_GB2312" w:cs="仿宋_GB2312"/>
          <w:b/>
          <w:sz w:val="24"/>
          <w:szCs w:val="24"/>
        </w:rPr>
        <w:fldChar w:fldCharType="end"/>
      </w:r>
      <w:r>
        <w:rPr>
          <w:rFonts w:hint="eastAsia" w:ascii="仿宋_GB2312" w:hAnsi="仿宋_GB2312" w:eastAsia="仿宋_GB2312" w:cs="仿宋_GB2312"/>
          <w:b/>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HYPERLINK \l _Toc10025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第四部分 附件</w:t>
      </w:r>
      <w:r>
        <w:rPr>
          <w:rFonts w:hint="eastAsia" w:ascii="仿宋_GB2312" w:hAnsi="仿宋_GB2312" w:eastAsia="仿宋_GB2312" w:cs="仿宋_GB2312"/>
          <w:b/>
          <w:sz w:val="24"/>
          <w:szCs w:val="24"/>
        </w:rPr>
        <w:tab/>
      </w: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PAGEREF _Toc10025 \h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2</w:t>
      </w:r>
      <w:r>
        <w:rPr>
          <w:rFonts w:hint="eastAsia" w:ascii="仿宋_GB2312" w:hAnsi="仿宋_GB2312" w:eastAsia="仿宋_GB2312" w:cs="仿宋_GB2312"/>
          <w:b/>
          <w:sz w:val="24"/>
          <w:szCs w:val="24"/>
          <w:lang w:val="en-US" w:eastAsia="zh-CN"/>
        </w:rPr>
        <w:t>0</w:t>
      </w:r>
      <w:r>
        <w:rPr>
          <w:rFonts w:hint="eastAsia" w:ascii="仿宋_GB2312" w:hAnsi="仿宋_GB2312" w:eastAsia="仿宋_GB2312" w:cs="仿宋_GB2312"/>
          <w:b/>
          <w:sz w:val="24"/>
          <w:szCs w:val="24"/>
        </w:rPr>
        <w:fldChar w:fldCharType="end"/>
      </w:r>
      <w:r>
        <w:rPr>
          <w:rFonts w:hint="eastAsia" w:ascii="仿宋_GB2312" w:hAnsi="仿宋_GB2312" w:eastAsia="仿宋_GB2312" w:cs="仿宋_GB2312"/>
          <w:b/>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HYPERLINK \l _Toc26548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第五部分 附表</w:t>
      </w:r>
      <w:r>
        <w:rPr>
          <w:rFonts w:hint="eastAsia" w:ascii="仿宋_GB2312" w:hAnsi="仿宋_GB2312" w:eastAsia="仿宋_GB2312" w:cs="仿宋_GB2312"/>
          <w:b/>
          <w:sz w:val="24"/>
          <w:szCs w:val="24"/>
        </w:rPr>
        <w:tab/>
      </w:r>
      <w:r>
        <w:rPr>
          <w:rFonts w:hint="eastAsia" w:ascii="仿宋_GB2312" w:hAnsi="仿宋_GB2312" w:eastAsia="仿宋_GB2312" w:cs="仿宋_GB2312"/>
          <w:b/>
          <w:sz w:val="24"/>
          <w:szCs w:val="24"/>
          <w:lang w:val="en-US" w:eastAsia="zh-CN"/>
        </w:rPr>
        <w:t>3</w:t>
      </w:r>
      <w:r>
        <w:rPr>
          <w:rFonts w:hint="eastAsia" w:ascii="仿宋_GB2312" w:hAnsi="仿宋_GB2312" w:eastAsia="仿宋_GB2312" w:cs="仿宋_GB2312"/>
          <w:b/>
          <w:sz w:val="24"/>
          <w:szCs w:val="24"/>
        </w:rPr>
        <w:fldChar w:fldCharType="end"/>
      </w:r>
      <w:r>
        <w:rPr>
          <w:rFonts w:hint="eastAsia" w:ascii="仿宋_GB2312" w:hAnsi="仿宋_GB2312" w:eastAsia="仿宋_GB2312" w:cs="仿宋_GB2312"/>
          <w:b/>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_Toc18526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一、收入支出决算总表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_Toc21423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二、收入决算表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_Toc9023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三、支出决算表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_Toc13242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四、财政拨款收入支出决算总表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_Toc18868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五、财政拨款支出决算明细表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_Toc8886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六、一般公共预算财政拨款支出决算表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_Toc13134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七、一般公共预算财政拨款支出决算明细表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_Toc10588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八、一般公共预算财政拨款基本支出决算表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_Toc8103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九、一般公共预算财政拨款项目支出决算表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_Toc913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十、政府性基金预算财政拨款收入支出决算表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_Toc21212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十一、国有资本经营预算财政拨款收入支出决算表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_Toc17810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十二、国有资本经营预算财政拨款支出决算表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_Toc5791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十三、财政拨款“三公”经费支出决算表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fldChar w:fldCharType="end"/>
      </w:r>
    </w:p>
    <w:p>
      <w:pPr>
        <w:rPr>
          <w:rFonts w:hint="eastAsia"/>
        </w:rPr>
      </w:pPr>
    </w:p>
    <w:p>
      <w:pPr>
        <w:pStyle w:val="2"/>
        <w:rPr>
          <w:rFonts w:hint="eastAsia"/>
        </w:rPr>
      </w:pPr>
    </w:p>
    <w:p>
      <w:pPr>
        <w:rPr>
          <w:rFonts w:hint="eastAsia"/>
        </w:rPr>
      </w:pPr>
    </w:p>
    <w:p>
      <w:pPr>
        <w:pStyle w:val="2"/>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5"/>
        <w:ind w:firstLine="1100" w:firstLineChars="250"/>
        <w:rPr>
          <w:rFonts w:ascii="黑体" w:eastAsia="黑体"/>
          <w:sz w:val="32"/>
          <w:szCs w:val="32"/>
        </w:rPr>
      </w:pPr>
      <w:bookmarkStart w:id="11" w:name="_Toc1635"/>
      <w:r>
        <w:rPr>
          <w:rFonts w:hint="eastAsia" w:ascii="黑体" w:hAnsi="黑体" w:eastAsia="黑体"/>
          <w:b w:val="0"/>
        </w:rPr>
        <w:t xml:space="preserve">第一部分 </w:t>
      </w:r>
      <w:r>
        <w:rPr>
          <w:rStyle w:val="28"/>
          <w:rFonts w:hint="eastAsia" w:ascii="黑体" w:hAnsi="黑体" w:eastAsia="黑体"/>
          <w:b/>
          <w:bCs/>
        </w:rPr>
        <w:t>部门概况</w:t>
      </w:r>
      <w:bookmarkEnd w:id="8"/>
      <w:bookmarkEnd w:id="11"/>
    </w:p>
    <w:p>
      <w:pPr>
        <w:pStyle w:val="6"/>
        <w:numPr>
          <w:ilvl w:val="0"/>
          <w:numId w:val="1"/>
        </w:numPr>
        <w:suppressAutoHyphens/>
        <w:rPr>
          <w:rFonts w:ascii="黑体" w:hAnsi="黑体" w:eastAsia="黑体" w:cs="Times New Roman"/>
          <w:b w:val="0"/>
        </w:rPr>
      </w:pPr>
      <w:bookmarkStart w:id="12" w:name="_Toc10420"/>
      <w:bookmarkStart w:id="13" w:name="_Toc18346"/>
      <w:r>
        <w:rPr>
          <w:rFonts w:hint="eastAsia" w:ascii="黑体" w:hAnsi="黑体" w:eastAsia="黑体" w:cs="Times New Roman"/>
          <w:b w:val="0"/>
        </w:rPr>
        <w:t xml:space="preserve"> </w:t>
      </w:r>
      <w:bookmarkStart w:id="14" w:name="_Toc5489"/>
      <w:r>
        <w:rPr>
          <w:rFonts w:hint="eastAsia" w:ascii="黑体" w:hAnsi="黑体" w:eastAsia="黑体" w:cs="Times New Roman"/>
          <w:b w:val="0"/>
        </w:rPr>
        <w:t>部门职责</w:t>
      </w:r>
      <w:bookmarkEnd w:id="12"/>
      <w:bookmarkEnd w:id="13"/>
      <w:bookmarkEnd w:id="14"/>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（一）负责全区市场综合监督管理。</w:t>
      </w:r>
      <w:r>
        <w:rPr>
          <w:rFonts w:hint="eastAsia" w:ascii="仿宋_GB2312" w:hAnsi="仿宋_GB2312" w:eastAsia="仿宋_GB2312" w:cs="仿宋_GB2312"/>
          <w:color w:val="000000"/>
          <w:kern w:val="0"/>
          <w:sz w:val="32"/>
          <w:szCs w:val="32"/>
        </w:rPr>
        <w:t xml:space="preserve">拟订市场监督管理有 关规范性文件和政策、措施；组织实施质量强区、食品安全、 标准化和知识产权战略，拟订并组织实施有关规划，规范和维 护市场秩序，营造诚实守信、公平竞争的市场环境。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（二）负责全区市场主体统一登记注册。</w:t>
      </w:r>
      <w:r>
        <w:rPr>
          <w:rFonts w:hint="eastAsia" w:ascii="仿宋_GB2312" w:hAnsi="仿宋_GB2312" w:eastAsia="仿宋_GB2312" w:cs="仿宋_GB2312"/>
          <w:color w:val="000000"/>
          <w:kern w:val="0"/>
          <w:sz w:val="32"/>
          <w:szCs w:val="32"/>
        </w:rPr>
        <w:t>负责指导全区各 类企业、农民专业合作社和从事经营活动的单位、个体工商户 等市场主体的登记注册和监督管理工作。</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（三）</w:t>
      </w:r>
      <w:r>
        <w:rPr>
          <w:rFonts w:hint="eastAsia" w:ascii="仿宋_GB2312" w:hAnsi="仿宋_GB2312" w:eastAsia="仿宋_GB2312" w:cs="仿宋_GB2312"/>
          <w:color w:val="000000"/>
          <w:kern w:val="0"/>
          <w:sz w:val="32"/>
          <w:szCs w:val="32"/>
        </w:rPr>
        <w:t xml:space="preserve">负责全区市场监管领域综合行政执法工作。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（四）负责监督管理全区市场秩序。</w:t>
      </w:r>
      <w:r>
        <w:rPr>
          <w:rFonts w:hint="eastAsia" w:ascii="仿宋_GB2312" w:hAnsi="仿宋_GB2312" w:eastAsia="仿宋_GB2312" w:cs="仿宋_GB2312"/>
          <w:color w:val="000000"/>
          <w:kern w:val="0"/>
          <w:sz w:val="32"/>
          <w:szCs w:val="32"/>
        </w:rPr>
        <w:t>依法监督管理市场交 易、网络商品交易及有关服务的行为。协助开展有关反垄断调 查工作。组织指导查处价格收费违法违规、不正当竞争、违法 直销、传销、侵犯商标专利知识产权和制售假冒伪劣行为。</w:t>
      </w:r>
    </w:p>
    <w:p>
      <w:pPr>
        <w:widowControl/>
        <w:ind w:firstLine="643" w:firstLineChars="200"/>
        <w:jc w:val="left"/>
        <w:rPr>
          <w:rFonts w:ascii="仿宋_GB2312" w:hAnsi="仿宋_GB2312" w:eastAsia="仿宋_GB2312" w:cs="仿宋_GB2312"/>
          <w:sz w:val="32"/>
          <w:szCs w:val="32"/>
        </w:rPr>
      </w:pPr>
      <w:bookmarkStart w:id="15" w:name="_Toc15377200"/>
      <w:bookmarkStart w:id="16" w:name="_Toc15396601"/>
      <w:bookmarkStart w:id="17" w:name="_Toc11503"/>
      <w:r>
        <w:rPr>
          <w:rFonts w:hint="eastAsia" w:ascii="仿宋_GB2312" w:hAnsi="仿宋_GB2312" w:eastAsia="仿宋_GB2312" w:cs="仿宋_GB2312"/>
          <w:b/>
          <w:bCs/>
          <w:color w:val="000000"/>
          <w:kern w:val="0"/>
          <w:sz w:val="32"/>
          <w:szCs w:val="32"/>
        </w:rPr>
        <w:t>（五）负责全区宏观质量管理。</w:t>
      </w:r>
      <w:r>
        <w:rPr>
          <w:rFonts w:hint="eastAsia" w:ascii="仿宋_GB2312" w:hAnsi="仿宋_GB2312" w:eastAsia="仿宋_GB2312" w:cs="仿宋_GB2312"/>
          <w:color w:val="000000"/>
          <w:kern w:val="0"/>
          <w:sz w:val="32"/>
          <w:szCs w:val="32"/>
        </w:rPr>
        <w:t xml:space="preserve">拟订并组织实施质量发展 的制度措施。统筹全区质量基础设施建设与应用。会同有关部 门组织实施重大工程设备质量监理制度，按规定权限组织或参 与产品质量事故调查，贯彻实施缺陷产品召回制度，监督管理 产品防伪工作。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（六）负责全区产品质量安全监督管理。</w:t>
      </w:r>
      <w:r>
        <w:rPr>
          <w:rFonts w:hint="eastAsia" w:ascii="仿宋_GB2312" w:hAnsi="仿宋_GB2312" w:eastAsia="仿宋_GB2312" w:cs="仿宋_GB2312"/>
          <w:color w:val="000000"/>
          <w:kern w:val="0"/>
          <w:sz w:val="32"/>
          <w:szCs w:val="32"/>
        </w:rPr>
        <w:t xml:space="preserve">负责产品质量监 督抽查和风险监控工作，组织实施质量分级制度、质量安全追溯制度。负责工业产品生产许可证证后监管。负责纤维质量监督工作。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（七）负责全区特种设备安全监督管理。</w:t>
      </w:r>
      <w:r>
        <w:rPr>
          <w:rFonts w:hint="eastAsia" w:ascii="仿宋_GB2312" w:hAnsi="仿宋_GB2312" w:eastAsia="仿宋_GB2312" w:cs="仿宋_GB2312"/>
          <w:color w:val="000000"/>
          <w:kern w:val="0"/>
          <w:sz w:val="32"/>
          <w:szCs w:val="32"/>
        </w:rPr>
        <w:t xml:space="preserve">综合管理特种设 备安全监察、监督工作，监督检查高耗能特种设备节能标准和 锅炉产品环境保护标准的执行情况。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（八）负责全区食品安全监督管理综合协调。</w:t>
      </w:r>
      <w:r>
        <w:rPr>
          <w:rFonts w:hint="eastAsia" w:ascii="仿宋_GB2312" w:hAnsi="仿宋_GB2312" w:eastAsia="仿宋_GB2312" w:cs="仿宋_GB2312"/>
          <w:color w:val="000000"/>
          <w:kern w:val="0"/>
          <w:sz w:val="32"/>
          <w:szCs w:val="32"/>
        </w:rPr>
        <w:t xml:space="preserve">统筹指导全 区食品安全工作。负责食品安全应急体系建设，按规定权限组 织食品安全事件应急处置和调查处理工作。落实食品安全重要 信息直报制度。承担区食品安全委员会日常工作。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（九）负责全区食品安全监督管理。</w:t>
      </w:r>
      <w:r>
        <w:rPr>
          <w:rFonts w:hint="eastAsia" w:ascii="仿宋_GB2312" w:hAnsi="仿宋_GB2312" w:eastAsia="仿宋_GB2312" w:cs="仿宋_GB2312"/>
          <w:color w:val="000000"/>
          <w:kern w:val="0"/>
          <w:sz w:val="32"/>
          <w:szCs w:val="32"/>
        </w:rPr>
        <w:t xml:space="preserve">建立覆盖食品生产、 流通、消费全过程的监督检查制度和隐患排查治理机制并组织实施，防范区域性、系统性食品安全风险。推动建立食品生产 经营者落实主体责任的机制，健全食品安全追溯体系。指导督 促食品生产经营企业的相关安全生产工作。组织开展食品安全 监督抽检、风险监测、核查处置和风险预警、风险交流工作。 组织实施特殊食品监督管理。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（十）负责药品、化妆品和医疗器械的质量管理、风险管 理、安全监督和安全应急管理。</w:t>
      </w:r>
      <w:r>
        <w:rPr>
          <w:rFonts w:hint="eastAsia" w:ascii="仿宋_GB2312" w:hAnsi="仿宋_GB2312" w:eastAsia="仿宋_GB2312" w:cs="仿宋_GB2312"/>
          <w:color w:val="000000"/>
          <w:kern w:val="0"/>
          <w:sz w:val="32"/>
          <w:szCs w:val="32"/>
        </w:rPr>
        <w:t xml:space="preserve">承担全区药品零售、医疗器械 经营的检查和处罚，以及化妆品经营和药品、医疗器械使用环 节质量的安全监测、检查和处罚。参与省、市市场监管局和省 药监局组织的监督检查。监督实施问题产品召回和处置工作。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（十一）负责统一管理全区计量工作。</w:t>
      </w:r>
      <w:r>
        <w:rPr>
          <w:rFonts w:hint="eastAsia" w:ascii="仿宋_GB2312" w:hAnsi="仿宋_GB2312" w:eastAsia="仿宋_GB2312" w:cs="仿宋_GB2312"/>
          <w:color w:val="000000"/>
          <w:kern w:val="0"/>
          <w:sz w:val="32"/>
          <w:szCs w:val="32"/>
        </w:rPr>
        <w:t xml:space="preserve">推行法定计量单位， 执行国家计量制度，管理计量器具及量值传递和比对工作。规 范、监督商品量和市场计量行为。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（十二）负责统一管理全区标准化工作。</w:t>
      </w:r>
      <w:r>
        <w:rPr>
          <w:rFonts w:hint="eastAsia" w:ascii="仿宋_GB2312" w:hAnsi="仿宋_GB2312" w:eastAsia="仿宋_GB2312" w:cs="仿宋_GB2312"/>
          <w:color w:val="000000"/>
          <w:kern w:val="0"/>
          <w:sz w:val="32"/>
          <w:szCs w:val="32"/>
        </w:rPr>
        <w:t xml:space="preserve">协调指导团体标 准制定工作。推行企业标准自我声明公开。依法对标准制定和 实施情况开展监督。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（十三）负责统一管理全区检验检测工作。</w:t>
      </w:r>
      <w:r>
        <w:rPr>
          <w:rFonts w:hint="eastAsia" w:ascii="仿宋_GB2312" w:hAnsi="仿宋_GB2312" w:eastAsia="仿宋_GB2312" w:cs="仿宋_GB2312"/>
          <w:color w:val="000000"/>
          <w:kern w:val="0"/>
          <w:sz w:val="32"/>
          <w:szCs w:val="32"/>
        </w:rPr>
        <w:t xml:space="preserve">规范检验检测 市场，完善检验检测体系，指导协调检验检测行业发展。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（十四）负责统一管理认证认可工作。</w:t>
      </w:r>
      <w:r>
        <w:rPr>
          <w:rFonts w:hint="eastAsia" w:ascii="仿宋_GB2312" w:hAnsi="仿宋_GB2312" w:eastAsia="仿宋_GB2312" w:cs="仿宋_GB2312"/>
          <w:color w:val="000000"/>
          <w:kern w:val="0"/>
          <w:sz w:val="32"/>
          <w:szCs w:val="32"/>
        </w:rPr>
        <w:t xml:space="preserve">监督管理认证认可 和合格评定工作。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（十五）</w:t>
      </w:r>
      <w:r>
        <w:rPr>
          <w:rFonts w:hint="eastAsia" w:ascii="仿宋_GB2312" w:hAnsi="仿宋_GB2312" w:eastAsia="仿宋_GB2312" w:cs="仿宋_GB2312"/>
          <w:color w:val="000000"/>
          <w:kern w:val="0"/>
          <w:sz w:val="32"/>
          <w:szCs w:val="32"/>
        </w:rPr>
        <w:t xml:space="preserve">负责全区知识产权战略、规划的制定，负责知识 产权保护、管理，指导知识产权创造、运用和服务促进工作， 负责组织指导商标、专利执法工作。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（十六）负责市场监督管理科技和信息化建设。</w:t>
      </w:r>
      <w:r>
        <w:rPr>
          <w:rFonts w:hint="eastAsia" w:ascii="仿宋_GB2312" w:hAnsi="仿宋_GB2312" w:eastAsia="仿宋_GB2312" w:cs="仿宋_GB2312"/>
          <w:color w:val="000000"/>
          <w:kern w:val="0"/>
          <w:sz w:val="32"/>
          <w:szCs w:val="32"/>
        </w:rPr>
        <w:t xml:space="preserve">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（十七）</w:t>
      </w:r>
      <w:r>
        <w:rPr>
          <w:rFonts w:hint="eastAsia" w:ascii="仿宋_GB2312" w:hAnsi="仿宋_GB2312" w:eastAsia="仿宋_GB2312" w:cs="仿宋_GB2312"/>
          <w:color w:val="000000"/>
          <w:kern w:val="0"/>
          <w:sz w:val="32"/>
          <w:szCs w:val="32"/>
        </w:rPr>
        <w:t xml:space="preserve">负责职责范围内的安全生产和职业健康、生态环 境保护、审批服务便民化等工作。 </w:t>
      </w:r>
    </w:p>
    <w:p>
      <w:pPr>
        <w:widowControl/>
        <w:ind w:firstLine="643"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（十八）</w:t>
      </w:r>
      <w:r>
        <w:rPr>
          <w:rFonts w:hint="eastAsia" w:ascii="仿宋_GB2312" w:hAnsi="仿宋_GB2312" w:eastAsia="仿宋_GB2312" w:cs="仿宋_GB2312"/>
          <w:color w:val="000000"/>
          <w:sz w:val="32"/>
          <w:szCs w:val="32"/>
        </w:rPr>
        <w:t>完成区委和区政府交办的其他任务。</w:t>
      </w:r>
    </w:p>
    <w:p>
      <w:pPr>
        <w:pStyle w:val="26"/>
      </w:pPr>
    </w:p>
    <w:p>
      <w:pPr>
        <w:pStyle w:val="6"/>
        <w:rPr>
          <w:rStyle w:val="29"/>
          <w:rFonts w:ascii="Cambria" w:hAnsi="Cambria" w:eastAsia="宋体" w:cs="Times New Roman"/>
          <w:b/>
          <w:bCs/>
        </w:rPr>
      </w:pPr>
      <w:bookmarkStart w:id="18" w:name="_Toc877"/>
      <w:bookmarkStart w:id="19" w:name="_Toc4215"/>
      <w:r>
        <w:rPr>
          <w:rFonts w:hint="eastAsia" w:ascii="黑体" w:hAnsi="Cambria" w:eastAsia="黑体" w:cs="Times New Roman"/>
          <w:b w:val="0"/>
        </w:rPr>
        <w:t>二、</w:t>
      </w:r>
      <w:r>
        <w:rPr>
          <w:rFonts w:hint="eastAsia" w:ascii="黑体" w:hAnsi="黑体" w:eastAsia="黑体" w:cs="Times New Roman"/>
          <w:b w:val="0"/>
        </w:rPr>
        <w:t>机</w:t>
      </w:r>
      <w:r>
        <w:rPr>
          <w:rStyle w:val="29"/>
          <w:rFonts w:hint="eastAsia" w:ascii="黑体" w:hAnsi="黑体" w:eastAsia="黑体" w:cs="Times New Roman"/>
          <w:b/>
          <w:bCs/>
        </w:rPr>
        <w:t>构设置</w:t>
      </w:r>
      <w:bookmarkEnd w:id="15"/>
      <w:bookmarkEnd w:id="16"/>
      <w:bookmarkEnd w:id="17"/>
      <w:bookmarkEnd w:id="18"/>
      <w:bookmarkEnd w:id="19"/>
    </w:p>
    <w:p>
      <w:pPr>
        <w:adjustRightInd w:val="0"/>
        <w:snapToGrid w:val="0"/>
        <w:spacing w:line="540" w:lineRule="exact"/>
        <w:ind w:firstLine="800" w:firstLineChars="250"/>
        <w:rPr>
          <w:rFonts w:ascii="仿宋_GB2312" w:hAnsi="仿宋_GB2312" w:eastAsia="仿宋_GB2312" w:cs="仿宋_GB2312"/>
          <w:sz w:val="32"/>
          <w:szCs w:val="32"/>
        </w:rPr>
      </w:pPr>
      <w:bookmarkStart w:id="20" w:name="_Toc15378449"/>
      <w:bookmarkStart w:id="21" w:name="_Toc15306276"/>
      <w:bookmarkStart w:id="22" w:name="_Toc15377433"/>
      <w:bookmarkStart w:id="23" w:name="_Toc15377202"/>
      <w:r>
        <w:rPr>
          <w:rFonts w:hint="eastAsia" w:ascii="仿宋_GB2312" w:hAnsi="仿宋_GB2312" w:eastAsia="仿宋_GB2312" w:cs="仿宋_GB2312"/>
          <w:kern w:val="0"/>
          <w:sz w:val="32"/>
          <w:szCs w:val="32"/>
        </w:rPr>
        <w:t>攀枝花市西区市场监督管理局（以下简称西区市场监管局）下属二级单位1个，其中行政单位0个，参照公务员法管理的事业单位0个，其他事</w:t>
      </w:r>
      <w:r>
        <w:rPr>
          <w:rFonts w:hint="eastAsia" w:ascii="仿宋_GB2312" w:hAnsi="仿宋_GB2312" w:eastAsia="仿宋_GB2312" w:cs="仿宋_GB2312"/>
          <w:sz w:val="32"/>
          <w:szCs w:val="32"/>
        </w:rPr>
        <w:t>业单位1个。</w:t>
      </w:r>
    </w:p>
    <w:p>
      <w:pPr>
        <w:pStyle w:val="8"/>
        <w:adjustRightInd w:val="0"/>
        <w:snapToGrid w:val="0"/>
        <w:spacing w:before="93" w:line="540" w:lineRule="exact"/>
        <w:ind w:firstLine="640" w:firstLineChars="200"/>
        <w:rPr>
          <w:rFonts w:hAnsi="仿宋_GB2312" w:cs="仿宋_GB2312"/>
          <w:sz w:val="32"/>
          <w:szCs w:val="32"/>
        </w:rPr>
      </w:pPr>
      <w:r>
        <w:rPr>
          <w:rFonts w:hint="eastAsia" w:hAnsi="仿宋_GB2312" w:cs="仿宋_GB2312"/>
          <w:sz w:val="32"/>
          <w:szCs w:val="32"/>
        </w:rPr>
        <w:t>纳入西区市场监管局2024年度部门决算编制范围的二级单位包括：攀枝花市西区消费维权和个体经济指导服务中心。</w:t>
      </w:r>
      <w:bookmarkEnd w:id="20"/>
      <w:bookmarkEnd w:id="21"/>
      <w:bookmarkEnd w:id="22"/>
      <w:bookmarkEnd w:id="23"/>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5"/>
        <w:jc w:val="center"/>
        <w:rPr>
          <w:rFonts w:hint="eastAsia" w:eastAsia="方正小标宋简体" w:cs="方正小标宋简体"/>
          <w:b w:val="0"/>
        </w:rPr>
      </w:pPr>
      <w:bookmarkStart w:id="24" w:name="_Toc8906"/>
      <w:r>
        <w:rPr>
          <w:rFonts w:hint="eastAsia" w:eastAsia="方正小标宋简体" w:cs="方正小标宋简体"/>
          <w:b w:val="0"/>
        </w:rPr>
        <w:t>第二部分  2024年度部门决算情况说明</w:t>
      </w:r>
      <w:bookmarkEnd w:id="9"/>
      <w:bookmarkEnd w:id="10"/>
      <w:bookmarkEnd w:id="24"/>
      <w:bookmarkStart w:id="25" w:name="_Toc15377205"/>
      <w:bookmarkStart w:id="26" w:name="_Toc15396603"/>
    </w:p>
    <w:p>
      <w:pPr>
        <w:pStyle w:val="5"/>
        <w:ind w:firstLine="321" w:firstLineChars="100"/>
        <w:outlineLvl w:val="1"/>
        <w:rPr>
          <w:rStyle w:val="29"/>
          <w:rFonts w:ascii="Times New Roman" w:hAnsi="Times New Roman" w:eastAsia="方正小标宋简体" w:cs="方正小标宋简体"/>
          <w:b w:val="0"/>
          <w:bCs/>
          <w:kern w:val="44"/>
          <w:sz w:val="44"/>
          <w:szCs w:val="44"/>
        </w:rPr>
      </w:pPr>
      <w:bookmarkStart w:id="27" w:name="_Toc11729"/>
      <w:r>
        <w:rPr>
          <w:rFonts w:hint="eastAsia" w:eastAsia="黑体"/>
          <w:sz w:val="32"/>
          <w:szCs w:val="32"/>
        </w:rPr>
        <w:t>一、收</w:t>
      </w:r>
      <w:r>
        <w:rPr>
          <w:rStyle w:val="29"/>
          <w:rFonts w:hint="eastAsia" w:ascii="Times New Roman" w:hAnsi="Times New Roman" w:eastAsia="黑体"/>
          <w:b w:val="0"/>
          <w:bCs w:val="0"/>
        </w:rPr>
        <w:t>入支出决算总体情况说明</w:t>
      </w:r>
      <w:bookmarkEnd w:id="25"/>
      <w:bookmarkEnd w:id="26"/>
      <w:bookmarkEnd w:id="27"/>
    </w:p>
    <w:p>
      <w:pPr>
        <w:spacing w:line="600" w:lineRule="exact"/>
        <w:ind w:firstLine="640" w:firstLineChars="200"/>
        <w:rPr>
          <w:rFonts w:ascii="仿宋" w:hAnsi="仿宋" w:eastAsia="仿宋"/>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1653.9</w:t>
      </w:r>
      <w:r>
        <w:rPr>
          <w:rFonts w:hint="eastAsia" w:eastAsia="仿宋_GB2312" w:cs="仿宋_GB2312"/>
          <w:sz w:val="32"/>
          <w:szCs w:val="32"/>
        </w:rPr>
        <w:t>万元。与2023年度相比，收入、支出总计各减少81.7万元，下降4.71%。主要变动原因是</w:t>
      </w:r>
      <w:r>
        <w:rPr>
          <w:rFonts w:hint="eastAsia" w:ascii="仿宋" w:hAnsi="仿宋" w:eastAsia="仿宋"/>
          <w:sz w:val="32"/>
          <w:szCs w:val="32"/>
        </w:rPr>
        <w:t>人员经费减少。</w:t>
      </w:r>
    </w:p>
    <w:p>
      <w:pPr>
        <w:pStyle w:val="27"/>
        <w:spacing w:line="600" w:lineRule="exact"/>
        <w:ind w:firstLine="640"/>
        <w:outlineLvl w:val="1"/>
        <w:rPr>
          <w:rFonts w:eastAsia="仿宋_GB2312" w:cs="仿宋_GB2312"/>
          <w:sz w:val="32"/>
          <w:szCs w:val="32"/>
        </w:rPr>
      </w:pPr>
      <w:bookmarkStart w:id="28" w:name="_Toc8747"/>
      <w:r>
        <w:rPr>
          <w:rFonts w:hint="eastAsia" w:eastAsia="仿宋_GB2312" w:cs="仿宋_GB2312"/>
          <w:sz w:val="32"/>
          <w:szCs w:val="32"/>
        </w:rPr>
        <w:t>（图1：收入、支出决算总计变动情况图）</w:t>
      </w:r>
      <w:bookmarkEnd w:id="28"/>
    </w:p>
    <w:p>
      <w:pPr>
        <w:ind w:firstLine="640" w:firstLineChars="200"/>
        <w:rPr>
          <w:rFonts w:eastAsia="仿宋_GB2312" w:cs="仿宋_GB2312"/>
          <w:sz w:val="32"/>
          <w:szCs w:val="32"/>
        </w:rPr>
      </w:pPr>
      <w:r>
        <w:rPr>
          <w:rFonts w:eastAsia="仿宋_GB2312" w:cs="仿宋_GB2312"/>
          <w:sz w:val="32"/>
          <w:szCs w:val="32"/>
        </w:rPr>
        <w:drawing>
          <wp:inline distT="0" distB="0" distL="0" distR="0">
            <wp:extent cx="4099560" cy="2630170"/>
            <wp:effectExtent l="19050" t="0" r="15074"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7"/>
        <w:spacing w:line="600" w:lineRule="exact"/>
        <w:ind w:firstLine="640"/>
        <w:outlineLvl w:val="1"/>
        <w:rPr>
          <w:rFonts w:eastAsia="黑体"/>
          <w:sz w:val="32"/>
          <w:szCs w:val="32"/>
        </w:rPr>
      </w:pPr>
      <w:bookmarkStart w:id="29" w:name="_Toc15377206"/>
      <w:bookmarkStart w:id="30" w:name="_Toc15396604"/>
      <w:bookmarkStart w:id="31" w:name="_Toc12927"/>
      <w:r>
        <w:rPr>
          <w:rFonts w:hint="eastAsia" w:eastAsia="黑体"/>
          <w:sz w:val="32"/>
          <w:szCs w:val="32"/>
        </w:rPr>
        <w:t>二、收入决算情况说明</w:t>
      </w:r>
      <w:bookmarkEnd w:id="29"/>
      <w:bookmarkEnd w:id="30"/>
      <w:bookmarkEnd w:id="31"/>
    </w:p>
    <w:p>
      <w:pPr>
        <w:pStyle w:val="27"/>
        <w:spacing w:line="600" w:lineRule="exact"/>
        <w:ind w:firstLine="640"/>
        <w:jc w:val="left"/>
        <w:outlineLvl w:val="1"/>
        <w:rPr>
          <w:rFonts w:eastAsia="仿宋_GB2312" w:cs="仿宋_GB2312"/>
          <w:b/>
          <w:bCs/>
          <w:sz w:val="32"/>
          <w:szCs w:val="32"/>
        </w:rPr>
      </w:pPr>
      <w:bookmarkStart w:id="32" w:name="_Toc28751"/>
      <w:r>
        <w:rPr>
          <w:rFonts w:hint="eastAsia" w:ascii="仿宋_GB2312" w:hAnsi="仿宋_GB2312" w:eastAsia="仿宋_GB2312" w:cs="仿宋_GB2312"/>
          <w:sz w:val="32"/>
          <w:szCs w:val="32"/>
        </w:rPr>
        <w:t>2024年度本年收入合计1580.96万元，其中：一般公共预算财政拨款收入1580.96万元，占100%；政府性基金预算财政拨款收入0万元，占0%；国有资本经营预算财政拨款收入0万元，占0%；上级补助收入0万元，占0%；事业收入0万元，占0%；经营收入0万元，占0%；附属单位上缴收入0万元，占0%；其他收入0万元，占0%。</w:t>
      </w:r>
      <w:bookmarkEnd w:id="32"/>
    </w:p>
    <w:p>
      <w:pPr>
        <w:ind w:firstLine="800" w:firstLineChars="250"/>
        <w:rPr>
          <w:rFonts w:eastAsia="仿宋_GB2312" w:cs="仿宋_GB2312"/>
          <w:sz w:val="32"/>
          <w:szCs w:val="32"/>
        </w:rPr>
      </w:pPr>
      <w:r>
        <w:rPr>
          <w:rFonts w:hint="eastAsia" w:eastAsia="仿宋_GB2312" w:cs="仿宋_GB2312"/>
          <w:sz w:val="32"/>
          <w:szCs w:val="32"/>
        </w:rPr>
        <w:t>（图2：收入决算结构图）</w:t>
      </w:r>
    </w:p>
    <w:p>
      <w:pPr>
        <w:ind w:firstLine="800" w:firstLineChars="250"/>
        <w:rPr>
          <w:rFonts w:eastAsia="仿宋_GB2312" w:cs="仿宋_GB2312"/>
          <w:sz w:val="32"/>
          <w:szCs w:val="32"/>
        </w:rPr>
      </w:pPr>
      <w:r>
        <w:rPr>
          <w:rFonts w:eastAsia="仿宋_GB2312" w:cs="仿宋_GB2312"/>
          <w:sz w:val="32"/>
          <w:szCs w:val="32"/>
        </w:rPr>
        <w:drawing>
          <wp:inline distT="0" distB="0" distL="0" distR="0">
            <wp:extent cx="3598545" cy="2464435"/>
            <wp:effectExtent l="19050" t="0" r="20706"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spacing w:line="600" w:lineRule="exact"/>
        <w:ind w:firstLine="640"/>
        <w:outlineLvl w:val="1"/>
        <w:rPr>
          <w:rStyle w:val="29"/>
          <w:rFonts w:ascii="Times New Roman" w:hAnsi="Times New Roman" w:eastAsia="黑体"/>
          <w:b w:val="0"/>
        </w:rPr>
      </w:pPr>
      <w:bookmarkStart w:id="33" w:name="_Toc15377207"/>
      <w:bookmarkStart w:id="34" w:name="_Toc15396605"/>
      <w:bookmarkStart w:id="35" w:name="_Toc1448"/>
      <w:r>
        <w:rPr>
          <w:rFonts w:hint="eastAsia" w:eastAsia="黑体"/>
          <w:sz w:val="32"/>
          <w:szCs w:val="32"/>
        </w:rPr>
        <w:t>三、支</w:t>
      </w:r>
      <w:r>
        <w:rPr>
          <w:rStyle w:val="29"/>
          <w:rFonts w:hint="eastAsia" w:ascii="Times New Roman" w:hAnsi="Times New Roman" w:eastAsia="黑体"/>
          <w:b w:val="0"/>
        </w:rPr>
        <w:t>出决算情况说明</w:t>
      </w:r>
      <w:bookmarkEnd w:id="33"/>
      <w:bookmarkEnd w:id="34"/>
      <w:bookmarkEnd w:id="35"/>
    </w:p>
    <w:p>
      <w:pPr>
        <w:pStyle w:val="27"/>
        <w:spacing w:line="600" w:lineRule="exact"/>
        <w:ind w:firstLine="640"/>
        <w:jc w:val="left"/>
        <w:outlineLvl w:val="1"/>
        <w:rPr>
          <w:rFonts w:eastAsia="仿宋_GB2312" w:cs="仿宋_GB2312"/>
          <w:sz w:val="32"/>
          <w:szCs w:val="32"/>
        </w:rPr>
      </w:pPr>
      <w:bookmarkStart w:id="36" w:name="_Toc18355"/>
      <w:r>
        <w:rPr>
          <w:rFonts w:hint="eastAsia" w:ascii="仿宋_GB2312" w:hAnsi="仿宋_GB2312" w:eastAsia="仿宋_GB2312" w:cs="仿宋_GB2312"/>
          <w:sz w:val="32"/>
          <w:szCs w:val="32"/>
        </w:rPr>
        <w:t>2024年度本年支出合计1653.9万元，其中：基本支出1492.59万元，占90.24%；项目支出161.32万元，占9.75%；上缴上级支出0万元，占0%；经营支出0万元，占0%；对附属单位补助支出0万元，占0%。</w:t>
      </w:r>
      <w:bookmarkEnd w:id="36"/>
    </w:p>
    <w:p>
      <w:pPr>
        <w:ind w:firstLine="800" w:firstLineChars="250"/>
        <w:rPr>
          <w:rFonts w:eastAsia="仿宋_GB2312" w:cs="仿宋_GB2312"/>
          <w:sz w:val="32"/>
          <w:szCs w:val="32"/>
        </w:rPr>
      </w:pPr>
      <w:r>
        <w:rPr>
          <w:rFonts w:hint="eastAsia" w:eastAsia="仿宋_GB2312" w:cs="仿宋_GB2312"/>
          <w:sz w:val="32"/>
          <w:szCs w:val="32"/>
        </w:rPr>
        <w:t>（图3：支出决算结构图）</w:t>
      </w:r>
    </w:p>
    <w:p>
      <w:pPr>
        <w:ind w:firstLine="800" w:firstLineChars="250"/>
        <w:rPr>
          <w:rFonts w:eastAsia="仿宋_GB2312" w:cs="仿宋_GB2312"/>
          <w:sz w:val="32"/>
          <w:szCs w:val="32"/>
        </w:rPr>
      </w:pPr>
      <w:r>
        <w:rPr>
          <w:rFonts w:eastAsia="仿宋_GB2312" w:cs="仿宋_GB2312"/>
          <w:sz w:val="32"/>
          <w:szCs w:val="32"/>
        </w:rPr>
        <w:drawing>
          <wp:inline distT="0" distB="0" distL="0" distR="0">
            <wp:extent cx="3352165" cy="2305685"/>
            <wp:effectExtent l="19050" t="0" r="19547"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29"/>
          <w:rFonts w:ascii="Times New Roman" w:hAnsi="Times New Roman" w:eastAsia="黑体"/>
          <w:b w:val="0"/>
        </w:rPr>
      </w:pPr>
      <w:bookmarkStart w:id="37" w:name="_Toc15377208"/>
      <w:bookmarkStart w:id="38" w:name="_Toc15396606"/>
      <w:bookmarkStart w:id="39" w:name="_Toc28673"/>
      <w:r>
        <w:rPr>
          <w:rFonts w:hint="eastAsia" w:eastAsia="黑体"/>
          <w:sz w:val="32"/>
          <w:szCs w:val="32"/>
        </w:rPr>
        <w:t>四、财</w:t>
      </w:r>
      <w:r>
        <w:rPr>
          <w:rStyle w:val="29"/>
          <w:rFonts w:hint="eastAsia" w:ascii="Times New Roman" w:hAnsi="Times New Roman" w:eastAsia="黑体"/>
          <w:b w:val="0"/>
        </w:rPr>
        <w:t>政拨款收入支出决算总体情况说明</w:t>
      </w:r>
      <w:bookmarkEnd w:id="37"/>
      <w:bookmarkEnd w:id="38"/>
      <w:bookmarkEnd w:id="39"/>
    </w:p>
    <w:p>
      <w:pPr>
        <w:spacing w:line="600" w:lineRule="exact"/>
        <w:ind w:firstLine="640"/>
        <w:rPr>
          <w:rFonts w:ascii="仿宋" w:hAnsi="仿宋" w:eastAsia="仿宋"/>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1653.9</w:t>
      </w:r>
      <w:r>
        <w:rPr>
          <w:rFonts w:hint="eastAsia" w:eastAsia="仿宋_GB2312" w:cs="仿宋_GB2312"/>
          <w:sz w:val="32"/>
          <w:szCs w:val="32"/>
        </w:rPr>
        <w:t>万元。与2023年度相比，财政拨款收入总计、支出总计各减少81.7万元，下降4.71%。主要变动原因是</w:t>
      </w:r>
      <w:r>
        <w:rPr>
          <w:rFonts w:hint="eastAsia" w:ascii="仿宋" w:hAnsi="仿宋" w:eastAsia="仿宋"/>
          <w:sz w:val="32"/>
          <w:szCs w:val="32"/>
        </w:rPr>
        <w:t>人员经费减少。</w:t>
      </w:r>
    </w:p>
    <w:p>
      <w:pPr>
        <w:spacing w:line="600" w:lineRule="exact"/>
        <w:ind w:firstLine="640"/>
        <w:rPr>
          <w:rFonts w:eastAsia="仿宋_GB2312" w:cs="仿宋_GB2312"/>
          <w:sz w:val="32"/>
          <w:szCs w:val="32"/>
        </w:rPr>
      </w:pPr>
      <w:r>
        <w:rPr>
          <w:rFonts w:hint="eastAsia" w:eastAsia="仿宋_GB2312" w:cs="仿宋_GB2312"/>
          <w:sz w:val="32"/>
          <w:szCs w:val="32"/>
        </w:rPr>
        <w:t>（图4：财政拨款收、支决算总计变动情况）</w:t>
      </w:r>
    </w:p>
    <w:p>
      <w:pPr>
        <w:pStyle w:val="2"/>
      </w:pPr>
    </w:p>
    <w:p>
      <w:pPr>
        <w:pStyle w:val="3"/>
        <w:ind w:left="420"/>
      </w:pPr>
      <w:r>
        <w:drawing>
          <wp:inline distT="0" distB="0" distL="0" distR="0">
            <wp:extent cx="3992245" cy="2440940"/>
            <wp:effectExtent l="19050" t="0" r="27305"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9"/>
          <w:rFonts w:ascii="Times New Roman" w:hAnsi="Times New Roman" w:eastAsia="黑体"/>
          <w:b w:val="0"/>
        </w:rPr>
      </w:pPr>
      <w:bookmarkStart w:id="40" w:name="_Toc15396607"/>
      <w:bookmarkStart w:id="41" w:name="_Toc15377209"/>
      <w:bookmarkStart w:id="42" w:name="_Toc3510"/>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40"/>
      <w:bookmarkEnd w:id="41"/>
      <w:bookmarkEnd w:id="42"/>
    </w:p>
    <w:p>
      <w:pPr>
        <w:spacing w:line="600" w:lineRule="exact"/>
        <w:ind w:firstLine="643" w:firstLineChars="200"/>
        <w:outlineLvl w:val="2"/>
        <w:rPr>
          <w:rFonts w:eastAsia="楷体_GB2312" w:cs="楷体_GB2312"/>
          <w:b/>
          <w:sz w:val="32"/>
          <w:szCs w:val="32"/>
        </w:rPr>
      </w:pPr>
      <w:bookmarkStart w:id="43" w:name="_Toc15377210"/>
      <w:r>
        <w:rPr>
          <w:rFonts w:hint="eastAsia" w:eastAsia="楷体_GB2312" w:cs="楷体_GB2312"/>
          <w:b/>
          <w:sz w:val="32"/>
          <w:szCs w:val="32"/>
        </w:rPr>
        <w:t>（一）一般公共预算财政拨款支出决算总体情况</w:t>
      </w:r>
      <w:bookmarkEnd w:id="43"/>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2024年度一般公共预算财政拨款支出1653.9万元，占本年支出合计的100%。与2023年度相比，一般公共预算财政拨款支出减少81.7万元，下降4.71%。主要变动原因是</w:t>
      </w:r>
      <w:r>
        <w:rPr>
          <w:rFonts w:hint="eastAsia" w:ascii="仿宋" w:hAnsi="仿宋" w:eastAsia="仿宋"/>
          <w:sz w:val="32"/>
          <w:szCs w:val="32"/>
        </w:rPr>
        <w:t>人员经费减少.</w:t>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pPr>
        <w:pStyle w:val="2"/>
      </w:pPr>
    </w:p>
    <w:p>
      <w:pPr>
        <w:pStyle w:val="3"/>
        <w:ind w:left="420"/>
      </w:pPr>
      <w:r>
        <w:drawing>
          <wp:inline distT="0" distB="0" distL="0" distR="0">
            <wp:extent cx="4083685" cy="2743200"/>
            <wp:effectExtent l="19050" t="0" r="11927"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3" w:firstLineChars="200"/>
        <w:outlineLvl w:val="2"/>
        <w:rPr>
          <w:rFonts w:eastAsia="楷体_GB2312" w:cs="楷体_GB2312"/>
          <w:b/>
          <w:sz w:val="32"/>
          <w:szCs w:val="32"/>
        </w:rPr>
      </w:pPr>
      <w:bookmarkStart w:id="44" w:name="_Toc15377211"/>
      <w:r>
        <w:rPr>
          <w:rFonts w:hint="eastAsia" w:eastAsia="楷体_GB2312" w:cs="楷体_GB2312"/>
          <w:b/>
          <w:sz w:val="32"/>
          <w:szCs w:val="32"/>
        </w:rPr>
        <w:t>（二）一般公共预算财政拨款支出决算结构情况</w:t>
      </w:r>
      <w:bookmarkEnd w:id="44"/>
    </w:p>
    <w:p>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1653.9万元</w:t>
      </w:r>
      <w:r>
        <w:rPr>
          <w:rFonts w:hint="eastAsia" w:eastAsia="仿宋_GB2312" w:cs="仿宋_GB2312"/>
          <w:sz w:val="32"/>
          <w:szCs w:val="32"/>
        </w:rPr>
        <w:t>，主要用于以下方面：一般公共服务支出1243.42万元，占75.18%；社会保障和就业支出176.98万元，占10.7%；卫生健康支出131.07万元，占7.92%；住房保障支出102.43万元，占6.2%.</w:t>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pPr>
        <w:pStyle w:val="2"/>
      </w:pPr>
    </w:p>
    <w:p>
      <w:pPr>
        <w:pStyle w:val="3"/>
        <w:ind w:left="420"/>
      </w:pPr>
      <w:r>
        <w:drawing>
          <wp:inline distT="0" distB="0" distL="0" distR="0">
            <wp:extent cx="3914140" cy="2218055"/>
            <wp:effectExtent l="19050" t="0" r="9635" b="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eastAsia="楷体_GB2312" w:cs="楷体_GB2312"/>
          <w:b/>
          <w:sz w:val="32"/>
          <w:szCs w:val="32"/>
        </w:rPr>
      </w:pPr>
      <w:bookmarkStart w:id="45" w:name="_Toc15377212"/>
      <w:r>
        <w:rPr>
          <w:rFonts w:hint="eastAsia" w:eastAsia="楷体_GB2312" w:cs="楷体_GB2312"/>
          <w:b/>
          <w:sz w:val="32"/>
          <w:szCs w:val="32"/>
        </w:rPr>
        <w:t>（三）一般公共预算财政拨款支出决算具体情况</w:t>
      </w:r>
      <w:bookmarkEnd w:id="45"/>
    </w:p>
    <w:p>
      <w:pPr>
        <w:spacing w:line="600" w:lineRule="exact"/>
        <w:ind w:firstLine="640"/>
        <w:rPr>
          <w:rFonts w:eastAsia="仿宋_GB2312" w:cs="仿宋_GB2312"/>
          <w:sz w:val="32"/>
          <w:szCs w:val="32"/>
        </w:rPr>
      </w:pPr>
      <w:bookmarkStart w:id="46" w:name="_Toc15378460"/>
      <w:bookmarkStart w:id="47" w:name="_Toc15377444"/>
      <w:bookmarkStart w:id="48"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1653.9，</w:t>
      </w:r>
      <w:r>
        <w:rPr>
          <w:rFonts w:hint="eastAsia" w:eastAsia="仿宋_GB2312" w:cs="仿宋_GB2312"/>
          <w:sz w:val="32"/>
          <w:szCs w:val="32"/>
        </w:rPr>
        <w:t>完成预算100%。其中：</w:t>
      </w:r>
      <w:bookmarkEnd w:id="46"/>
      <w:bookmarkEnd w:id="47"/>
      <w:bookmarkEnd w:id="48"/>
    </w:p>
    <w:p>
      <w:pPr>
        <w:spacing w:line="600" w:lineRule="exact"/>
        <w:ind w:firstLine="643" w:firstLineChars="200"/>
        <w:rPr>
          <w:rFonts w:ascii="仿宋" w:hAnsi="仿宋" w:eastAsia="仿宋"/>
          <w:b/>
          <w:sz w:val="32"/>
          <w:szCs w:val="32"/>
        </w:rPr>
      </w:pPr>
      <w:bookmarkStart w:id="49" w:name="_Toc15396608"/>
      <w:bookmarkStart w:id="50" w:name="_Toc15377214"/>
      <w:r>
        <w:rPr>
          <w:rStyle w:val="17"/>
          <w:rFonts w:ascii="仿宋" w:hAnsi="仿宋" w:eastAsia="仿宋"/>
          <w:bCs/>
          <w:sz w:val="32"/>
          <w:szCs w:val="32"/>
        </w:rPr>
        <w:t>1.</w:t>
      </w:r>
      <w:r>
        <w:rPr>
          <w:rStyle w:val="17"/>
          <w:rFonts w:hint="eastAsia" w:ascii="仿宋" w:hAnsi="仿宋" w:eastAsia="仿宋"/>
          <w:bCs/>
          <w:sz w:val="32"/>
          <w:szCs w:val="32"/>
        </w:rPr>
        <w:t>一般公共服务支出</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行政运行支出决算数为965.3万元，完成预算100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；其他知识产权事务支出决算数20万元，完成预算100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；事业运行决算数116.8万元，完成预算100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；其他市场监督管理事务135.15万元，完成预算100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；一般行政管理事务决算数0.25万元，完成预算100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；其他宣传事务支出决算数0.72万元，完成预算100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2</w:t>
      </w:r>
      <w:r>
        <w:rPr>
          <w:rStyle w:val="17"/>
          <w:rFonts w:ascii="仿宋" w:hAnsi="仿宋" w:eastAsia="仿宋"/>
          <w:bCs/>
          <w:sz w:val="32"/>
          <w:szCs w:val="32"/>
        </w:rPr>
        <w:t>.</w:t>
      </w:r>
      <w:r>
        <w:rPr>
          <w:rStyle w:val="17"/>
          <w:rFonts w:hint="eastAsia" w:ascii="仿宋" w:hAnsi="仿宋" w:eastAsia="仿宋"/>
          <w:bCs/>
          <w:sz w:val="32"/>
          <w:szCs w:val="32"/>
        </w:rPr>
        <w:t>社会保障和就业支出</w:t>
      </w:r>
      <w:r>
        <w:rPr>
          <w:rStyle w:val="17"/>
          <w:rFonts w:ascii="仿宋" w:hAnsi="仿宋" w:eastAsia="仿宋"/>
          <w:bCs/>
          <w:sz w:val="32"/>
          <w:szCs w:val="32"/>
        </w:rPr>
        <w:t>:</w:t>
      </w:r>
      <w:r>
        <w:rPr>
          <w:rStyle w:val="17"/>
          <w:rFonts w:ascii="仿宋" w:hAnsi="仿宋" w:eastAsia="仿宋"/>
          <w:b w:val="0"/>
          <w:bCs/>
          <w:sz w:val="32"/>
          <w:szCs w:val="32"/>
        </w:rPr>
        <w:t xml:space="preserve"> 行政单位离退休</w:t>
      </w:r>
      <w:r>
        <w:rPr>
          <w:rStyle w:val="17"/>
          <w:rFonts w:hint="eastAsia" w:ascii="仿宋" w:hAnsi="仿宋" w:eastAsia="仿宋"/>
          <w:b w:val="0"/>
          <w:bCs/>
          <w:sz w:val="32"/>
          <w:szCs w:val="32"/>
        </w:rPr>
        <w:t>支出决算为51.75万元，完成预算100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；机关事业单位基本养老保险缴费支出决算数125.23万元，完成预算100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 xml:space="preserve"> </w:t>
      </w:r>
      <w:r>
        <w:rPr>
          <w:rStyle w:val="17"/>
          <w:rFonts w:hint="eastAsia" w:ascii="仿宋" w:hAnsi="仿宋" w:eastAsia="仿宋"/>
          <w:bCs/>
          <w:sz w:val="32"/>
          <w:szCs w:val="32"/>
        </w:rPr>
        <w:t>3</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支出</w:t>
      </w:r>
      <w:r>
        <w:rPr>
          <w:rStyle w:val="17"/>
          <w:rFonts w:ascii="仿宋" w:hAnsi="仿宋" w:eastAsia="仿宋"/>
          <w:bCs/>
          <w:sz w:val="32"/>
          <w:szCs w:val="32"/>
        </w:rPr>
        <w:t>:</w:t>
      </w:r>
      <w:r>
        <w:rPr>
          <w:rStyle w:val="17"/>
          <w:rFonts w:ascii="仿宋" w:hAnsi="仿宋" w:eastAsia="仿宋"/>
          <w:b w:val="0"/>
          <w:bCs/>
          <w:sz w:val="32"/>
          <w:szCs w:val="32"/>
        </w:rPr>
        <w:t>行政单位医疗支出决算数为</w:t>
      </w:r>
      <w:r>
        <w:rPr>
          <w:rStyle w:val="17"/>
          <w:rFonts w:hint="eastAsia" w:ascii="仿宋" w:hAnsi="仿宋" w:eastAsia="仿宋"/>
          <w:b w:val="0"/>
          <w:bCs/>
          <w:sz w:val="32"/>
          <w:szCs w:val="32"/>
        </w:rPr>
        <w:t>63.9万元，完成预算100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；事业单位医疗支出决算数为9.34万元，完成预算100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ascii="仿宋" w:hAnsi="仿宋" w:eastAsia="仿宋"/>
          <w:b w:val="0"/>
          <w:bCs/>
          <w:sz w:val="32"/>
          <w:szCs w:val="32"/>
        </w:rPr>
        <w:t>公务员医疗补助支出决算数为</w:t>
      </w:r>
      <w:r>
        <w:rPr>
          <w:rStyle w:val="17"/>
          <w:rFonts w:hint="eastAsia" w:ascii="仿宋" w:hAnsi="仿宋" w:eastAsia="仿宋"/>
          <w:b w:val="0"/>
          <w:bCs/>
          <w:sz w:val="32"/>
          <w:szCs w:val="32"/>
        </w:rPr>
        <w:t>53.59万元，完成预算100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ascii="仿宋" w:hAnsi="仿宋" w:eastAsia="仿宋"/>
          <w:b w:val="0"/>
          <w:bCs/>
          <w:sz w:val="32"/>
          <w:szCs w:val="32"/>
        </w:rPr>
        <w:t>其他行政事业单位医疗支出决算数为</w:t>
      </w:r>
      <w:r>
        <w:rPr>
          <w:rStyle w:val="17"/>
          <w:rFonts w:hint="eastAsia" w:ascii="仿宋" w:hAnsi="仿宋" w:eastAsia="仿宋"/>
          <w:b w:val="0"/>
          <w:bCs/>
          <w:sz w:val="32"/>
          <w:szCs w:val="32"/>
        </w:rPr>
        <w:t>4.24万元，完成预算100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8"/>
        <w:spacing w:before="93"/>
        <w:rPr>
          <w:rFonts w:ascii="仿宋" w:hAnsi="仿宋" w:eastAsia="仿宋"/>
          <w:b/>
          <w:sz w:val="32"/>
          <w:szCs w:val="32"/>
        </w:rPr>
      </w:pPr>
      <w:r>
        <w:rPr>
          <w:rFonts w:hint="eastAsia"/>
        </w:rPr>
        <w:t xml:space="preserve">    </w:t>
      </w:r>
      <w:r>
        <w:rPr>
          <w:rFonts w:hint="eastAsia"/>
          <w:sz w:val="32"/>
          <w:szCs w:val="32"/>
        </w:rPr>
        <w:t xml:space="preserve"> </w:t>
      </w:r>
      <w:r>
        <w:rPr>
          <w:rFonts w:hint="eastAsia"/>
          <w:b/>
          <w:sz w:val="32"/>
          <w:szCs w:val="32"/>
        </w:rPr>
        <w:t>4.住房保障支出</w:t>
      </w:r>
      <w:r>
        <w:rPr>
          <w:rFonts w:hint="eastAsia"/>
          <w:sz w:val="32"/>
          <w:szCs w:val="32"/>
        </w:rPr>
        <w:t>：住房公积金支出决算数为102.43万元，</w:t>
      </w:r>
      <w:r>
        <w:rPr>
          <w:rStyle w:val="17"/>
          <w:rFonts w:hint="eastAsia" w:hAnsi="仿宋"/>
          <w:b w:val="0"/>
          <w:bCs/>
          <w:sz w:val="32"/>
          <w:szCs w:val="32"/>
        </w:rPr>
        <w:t>完成预算100%。</w:t>
      </w:r>
    </w:p>
    <w:p>
      <w:pPr>
        <w:tabs>
          <w:tab w:val="right" w:pos="8306"/>
        </w:tabs>
        <w:spacing w:line="600" w:lineRule="exact"/>
        <w:ind w:firstLine="640"/>
        <w:outlineLvl w:val="1"/>
        <w:rPr>
          <w:rStyle w:val="29"/>
          <w:rFonts w:ascii="Times New Roman" w:hAnsi="Times New Roman"/>
        </w:rPr>
      </w:pPr>
      <w:bookmarkStart w:id="51" w:name="_Toc2790"/>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49"/>
      <w:bookmarkEnd w:id="50"/>
      <w:bookmarkEnd w:id="51"/>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1492.59万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1353.57万</w:t>
      </w:r>
      <w:r>
        <w:rPr>
          <w:rFonts w:hint="eastAsia" w:eastAsia="仿宋_GB2312" w:cs="仿宋_GB2312"/>
          <w:sz w:val="32"/>
          <w:szCs w:val="32"/>
        </w:rPr>
        <w:t>元，主要包括：基本工资、津贴补贴、奖金、伙食补助费、绩效工资、机关事业单位基本养老保险缴费、其他社会保障缴费、其他工资福利支出、离休费、退休费、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139.02万</w:t>
      </w:r>
      <w:r>
        <w:rPr>
          <w:rFonts w:hint="eastAsia" w:eastAsia="仿宋_GB2312" w:cs="仿宋_GB2312"/>
          <w:sz w:val="32"/>
          <w:szCs w:val="32"/>
        </w:rPr>
        <w:t>元，主要包括：办公费、印刷费、水费、电费、邮电费、差旅费、维修（护）费、党建经费、公务接待费、劳务费、委托业务费、工会经费、福利费、公务用车运行维护费、其他交通费、办公设备购置。</w:t>
      </w:r>
    </w:p>
    <w:p>
      <w:pPr>
        <w:spacing w:line="600" w:lineRule="exact"/>
        <w:ind w:firstLine="640"/>
        <w:outlineLvl w:val="1"/>
        <w:rPr>
          <w:rStyle w:val="29"/>
          <w:rFonts w:ascii="Times New Roman" w:hAnsi="Times New Roman" w:eastAsia="黑体"/>
          <w:b w:val="0"/>
        </w:rPr>
      </w:pPr>
      <w:bookmarkStart w:id="52" w:name="_Toc15396609"/>
      <w:bookmarkStart w:id="53" w:name="_Toc15377215"/>
      <w:bookmarkStart w:id="54" w:name="_Toc478"/>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52"/>
      <w:bookmarkEnd w:id="53"/>
      <w:bookmarkEnd w:id="54"/>
    </w:p>
    <w:p>
      <w:pPr>
        <w:spacing w:line="600" w:lineRule="exact"/>
        <w:ind w:firstLine="643" w:firstLineChars="200"/>
        <w:outlineLvl w:val="2"/>
        <w:rPr>
          <w:rFonts w:eastAsia="楷体_GB2312" w:cs="楷体_GB2312"/>
          <w:b/>
          <w:sz w:val="32"/>
          <w:szCs w:val="32"/>
        </w:rPr>
      </w:pPr>
      <w:bookmarkStart w:id="55" w:name="_Toc15377216"/>
      <w:r>
        <w:rPr>
          <w:rFonts w:hint="eastAsia" w:eastAsia="楷体_GB2312" w:cs="楷体_GB2312"/>
          <w:b/>
          <w:sz w:val="32"/>
          <w:szCs w:val="32"/>
        </w:rPr>
        <w:t>（一）“三公”经费财政拨款支出决算总体情况说明</w:t>
      </w:r>
      <w:bookmarkEnd w:id="55"/>
    </w:p>
    <w:p>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15.51万元，完成预算100%，</w:t>
      </w:r>
      <w:r>
        <w:rPr>
          <w:rFonts w:hint="eastAsia" w:eastAsia="仿宋_GB2312" w:cs="仿宋_GB2312"/>
          <w:sz w:val="32"/>
          <w:szCs w:val="32"/>
        </w:rPr>
        <w:t>较上年度减少9.21万元，下降37.25%主要原因是</w:t>
      </w:r>
      <w:bookmarkStart w:id="56" w:name="_Toc15377217"/>
      <w:r>
        <w:rPr>
          <w:rFonts w:hint="eastAsia" w:eastAsia="仿宋_GB2312" w:cs="仿宋_GB2312"/>
          <w:sz w:val="32"/>
          <w:szCs w:val="32"/>
        </w:rPr>
        <w:t>本年减少了车辆费用支出。</w:t>
      </w:r>
    </w:p>
    <w:p>
      <w:pPr>
        <w:spacing w:line="600" w:lineRule="exact"/>
        <w:ind w:firstLine="640"/>
        <w:rPr>
          <w:rFonts w:eastAsia="仿宋_GB2312" w:cs="仿宋_GB2312"/>
          <w:sz w:val="32"/>
          <w:szCs w:val="32"/>
        </w:rPr>
      </w:pPr>
      <w:r>
        <w:rPr>
          <w:rFonts w:hint="eastAsia" w:eastAsia="楷体_GB2312" w:cs="楷体_GB2312"/>
          <w:b/>
          <w:sz w:val="32"/>
          <w:szCs w:val="32"/>
        </w:rPr>
        <w:t>（二）“三公”经费财政拨款支出决算具体情况说明</w:t>
      </w:r>
      <w:bookmarkEnd w:id="56"/>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2024年度“三公”经费财政拨款支出决算中，因公出国（境）费支出决算0万元，占0%；公务用车购置及运行维护费支出决算14.92万元，占96.19%；公务接待费支出决算0.59万元，占3.81%。具体情况如下：</w:t>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pStyle w:val="2"/>
      </w:pPr>
    </w:p>
    <w:p>
      <w:pPr>
        <w:pStyle w:val="3"/>
        <w:ind w:left="420"/>
      </w:pPr>
      <w:r>
        <w:drawing>
          <wp:inline distT="0" distB="0" distL="0" distR="0">
            <wp:extent cx="3932555" cy="2409190"/>
            <wp:effectExtent l="19050" t="0" r="10602" b="0"/>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。因公出国（境）支出决算比2023年增加0万元，增长0%。</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14.92万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公务用车购置及运行维护费支出决算比2023年度减少9.17万元，下降38.07%。主要原因是车辆费用减少。</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w:t>
      </w:r>
    </w:p>
    <w:p>
      <w:pPr>
        <w:spacing w:line="600" w:lineRule="exact"/>
        <w:ind w:firstLine="640"/>
        <w:rPr>
          <w:rFonts w:ascii="仿宋_GB2312" w:eastAsia="仿宋_GB2312"/>
          <w:sz w:val="32"/>
          <w:szCs w:val="32"/>
        </w:rPr>
      </w:pPr>
      <w:r>
        <w:rPr>
          <w:rFonts w:hint="eastAsia" w:eastAsia="仿宋_GB2312" w:cs="仿宋_GB2312"/>
          <w:sz w:val="32"/>
          <w:szCs w:val="32"/>
        </w:rPr>
        <w:t>截至2024年12月31日，单位共有公务用车10辆，</w:t>
      </w:r>
      <w:r>
        <w:rPr>
          <w:rFonts w:hint="eastAsia" w:ascii="仿宋_GB2312" w:eastAsia="仿宋_GB2312"/>
          <w:sz w:val="32"/>
          <w:szCs w:val="32"/>
        </w:rPr>
        <w:t>其中：轿车9辆、越野车0辆、载客汽车0辆、特种专用车1辆。</w:t>
      </w:r>
    </w:p>
    <w:p>
      <w:pPr>
        <w:spacing w:line="600" w:lineRule="exact"/>
        <w:ind w:firstLine="640"/>
        <w:rPr>
          <w:rFonts w:ascii="仿宋_GB2312" w:eastAsia="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出14.92</w:t>
      </w:r>
      <w:r>
        <w:rPr>
          <w:rFonts w:hint="eastAsia" w:eastAsia="仿宋_GB2312" w:cs="仿宋_GB2312"/>
          <w:sz w:val="32"/>
          <w:szCs w:val="32"/>
        </w:rPr>
        <w:t>万元。</w:t>
      </w:r>
      <w:r>
        <w:rPr>
          <w:rFonts w:hint="eastAsia" w:ascii="仿宋_GB2312" w:eastAsia="仿宋_GB2312"/>
          <w:sz w:val="32"/>
          <w:szCs w:val="32"/>
        </w:rPr>
        <w:t>主要用于市场秩序监管、质量安全监管、食品、药品、化妆品、医疗器械、特种设备安全监管，知识产权、计量、标准化、认证认可及检验检测等工作所需的公务用车燃料费、维修费、过路过桥费、保险费等支出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0.59万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公务接待费支出决算比2023年度减少0.04万元，下降6.35%。主要原因是节约开支。其中：</w:t>
      </w:r>
    </w:p>
    <w:p>
      <w:pPr>
        <w:spacing w:line="600" w:lineRule="exact"/>
        <w:ind w:firstLine="640"/>
        <w:rPr>
          <w:rFonts w:ascii="仿宋_GB2312"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出0.59万</w:t>
      </w:r>
      <w:r>
        <w:rPr>
          <w:rFonts w:hint="eastAsia" w:eastAsia="仿宋_GB2312" w:cs="仿宋_GB2312"/>
          <w:sz w:val="32"/>
          <w:szCs w:val="32"/>
        </w:rPr>
        <w:t>元，</w:t>
      </w:r>
      <w:r>
        <w:rPr>
          <w:rFonts w:hint="eastAsia" w:ascii="仿宋_GB2312" w:eastAsia="仿宋_GB2312"/>
          <w:sz w:val="32"/>
          <w:szCs w:val="32"/>
        </w:rPr>
        <w:t>主要用于上级部门到我区考察、调研和开展市场检查、药品和食品指导产生的执行公务、开展业务活动开支的用餐费</w:t>
      </w:r>
      <w:r>
        <w:rPr>
          <w:rFonts w:hint="eastAsia" w:eastAsia="仿宋_GB2312" w:cs="仿宋_GB2312"/>
          <w:sz w:val="32"/>
          <w:szCs w:val="32"/>
        </w:rPr>
        <w:t>。国内公务接</w:t>
      </w:r>
      <w:r>
        <w:rPr>
          <w:rFonts w:hint="eastAsia" w:ascii="仿宋_GB2312" w:hAnsi="仿宋_GB2312" w:eastAsia="仿宋_GB2312" w:cs="仿宋_GB2312"/>
          <w:sz w:val="32"/>
          <w:szCs w:val="32"/>
        </w:rPr>
        <w:t>待6批次，39</w:t>
      </w:r>
      <w:r>
        <w:rPr>
          <w:rFonts w:hint="eastAsia" w:eastAsia="仿宋_GB2312" w:cs="仿宋_GB2312"/>
          <w:sz w:val="32"/>
          <w:szCs w:val="32"/>
        </w:rPr>
        <w:t>人次（不包括陪同人员），共计支出0.59万元，具体内容包括：</w:t>
      </w:r>
      <w:r>
        <w:rPr>
          <w:rFonts w:hint="eastAsia" w:ascii="仿宋_GB2312" w:eastAsia="仿宋_GB2312"/>
          <w:sz w:val="32"/>
          <w:szCs w:val="32"/>
        </w:rPr>
        <w:t>省局调研接待费0.11万元，省局2024年特种设备后监督检查接待费0.06万元，2024年食品销售安全飞行检查接待费0.05万元，开展四星市场监管所实地考察验收工作接待费0.06万元，川渝校园食品安全交叉检查公务接待费</w:t>
      </w:r>
      <w:r>
        <w:rPr>
          <w:rFonts w:hint="eastAsia" w:eastAsia="仿宋_GB2312"/>
          <w:sz w:val="32"/>
          <w:szCs w:val="32"/>
        </w:rPr>
        <w:t> </w:t>
      </w:r>
      <w:r>
        <w:rPr>
          <w:rFonts w:hint="eastAsia" w:ascii="仿宋_GB2312" w:eastAsia="仿宋_GB2312"/>
          <w:sz w:val="32"/>
          <w:szCs w:val="32"/>
        </w:rPr>
        <w:t>0.13万元，华坪县市场监管局联合执法调查接待费</w:t>
      </w:r>
      <w:r>
        <w:rPr>
          <w:rFonts w:hint="eastAsia" w:eastAsia="仿宋_GB2312"/>
          <w:sz w:val="32"/>
          <w:szCs w:val="32"/>
        </w:rPr>
        <w:t> </w:t>
      </w:r>
      <w:r>
        <w:rPr>
          <w:rFonts w:hint="eastAsia" w:ascii="仿宋_GB2312" w:eastAsia="仿宋_GB2312"/>
          <w:sz w:val="32"/>
          <w:szCs w:val="32"/>
        </w:rPr>
        <w:t>0.18万元</w:t>
      </w:r>
      <w:r>
        <w:rPr>
          <w:rFonts w:hint="eastAsia" w:ascii="仿宋_GB2312"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bookmarkStart w:id="57" w:name="_Toc15377218"/>
      <w:bookmarkStart w:id="58" w:name="_Toc15396610"/>
    </w:p>
    <w:p>
      <w:pPr>
        <w:spacing w:line="600" w:lineRule="exact"/>
        <w:ind w:firstLine="640"/>
        <w:outlineLvl w:val="1"/>
        <w:rPr>
          <w:rStyle w:val="29"/>
          <w:rFonts w:ascii="Times New Roman" w:hAnsi="Times New Roman" w:eastAsia="黑体"/>
        </w:rPr>
      </w:pPr>
      <w:bookmarkStart w:id="59" w:name="_Toc15632"/>
      <w:r>
        <w:rPr>
          <w:rFonts w:hint="eastAsia" w:eastAsia="黑体"/>
          <w:sz w:val="32"/>
          <w:szCs w:val="32"/>
        </w:rPr>
        <w:t>八、</w:t>
      </w:r>
      <w:r>
        <w:rPr>
          <w:rStyle w:val="29"/>
          <w:rFonts w:hint="eastAsia" w:ascii="Times New Roman" w:hAnsi="Times New Roman" w:eastAsia="黑体"/>
          <w:b w:val="0"/>
        </w:rPr>
        <w:t>政府性基金预算支出决算情况说明</w:t>
      </w:r>
      <w:bookmarkEnd w:id="57"/>
      <w:bookmarkEnd w:id="58"/>
      <w:bookmarkEnd w:id="59"/>
    </w:p>
    <w:p>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。与2023年度相比，政府性基金预算财政拨款支出减少9.01万元，下降100%。主要变动原因是本年财政未下达政府性基金预算支出。</w:t>
      </w:r>
    </w:p>
    <w:p>
      <w:pPr>
        <w:spacing w:line="600" w:lineRule="exact"/>
        <w:ind w:left="630"/>
        <w:outlineLvl w:val="1"/>
        <w:rPr>
          <w:rStyle w:val="29"/>
          <w:rFonts w:ascii="Times New Roman" w:hAnsi="Times New Roman" w:eastAsia="黑体"/>
          <w:b w:val="0"/>
        </w:rPr>
      </w:pPr>
      <w:bookmarkStart w:id="60" w:name="_Toc15377219"/>
      <w:bookmarkStart w:id="61" w:name="_Toc15396611"/>
      <w:bookmarkStart w:id="62" w:name="_Toc10265"/>
      <w:r>
        <w:rPr>
          <w:rStyle w:val="29"/>
          <w:rFonts w:hint="eastAsia" w:ascii="Times New Roman" w:hAnsi="Times New Roman" w:eastAsia="黑体"/>
          <w:b w:val="0"/>
        </w:rPr>
        <w:t>九、国有资本经营预算支出决算情况说明</w:t>
      </w:r>
      <w:bookmarkEnd w:id="60"/>
      <w:bookmarkEnd w:id="61"/>
      <w:bookmarkEnd w:id="62"/>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。与2023年度相比，国有资本经营预算财政拨款支出增加0万元，增长0%。</w:t>
      </w:r>
    </w:p>
    <w:p>
      <w:pPr>
        <w:spacing w:line="600" w:lineRule="exact"/>
        <w:ind w:left="630"/>
        <w:outlineLvl w:val="1"/>
        <w:rPr>
          <w:rStyle w:val="29"/>
          <w:rFonts w:ascii="Times New Roman" w:hAnsi="Times New Roman" w:eastAsia="黑体"/>
          <w:b w:val="0"/>
        </w:rPr>
      </w:pPr>
      <w:bookmarkStart w:id="63" w:name="_Toc15396612"/>
      <w:bookmarkStart w:id="64" w:name="_Toc15377221"/>
      <w:bookmarkStart w:id="65" w:name="_Toc23118"/>
      <w:r>
        <w:rPr>
          <w:rStyle w:val="29"/>
          <w:rFonts w:hint="eastAsia" w:ascii="Times New Roman" w:hAnsi="Times New Roman" w:eastAsia="黑体"/>
          <w:b w:val="0"/>
        </w:rPr>
        <w:t>十、其他重要事项的情况说明</w:t>
      </w:r>
      <w:bookmarkEnd w:id="63"/>
      <w:bookmarkEnd w:id="64"/>
      <w:bookmarkEnd w:id="65"/>
    </w:p>
    <w:p>
      <w:pPr>
        <w:spacing w:line="600" w:lineRule="exact"/>
        <w:ind w:firstLine="643" w:firstLineChars="200"/>
        <w:outlineLvl w:val="2"/>
        <w:rPr>
          <w:rFonts w:eastAsia="楷体_GB2312" w:cs="楷体_GB2312"/>
          <w:b/>
          <w:sz w:val="32"/>
          <w:szCs w:val="32"/>
        </w:rPr>
      </w:pPr>
      <w:bookmarkStart w:id="66" w:name="_Toc15377222"/>
      <w:r>
        <w:rPr>
          <w:rFonts w:hint="eastAsia" w:eastAsia="楷体_GB2312" w:cs="楷体_GB2312"/>
          <w:b/>
          <w:sz w:val="32"/>
          <w:szCs w:val="32"/>
        </w:rPr>
        <w:t>（一）机关运行经费支出情况</w:t>
      </w:r>
      <w:bookmarkEnd w:id="66"/>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，攀枝花市西区市场监督管理局机关运行经费支出139.02万</w:t>
      </w:r>
      <w:r>
        <w:rPr>
          <w:rFonts w:hint="eastAsia" w:eastAsia="仿宋_GB2312" w:cs="仿宋_GB2312"/>
          <w:sz w:val="32"/>
          <w:szCs w:val="32"/>
        </w:rPr>
        <w:t>元，比2023年度减少5.12万元，下降3.55%。主要原因是车辆费用减少。</w:t>
      </w:r>
    </w:p>
    <w:p>
      <w:pPr>
        <w:spacing w:line="600" w:lineRule="exact"/>
        <w:ind w:firstLine="643" w:firstLineChars="200"/>
        <w:outlineLvl w:val="2"/>
        <w:rPr>
          <w:rFonts w:eastAsia="楷体_GB2312" w:cs="楷体_GB2312"/>
          <w:b/>
          <w:sz w:val="32"/>
          <w:szCs w:val="32"/>
        </w:rPr>
      </w:pPr>
      <w:bookmarkStart w:id="67" w:name="_Toc15377223"/>
      <w:r>
        <w:rPr>
          <w:rFonts w:hint="eastAsia" w:eastAsia="楷体_GB2312" w:cs="楷体_GB2312"/>
          <w:b/>
          <w:sz w:val="32"/>
          <w:szCs w:val="32"/>
        </w:rPr>
        <w:t>（二）政府采购支出情况</w:t>
      </w:r>
      <w:bookmarkEnd w:id="67"/>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攀枝花市西区市场监督管理局政府采购支出总额4.04万元，其中：政府采购货物支出4.04万元、政府采购工程支出0万元、政府采购服务支出0万元。主要用于采购打印机、空调等办公设备。授予中小企业合同金额4.04万元，占政府采购支出总额的100%，其中：授予小微企业合同金额4.04万元，占政府采购支出总额的100%。</w:t>
      </w:r>
    </w:p>
    <w:p>
      <w:pPr>
        <w:spacing w:line="600" w:lineRule="exact"/>
        <w:ind w:firstLine="482" w:firstLineChars="150"/>
        <w:outlineLvl w:val="2"/>
        <w:rPr>
          <w:rFonts w:eastAsia="楷体_GB2312" w:cs="楷体_GB2312"/>
          <w:b/>
          <w:sz w:val="32"/>
          <w:szCs w:val="32"/>
        </w:rPr>
      </w:pPr>
      <w:bookmarkStart w:id="68" w:name="_Toc15377224"/>
      <w:r>
        <w:rPr>
          <w:rFonts w:hint="eastAsia" w:eastAsia="楷体_GB2312" w:cs="楷体_GB2312"/>
          <w:b/>
          <w:sz w:val="32"/>
          <w:szCs w:val="32"/>
        </w:rPr>
        <w:t>（三）国有资产占有使用情况</w:t>
      </w:r>
      <w:bookmarkEnd w:id="68"/>
    </w:p>
    <w:p>
      <w:pPr>
        <w:autoSpaceDE w:val="0"/>
        <w:autoSpaceDN w:val="0"/>
        <w:adjustRightInd w:val="0"/>
        <w:snapToGrid w:val="0"/>
        <w:spacing w:line="550" w:lineRule="exact"/>
        <w:ind w:firstLine="640" w:firstLineChars="200"/>
        <w:jc w:val="left"/>
        <w:rPr>
          <w:rFonts w:ascii="仿宋" w:hAnsi="仿宋" w:eastAsia="仿宋"/>
          <w:b/>
          <w:sz w:val="32"/>
          <w:szCs w:val="32"/>
        </w:rPr>
      </w:pPr>
      <w:r>
        <w:rPr>
          <w:rFonts w:hint="eastAsia" w:ascii="仿宋_GB2312" w:hAnsi="仿宋_GB2312" w:eastAsia="仿宋_GB2312" w:cs="仿宋_GB2312"/>
          <w:sz w:val="32"/>
          <w:szCs w:val="32"/>
        </w:rPr>
        <w:t>截至2024年12月31日，攀枝花市西区市场监督管理局共有车辆10辆，</w:t>
      </w:r>
      <w:r>
        <w:rPr>
          <w:rFonts w:hint="eastAsia" w:ascii="仿宋_GB2312" w:eastAsia="仿宋_GB2312"/>
          <w:sz w:val="32"/>
          <w:szCs w:val="32"/>
        </w:rPr>
        <w:t>其中：主要领导干部用车0辆、机要通信用车0辆、应急保障用车0辆、其他用车0辆，</w:t>
      </w:r>
      <w:r>
        <w:rPr>
          <w:rFonts w:hint="eastAsia" w:eastAsia="仿宋_GB2312"/>
          <w:sz w:val="32"/>
          <w:szCs w:val="32"/>
        </w:rPr>
        <w:t>执法执勤用车9辆、特种专业技术用车1辆。</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万元以上专用设备0台（套）。</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w:t>
      </w:r>
      <w:r>
        <w:rPr>
          <w:rFonts w:eastAsia="仿宋_GB2312"/>
          <w:color w:val="000000"/>
          <w:kern w:val="0"/>
          <w:sz w:val="32"/>
          <w:szCs w:val="32"/>
          <w:shd w:val="clear" w:color="auto" w:fill="FFFFFF"/>
          <w:lang w:val="zh-CN"/>
        </w:rPr>
        <w:t>执法办案、质量强区、消费者权益保护经费、食品、药械化、特种设备等安全监管经费、市场监管专项资金</w:t>
      </w:r>
      <w:r>
        <w:rPr>
          <w:rFonts w:hint="eastAsia" w:ascii="仿宋_GB2312" w:hAnsi="仿宋_GB2312" w:eastAsia="仿宋_GB2312" w:cs="仿宋_GB2312"/>
          <w:sz w:val="32"/>
          <w:szCs w:val="32"/>
        </w:rPr>
        <w:t>）等5个项目开展了预算事前绩效评估，对5个项目编制了绩效目标，预算执行过程中，选取5个项目开展绩效监控。</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2024年度一般公共预算、政府性基金预算、国有资本经营预算、社会保险基金预算以及资本资产、债券资金等全面开展绩效自评，形成2024西区市场监督管理局部门整体绩效自评报告，其中，攀枝花市西区市场监督管理局部门整体绩效自评报告绩效自评得分为93.8分，《2024年</w:t>
      </w:r>
      <w:r>
        <w:rPr>
          <w:rFonts w:ascii="仿宋_GB2312" w:hAnsi="仿宋_GB2312" w:eastAsia="仿宋_GB2312" w:cs="仿宋_GB2312"/>
          <w:sz w:val="32"/>
          <w:szCs w:val="32"/>
        </w:rPr>
        <w:t>攀枝花市</w:t>
      </w:r>
      <w:r>
        <w:rPr>
          <w:rFonts w:hint="eastAsia" w:ascii="仿宋_GB2312" w:hAnsi="仿宋_GB2312" w:eastAsia="仿宋_GB2312" w:cs="仿宋_GB2312"/>
          <w:sz w:val="32"/>
          <w:szCs w:val="32"/>
        </w:rPr>
        <w:t>西区市场监督管理局</w:t>
      </w:r>
      <w:r>
        <w:rPr>
          <w:rFonts w:ascii="仿宋_GB2312" w:hAnsi="仿宋_GB2312" w:eastAsia="仿宋_GB2312" w:cs="仿宋_GB2312"/>
          <w:sz w:val="32"/>
          <w:szCs w:val="32"/>
        </w:rPr>
        <w:t>部门整体绩效评价报告》</w:t>
      </w:r>
      <w:r>
        <w:rPr>
          <w:rFonts w:hint="eastAsia" w:ascii="仿宋_GB2312" w:hAnsi="仿宋_GB2312" w:eastAsia="仿宋_GB2312" w:cs="仿宋_GB2312"/>
          <w:sz w:val="32"/>
          <w:szCs w:val="32"/>
        </w:rPr>
        <w:t>详见第四部分附件</w:t>
      </w:r>
    </w:p>
    <w:p>
      <w:pPr>
        <w:spacing w:line="580" w:lineRule="exact"/>
        <w:ind w:firstLine="640" w:firstLineChars="200"/>
        <w:rPr>
          <w:rFonts w:hint="eastAsia" w:ascii="仿宋_GB2312" w:hAnsi="仿宋_GB2312"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jc w:val="center"/>
        <w:outlineLvl w:val="9"/>
        <w:rPr>
          <w:rFonts w:hint="eastAsia" w:eastAsia="黑体"/>
          <w:sz w:val="44"/>
          <w:szCs w:val="44"/>
        </w:rPr>
      </w:pPr>
      <w:bookmarkStart w:id="69" w:name="_Toc15377225"/>
      <w:bookmarkStart w:id="70" w:name="_Toc15396613"/>
    </w:p>
    <w:p>
      <w:pPr>
        <w:spacing w:line="600" w:lineRule="exact"/>
        <w:jc w:val="center"/>
        <w:outlineLvl w:val="0"/>
        <w:rPr>
          <w:rFonts w:eastAsia="黑体"/>
          <w:sz w:val="44"/>
          <w:szCs w:val="44"/>
        </w:rPr>
      </w:pPr>
      <w:bookmarkStart w:id="71" w:name="_Toc20020"/>
      <w:r>
        <w:rPr>
          <w:rFonts w:hint="eastAsia" w:eastAsia="黑体"/>
          <w:sz w:val="44"/>
          <w:szCs w:val="44"/>
        </w:rPr>
        <w:t>第三部分  名词解释</w:t>
      </w:r>
      <w:bookmarkEnd w:id="69"/>
      <w:bookmarkEnd w:id="70"/>
      <w:bookmarkEnd w:id="71"/>
    </w:p>
    <w:p>
      <w:pPr>
        <w:pStyle w:val="26"/>
        <w:snapToGrid w:val="0"/>
        <w:spacing w:line="540" w:lineRule="exact"/>
        <w:ind w:firstLine="640" w:firstLineChars="200"/>
        <w:rPr>
          <w:rFonts w:ascii="仿宋_GB2312" w:eastAsia="仿宋_GB2312"/>
          <w:color w:val="auto"/>
          <w:sz w:val="32"/>
          <w:szCs w:val="32"/>
        </w:rPr>
      </w:pPr>
      <w:bookmarkStart w:id="72" w:name="_Toc15396614"/>
      <w:bookmarkStart w:id="73" w:name="_Toc15377226"/>
      <w:r>
        <w:rPr>
          <w:rFonts w:hint="eastAsia" w:ascii="仿宋_GB2312" w:eastAsia="仿宋_GB2312"/>
          <w:color w:val="auto"/>
          <w:sz w:val="32"/>
          <w:szCs w:val="32"/>
        </w:rPr>
        <w:t>1.财政拨款收入：指单位从同级财政部门取得的财政预算资金。</w:t>
      </w:r>
    </w:p>
    <w:p>
      <w:pPr>
        <w:pStyle w:val="26"/>
        <w:snapToGrid w:val="0"/>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2.其他收入：指单位取得的除上述收入以外的各项收入。</w:t>
      </w:r>
    </w:p>
    <w:p>
      <w:pPr>
        <w:pStyle w:val="26"/>
        <w:snapToGrid w:val="0"/>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3.一般公共服务（类）纪检监察事务（款）其他纪检监察事务支出（项）:反映其他纪检监察事务方面的支出。</w:t>
      </w:r>
    </w:p>
    <w:p>
      <w:pPr>
        <w:pStyle w:val="26"/>
        <w:snapToGrid w:val="0"/>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 一般公共服务（类）市场监督管理事务（款）行政运行（项）：反映行政单位（包括公务员管理的事业单位）的基本支出。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 xml:space="preserve">5.一般公共服务（类）市场监督管理事务（款）一般行政管理事务（项）: </w:t>
      </w:r>
      <w:r>
        <w:rPr>
          <w:rFonts w:hint="eastAsia" w:ascii="仿宋_GB2312" w:eastAsia="仿宋_GB2312"/>
          <w:sz w:val="32"/>
          <w:szCs w:val="32"/>
        </w:rPr>
        <w:t>反映行政单位（包括公务员管理的事业单位）未单独设置项级科目的其他项目支出。</w:t>
      </w:r>
    </w:p>
    <w:p>
      <w:pPr>
        <w:pStyle w:val="26"/>
        <w:snapToGrid w:val="0"/>
        <w:spacing w:line="540" w:lineRule="exact"/>
        <w:ind w:firstLine="640" w:firstLineChars="200"/>
        <w:rPr>
          <w:rStyle w:val="17"/>
          <w:rFonts w:ascii="仿宋_GB2312" w:eastAsia="仿宋_GB2312"/>
          <w:b w:val="0"/>
          <w:bCs/>
          <w:color w:val="auto"/>
          <w:sz w:val="32"/>
          <w:szCs w:val="32"/>
        </w:rPr>
      </w:pPr>
      <w:r>
        <w:rPr>
          <w:rStyle w:val="17"/>
          <w:rFonts w:hint="eastAsia" w:ascii="仿宋_GB2312" w:eastAsia="仿宋_GB2312"/>
          <w:b w:val="0"/>
          <w:bCs/>
          <w:color w:val="auto"/>
          <w:sz w:val="32"/>
          <w:szCs w:val="32"/>
        </w:rPr>
        <w:t>6.一般公共服务（类）市场监督管理事务（款）市场监督管理专项（项）:反映从事市场监督管理专项业务方面的支出。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7.一般公共服务（类）市场监督管理事务（款）市场监管执法（项）: 反映市场监督管理部门依法开展各类执法(含食品、药品、物价等)活动、查处各类经济违法案件的专项工作支出。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8.一般公共服务（类）市场监督管理事务（款）消费者权益保护（项）: 反映市场监督部门依法打击侵害消费者权益行为的专项支出。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9.一般公共服务（类）市场监督管理事务（款）药品事务（项）:反映用于药品( 含中药、民族药)监督管理方面的支出。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 xml:space="preserve">10.一般公共服务（类）市场监督管理事务（款）事业运行（项）: </w:t>
      </w:r>
      <w:r>
        <w:rPr>
          <w:rFonts w:hint="eastAsia" w:ascii="仿宋_GB2312" w:eastAsia="仿宋_GB2312"/>
          <w:sz w:val="32"/>
          <w:szCs w:val="32"/>
        </w:rPr>
        <w:t>指用于事业单位的基本支出。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11.一般公共服务（类）市场监督管理事务（款）其他市场监督管理事务（项）: 指反映用于除上述项目以外其他市场监督管理事务方面的支出。</w:t>
      </w:r>
    </w:p>
    <w:p>
      <w:pPr>
        <w:pStyle w:val="26"/>
        <w:snapToGrid w:val="0"/>
        <w:spacing w:line="540" w:lineRule="exact"/>
        <w:ind w:firstLine="640" w:firstLineChars="200"/>
        <w:rPr>
          <w:rFonts w:ascii="仿宋_GB2312" w:eastAsia="仿宋_GB2312"/>
          <w:color w:val="auto"/>
          <w:sz w:val="32"/>
          <w:szCs w:val="32"/>
        </w:rPr>
      </w:pPr>
      <w:r>
        <w:rPr>
          <w:rStyle w:val="17"/>
          <w:rFonts w:hint="eastAsia" w:ascii="仿宋_GB2312" w:eastAsia="仿宋_GB2312"/>
          <w:b w:val="0"/>
          <w:bCs/>
          <w:color w:val="auto"/>
          <w:sz w:val="32"/>
          <w:szCs w:val="32"/>
        </w:rPr>
        <w:t>12.社会保障和就业（类）行政事业单位离退休（款）未归口管理的行政单位离退休（项）:</w:t>
      </w:r>
      <w:r>
        <w:rPr>
          <w:rFonts w:hint="eastAsia" w:ascii="仿宋_GB2312" w:eastAsia="仿宋_GB2312"/>
          <w:color w:val="auto"/>
          <w:sz w:val="32"/>
          <w:szCs w:val="32"/>
        </w:rPr>
        <w:t xml:space="preserve"> 指未实行归口管理的行政单位（包括实行公务员管理的事业单位 ）开支的离退休支出。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 xml:space="preserve">13.社会保障和就业（类）行政事业单位离退休（款）机关事业单位基本养老保险缴费支出（项）: </w:t>
      </w:r>
      <w:r>
        <w:rPr>
          <w:rFonts w:hint="eastAsia" w:ascii="仿宋_GB2312" w:eastAsia="仿宋_GB2312"/>
          <w:sz w:val="32"/>
          <w:szCs w:val="32"/>
        </w:rPr>
        <w:t>指机关事业单位实施养老保险制度由单位缴纳的基本养老保险支出。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 xml:space="preserve">14.社会保障和就业（类）行政事业单位离退休（款）机关事业单位职业年金缴费支出（项）: </w:t>
      </w:r>
      <w:r>
        <w:rPr>
          <w:rFonts w:hint="eastAsia" w:ascii="仿宋_GB2312" w:eastAsia="仿宋_GB2312"/>
          <w:sz w:val="32"/>
          <w:szCs w:val="32"/>
        </w:rPr>
        <w:t>反映机关事业单位实施养老保险制度由单位实际缴纳的职业年金支出。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 xml:space="preserve">15.社会保障和就业（类）抚恤（款）死亡抚恤（项）: </w:t>
      </w:r>
      <w:r>
        <w:rPr>
          <w:rFonts w:hint="eastAsia" w:ascii="仿宋_GB2312" w:eastAsia="仿宋_GB2312"/>
          <w:sz w:val="32"/>
          <w:szCs w:val="32"/>
        </w:rPr>
        <w:t>指按规定用于烈士和牺牲、病故人员家属的一次性和定期抚恤金以及丧葬补助费。</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16.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17.卫生健康支出（类）行政事业单位医疗（款）事业单位医疗（项）：反映财政部门安排的事业单位基本医疗保险缴费经费，未参加医疗保险的事业单位的公费医疗经费，按国家规定享受离休人员待遇的医疗经费。</w:t>
      </w:r>
    </w:p>
    <w:p>
      <w:pPr>
        <w:pStyle w:val="26"/>
        <w:snapToGrid w:val="0"/>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hint="eastAsia" w:ascii="仿宋_GB2312" w:eastAsia="仿宋_GB2312"/>
          <w:bCs/>
          <w:color w:val="auto"/>
          <w:sz w:val="32"/>
          <w:szCs w:val="32"/>
        </w:rPr>
        <w:t>住房保障</w:t>
      </w:r>
      <w:r>
        <w:rPr>
          <w:rStyle w:val="17"/>
          <w:rFonts w:hint="eastAsia" w:ascii="仿宋_GB2312" w:eastAsia="仿宋_GB2312"/>
          <w:b w:val="0"/>
          <w:bCs/>
          <w:color w:val="auto"/>
          <w:sz w:val="32"/>
          <w:szCs w:val="32"/>
        </w:rPr>
        <w:t>（类）住房改革支出（款）住房公积金（项）:</w:t>
      </w:r>
      <w:r>
        <w:rPr>
          <w:rFonts w:hint="eastAsia" w:ascii="仿宋_GB2312" w:eastAsia="仿宋_GB2312"/>
          <w:color w:val="auto"/>
          <w:sz w:val="32"/>
          <w:szCs w:val="32"/>
        </w:rPr>
        <w:t xml:space="preserve"> 指行政事业单位按人力资源和社会保障部、财政部规定的基本工资和津贴补贴以及按规定比例为职工缴纳的住房公积金。</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19.基本支出：指为保障机构正常运转、完成日常工作任务而发生的人员支出和公用支出。</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20.项目支出：指在基本支出之外为完成特定行政任务和事业发展目标所发生的支出。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eastAsia" w:eastAsia="黑体"/>
          <w:sz w:val="44"/>
          <w:szCs w:val="44"/>
        </w:rPr>
      </w:pPr>
    </w:p>
    <w:p>
      <w:pPr>
        <w:spacing w:line="600" w:lineRule="exact"/>
        <w:jc w:val="center"/>
        <w:outlineLvl w:val="0"/>
        <w:rPr>
          <w:rStyle w:val="28"/>
          <w:rFonts w:eastAsia="黑体"/>
          <w:b w:val="0"/>
        </w:rPr>
      </w:pPr>
      <w:bookmarkStart w:id="74" w:name="_Toc26020"/>
      <w:r>
        <w:rPr>
          <w:rFonts w:hint="eastAsia" w:eastAsia="黑体"/>
          <w:sz w:val="44"/>
          <w:szCs w:val="44"/>
        </w:rPr>
        <w:t>第四部分  附件</w:t>
      </w:r>
      <w:bookmarkEnd w:id="72"/>
      <w:bookmarkEnd w:id="74"/>
    </w:p>
    <w:p>
      <w:pPr>
        <w:spacing w:line="572" w:lineRule="exact"/>
        <w:jc w:val="left"/>
        <w:outlineLvl w:val="9"/>
        <w:rPr>
          <w:rFonts w:eastAsia="黑体" w:cs="黑体"/>
          <w:color w:val="FF0000"/>
          <w:sz w:val="32"/>
          <w:szCs w:val="32"/>
        </w:rPr>
      </w:pPr>
    </w:p>
    <w:p>
      <w:pPr>
        <w:widowControl/>
        <w:adjustRightInd w:val="0"/>
        <w:snapToGrid w:val="0"/>
        <w:spacing w:line="300" w:lineRule="auto"/>
        <w:contextualSpacing/>
        <w:jc w:val="center"/>
        <w:outlineLvl w:val="1"/>
        <w:rPr>
          <w:rFonts w:eastAsia="方正小标宋_GBK"/>
          <w:bCs/>
          <w:sz w:val="44"/>
          <w:szCs w:val="44"/>
          <w:shd w:val="clear" w:color="auto" w:fill="FFFFFF"/>
        </w:rPr>
      </w:pPr>
      <w:bookmarkStart w:id="75" w:name="_Toc19934"/>
      <w:bookmarkStart w:id="76" w:name="_Toc15396618"/>
      <w:r>
        <w:rPr>
          <w:rFonts w:eastAsia="方正小标宋_GBK"/>
          <w:bCs/>
          <w:sz w:val="44"/>
          <w:szCs w:val="44"/>
          <w:shd w:val="clear" w:color="auto" w:fill="FFFFFF"/>
        </w:rPr>
        <w:t>攀枝花市西区市场监督管理局</w:t>
      </w:r>
      <w:bookmarkEnd w:id="75"/>
    </w:p>
    <w:p>
      <w:pPr>
        <w:widowControl/>
        <w:adjustRightInd w:val="0"/>
        <w:snapToGrid w:val="0"/>
        <w:spacing w:line="300" w:lineRule="auto"/>
        <w:contextualSpacing/>
        <w:jc w:val="center"/>
        <w:outlineLvl w:val="1"/>
        <w:rPr>
          <w:rFonts w:eastAsia="方正小标宋_GBK"/>
          <w:bCs/>
          <w:sz w:val="44"/>
          <w:szCs w:val="44"/>
          <w:shd w:val="clear" w:color="auto" w:fill="FFFFFF"/>
        </w:rPr>
      </w:pPr>
      <w:bookmarkStart w:id="77" w:name="_Toc12731"/>
      <w:r>
        <w:rPr>
          <w:rFonts w:eastAsia="方正小标宋_GBK"/>
          <w:bCs/>
          <w:sz w:val="44"/>
          <w:szCs w:val="44"/>
          <w:shd w:val="clear" w:color="auto" w:fill="FFFFFF"/>
        </w:rPr>
        <w:t>2024年部门预算绩效自评报告</w:t>
      </w:r>
      <w:bookmarkEnd w:id="77"/>
    </w:p>
    <w:p>
      <w:pPr>
        <w:widowControl/>
        <w:adjustRightInd w:val="0"/>
        <w:snapToGrid w:val="0"/>
        <w:spacing w:line="353" w:lineRule="auto"/>
        <w:ind w:firstLine="420" w:firstLineChars="200"/>
        <w:contextualSpacing/>
        <w:rPr>
          <w:color w:val="000000"/>
          <w:kern w:val="0"/>
          <w:szCs w:val="32"/>
          <w:shd w:val="clear" w:color="auto" w:fill="FFFFFF"/>
        </w:rPr>
      </w:pPr>
    </w:p>
    <w:p>
      <w:pPr>
        <w:widowControl/>
        <w:adjustRightInd w:val="0"/>
        <w:snapToGrid w:val="0"/>
        <w:spacing w:line="353" w:lineRule="auto"/>
        <w:ind w:firstLine="640" w:firstLineChars="200"/>
        <w:contextualSpacing/>
        <w:outlineLvl w:val="1"/>
        <w:rPr>
          <w:rFonts w:eastAsia="黑体"/>
          <w:szCs w:val="32"/>
        </w:rPr>
      </w:pPr>
      <w:bookmarkStart w:id="78" w:name="_Toc30707"/>
      <w:r>
        <w:rPr>
          <w:rFonts w:eastAsia="黑体"/>
          <w:color w:val="000000"/>
          <w:kern w:val="0"/>
          <w:sz w:val="32"/>
          <w:szCs w:val="32"/>
          <w:shd w:val="clear" w:color="auto" w:fill="FFFFFF"/>
          <w:lang w:val="zh-CN"/>
        </w:rPr>
        <w:t>一、部门（单位）基本情况</w:t>
      </w:r>
      <w:bookmarkEnd w:id="78"/>
    </w:p>
    <w:p>
      <w:pPr>
        <w:adjustRightInd w:val="0"/>
        <w:snapToGrid w:val="0"/>
        <w:spacing w:line="353" w:lineRule="auto"/>
        <w:ind w:firstLine="640" w:firstLineChars="200"/>
        <w:rPr>
          <w:szCs w:val="32"/>
        </w:rPr>
      </w:pPr>
      <w:r>
        <w:rPr>
          <w:rFonts w:eastAsia="楷体_GB2312"/>
          <w:color w:val="000000"/>
          <w:kern w:val="0"/>
          <w:sz w:val="32"/>
          <w:szCs w:val="32"/>
          <w:shd w:val="clear" w:color="auto" w:fill="FFFFFF"/>
          <w:lang w:val="zh-CN"/>
        </w:rPr>
        <w:t>（一）机构组成。</w:t>
      </w:r>
      <w:r>
        <w:rPr>
          <w:rFonts w:eastAsia="仿宋_GB2312"/>
          <w:sz w:val="32"/>
          <w:szCs w:val="32"/>
        </w:rPr>
        <w:t>内设股室11个，派出机构5个，下属二级单位1个，其中其他事业单位1个（攀枝花市西区消费维权和个体经济指导服务中心）。纳入攀枝花市西区市场监督管理局2024年度部门决算编制范围的二级预算单位：攀枝花市西区消费维权和个体经济指导服务中心。</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（二）机构职能。</w:t>
      </w:r>
    </w:p>
    <w:p>
      <w:pPr>
        <w:adjustRightInd w:val="0"/>
        <w:snapToGrid w:val="0"/>
        <w:spacing w:line="353" w:lineRule="auto"/>
        <w:ind w:firstLine="640" w:firstLineChars="200"/>
        <w:rPr>
          <w:szCs w:val="32"/>
        </w:rPr>
      </w:pPr>
      <w:r>
        <w:rPr>
          <w:rFonts w:eastAsia="仿宋_GB2312"/>
          <w:sz w:val="32"/>
          <w:szCs w:val="32"/>
        </w:rPr>
        <w:t xml:space="preserve">1.负责全区市场综合监督管理。拟订市场监督管理有关规范性文件和政策、措施；组织实施质量强区、食品安全、标准化和知识产权战略，拟订并组织实施有关规划，规范和维护市场秩序，营造诚实守信、公平竞争的市场环境。 </w:t>
      </w:r>
    </w:p>
    <w:p>
      <w:pPr>
        <w:adjustRightInd w:val="0"/>
        <w:snapToGrid w:val="0"/>
        <w:spacing w:line="353" w:lineRule="auto"/>
        <w:ind w:firstLine="640" w:firstLineChars="200"/>
        <w:rPr>
          <w:szCs w:val="32"/>
        </w:rPr>
      </w:pPr>
      <w:r>
        <w:rPr>
          <w:rFonts w:eastAsia="仿宋_GB2312"/>
          <w:sz w:val="32"/>
          <w:szCs w:val="32"/>
        </w:rPr>
        <w:t>2.负责全区市场主体统一登记注册。负责指导全区各类企业、农民专业合作社和从事经营活动的单位、个体工商户等市场主体的登记注册和监督管理工作。</w:t>
      </w:r>
    </w:p>
    <w:p>
      <w:pPr>
        <w:adjustRightInd w:val="0"/>
        <w:snapToGrid w:val="0"/>
        <w:spacing w:line="353" w:lineRule="auto"/>
        <w:ind w:firstLine="640" w:firstLineChars="200"/>
        <w:rPr>
          <w:szCs w:val="32"/>
        </w:rPr>
      </w:pPr>
      <w:r>
        <w:rPr>
          <w:rFonts w:eastAsia="仿宋_GB2312"/>
          <w:sz w:val="32"/>
          <w:szCs w:val="32"/>
        </w:rPr>
        <w:t xml:space="preserve">3.负责全区市场监管领域综合行政执法工作。 </w:t>
      </w:r>
    </w:p>
    <w:p>
      <w:pPr>
        <w:adjustRightInd w:val="0"/>
        <w:snapToGrid w:val="0"/>
        <w:spacing w:line="353" w:lineRule="auto"/>
        <w:ind w:firstLine="640" w:firstLineChars="200"/>
        <w:rPr>
          <w:szCs w:val="32"/>
        </w:rPr>
      </w:pPr>
      <w:r>
        <w:rPr>
          <w:rFonts w:eastAsia="仿宋_GB2312"/>
          <w:sz w:val="32"/>
          <w:szCs w:val="32"/>
        </w:rPr>
        <w:t>4.负责监督管理全区市场秩序。依法监督管理市场交易、网络商品交易及有关服务的行为。协助开展有关反垄断调查工作。组织指导查处价格收费违法违规、不正当竞争、违法直销、传销、侵犯商标专利知识产权和制售假冒伪劣行为。</w:t>
      </w:r>
    </w:p>
    <w:p>
      <w:pPr>
        <w:adjustRightInd w:val="0"/>
        <w:snapToGrid w:val="0"/>
        <w:spacing w:line="353" w:lineRule="auto"/>
        <w:ind w:firstLine="640" w:firstLineChars="200"/>
        <w:rPr>
          <w:szCs w:val="32"/>
        </w:rPr>
      </w:pPr>
      <w:r>
        <w:rPr>
          <w:rFonts w:eastAsia="仿宋_GB2312"/>
          <w:sz w:val="32"/>
          <w:szCs w:val="32"/>
        </w:rPr>
        <w:t xml:space="preserve">5.负责全区宏观质量管理。拟订并组织实施质量发展的制度措施。统筹全区质量基础设施建设与应用。会同有关部门组织实施重大工程设备质量监理制度，按规定权限组织或参与产品质量事故调查，贯彻实施缺陷产品召回制度，监督管理产品防伪工作。 </w:t>
      </w:r>
    </w:p>
    <w:p>
      <w:pPr>
        <w:adjustRightInd w:val="0"/>
        <w:snapToGrid w:val="0"/>
        <w:spacing w:line="353" w:lineRule="auto"/>
        <w:ind w:firstLine="640" w:firstLineChars="200"/>
        <w:rPr>
          <w:szCs w:val="32"/>
        </w:rPr>
      </w:pPr>
      <w:r>
        <w:rPr>
          <w:rFonts w:eastAsia="仿宋_GB2312"/>
          <w:sz w:val="32"/>
          <w:szCs w:val="32"/>
        </w:rPr>
        <w:t xml:space="preserve">6.负责全区产品质量安全监督管理。负责产品质量监督抽查和风险监控工作，组织实施质量分级制度、质量安全追溯制度。负责工业产品生产许可证证后监管。负责纤维质量监督工作。 </w:t>
      </w:r>
    </w:p>
    <w:p>
      <w:pPr>
        <w:adjustRightInd w:val="0"/>
        <w:snapToGrid w:val="0"/>
        <w:spacing w:line="353" w:lineRule="auto"/>
        <w:ind w:firstLine="640" w:firstLineChars="200"/>
        <w:rPr>
          <w:szCs w:val="32"/>
        </w:rPr>
      </w:pPr>
      <w:r>
        <w:rPr>
          <w:rFonts w:eastAsia="仿宋_GB2312"/>
          <w:sz w:val="32"/>
          <w:szCs w:val="32"/>
        </w:rPr>
        <w:t xml:space="preserve">7.负责全区特种设备安全监督管理。综合管理特种设备安全监察、监督工作，监督检查高耗能特种设备节能标准和锅炉产品环境保护标准的执行情况。 </w:t>
      </w:r>
    </w:p>
    <w:p>
      <w:pPr>
        <w:adjustRightInd w:val="0"/>
        <w:snapToGrid w:val="0"/>
        <w:spacing w:line="353" w:lineRule="auto"/>
        <w:ind w:firstLine="640" w:firstLineChars="200"/>
        <w:rPr>
          <w:szCs w:val="32"/>
        </w:rPr>
      </w:pPr>
      <w:r>
        <w:rPr>
          <w:rFonts w:eastAsia="仿宋_GB2312"/>
          <w:sz w:val="32"/>
          <w:szCs w:val="32"/>
        </w:rPr>
        <w:t xml:space="preserve">8.负责全区食品安全监督管理综合协调。统筹指导全区食品安全工作。负责食品安全应急体系建设，按规定权限组织食品安全事件应急处置和调查处理工作。落实食品安全重要信息直报制度。承担区食品安全委员会日常工作。 </w:t>
      </w:r>
    </w:p>
    <w:p>
      <w:pPr>
        <w:adjustRightInd w:val="0"/>
        <w:snapToGrid w:val="0"/>
        <w:spacing w:line="353" w:lineRule="auto"/>
        <w:ind w:firstLine="640" w:firstLineChars="200"/>
        <w:rPr>
          <w:szCs w:val="32"/>
        </w:rPr>
      </w:pPr>
      <w:r>
        <w:rPr>
          <w:rFonts w:eastAsia="仿宋_GB2312"/>
          <w:sz w:val="32"/>
          <w:szCs w:val="32"/>
        </w:rPr>
        <w:t xml:space="preserve">9.负责全区食品安全监督管理。建立覆盖食品生产、流通、消费全过程的监督检查制度和隐患排查治理机制并组织实施，防范区域性、系统性食品安全风险。推动建立食品生产经营者落实主体责任的机制，健全食品安全追溯体系。指导督促食品生产经营企业的相关安全生产工作。组织开展食品安全监督抽检、风险监测、核查处置和风险预警、风险交流工作。组织实施特殊食品监督管理。 </w:t>
      </w:r>
    </w:p>
    <w:p>
      <w:pPr>
        <w:adjustRightInd w:val="0"/>
        <w:snapToGrid w:val="0"/>
        <w:spacing w:line="353" w:lineRule="auto"/>
        <w:ind w:firstLine="640" w:firstLineChars="200"/>
        <w:rPr>
          <w:szCs w:val="32"/>
        </w:rPr>
      </w:pPr>
      <w:r>
        <w:rPr>
          <w:rFonts w:eastAsia="仿宋_GB2312"/>
          <w:sz w:val="32"/>
          <w:szCs w:val="32"/>
        </w:rPr>
        <w:t xml:space="preserve">10.负责药品、化妆品和医疗器械的质量管理、风险管理、安全监督和安全应急管理。承担全区药品零售、医疗器械经营的检查和处罚，以及化妆品经营和药品、医疗器械使用环节质量的安全监测、检查和处罚。参与省、市市场监管局和省药监局组织的监督检查。监督实施问题产品召回和处置工作。 </w:t>
      </w:r>
    </w:p>
    <w:p>
      <w:pPr>
        <w:adjustRightInd w:val="0"/>
        <w:snapToGrid w:val="0"/>
        <w:spacing w:line="353" w:lineRule="auto"/>
        <w:ind w:firstLine="640" w:firstLineChars="200"/>
        <w:rPr>
          <w:szCs w:val="32"/>
        </w:rPr>
      </w:pPr>
      <w:r>
        <w:rPr>
          <w:rFonts w:eastAsia="仿宋_GB2312"/>
          <w:sz w:val="32"/>
          <w:szCs w:val="32"/>
        </w:rPr>
        <w:t xml:space="preserve">11.负责统一管理全区计量工作。推行法定计量单位，执行国家计量制度，管理计量器具及量值传递和比对工作。规范、监督商品量和市场计量行为。 </w:t>
      </w:r>
    </w:p>
    <w:p>
      <w:pPr>
        <w:adjustRightInd w:val="0"/>
        <w:snapToGrid w:val="0"/>
        <w:spacing w:line="353" w:lineRule="auto"/>
        <w:ind w:firstLine="640" w:firstLineChars="200"/>
        <w:rPr>
          <w:szCs w:val="32"/>
        </w:rPr>
      </w:pPr>
      <w:r>
        <w:rPr>
          <w:rFonts w:eastAsia="仿宋_GB2312"/>
          <w:sz w:val="32"/>
          <w:szCs w:val="32"/>
        </w:rPr>
        <w:t xml:space="preserve">12.负责统一管理全区标准化工作。协调指导团体标准制定工作。推行企业标准自我声明公开。依法对标准制定和实施情况开展监督。 </w:t>
      </w:r>
    </w:p>
    <w:p>
      <w:pPr>
        <w:adjustRightInd w:val="0"/>
        <w:snapToGrid w:val="0"/>
        <w:spacing w:line="353" w:lineRule="auto"/>
        <w:ind w:firstLine="640" w:firstLineChars="200"/>
        <w:rPr>
          <w:szCs w:val="32"/>
        </w:rPr>
      </w:pPr>
      <w:r>
        <w:rPr>
          <w:rFonts w:eastAsia="仿宋_GB2312"/>
          <w:sz w:val="32"/>
          <w:szCs w:val="32"/>
        </w:rPr>
        <w:t xml:space="preserve">13.负责统一管理全区检验检测工作。规范检验检测市场，完善检验检测体系，指导协调检验检测行业发展。 </w:t>
      </w:r>
    </w:p>
    <w:p>
      <w:pPr>
        <w:adjustRightInd w:val="0"/>
        <w:snapToGrid w:val="0"/>
        <w:spacing w:line="353" w:lineRule="auto"/>
        <w:ind w:firstLine="640" w:firstLineChars="200"/>
        <w:rPr>
          <w:szCs w:val="32"/>
        </w:rPr>
      </w:pPr>
      <w:r>
        <w:rPr>
          <w:rFonts w:eastAsia="仿宋_GB2312"/>
          <w:sz w:val="32"/>
          <w:szCs w:val="32"/>
        </w:rPr>
        <w:t xml:space="preserve">14.负责统一管理认证认可工作。监督管理认证认可和合格评定工作。 </w:t>
      </w:r>
    </w:p>
    <w:p>
      <w:pPr>
        <w:adjustRightInd w:val="0"/>
        <w:snapToGrid w:val="0"/>
        <w:spacing w:line="353" w:lineRule="auto"/>
        <w:ind w:firstLine="640" w:firstLineChars="200"/>
        <w:rPr>
          <w:szCs w:val="32"/>
        </w:rPr>
      </w:pPr>
      <w:r>
        <w:rPr>
          <w:rFonts w:eastAsia="仿宋_GB2312"/>
          <w:sz w:val="32"/>
          <w:szCs w:val="32"/>
        </w:rPr>
        <w:t xml:space="preserve">15.负责全区知识产权战略、规划的制定，负责知识产权保护、管理，指导知识产权创造、运用和服务促进工作，负责组织指导商标、专利执法工作。 </w:t>
      </w:r>
    </w:p>
    <w:p>
      <w:pPr>
        <w:adjustRightInd w:val="0"/>
        <w:snapToGrid w:val="0"/>
        <w:spacing w:line="353" w:lineRule="auto"/>
        <w:ind w:firstLine="640" w:firstLineChars="200"/>
        <w:rPr>
          <w:szCs w:val="32"/>
        </w:rPr>
      </w:pPr>
      <w:r>
        <w:rPr>
          <w:rFonts w:eastAsia="仿宋_GB2312"/>
          <w:sz w:val="32"/>
          <w:szCs w:val="32"/>
        </w:rPr>
        <w:t xml:space="preserve">16.负责市场监督管理科技和信息化建设。 </w:t>
      </w:r>
    </w:p>
    <w:p>
      <w:pPr>
        <w:adjustRightInd w:val="0"/>
        <w:snapToGrid w:val="0"/>
        <w:spacing w:line="353" w:lineRule="auto"/>
        <w:ind w:firstLine="640" w:firstLineChars="200"/>
        <w:rPr>
          <w:szCs w:val="32"/>
        </w:rPr>
      </w:pPr>
      <w:r>
        <w:rPr>
          <w:rFonts w:eastAsia="仿宋_GB2312"/>
          <w:sz w:val="32"/>
          <w:szCs w:val="32"/>
        </w:rPr>
        <w:t xml:space="preserve">17.负责职责范围内的安全生产和职业健康、生态环境保护、审批服务便民化等工作。 </w:t>
      </w:r>
    </w:p>
    <w:p>
      <w:pPr>
        <w:adjustRightInd w:val="0"/>
        <w:snapToGrid w:val="0"/>
        <w:spacing w:line="353" w:lineRule="auto"/>
        <w:ind w:firstLine="640" w:firstLineChars="200"/>
        <w:rPr>
          <w:szCs w:val="32"/>
          <w:lang w:val="zh-CN"/>
        </w:rPr>
      </w:pPr>
      <w:r>
        <w:rPr>
          <w:rFonts w:eastAsia="仿宋_GB2312"/>
          <w:sz w:val="32"/>
          <w:szCs w:val="32"/>
        </w:rPr>
        <w:t>18.完成区委和区政府交办的其他任务。</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（三）人员概况。</w:t>
      </w:r>
    </w:p>
    <w:p>
      <w:pPr>
        <w:adjustRightInd w:val="0"/>
        <w:snapToGrid w:val="0"/>
        <w:spacing w:line="353" w:lineRule="auto"/>
        <w:ind w:firstLine="640" w:firstLineChars="200"/>
        <w:rPr>
          <w:szCs w:val="32"/>
        </w:rPr>
      </w:pPr>
      <w:r>
        <w:rPr>
          <w:rFonts w:eastAsia="仿宋_GB2312"/>
          <w:color w:val="000000"/>
          <w:kern w:val="0"/>
          <w:sz w:val="32"/>
          <w:szCs w:val="32"/>
          <w:shd w:val="clear" w:color="auto" w:fill="FFFFFF"/>
        </w:rPr>
        <w:t>2024年</w:t>
      </w:r>
      <w:r>
        <w:rPr>
          <w:rFonts w:eastAsia="仿宋_GB2312"/>
          <w:sz w:val="32"/>
          <w:szCs w:val="32"/>
        </w:rPr>
        <w:t>部门现有行政编制41名、机关后勤服务人员控制数（机关后勤事业编制）0名、参公编制33名、事业编制5名。</w:t>
      </w:r>
    </w:p>
    <w:p>
      <w:pPr>
        <w:adjustRightInd w:val="0"/>
        <w:snapToGrid w:val="0"/>
        <w:spacing w:line="353" w:lineRule="auto"/>
        <w:ind w:firstLine="640" w:firstLineChars="200"/>
        <w:rPr>
          <w:szCs w:val="32"/>
        </w:rPr>
      </w:pPr>
      <w:r>
        <w:rPr>
          <w:rFonts w:eastAsia="仿宋_GB2312"/>
          <w:bCs/>
          <w:kern w:val="0"/>
          <w:sz w:val="32"/>
          <w:szCs w:val="32"/>
        </w:rPr>
        <w:t>部门年末在职实有人员共计82名，其中：机关行政人员40名、机关工勤人员2名、参公人员22名、事业人员10名，临聘人员8名。</w:t>
      </w:r>
    </w:p>
    <w:p>
      <w:pPr>
        <w:widowControl/>
        <w:adjustRightInd w:val="0"/>
        <w:snapToGrid w:val="0"/>
        <w:spacing w:line="353" w:lineRule="auto"/>
        <w:ind w:firstLine="640" w:firstLineChars="200"/>
        <w:contextualSpacing/>
        <w:outlineLvl w:val="1"/>
        <w:rPr>
          <w:rFonts w:eastAsia="黑体"/>
          <w:color w:val="000000"/>
          <w:kern w:val="0"/>
          <w:szCs w:val="32"/>
          <w:shd w:val="clear" w:color="auto" w:fill="FFFFFF"/>
          <w:lang w:val="zh-CN"/>
        </w:rPr>
      </w:pPr>
      <w:bookmarkStart w:id="79" w:name="_Toc14735"/>
      <w:r>
        <w:rPr>
          <w:rFonts w:eastAsia="黑体"/>
          <w:color w:val="000000"/>
          <w:kern w:val="0"/>
          <w:sz w:val="32"/>
          <w:szCs w:val="32"/>
          <w:shd w:val="clear" w:color="auto" w:fill="FFFFFF"/>
          <w:lang w:val="zh-CN"/>
        </w:rPr>
        <w:t>二、部门资金收支情况</w:t>
      </w:r>
      <w:bookmarkEnd w:id="79"/>
    </w:p>
    <w:p>
      <w:pPr>
        <w:widowControl/>
        <w:adjustRightInd w:val="0"/>
        <w:snapToGrid w:val="0"/>
        <w:spacing w:line="353" w:lineRule="auto"/>
        <w:ind w:firstLine="640" w:firstLineChars="200"/>
        <w:contextualSpacing/>
        <w:rPr>
          <w:b/>
          <w:bCs/>
          <w:color w:val="000000"/>
          <w:kern w:val="0"/>
          <w:szCs w:val="32"/>
          <w:shd w:val="clear" w:color="auto" w:fill="FFFFFF"/>
        </w:rPr>
      </w:pPr>
      <w:r>
        <w:rPr>
          <w:rFonts w:eastAsia="楷体_GB2312"/>
          <w:color w:val="000000"/>
          <w:kern w:val="0"/>
          <w:sz w:val="32"/>
          <w:szCs w:val="32"/>
          <w:shd w:val="clear" w:color="auto" w:fill="FFFFFF"/>
          <w:lang w:val="zh-CN"/>
        </w:rPr>
        <w:t>（一）收入情况。</w:t>
      </w:r>
      <w:r>
        <w:rPr>
          <w:rFonts w:eastAsia="仿宋_GB2312"/>
          <w:sz w:val="32"/>
          <w:szCs w:val="32"/>
        </w:rPr>
        <w:t>西区市场监管局2024年初预算安排收入1503.57万元、决算报表收入1580.96万元。</w:t>
      </w:r>
    </w:p>
    <w:p>
      <w:pPr>
        <w:widowControl/>
        <w:adjustRightInd w:val="0"/>
        <w:snapToGrid w:val="0"/>
        <w:spacing w:line="353" w:lineRule="auto"/>
        <w:ind w:firstLine="640" w:firstLineChars="200"/>
        <w:contextualSpacing/>
        <w:rPr>
          <w:szCs w:val="32"/>
          <w:lang w:val="zh-CN"/>
        </w:rPr>
      </w:pPr>
      <w:r>
        <w:rPr>
          <w:rFonts w:eastAsia="楷体_GB2312"/>
          <w:color w:val="000000"/>
          <w:kern w:val="0"/>
          <w:sz w:val="32"/>
          <w:szCs w:val="32"/>
          <w:shd w:val="clear" w:color="auto" w:fill="FFFFFF"/>
          <w:lang w:val="zh-CN"/>
        </w:rPr>
        <w:t>（二）支出情况。</w:t>
      </w:r>
      <w:r>
        <w:rPr>
          <w:rFonts w:eastAsia="仿宋_GB2312"/>
          <w:sz w:val="32"/>
          <w:szCs w:val="32"/>
        </w:rPr>
        <w:t>西区市场监管局2024年年初预算支出1503.57万元、决算报表支出1653.9万元，主要包括人员支出1353.57万元，公用经费支出139.02万元，项目支出161.32万元。</w:t>
      </w:r>
    </w:p>
    <w:p>
      <w:pPr>
        <w:widowControl/>
        <w:adjustRightInd w:val="0"/>
        <w:snapToGrid w:val="0"/>
        <w:spacing w:line="353" w:lineRule="auto"/>
        <w:ind w:firstLine="640" w:firstLineChars="200"/>
        <w:contextualSpacing/>
        <w:rPr>
          <w:color w:val="000000"/>
          <w:kern w:val="0"/>
          <w:szCs w:val="32"/>
          <w:shd w:val="clear" w:color="auto" w:fill="FFFFFF"/>
          <w:lang w:val="zh-CN"/>
        </w:rPr>
      </w:pPr>
      <w:r>
        <w:rPr>
          <w:rFonts w:eastAsia="楷体_GB2312"/>
          <w:color w:val="000000"/>
          <w:kern w:val="0"/>
          <w:sz w:val="32"/>
          <w:szCs w:val="32"/>
          <w:shd w:val="clear" w:color="auto" w:fill="FFFFFF"/>
          <w:lang w:val="zh-CN"/>
        </w:rPr>
        <w:t>（三）结余分配和结转结余情况。</w:t>
      </w:r>
      <w:r>
        <w:rPr>
          <w:rFonts w:eastAsia="仿宋_GB2312"/>
          <w:sz w:val="32"/>
          <w:szCs w:val="32"/>
        </w:rPr>
        <w:t>西区市场监管局2024年</w:t>
      </w:r>
      <w:r>
        <w:rPr>
          <w:rFonts w:eastAsia="仿宋_GB2312"/>
          <w:color w:val="000000"/>
          <w:kern w:val="0"/>
          <w:sz w:val="32"/>
          <w:szCs w:val="32"/>
          <w:shd w:val="clear" w:color="auto" w:fill="FFFFFF"/>
        </w:rPr>
        <w:t>结转结余</w:t>
      </w:r>
      <w:r>
        <w:rPr>
          <w:rFonts w:eastAsia="仿宋_GB2312"/>
          <w:color w:val="000000"/>
          <w:sz w:val="32"/>
          <w:szCs w:val="32"/>
        </w:rPr>
        <w:t>资金为38.3万元</w:t>
      </w:r>
      <w:r>
        <w:rPr>
          <w:rFonts w:eastAsia="仿宋_GB2312"/>
          <w:color w:val="000000"/>
          <w:kern w:val="0"/>
          <w:sz w:val="32"/>
          <w:szCs w:val="32"/>
          <w:shd w:val="clear" w:color="auto" w:fill="FFFFFF"/>
        </w:rPr>
        <w:t>。</w:t>
      </w:r>
    </w:p>
    <w:p>
      <w:pPr>
        <w:widowControl/>
        <w:adjustRightInd w:val="0"/>
        <w:snapToGrid w:val="0"/>
        <w:spacing w:line="353" w:lineRule="auto"/>
        <w:ind w:firstLine="640" w:firstLineChars="200"/>
        <w:contextualSpacing/>
        <w:outlineLvl w:val="1"/>
        <w:rPr>
          <w:rFonts w:eastAsia="黑体"/>
          <w:color w:val="000000"/>
          <w:kern w:val="0"/>
          <w:szCs w:val="32"/>
          <w:shd w:val="clear" w:color="auto" w:fill="FFFFFF"/>
          <w:lang w:val="zh-CN"/>
        </w:rPr>
      </w:pPr>
      <w:bookmarkStart w:id="80" w:name="_Toc15071"/>
      <w:r>
        <w:rPr>
          <w:rFonts w:eastAsia="黑体"/>
          <w:color w:val="000000"/>
          <w:kern w:val="0"/>
          <w:sz w:val="32"/>
          <w:szCs w:val="32"/>
          <w:shd w:val="clear" w:color="auto" w:fill="FFFFFF"/>
          <w:lang w:val="zh-CN"/>
        </w:rPr>
        <w:t>三、部门预算绩效分析</w:t>
      </w:r>
      <w:bookmarkEnd w:id="80"/>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（一）部门预算总体绩效分析。</w:t>
      </w:r>
    </w:p>
    <w:p>
      <w:pPr>
        <w:adjustRightInd w:val="0"/>
        <w:snapToGrid w:val="0"/>
        <w:spacing w:line="353" w:lineRule="auto"/>
        <w:ind w:firstLine="640" w:firstLineChars="200"/>
        <w:contextualSpacing/>
        <w:rPr>
          <w:rFonts w:hint="eastAsia" w:eastAsia="仿宋_GB2312"/>
          <w:color w:val="000000"/>
          <w:kern w:val="0"/>
          <w:sz w:val="32"/>
          <w:szCs w:val="32"/>
          <w:shd w:val="clear" w:color="auto" w:fill="FFFFFF"/>
          <w:lang w:val="zh-CN"/>
        </w:rPr>
      </w:pPr>
      <w:r>
        <w:rPr>
          <w:rFonts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履职效能。部门整体绩效目标中重点选取执法办案、质量强区、消费者权益保护经费、食品、药械化、特种设备等安全监管经费、市场监管专项资金等5个项目的完成成效情况如下：</w:t>
      </w:r>
    </w:p>
    <w:p>
      <w:pPr>
        <w:adjustRightInd w:val="0"/>
        <w:snapToGrid w:val="0"/>
        <w:spacing w:line="353" w:lineRule="auto"/>
        <w:ind w:firstLine="640" w:firstLineChars="200"/>
        <w:contextualSpacing/>
        <w:rPr>
          <w:rFonts w:hint="eastAsia" w:eastAsia="仿宋_GB2312"/>
          <w:bCs/>
          <w:color w:val="000000"/>
          <w:sz w:val="32"/>
          <w:szCs w:val="32"/>
        </w:rPr>
      </w:pPr>
      <w:r>
        <w:rPr>
          <w:rFonts w:eastAsia="仿宋_GB2312"/>
          <w:bCs/>
          <w:color w:val="000000"/>
          <w:sz w:val="32"/>
          <w:szCs w:val="32"/>
        </w:rPr>
        <w:t>（1）优化市场环境、营商环境推动经营主体健康发</w:t>
      </w:r>
    </w:p>
    <w:p>
      <w:pPr>
        <w:adjustRightInd w:val="0"/>
        <w:snapToGrid w:val="0"/>
        <w:spacing w:line="353" w:lineRule="auto"/>
        <w:ind w:firstLine="640" w:firstLineChars="200"/>
        <w:contextualSpacing/>
        <w:rPr>
          <w:rFonts w:hint="eastAsia"/>
          <w:color w:val="000000"/>
          <w:kern w:val="0"/>
          <w:szCs w:val="32"/>
          <w:shd w:val="clear" w:color="auto" w:fill="FFFFFF"/>
          <w:lang w:val="zh-CN"/>
        </w:rPr>
      </w:pPr>
      <w:r>
        <w:rPr>
          <w:rFonts w:hint="eastAsia" w:ascii="仿宋_GB2312" w:eastAsia="仿宋_GB2312"/>
          <w:bCs/>
          <w:sz w:val="32"/>
          <w:szCs w:val="32"/>
        </w:rPr>
        <w:t>一是</w:t>
      </w:r>
      <w:r>
        <w:rPr>
          <w:rFonts w:hint="eastAsia" w:ascii="仿宋_GB2312" w:eastAsia="仿宋_GB2312"/>
          <w:sz w:val="32"/>
          <w:szCs w:val="32"/>
        </w:rPr>
        <w:t>不断优化准入准营退出环境。</w:t>
      </w:r>
      <w:r>
        <w:rPr>
          <w:rFonts w:hint="eastAsia" w:ascii="仿宋_GB2312" w:eastAsia="仿宋_GB2312"/>
          <w:color w:val="000000"/>
          <w:sz w:val="32"/>
          <w:szCs w:val="32"/>
        </w:rPr>
        <w:t>推进企业开办、准营、注销等便利化改革，2024年</w:t>
      </w:r>
      <w:r>
        <w:rPr>
          <w:rFonts w:hint="eastAsia" w:ascii="仿宋_GB2312" w:eastAsia="仿宋_GB2312"/>
          <w:sz w:val="32"/>
          <w:szCs w:val="32"/>
        </w:rPr>
        <w:t>为4户企业免费寄递证照，为129户企业发放印章刻制流转单免费刻制印章，节约企业开办成本9万余元，</w:t>
      </w:r>
      <w:r>
        <w:rPr>
          <w:rFonts w:hint="eastAsia" w:ascii="仿宋_GB2312" w:eastAsia="仿宋_GB2312"/>
          <w:color w:val="000000"/>
          <w:sz w:val="32"/>
          <w:szCs w:val="32"/>
        </w:rPr>
        <w:t>办理简易注销登记116户。在全市率先开展市场主体除名工作，彻底清理“僵尸”和“失联”企业61户，有效优化了市场资源配置。</w:t>
      </w:r>
      <w:r>
        <w:rPr>
          <w:rFonts w:hint="eastAsia" w:ascii="仿宋_GB2312" w:eastAsia="仿宋_GB2312"/>
          <w:bCs/>
          <w:sz w:val="32"/>
          <w:szCs w:val="32"/>
        </w:rPr>
        <w:t>二是</w:t>
      </w:r>
      <w:r>
        <w:rPr>
          <w:rFonts w:hint="eastAsia" w:ascii="仿宋_GB2312" w:eastAsia="仿宋_GB2312"/>
          <w:sz w:val="32"/>
          <w:szCs w:val="32"/>
        </w:rPr>
        <w:t>着力打造公平竞争市场环境。</w:t>
      </w:r>
      <w:r>
        <w:rPr>
          <w:rFonts w:hint="eastAsia" w:ascii="仿宋_GB2312" w:eastAsia="仿宋_GB2312"/>
          <w:color w:val="000000"/>
          <w:sz w:val="32"/>
          <w:szCs w:val="32"/>
        </w:rPr>
        <w:t>推进公平竞争审查制度全覆盖，将落实公平竞争政策情况”纳入目标任务考核，开展反不正当竞争“守护”专项执法行动，查处案件6件。</w:t>
      </w:r>
      <w:r>
        <w:rPr>
          <w:rFonts w:hint="eastAsia" w:ascii="仿宋_GB2312" w:eastAsia="仿宋_GB2312"/>
          <w:bCs/>
          <w:color w:val="000000"/>
          <w:sz w:val="32"/>
          <w:szCs w:val="32"/>
        </w:rPr>
        <w:t>三是</w:t>
      </w:r>
      <w:r>
        <w:rPr>
          <w:rFonts w:hint="eastAsia" w:ascii="仿宋_GB2312" w:eastAsia="仿宋_GB2312"/>
          <w:sz w:val="32"/>
          <w:szCs w:val="32"/>
        </w:rPr>
        <w:t>全面推进放心舒心消费环境建设。</w:t>
      </w:r>
      <w:r>
        <w:rPr>
          <w:rFonts w:hint="eastAsia" w:ascii="仿宋_GB2312" w:eastAsia="仿宋_GB2312"/>
          <w:color w:val="000000"/>
          <w:sz w:val="32"/>
          <w:szCs w:val="32"/>
        </w:rPr>
        <w:t>2024年全区新增放心舒心示范创建单元5个，12345、12315接收投诉举报278件，办结率100%，为消费者挽回损失</w:t>
      </w:r>
      <w:r>
        <w:rPr>
          <w:rFonts w:hint="eastAsia" w:ascii="仿宋_GB2312" w:eastAsia="仿宋_GB2312"/>
          <w:sz w:val="32"/>
          <w:szCs w:val="32"/>
        </w:rPr>
        <w:t>94285.03</w:t>
      </w:r>
      <w:r>
        <w:rPr>
          <w:rFonts w:hint="eastAsia" w:ascii="仿宋_GB2312" w:eastAsia="仿宋_GB2312"/>
          <w:color w:val="000000"/>
          <w:sz w:val="32"/>
          <w:szCs w:val="32"/>
        </w:rPr>
        <w:t>元。</w:t>
      </w:r>
      <w:r>
        <w:rPr>
          <w:rFonts w:hint="eastAsia" w:ascii="仿宋_GB2312" w:eastAsia="仿宋_GB2312"/>
          <w:bCs/>
          <w:color w:val="000000"/>
          <w:sz w:val="32"/>
          <w:szCs w:val="32"/>
        </w:rPr>
        <w:t>四是</w:t>
      </w:r>
      <w:r>
        <w:rPr>
          <w:rFonts w:hint="eastAsia" w:ascii="仿宋_GB2312" w:eastAsia="仿宋_GB2312"/>
          <w:sz w:val="32"/>
          <w:szCs w:val="32"/>
        </w:rPr>
        <w:t>全力优化民营经济发展环境。牵头开展“开办餐饮店一件事”“企业信息变更一件事”“企业注销一件事”工作，全年办理251件。大力推进市场主体开办“审批不见面”，全年，通过线下“一窗受理”办结的审批共计1290件，通过网上“一窗通”办结的审批件共计1478件。2024年4月，攀枝花市西区市场监督管理局被中共攀枝花市委  攀枝花市人民政府评为攀枝花市西区“2023 服务业发展年”优秀集体。</w:t>
      </w:r>
    </w:p>
    <w:p>
      <w:pPr>
        <w:pStyle w:val="6"/>
        <w:adjustRightInd w:val="0"/>
        <w:snapToGrid w:val="0"/>
        <w:spacing w:line="353" w:lineRule="auto"/>
        <w:ind w:firstLine="640" w:firstLineChars="200"/>
        <w:rPr>
          <w:rFonts w:hint="eastAsia" w:ascii="仿宋_GB2312" w:eastAsia="仿宋_GB2312"/>
          <w:b w:val="0"/>
          <w:bCs w:val="0"/>
          <w:color w:val="000000"/>
        </w:rPr>
      </w:pPr>
      <w:bookmarkStart w:id="81" w:name="_Toc7093"/>
      <w:r>
        <w:rPr>
          <w:rFonts w:hint="eastAsia" w:ascii="仿宋_GB2312" w:hAnsi="Times New Roman" w:eastAsia="仿宋_GB2312" w:cs="Times New Roman"/>
          <w:b w:val="0"/>
          <w:color w:val="000000"/>
        </w:rPr>
        <w:t>（2）认真落实“两个责任”健全“三品一特”监管体系。</w:t>
      </w:r>
      <w:bookmarkEnd w:id="81"/>
    </w:p>
    <w:p>
      <w:pPr>
        <w:adjustRightInd w:val="0"/>
        <w:snapToGrid w:val="0"/>
        <w:spacing w:line="353" w:lineRule="auto"/>
        <w:ind w:firstLine="643" w:firstLineChars="200"/>
        <w:rPr>
          <w:color w:val="000000"/>
          <w:szCs w:val="32"/>
        </w:rPr>
      </w:pPr>
      <w:r>
        <w:rPr>
          <w:rFonts w:eastAsia="仿宋_GB2312"/>
          <w:b/>
          <w:bCs/>
          <w:sz w:val="32"/>
          <w:szCs w:val="32"/>
        </w:rPr>
        <w:t>一是</w:t>
      </w:r>
      <w:r>
        <w:rPr>
          <w:rFonts w:eastAsia="仿宋_GB2312"/>
          <w:sz w:val="32"/>
          <w:szCs w:val="32"/>
        </w:rPr>
        <w:t>食品安全方面，在全区范围内持续推进“互联网+食品监管”建设工作，辖区共130余家经营单位纳入“互联网+食品安全监管”。</w:t>
      </w:r>
      <w:r>
        <w:rPr>
          <w:rFonts w:eastAsia="仿宋_GB2312"/>
          <w:color w:val="000000"/>
          <w:sz w:val="32"/>
          <w:szCs w:val="32"/>
          <w:shd w:val="clear" w:color="auto" w:fill="FDFDFE"/>
        </w:rPr>
        <w:t>坚持“日管控、周排查、月调度”，实行排查问题台账化管理，构建298名包保干部包保1735家食品经营主体监管责任，实现包保覆盖率、任务完成率、问题整改率100%</w:t>
      </w:r>
      <w:r>
        <w:rPr>
          <w:rFonts w:eastAsia="仿宋_GB2312"/>
          <w:color w:val="000000"/>
          <w:sz w:val="32"/>
          <w:szCs w:val="32"/>
        </w:rPr>
        <w:t>。</w:t>
      </w:r>
      <w:r>
        <w:rPr>
          <w:rFonts w:eastAsia="仿宋_GB2312"/>
          <w:color w:val="000000"/>
          <w:sz w:val="32"/>
          <w:szCs w:val="32"/>
          <w:shd w:val="clear" w:color="auto" w:fill="FDFDFE"/>
        </w:rPr>
        <w:t>依托“食安花城”智慧监管引擎，推行“一校一码”“一店一码”信息展示便捷窗口，实现食品安全信息监管者扫码即查，经营主体扫码即填，公众扫码便知，目前，西区已超90%食品经营主体入驻平台。</w:t>
      </w:r>
      <w:r>
        <w:rPr>
          <w:rFonts w:eastAsia="仿宋_GB2312"/>
          <w:color w:val="000000"/>
          <w:sz w:val="32"/>
          <w:szCs w:val="32"/>
        </w:rPr>
        <w:t>创新性开展“家长督安全，食安共守护”校园食品安全“你点我查直播课”活动，实现食品安全透明化管理。利用</w:t>
      </w:r>
      <w:r>
        <w:rPr>
          <w:rFonts w:eastAsia="仿宋_GB2312"/>
          <w:color w:val="000000"/>
          <w:sz w:val="32"/>
          <w:szCs w:val="32"/>
          <w:shd w:val="clear" w:color="auto" w:fill="FDFDFE"/>
        </w:rPr>
        <w:t>“网格+责任”双轮驱动模式，将食品安全属地责任无缝嵌入基层治理与食品安全网格体系，构建“发现—移交—查处—反馈”闭环流程。充分发挥行业协会自治作用，开展“食安卫士·红旗接力”挑战赛、</w:t>
      </w:r>
      <w:r>
        <w:rPr>
          <w:rFonts w:eastAsia="仿宋_GB2312"/>
          <w:color w:val="000000"/>
          <w:sz w:val="32"/>
          <w:szCs w:val="32"/>
        </w:rPr>
        <w:t>“西区餐饮名店”“西区名厨”评选，以标杆之力，</w:t>
      </w:r>
      <w:r>
        <w:rPr>
          <w:rFonts w:eastAsia="仿宋_GB2312"/>
          <w:color w:val="000000"/>
          <w:sz w:val="32"/>
          <w:szCs w:val="32"/>
          <w:shd w:val="clear" w:color="auto" w:fill="FDFDFE"/>
        </w:rPr>
        <w:t>激发行业净化革新。打造“党建+食品安全”志愿服务品牌，组建志愿服务队8支，推进志愿服务常态化。紧盯“一老一小”民生关切，</w:t>
      </w:r>
      <w:r>
        <w:rPr>
          <w:rFonts w:eastAsia="仿宋_GB2312"/>
          <w:color w:val="000000"/>
          <w:sz w:val="32"/>
          <w:szCs w:val="32"/>
        </w:rPr>
        <w:t>推行“一三三”工作法，探索建立保健食品会销良币驱逐劣币“沙盒监管”新机制，全区14家保健食品会销场所全部安装视频监控。</w:t>
      </w:r>
      <w:r>
        <w:rPr>
          <w:rFonts w:eastAsia="仿宋_GB2312"/>
          <w:color w:val="000000"/>
          <w:sz w:val="32"/>
          <w:szCs w:val="32"/>
          <w:shd w:val="clear" w:color="auto" w:fill="FDFDFE"/>
        </w:rPr>
        <w:t>加强监督抽检，完成食品（食用农产品）抽检412批次，对不合格的19个批次产品进行依法处置。</w:t>
      </w:r>
      <w:r>
        <w:rPr>
          <w:rFonts w:eastAsia="仿宋_GB2312"/>
          <w:color w:val="000000"/>
          <w:kern w:val="0"/>
          <w:sz w:val="32"/>
          <w:szCs w:val="32"/>
        </w:rPr>
        <w:t>开展粮食检验监测56个批次，合格率100%。</w:t>
      </w:r>
      <w:r>
        <w:rPr>
          <w:rFonts w:eastAsia="仿宋_GB2312"/>
          <w:color w:val="000000"/>
          <w:sz w:val="32"/>
          <w:szCs w:val="32"/>
        </w:rPr>
        <w:t>调动各方监管力量实行</w:t>
      </w:r>
      <w:r>
        <w:rPr>
          <w:rFonts w:eastAsia="仿宋_GB2312"/>
          <w:color w:val="000000"/>
          <w:sz w:val="32"/>
          <w:szCs w:val="32"/>
          <w:shd w:val="clear" w:color="auto" w:fill="FDFDFE"/>
        </w:rPr>
        <w:t>“你点我查”、“你点我检”等“点单”监管互动新模式，今年以来，累计开展“你点我查”9期，“你点我检”2期，公布并督促整改问题57个。本年度，区市场监管局</w:t>
      </w:r>
      <w:r>
        <w:rPr>
          <w:rFonts w:eastAsia="仿宋_GB2312"/>
          <w:color w:val="000000"/>
          <w:sz w:val="32"/>
          <w:szCs w:val="32"/>
        </w:rPr>
        <w:t>查办食品案件58件，罚没金额12.989万元，移送公安机关案件1件，对2名人员实行食品行业终身从业禁止，对1名人员实行5年食品行业从业禁止。2024年2月，西区2023年食品安全工作得到李明副市长肯定性批示，攀枝花市西区市场监督管理局被中共攀枝花市委  攀枝花市人民政府评为攀枝花市食品安全工作先进集体。</w:t>
      </w:r>
    </w:p>
    <w:p>
      <w:pPr>
        <w:adjustRightInd w:val="0"/>
        <w:snapToGrid w:val="0"/>
        <w:spacing w:line="353" w:lineRule="auto"/>
        <w:ind w:firstLine="643" w:firstLineChars="200"/>
        <w:rPr>
          <w:color w:val="000000"/>
          <w:szCs w:val="32"/>
          <w:highlight w:val="yellow"/>
        </w:rPr>
      </w:pPr>
      <w:r>
        <w:rPr>
          <w:rFonts w:eastAsia="仿宋_GB2312"/>
          <w:b/>
          <w:bCs/>
          <w:sz w:val="32"/>
          <w:szCs w:val="32"/>
        </w:rPr>
        <w:t>二是</w:t>
      </w:r>
      <w:r>
        <w:rPr>
          <w:rFonts w:eastAsia="仿宋_GB2312"/>
          <w:sz w:val="32"/>
          <w:szCs w:val="32"/>
        </w:rPr>
        <w:t>药品安全方面。</w:t>
      </w:r>
      <w:r>
        <w:rPr>
          <w:rFonts w:eastAsia="仿宋_GB2312"/>
          <w:color w:val="000000"/>
          <w:sz w:val="32"/>
          <w:szCs w:val="32"/>
        </w:rPr>
        <w:t>扎实开展药品安全年度监管工作和药品安全巩固提升行动、药品经营和使用专项检查等专项检查任务，实施风险隐患清单和问题治理责任清单管理，推进全市药械经营单位分级分类管理和化妆品经营单位规范化建设。推进药品监管网络向乡镇、农村延伸，建成一支含6名镇（街道）药品安全协管员、26名村（社区）信息员的药品安全协管员、信息员“两员”队伍。强化疫苗、血液制品等高风险重点产品和农村、城乡结合部等重点区域监管，对全区疫苗配送接种单位开展全覆盖检查，药品区域抽检合格率100%。通过行刑并举、以刑促管，形成齐抓共管的工作格局开展专项执法整治行动，</w:t>
      </w:r>
      <w:r>
        <w:rPr>
          <w:rFonts w:eastAsia="仿宋_GB2312"/>
          <w:sz w:val="32"/>
          <w:szCs w:val="32"/>
        </w:rPr>
        <w:t>截至目前我局共立案查办药械化相关案件19件</w:t>
      </w:r>
      <w:r>
        <w:rPr>
          <w:rFonts w:eastAsia="仿宋_GB2312"/>
          <w:color w:val="000000"/>
          <w:sz w:val="32"/>
          <w:szCs w:val="32"/>
        </w:rPr>
        <w:t>，与区卫生健康局、市公安局西区分局联合处理涉药举报3件，移送行纪衔接案件线索1件。</w:t>
      </w:r>
    </w:p>
    <w:p>
      <w:pPr>
        <w:pStyle w:val="8"/>
        <w:adjustRightInd w:val="0"/>
        <w:snapToGrid w:val="0"/>
        <w:spacing w:before="93" w:line="353" w:lineRule="auto"/>
        <w:ind w:firstLine="643" w:firstLineChars="200"/>
        <w:rPr>
          <w:b/>
          <w:bCs/>
          <w:color w:val="000000"/>
          <w:szCs w:val="32"/>
        </w:rPr>
      </w:pPr>
      <w:r>
        <w:rPr>
          <w:rFonts w:ascii="Times New Roman"/>
          <w:b/>
          <w:bCs/>
          <w:sz w:val="32"/>
          <w:szCs w:val="32"/>
        </w:rPr>
        <w:t>三是</w:t>
      </w:r>
      <w:r>
        <w:rPr>
          <w:rFonts w:ascii="Times New Roman"/>
          <w:sz w:val="32"/>
          <w:szCs w:val="32"/>
        </w:rPr>
        <w:t>特种设备安全方面。</w:t>
      </w:r>
      <w:r>
        <w:rPr>
          <w:rFonts w:ascii="Times New Roman"/>
          <w:color w:val="000000"/>
          <w:sz w:val="32"/>
          <w:szCs w:val="32"/>
        </w:rPr>
        <w:t>督促特种设备使用单位落实“两个责任规定”，细化明确“安全负责人、安全总监、安全员”职责，建立“日管控、周排查、月调度”工作机制。开展特种设备安全治本攻坚三年行动和电梯安全筑底三年行动，推进城镇燃气安全专项整治行动和“瓶改管、瓶改电”、特种设备有限空间作业和外委外包作业等工作，全面排查整治危化品、工贸、燃气、人员密集场所等领域特种设备隐患，发现问题隐患71个，整改完成率100%。</w:t>
      </w:r>
      <w:r>
        <w:rPr>
          <w:rFonts w:ascii="Times New Roman"/>
          <w:sz w:val="32"/>
          <w:szCs w:val="32"/>
        </w:rPr>
        <w:t>立案查处特种设备违法案件12件，已办结案件9件，处罚款10.7万元，其余3件在</w:t>
      </w:r>
      <w:r>
        <w:rPr>
          <w:rFonts w:ascii="Times New Roman"/>
          <w:color w:val="000000"/>
          <w:sz w:val="32"/>
          <w:szCs w:val="32"/>
        </w:rPr>
        <w:t>办理之中。</w:t>
      </w:r>
    </w:p>
    <w:p>
      <w:pPr>
        <w:adjustRightInd w:val="0"/>
        <w:snapToGrid w:val="0"/>
        <w:spacing w:line="353" w:lineRule="auto"/>
        <w:ind w:firstLine="643" w:firstLineChars="200"/>
        <w:rPr>
          <w:color w:val="000000"/>
          <w:szCs w:val="32"/>
        </w:rPr>
      </w:pPr>
      <w:r>
        <w:rPr>
          <w:rFonts w:eastAsia="仿宋_GB2312"/>
          <w:b/>
          <w:bCs/>
          <w:sz w:val="32"/>
          <w:szCs w:val="32"/>
        </w:rPr>
        <w:t>四是</w:t>
      </w:r>
      <w:r>
        <w:rPr>
          <w:rFonts w:eastAsia="仿宋_GB2312"/>
          <w:sz w:val="32"/>
          <w:szCs w:val="32"/>
        </w:rPr>
        <w:t>质量强区工作方面。</w:t>
      </w:r>
      <w:r>
        <w:rPr>
          <w:rFonts w:eastAsia="仿宋_GB2312"/>
          <w:color w:val="000000"/>
          <w:sz w:val="32"/>
          <w:szCs w:val="32"/>
        </w:rPr>
        <w:t>拟定《攀枝花市西区2024年质量提升暨质量强区实施方案》；开展西区“苏铁质量奖”评选，2家组织活动首届“苏铁质量奖”；积极组织编写《医疗器械经营企业落实质量安全主体责任标准》地方标准，规范医疗器械经营企业质量安全行为。开展形式多样质量月活动，组织2家企业参加攀凉两地检验检测能力大比武，组织11个部门开展集中宣传，向参加活动的群众讲解了电动自行车安全标准、知识产权保护、巧识“鬼秤”、有机产品、环境保护、健康素养、农作物种植、助学贷款、诚信守法等相关知识，并认真解答群众疑问。开展电动自行车全链条整治，查处电动自行车及相关产品案件8件；围绕农业投入品、学生儿童用品、电动自行车、燃气相关产品等加强开展监督抽查，区级开展产品质量抽查30批次。突出城乡结合部、集贸市场、学校周边等区域开展燃气相关产品、消防安全产品、农资产品、学生用品等质量专项整治，督促整改安全隐患12个，下架产品8品种，立案查处3件。</w:t>
      </w:r>
    </w:p>
    <w:p>
      <w:pPr>
        <w:pStyle w:val="6"/>
        <w:adjustRightInd w:val="0"/>
        <w:snapToGrid w:val="0"/>
        <w:spacing w:line="353" w:lineRule="auto"/>
        <w:ind w:firstLine="643" w:firstLineChars="200"/>
        <w:rPr>
          <w:rFonts w:eastAsia="仿宋_GB2312"/>
          <w:bCs w:val="0"/>
          <w:color w:val="000000"/>
        </w:rPr>
      </w:pPr>
      <w:bookmarkStart w:id="82" w:name="_Toc25943"/>
      <w:r>
        <w:rPr>
          <w:rFonts w:ascii="Times New Roman" w:hAnsi="Times New Roman" w:eastAsia="仿宋_GB2312" w:cs="Times New Roman"/>
          <w:color w:val="000000"/>
        </w:rPr>
        <w:t>（3）坚持民生领域服务为民提升群众满意度。</w:t>
      </w:r>
      <w:bookmarkEnd w:id="82"/>
    </w:p>
    <w:p>
      <w:pPr>
        <w:adjustRightInd w:val="0"/>
        <w:snapToGrid w:val="0"/>
        <w:spacing w:line="353" w:lineRule="auto"/>
        <w:ind w:firstLine="643" w:firstLineChars="200"/>
        <w:rPr>
          <w:szCs w:val="32"/>
        </w:rPr>
      </w:pPr>
      <w:r>
        <w:rPr>
          <w:rFonts w:eastAsia="仿宋_GB2312"/>
          <w:b/>
          <w:bCs/>
          <w:sz w:val="32"/>
          <w:szCs w:val="32"/>
        </w:rPr>
        <w:t>一是</w:t>
      </w:r>
      <w:r>
        <w:rPr>
          <w:rFonts w:eastAsia="仿宋_GB2312"/>
          <w:sz w:val="32"/>
          <w:szCs w:val="32"/>
        </w:rPr>
        <w:t>强化综合执法。</w:t>
      </w:r>
      <w:r>
        <w:rPr>
          <w:rFonts w:eastAsia="仿宋_GB2312"/>
          <w:color w:val="000000"/>
          <w:sz w:val="32"/>
          <w:szCs w:val="32"/>
        </w:rPr>
        <w:t>实施“春雷”“铁拳”等执法行动，</w:t>
      </w:r>
      <w:r>
        <w:rPr>
          <w:rFonts w:eastAsia="仿宋_GB2312"/>
          <w:sz w:val="32"/>
          <w:szCs w:val="32"/>
        </w:rPr>
        <w:t>在药品、食品、工业产品质量、特种设备安全及知识产权侵权假冒、扰乱市场秩序等环节开展全链条监管执法，查处案件140件，罚没款41.47万元。</w:t>
      </w:r>
      <w:r>
        <w:rPr>
          <w:rFonts w:eastAsia="仿宋_GB2312"/>
          <w:b/>
          <w:bCs/>
          <w:sz w:val="32"/>
          <w:szCs w:val="32"/>
        </w:rPr>
        <w:t>二是</w:t>
      </w:r>
      <w:r>
        <w:rPr>
          <w:rFonts w:eastAsia="仿宋_GB2312"/>
          <w:sz w:val="32"/>
          <w:szCs w:val="32"/>
        </w:rPr>
        <w:t>强化民生商品价格监管。围绕重要民主产品开展价格监测，建</w:t>
      </w:r>
      <w:r>
        <w:rPr>
          <w:rFonts w:eastAsia="仿宋_GB2312"/>
          <w:color w:val="000000"/>
          <w:sz w:val="32"/>
          <w:szCs w:val="32"/>
        </w:rPr>
        <w:t>立2个价格监测点，累计开展价格监测41</w:t>
      </w:r>
      <w:r>
        <w:rPr>
          <w:rFonts w:eastAsia="仿宋_GB2312"/>
          <w:sz w:val="32"/>
          <w:szCs w:val="32"/>
        </w:rPr>
        <w:t>。持续深入开展转供电环节价格专项整治工作，共摸排转供电主体26家，共计退费50.2594万元，立案2家现正在查处中。</w:t>
      </w:r>
      <w:r>
        <w:rPr>
          <w:rFonts w:eastAsia="仿宋_GB2312"/>
          <w:b/>
          <w:bCs/>
          <w:color w:val="000000"/>
          <w:sz w:val="32"/>
          <w:szCs w:val="32"/>
        </w:rPr>
        <w:t>三是</w:t>
      </w:r>
      <w:r>
        <w:rPr>
          <w:rFonts w:eastAsia="仿宋_GB2312"/>
          <w:sz w:val="32"/>
          <w:szCs w:val="32"/>
        </w:rPr>
        <w:t>强化广告线上线下监管。</w:t>
      </w:r>
      <w:r>
        <w:rPr>
          <w:rFonts w:eastAsia="仿宋_GB2312"/>
          <w:color w:val="000000"/>
          <w:sz w:val="32"/>
          <w:szCs w:val="32"/>
        </w:rPr>
        <w:t>开展“神医”“神药”广告、不当发布互联网广告等问题专项整治，发放宣传资料300份，入户检查400余家次，截至目前，共办理广告违法案件5起，罚款1.07万元。</w:t>
      </w:r>
    </w:p>
    <w:p>
      <w:pPr>
        <w:adjustRightInd w:val="0"/>
        <w:snapToGrid w:val="0"/>
        <w:spacing w:line="353" w:lineRule="auto"/>
        <w:ind w:firstLine="640" w:firstLineChars="200"/>
        <w:contextualSpacing/>
        <w:rPr>
          <w:szCs w:val="32"/>
        </w:rPr>
      </w:pP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预算管理。</w:t>
      </w:r>
      <w:r>
        <w:rPr>
          <w:rFonts w:eastAsia="仿宋_GB2312"/>
          <w:sz w:val="32"/>
          <w:szCs w:val="32"/>
        </w:rPr>
        <w:t>根据《中华人民共和国预算法》及其实施条例、《四川省人民政府关于推动财政高质量发展的实施意见》（川府发〔2024〕11号）、《四川省人民政府关于进一步深化预算管理制度改革的实施意见》（川府发〔2022〕4号）、《中共四川省委办公厅 四川省人民政府办公厅关于深入实施预算绩效管理的通知》（川委厅〔2022〕5号）等有关规定，我单位根据人员情况、日常运行情况和工作开展情况合理的编制2024年年初预算和项目绩效目标设定情况，并严格按照预算下达的经费及绩效目标开展全年财务工作。全年资金支付进度符合预算进度，未出现超预算或者超标准支出，充分保障各项工作的有序推进。2024年西区全年财政拨款收入</w:t>
      </w:r>
    </w:p>
    <w:p>
      <w:pPr>
        <w:adjustRightInd w:val="0"/>
        <w:snapToGrid w:val="0"/>
        <w:spacing w:line="353" w:lineRule="auto"/>
        <w:ind w:firstLine="640" w:firstLineChars="200"/>
        <w:contextualSpacing/>
        <w:rPr>
          <w:color w:val="000000"/>
          <w:kern w:val="0"/>
          <w:szCs w:val="32"/>
          <w:shd w:val="clear" w:color="auto" w:fill="FFFFFF"/>
          <w:lang w:val="zh-CN"/>
        </w:rPr>
      </w:pPr>
      <w:r>
        <w:rPr>
          <w:rFonts w:eastAsia="仿宋_GB2312"/>
          <w:color w:val="000000"/>
          <w:kern w:val="0"/>
          <w:sz w:val="32"/>
          <w:szCs w:val="32"/>
          <w:shd w:val="clear" w:color="auto" w:fill="FFFFFF"/>
        </w:rPr>
        <w:t>3.</w:t>
      </w:r>
      <w:r>
        <w:rPr>
          <w:rFonts w:eastAsia="仿宋_GB2312"/>
          <w:color w:val="000000"/>
          <w:kern w:val="0"/>
          <w:sz w:val="32"/>
          <w:szCs w:val="32"/>
          <w:shd w:val="clear" w:color="auto" w:fill="FFFFFF"/>
          <w:lang w:val="zh-CN"/>
        </w:rPr>
        <w:t>财务管理。一是西区市场监管局制定了内部财务管理制度，并严格按照制度规定执行日常资金支付，比如项目和日常办公开支单笔资金超过5000元的必须经过党组集中讨论。二是部门合理设置出纳和会计工作岗位，明确职责权限，并严格实行不相容岗位分离的原则。</w:t>
      </w:r>
    </w:p>
    <w:p>
      <w:pPr>
        <w:adjustRightInd w:val="0"/>
        <w:snapToGrid w:val="0"/>
        <w:spacing w:line="353" w:lineRule="auto"/>
        <w:ind w:firstLine="640" w:firstLineChars="200"/>
        <w:contextualSpacing/>
        <w:rPr>
          <w:color w:val="000000"/>
          <w:kern w:val="0"/>
          <w:szCs w:val="32"/>
          <w:shd w:val="clear" w:color="auto" w:fill="FFFFFF"/>
          <w:lang w:val="zh-CN"/>
        </w:rPr>
      </w:pPr>
      <w:r>
        <w:rPr>
          <w:rFonts w:eastAsia="仿宋_GB2312"/>
          <w:color w:val="000000"/>
          <w:kern w:val="0"/>
          <w:sz w:val="32"/>
          <w:szCs w:val="32"/>
          <w:shd w:val="clear" w:color="auto" w:fill="FFFFFF"/>
        </w:rPr>
        <w:t>4.</w:t>
      </w:r>
      <w:r>
        <w:rPr>
          <w:rFonts w:eastAsia="仿宋_GB2312"/>
          <w:color w:val="000000"/>
          <w:kern w:val="0"/>
          <w:sz w:val="32"/>
          <w:szCs w:val="32"/>
          <w:shd w:val="clear" w:color="auto" w:fill="FFFFFF"/>
          <w:lang w:val="zh-CN"/>
        </w:rPr>
        <w:t>资产管理。西区市场监督管理局是几个单位合并成立的单位，因人员多，机构合并中资产管理比较混乱，部分电脑未进行及时报废，所以人均资产占比较大。</w:t>
      </w:r>
    </w:p>
    <w:p>
      <w:pPr>
        <w:adjustRightInd w:val="0"/>
        <w:snapToGrid w:val="0"/>
        <w:spacing w:line="353" w:lineRule="auto"/>
        <w:ind w:firstLine="640" w:firstLineChars="200"/>
        <w:contextualSpacing/>
        <w:rPr>
          <w:color w:val="000000"/>
          <w:kern w:val="0"/>
          <w:szCs w:val="32"/>
          <w:shd w:val="clear" w:color="auto" w:fill="FFFFFF"/>
          <w:lang w:val="zh-CN"/>
        </w:rPr>
      </w:pPr>
      <w:r>
        <w:rPr>
          <w:rFonts w:eastAsia="仿宋_GB2312"/>
          <w:color w:val="000000"/>
          <w:kern w:val="0"/>
          <w:sz w:val="32"/>
          <w:szCs w:val="32"/>
          <w:shd w:val="clear" w:color="auto" w:fill="FFFFFF"/>
          <w:lang w:val="zh-CN"/>
        </w:rPr>
        <w:t>5.采购管理。近两年我单位主要采购了部分打印机、空调等办公设备，按照政府采购流程进行，全部面向中小企业采购、严格执行政府采购促进中小企业发展相关管理办法，并及时支付采购款。</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（二）部门预算项目绩效分析。</w:t>
      </w:r>
    </w:p>
    <w:p>
      <w:pPr>
        <w:adjustRightInd w:val="0"/>
        <w:snapToGrid w:val="0"/>
        <w:spacing w:line="353" w:lineRule="auto"/>
        <w:ind w:firstLine="640" w:firstLineChars="200"/>
        <w:contextualSpacing/>
        <w:rPr>
          <w:color w:val="000000"/>
          <w:kern w:val="0"/>
          <w:szCs w:val="32"/>
          <w:shd w:val="clear" w:color="auto" w:fill="FFFFFF"/>
          <w:lang w:val="zh-CN"/>
        </w:rPr>
      </w:pPr>
      <w:r>
        <w:rPr>
          <w:rFonts w:eastAsia="仿宋_GB2312"/>
          <w:color w:val="000000"/>
          <w:kern w:val="0"/>
          <w:sz w:val="32"/>
          <w:szCs w:val="32"/>
          <w:shd w:val="clear" w:color="auto" w:fill="FFFFFF"/>
        </w:rPr>
        <w:t>常年项目绩效分析。</w:t>
      </w:r>
      <w:r>
        <w:rPr>
          <w:rFonts w:eastAsia="仿宋_GB2312"/>
          <w:color w:val="000000"/>
          <w:kern w:val="0"/>
          <w:sz w:val="32"/>
          <w:szCs w:val="32"/>
          <w:shd w:val="clear" w:color="auto" w:fill="FFFFFF"/>
          <w:lang w:val="zh-CN"/>
        </w:rPr>
        <w:t>该类项目总数</w:t>
      </w:r>
      <w:r>
        <w:rPr>
          <w:rFonts w:eastAsia="仿宋_GB2312"/>
          <w:color w:val="000000"/>
          <w:kern w:val="0"/>
          <w:sz w:val="32"/>
          <w:szCs w:val="32"/>
          <w:shd w:val="clear" w:color="auto" w:fill="FFFFFF"/>
        </w:rPr>
        <w:t>9</w:t>
      </w:r>
      <w:r>
        <w:rPr>
          <w:rFonts w:eastAsia="仿宋_GB2312"/>
          <w:color w:val="000000"/>
          <w:kern w:val="0"/>
          <w:sz w:val="32"/>
          <w:szCs w:val="32"/>
          <w:shd w:val="clear" w:color="auto" w:fill="FFFFFF"/>
          <w:lang w:val="zh-CN"/>
        </w:rPr>
        <w:t>个，涉及预算总金额</w:t>
      </w:r>
      <w:r>
        <w:rPr>
          <w:rFonts w:eastAsia="仿宋_GB2312"/>
          <w:color w:val="000000"/>
          <w:kern w:val="0"/>
          <w:sz w:val="32"/>
          <w:szCs w:val="32"/>
          <w:shd w:val="clear" w:color="auto" w:fill="FFFFFF"/>
        </w:rPr>
        <w:t xml:space="preserve">   57.33</w:t>
      </w:r>
      <w:r>
        <w:rPr>
          <w:rFonts w:eastAsia="仿宋_GB2312"/>
          <w:color w:val="000000"/>
          <w:kern w:val="0"/>
          <w:sz w:val="32"/>
          <w:szCs w:val="32"/>
          <w:shd w:val="clear" w:color="auto" w:fill="FFFFFF"/>
          <w:lang w:val="zh-CN"/>
        </w:rPr>
        <w:t>万元，1—1</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月预算执行总体进度为</w:t>
      </w:r>
      <w:r>
        <w:rPr>
          <w:rFonts w:eastAsia="仿宋_GB2312"/>
          <w:color w:val="000000"/>
          <w:kern w:val="0"/>
          <w:sz w:val="32"/>
          <w:szCs w:val="32"/>
          <w:shd w:val="clear" w:color="auto" w:fill="FFFFFF"/>
        </w:rPr>
        <w:t>100</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的项目共计</w:t>
      </w:r>
      <w:r>
        <w:rPr>
          <w:rFonts w:eastAsia="仿宋_GB2312"/>
          <w:color w:val="000000"/>
          <w:kern w:val="0"/>
          <w:sz w:val="32"/>
          <w:szCs w:val="32"/>
          <w:shd w:val="clear" w:color="auto" w:fill="FFFFFF"/>
        </w:rPr>
        <w:t>0</w:t>
      </w:r>
      <w:r>
        <w:rPr>
          <w:rFonts w:eastAsia="仿宋_GB2312"/>
          <w:color w:val="000000"/>
          <w:kern w:val="0"/>
          <w:sz w:val="32"/>
          <w:szCs w:val="32"/>
          <w:shd w:val="clear" w:color="auto" w:fill="FFFFFF"/>
          <w:lang w:val="zh-CN"/>
        </w:rPr>
        <w:t>个。</w:t>
      </w:r>
    </w:p>
    <w:p>
      <w:pPr>
        <w:adjustRightInd w:val="0"/>
        <w:snapToGrid w:val="0"/>
        <w:spacing w:line="353" w:lineRule="auto"/>
        <w:ind w:firstLine="640" w:firstLineChars="200"/>
        <w:contextualSpacing/>
        <w:rPr>
          <w:color w:val="000000"/>
          <w:kern w:val="0"/>
          <w:szCs w:val="32"/>
          <w:shd w:val="clear" w:color="auto" w:fill="FFFFFF"/>
          <w:lang w:val="zh-CN"/>
        </w:rPr>
      </w:pPr>
      <w:r>
        <w:rPr>
          <w:rFonts w:eastAsia="仿宋_GB2312"/>
          <w:color w:val="000000"/>
          <w:kern w:val="0"/>
          <w:sz w:val="32"/>
          <w:szCs w:val="32"/>
          <w:shd w:val="clear" w:color="auto" w:fill="FFFFFF"/>
        </w:rPr>
        <w:t>阶段（含一次性）项目绩效分析。</w:t>
      </w:r>
      <w:r>
        <w:rPr>
          <w:rFonts w:eastAsia="仿宋_GB2312"/>
          <w:color w:val="000000"/>
          <w:kern w:val="0"/>
          <w:sz w:val="32"/>
          <w:szCs w:val="32"/>
          <w:shd w:val="clear" w:color="auto" w:fill="FFFFFF"/>
          <w:lang w:val="zh-CN"/>
        </w:rPr>
        <w:t>该类项目总数</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个，涉及预算总金额138.31万元，1—1</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月预算执行总体进度为</w:t>
      </w:r>
      <w:r>
        <w:rPr>
          <w:rFonts w:eastAsia="仿宋_GB2312"/>
          <w:color w:val="000000"/>
          <w:kern w:val="0"/>
          <w:sz w:val="32"/>
          <w:szCs w:val="32"/>
          <w:shd w:val="clear" w:color="auto" w:fill="FFFFFF"/>
        </w:rPr>
        <w:t xml:space="preserve">  75.35 </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的项目共计</w:t>
      </w:r>
      <w:r>
        <w:rPr>
          <w:rFonts w:eastAsia="仿宋_GB2312"/>
          <w:color w:val="000000"/>
          <w:kern w:val="0"/>
          <w:sz w:val="32"/>
          <w:szCs w:val="32"/>
          <w:shd w:val="clear" w:color="auto" w:fill="FFFFFF"/>
        </w:rPr>
        <w:t>3</w:t>
      </w:r>
      <w:r>
        <w:rPr>
          <w:rFonts w:eastAsia="仿宋_GB2312"/>
          <w:color w:val="000000"/>
          <w:kern w:val="0"/>
          <w:sz w:val="32"/>
          <w:szCs w:val="32"/>
          <w:shd w:val="clear" w:color="auto" w:fill="FFFFFF"/>
          <w:lang w:val="zh-CN"/>
        </w:rPr>
        <w:t>个。</w:t>
      </w:r>
    </w:p>
    <w:p>
      <w:pPr>
        <w:adjustRightInd w:val="0"/>
        <w:snapToGrid w:val="0"/>
        <w:spacing w:line="353" w:lineRule="auto"/>
        <w:ind w:firstLine="640" w:firstLineChars="200"/>
        <w:rPr>
          <w:szCs w:val="32"/>
          <w:lang w:val="zh-CN"/>
        </w:rPr>
      </w:pPr>
      <w:r>
        <w:rPr>
          <w:rFonts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项目决策。年初我单位设立了9个预算项目，</w:t>
      </w:r>
      <w:r>
        <w:rPr>
          <w:rFonts w:eastAsia="仿宋_GB2312"/>
          <w:sz w:val="32"/>
          <w:szCs w:val="32"/>
          <w:lang w:val="zh-CN"/>
        </w:rPr>
        <w:t>部门预算项目设立按照我单位的职能职范围和规定履行评估论证、申报程序,</w:t>
      </w:r>
      <w:r>
        <w:rPr>
          <w:rFonts w:eastAsia="仿宋_GB2312"/>
          <w:sz w:val="32"/>
          <w:szCs w:val="32"/>
        </w:rPr>
        <w:t xml:space="preserve"> </w:t>
      </w:r>
      <w:r>
        <w:rPr>
          <w:rFonts w:eastAsia="仿宋_GB2312"/>
          <w:sz w:val="32"/>
          <w:szCs w:val="32"/>
          <w:lang w:val="zh-CN"/>
        </w:rPr>
        <w:t>部门预算项目绩效目标与计划期内的任务量、预算安排的资金量相匹配。绩效目标设置科学合理、规范完整，</w:t>
      </w:r>
      <w:r>
        <w:rPr>
          <w:rFonts w:eastAsia="仿宋_GB2312"/>
          <w:sz w:val="32"/>
          <w:szCs w:val="32"/>
        </w:rPr>
        <w:t>每个项目的数量指标、质量指标、时效指标、成本指标和效益指标进行了</w:t>
      </w:r>
      <w:r>
        <w:rPr>
          <w:rFonts w:eastAsia="仿宋_GB2312"/>
          <w:sz w:val="32"/>
          <w:szCs w:val="32"/>
          <w:lang w:val="zh-CN"/>
        </w:rPr>
        <w:t>量化细化，</w:t>
      </w:r>
      <w:r>
        <w:rPr>
          <w:rFonts w:eastAsia="仿宋_GB2312"/>
          <w:sz w:val="32"/>
          <w:szCs w:val="32"/>
        </w:rPr>
        <w:t>与</w:t>
      </w:r>
      <w:r>
        <w:rPr>
          <w:rFonts w:eastAsia="仿宋_GB2312"/>
          <w:sz w:val="32"/>
          <w:szCs w:val="32"/>
          <w:lang w:val="zh-CN"/>
        </w:rPr>
        <w:t>预算匹配</w:t>
      </w:r>
      <w:r>
        <w:rPr>
          <w:rFonts w:eastAsia="仿宋_GB2312"/>
          <w:sz w:val="32"/>
          <w:szCs w:val="32"/>
        </w:rPr>
        <w:t>一致。</w:t>
      </w:r>
    </w:p>
    <w:p>
      <w:pPr>
        <w:adjustRightInd w:val="0"/>
        <w:snapToGrid w:val="0"/>
        <w:spacing w:line="353" w:lineRule="auto"/>
        <w:ind w:firstLine="640" w:firstLineChars="200"/>
        <w:rPr>
          <w:szCs w:val="32"/>
          <w:shd w:val="clear" w:color="auto" w:fill="FFFFFF"/>
          <w:lang w:val="zh-CN"/>
        </w:rPr>
      </w:pPr>
      <w:r>
        <w:rPr>
          <w:rFonts w:eastAsia="仿宋_GB2312"/>
          <w:color w:val="000000"/>
          <w:kern w:val="0"/>
          <w:sz w:val="32"/>
          <w:szCs w:val="32"/>
          <w:shd w:val="clear" w:color="auto" w:fill="FFFFFF"/>
        </w:rPr>
        <w:t>2.项目执行</w:t>
      </w:r>
      <w:r>
        <w:rPr>
          <w:rFonts w:eastAsia="仿宋_GB2312"/>
          <w:color w:val="000000"/>
          <w:kern w:val="0"/>
          <w:sz w:val="32"/>
          <w:szCs w:val="32"/>
          <w:shd w:val="clear" w:color="auto" w:fill="FFFFFF"/>
          <w:lang w:val="zh-CN"/>
        </w:rPr>
        <w:t>。西区市场监督管理局年初预算设置了9个预算项目，预算下达项目资金40万元，调整后共下达18个项目资金，资金合计195.64万元，实际支付161.32万元，预算执行率82.46%。</w:t>
      </w:r>
      <w:r>
        <w:rPr>
          <w:rFonts w:eastAsia="仿宋_GB2312"/>
          <w:bCs/>
          <w:kern w:val="0"/>
          <w:sz w:val="32"/>
          <w:szCs w:val="32"/>
        </w:rPr>
        <w:t>资金支付符合会计法律法规以及专项资金管理要求，项目支出专项核算、专款专用。</w:t>
      </w:r>
      <w:r>
        <w:rPr>
          <w:rFonts w:eastAsia="仿宋_GB2312"/>
          <w:sz w:val="32"/>
          <w:szCs w:val="32"/>
          <w:shd w:val="clear" w:color="auto" w:fill="FFFFFF"/>
          <w:lang w:val="zh-CN"/>
        </w:rPr>
        <w:t>资金支付进度符合项目开展进度，较好完成了年初绩效目标设置任务。</w:t>
      </w:r>
    </w:p>
    <w:p>
      <w:pPr>
        <w:adjustRightInd w:val="0"/>
        <w:snapToGrid w:val="0"/>
        <w:spacing w:line="353" w:lineRule="auto"/>
        <w:ind w:firstLine="640" w:firstLineChars="200"/>
        <w:contextualSpacing/>
        <w:rPr>
          <w:szCs w:val="32"/>
        </w:rPr>
      </w:pPr>
      <w:r>
        <w:rPr>
          <w:rFonts w:eastAsia="仿宋_GB2312"/>
          <w:color w:val="000000"/>
          <w:kern w:val="0"/>
          <w:sz w:val="32"/>
          <w:szCs w:val="32"/>
          <w:shd w:val="clear" w:color="auto" w:fill="FFFFFF"/>
        </w:rPr>
        <w:t>3.</w:t>
      </w:r>
      <w:r>
        <w:rPr>
          <w:rFonts w:eastAsia="仿宋_GB2312"/>
          <w:color w:val="000000"/>
          <w:kern w:val="0"/>
          <w:sz w:val="32"/>
          <w:szCs w:val="32"/>
          <w:shd w:val="clear" w:color="auto" w:fill="FFFFFF"/>
          <w:lang w:val="zh-CN"/>
        </w:rPr>
        <w:t>目标实现。</w:t>
      </w:r>
      <w:r>
        <w:rPr>
          <w:rFonts w:eastAsia="仿宋_GB2312"/>
          <w:bCs/>
          <w:kern w:val="0"/>
          <w:sz w:val="32"/>
          <w:szCs w:val="32"/>
        </w:rPr>
        <w:t>按照部门年初目标任务和资金预算，我局对食品、药品、保健品、化妆品、特种设备安全、知识产权、计量、标准化、认证认可进行现场监管执法，开展食品、药品、化妆品、医疗器械、流通领域商品、工业产品的抽样检验，进行食品药品特种设备等的安全风险监测和评估。召开各类工作会议，安排布置监管工作。开展食品药品特种设备产品质量科普宣传。食品、药品、特种设备、产商品质量安全形势稳中向好，质量强区稳步推进，市场秩序井然有序，机构改革顺利推进，各项工作成效显著。</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（三）绩效结果应用情况。</w:t>
      </w:r>
      <w:bookmarkStart w:id="83" w:name="OLE_LINK5"/>
    </w:p>
    <w:p>
      <w:pPr>
        <w:adjustRightInd w:val="0"/>
        <w:snapToGrid w:val="0"/>
        <w:spacing w:line="353" w:lineRule="auto"/>
        <w:ind w:firstLine="640" w:firstLineChars="200"/>
        <w:rPr>
          <w:bCs/>
          <w:kern w:val="0"/>
          <w:szCs w:val="32"/>
        </w:rPr>
      </w:pPr>
      <w:r>
        <w:rPr>
          <w:rFonts w:eastAsia="仿宋_GB2312"/>
          <w:bCs/>
          <w:kern w:val="0"/>
          <w:sz w:val="32"/>
          <w:szCs w:val="32"/>
        </w:rPr>
        <w:t>1.我局按照“谁支出，谁自评”预算绩效管理要求，组织开展了2024年整体绩效自评工作。逐步树立全员绩效管理意识，向绩效管理要财力，提高财政资金使用效益。对预算执行率偏低、自评结果较差的项目，单独说明原因，提出整改措施。</w:t>
      </w:r>
    </w:p>
    <w:p>
      <w:pPr>
        <w:adjustRightInd w:val="0"/>
        <w:snapToGrid w:val="0"/>
        <w:spacing w:line="353" w:lineRule="auto"/>
        <w:ind w:firstLine="640" w:firstLineChars="200"/>
        <w:rPr>
          <w:b/>
          <w:szCs w:val="32"/>
        </w:rPr>
      </w:pPr>
      <w:r>
        <w:rPr>
          <w:rFonts w:eastAsia="仿宋_GB2312"/>
          <w:bCs/>
          <w:kern w:val="0"/>
          <w:sz w:val="32"/>
          <w:szCs w:val="32"/>
        </w:rPr>
        <w:t>2.按要求在相关门户网站上及时公开本单位财政支出绩效评价情况，主动接受社会监督。在今后工作中，我局将切实加强项目整改落实，推动绩效评价结果与预算安排相结合，加大评价结果向社会公开的力度，提高资金使用效益。</w:t>
      </w:r>
      <w:bookmarkEnd w:id="83"/>
    </w:p>
    <w:p>
      <w:pPr>
        <w:widowControl/>
        <w:adjustRightInd w:val="0"/>
        <w:snapToGrid w:val="0"/>
        <w:spacing w:line="353" w:lineRule="auto"/>
        <w:ind w:firstLine="640" w:firstLineChars="200"/>
        <w:contextualSpacing/>
        <w:outlineLvl w:val="1"/>
        <w:rPr>
          <w:rFonts w:eastAsia="黑体"/>
          <w:color w:val="000000"/>
          <w:kern w:val="0"/>
          <w:szCs w:val="32"/>
          <w:shd w:val="clear" w:color="auto" w:fill="FFFFFF"/>
          <w:lang w:val="zh-CN"/>
        </w:rPr>
      </w:pPr>
      <w:bookmarkStart w:id="84" w:name="_Toc13491"/>
      <w:r>
        <w:rPr>
          <w:rFonts w:eastAsia="黑体"/>
          <w:color w:val="000000"/>
          <w:kern w:val="0"/>
          <w:sz w:val="32"/>
          <w:szCs w:val="32"/>
          <w:shd w:val="clear" w:color="auto" w:fill="FFFFFF"/>
          <w:lang w:val="zh-CN"/>
        </w:rPr>
        <w:t>四、评价结论及建议</w:t>
      </w:r>
      <w:bookmarkEnd w:id="84"/>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（一）评价结论。</w:t>
      </w:r>
    </w:p>
    <w:p>
      <w:pPr>
        <w:widowControl/>
        <w:adjustRightInd w:val="0"/>
        <w:snapToGrid w:val="0"/>
        <w:spacing w:line="353" w:lineRule="auto"/>
        <w:ind w:firstLine="640" w:firstLineChars="200"/>
        <w:contextualSpacing/>
        <w:rPr>
          <w:szCs w:val="32"/>
        </w:rPr>
      </w:pPr>
      <w:bookmarkStart w:id="85" w:name="OLE_LINK7"/>
      <w:r>
        <w:rPr>
          <w:rFonts w:eastAsia="仿宋_GB2312"/>
          <w:bCs/>
          <w:kern w:val="0"/>
          <w:sz w:val="32"/>
          <w:szCs w:val="32"/>
        </w:rPr>
        <w:t>按照部门整体支出绩效评价要求，我局认真开展自评，部门绩效目标编制完整、合理，资金支付符合会计法律法规以及专项资金管理要求，项目支出专项核算、专款专用，自评得分93.8分</w:t>
      </w:r>
      <w:bookmarkEnd w:id="85"/>
      <w:r>
        <w:rPr>
          <w:rFonts w:eastAsia="仿宋_GB2312"/>
          <w:bCs/>
          <w:kern w:val="0"/>
          <w:sz w:val="32"/>
          <w:szCs w:val="32"/>
        </w:rPr>
        <w:t>。我局认真贯彻落实省局、市委和市政府的安排部署，围绕中心、服务大局、履职尽责、开拓创新，保障了各项工作有序推进。食品、药品、产商品质量、特种设备“四大安全”监管实现“零事故”</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w:t>
      </w:r>
      <w:r>
        <w:rPr>
          <w:rFonts w:eastAsia="楷体_GB2312"/>
          <w:color w:val="000000"/>
          <w:kern w:val="0"/>
          <w:sz w:val="32"/>
          <w:szCs w:val="32"/>
          <w:shd w:val="clear" w:color="auto" w:fill="FFFFFF"/>
        </w:rPr>
        <w:t>二</w:t>
      </w:r>
      <w:r>
        <w:rPr>
          <w:rFonts w:eastAsia="楷体_GB2312"/>
          <w:color w:val="000000"/>
          <w:kern w:val="0"/>
          <w:sz w:val="32"/>
          <w:szCs w:val="32"/>
          <w:shd w:val="clear" w:color="auto" w:fill="FFFFFF"/>
          <w:lang w:val="zh-CN"/>
        </w:rPr>
        <w:t>）存在问题。</w:t>
      </w:r>
    </w:p>
    <w:p>
      <w:pPr>
        <w:adjustRightInd w:val="0"/>
        <w:snapToGrid w:val="0"/>
        <w:spacing w:line="353" w:lineRule="auto"/>
        <w:ind w:firstLine="640" w:firstLineChars="200"/>
        <w:rPr>
          <w:szCs w:val="32"/>
        </w:rPr>
      </w:pPr>
      <w:r>
        <w:rPr>
          <w:rFonts w:eastAsia="仿宋_GB2312"/>
          <w:bCs/>
          <w:kern w:val="0"/>
          <w:sz w:val="32"/>
          <w:szCs w:val="32"/>
        </w:rPr>
        <w:t>一是对全局职工绩效评价宣传培训工作做得不够，业务股室缺乏对预算绩效管理的全面认识；二是财政财力紧张，导致部分款项无法支付，资金执行进度较低。</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w:t>
      </w:r>
      <w:r>
        <w:rPr>
          <w:rFonts w:eastAsia="楷体_GB2312"/>
          <w:color w:val="000000"/>
          <w:kern w:val="0"/>
          <w:sz w:val="32"/>
          <w:szCs w:val="32"/>
          <w:shd w:val="clear" w:color="auto" w:fill="FFFFFF"/>
        </w:rPr>
        <w:t>三</w:t>
      </w:r>
      <w:r>
        <w:rPr>
          <w:rFonts w:eastAsia="楷体_GB2312"/>
          <w:color w:val="000000"/>
          <w:kern w:val="0"/>
          <w:sz w:val="32"/>
          <w:szCs w:val="32"/>
          <w:shd w:val="clear" w:color="auto" w:fill="FFFFFF"/>
          <w:lang w:val="zh-CN"/>
        </w:rPr>
        <w:t>）改进建议。</w:t>
      </w:r>
      <w:bookmarkStart w:id="86" w:name="_Hlk110546638"/>
    </w:p>
    <w:p>
      <w:pPr>
        <w:adjustRightInd w:val="0"/>
        <w:snapToGrid w:val="0"/>
        <w:spacing w:line="353" w:lineRule="auto"/>
        <w:ind w:firstLine="640" w:firstLineChars="200"/>
        <w:rPr>
          <w:szCs w:val="32"/>
        </w:rPr>
      </w:pPr>
      <w:r>
        <w:rPr>
          <w:rFonts w:eastAsia="仿宋_GB2312"/>
          <w:bCs/>
          <w:kern w:val="0"/>
          <w:sz w:val="32"/>
          <w:szCs w:val="32"/>
        </w:rPr>
        <w:t>一是强化项目实施股室对资金绩效实现情况的责任约束。对专项资金偏离预算绩效目标的支出，及时采取有效措施予以纠正，让资金管理人、使用人皆知自身的责任，进一步规范专项资金使用绩效。二是加强资金监管。针对资金绩效运行状况，及时查找资金使用和管理过程中的薄弱环节，提出纠正措施；加快资金执行进度，确保后续绩效目标的有效完成。三是加强与财政沟通协调。加大资金保障力度，加快资金执行进度，及时跟踪问效，实现全程可查询、可追溯、可控制。</w:t>
      </w:r>
      <w:bookmarkEnd w:id="86"/>
    </w:p>
    <w:p>
      <w:pPr>
        <w:spacing w:line="578" w:lineRule="exact"/>
        <w:ind w:firstLine="640"/>
        <w:rPr>
          <w:rFonts w:eastAsia="仿宋_GB2312" w:cs="仿宋_GB2312"/>
          <w:kern w:val="0"/>
          <w:sz w:val="32"/>
          <w:szCs w:val="32"/>
        </w:rPr>
      </w:pPr>
      <w:r>
        <w:rPr>
          <w:rFonts w:hint="eastAsia" w:eastAsia="仿宋_GB2312" w:cs="仿宋_GB2312"/>
          <w:kern w:val="0"/>
          <w:sz w:val="32"/>
          <w:szCs w:val="32"/>
        </w:rPr>
        <w:br w:type="page"/>
      </w:r>
    </w:p>
    <w:p>
      <w:pPr>
        <w:widowControl/>
        <w:jc w:val="center"/>
        <w:outlineLvl w:val="0"/>
        <w:rPr>
          <w:rFonts w:eastAsia="仿宋"/>
        </w:rPr>
      </w:pPr>
      <w:bookmarkStart w:id="87" w:name="_Toc12231"/>
      <w:r>
        <w:rPr>
          <w:rFonts w:hint="eastAsia" w:eastAsia="黑体"/>
          <w:sz w:val="44"/>
          <w:szCs w:val="44"/>
        </w:rPr>
        <w:t>第</w:t>
      </w:r>
      <w:r>
        <w:rPr>
          <w:rStyle w:val="28"/>
          <w:rFonts w:hint="eastAsia" w:eastAsia="黑体"/>
          <w:b w:val="0"/>
        </w:rPr>
        <w:t>五部分 附表</w:t>
      </w:r>
      <w:bookmarkEnd w:id="73"/>
      <w:bookmarkEnd w:id="76"/>
      <w:bookmarkEnd w:id="87"/>
      <w:bookmarkStart w:id="88"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88"/>
    </w:p>
    <w:p>
      <w:pPr>
        <w:pStyle w:val="14"/>
        <w:adjustRightInd w:val="0"/>
        <w:snapToGrid w:val="0"/>
        <w:spacing w:line="560" w:lineRule="exact"/>
        <w:jc w:val="left"/>
        <w:rPr>
          <w:rFonts w:eastAsia="仿宋_GB2312" w:cs="仿宋_GB2312"/>
          <w:sz w:val="32"/>
          <w:szCs w:val="32"/>
        </w:rPr>
      </w:pPr>
      <w:bookmarkStart w:id="89" w:name="_Toc15396620"/>
      <w:r>
        <w:rPr>
          <w:rFonts w:hint="eastAsia" w:eastAsia="仿宋_GB2312" w:cs="仿宋_GB2312"/>
          <w:sz w:val="32"/>
          <w:szCs w:val="32"/>
        </w:rPr>
        <w:t>二、收入决算表</w:t>
      </w:r>
      <w:bookmarkEnd w:id="89"/>
    </w:p>
    <w:p>
      <w:pPr>
        <w:pStyle w:val="14"/>
        <w:adjustRightInd w:val="0"/>
        <w:snapToGrid w:val="0"/>
        <w:spacing w:line="560" w:lineRule="exact"/>
        <w:jc w:val="left"/>
        <w:rPr>
          <w:rFonts w:eastAsia="仿宋_GB2312" w:cs="仿宋_GB2312"/>
          <w:sz w:val="32"/>
          <w:szCs w:val="32"/>
        </w:rPr>
      </w:pPr>
      <w:bookmarkStart w:id="90" w:name="_Toc15396621"/>
      <w:r>
        <w:rPr>
          <w:rFonts w:hint="eastAsia" w:eastAsia="仿宋_GB2312" w:cs="仿宋_GB2312"/>
          <w:sz w:val="32"/>
          <w:szCs w:val="32"/>
        </w:rPr>
        <w:t>三、支出决算表</w:t>
      </w:r>
      <w:bookmarkEnd w:id="90"/>
    </w:p>
    <w:p>
      <w:pPr>
        <w:pStyle w:val="14"/>
        <w:adjustRightInd w:val="0"/>
        <w:snapToGrid w:val="0"/>
        <w:spacing w:line="560" w:lineRule="exact"/>
        <w:jc w:val="left"/>
        <w:rPr>
          <w:rFonts w:eastAsia="仿宋_GB2312" w:cs="仿宋_GB2312"/>
          <w:sz w:val="32"/>
          <w:szCs w:val="32"/>
        </w:rPr>
      </w:pPr>
      <w:bookmarkStart w:id="91" w:name="_Toc15396622"/>
      <w:r>
        <w:rPr>
          <w:rFonts w:hint="eastAsia" w:eastAsia="仿宋_GB2312" w:cs="仿宋_GB2312"/>
          <w:sz w:val="32"/>
          <w:szCs w:val="32"/>
        </w:rPr>
        <w:t>四、财政拨款收入支出决算总表</w:t>
      </w:r>
      <w:bookmarkEnd w:id="91"/>
    </w:p>
    <w:p>
      <w:pPr>
        <w:pStyle w:val="14"/>
        <w:adjustRightInd w:val="0"/>
        <w:snapToGrid w:val="0"/>
        <w:spacing w:line="560" w:lineRule="exact"/>
        <w:jc w:val="left"/>
        <w:rPr>
          <w:rFonts w:eastAsia="仿宋_GB2312" w:cs="仿宋_GB2312"/>
          <w:sz w:val="32"/>
          <w:szCs w:val="32"/>
        </w:rPr>
      </w:pPr>
      <w:bookmarkStart w:id="92" w:name="_Toc15396623"/>
      <w:r>
        <w:rPr>
          <w:rFonts w:hint="eastAsia" w:eastAsia="仿宋_GB2312" w:cs="仿宋_GB2312"/>
          <w:sz w:val="32"/>
          <w:szCs w:val="32"/>
        </w:rPr>
        <w:t>五、财政拨款支出决算明细表</w:t>
      </w:r>
      <w:bookmarkEnd w:id="92"/>
      <w:bookmarkStart w:id="93"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93"/>
    </w:p>
    <w:p>
      <w:pPr>
        <w:pStyle w:val="14"/>
        <w:adjustRightInd w:val="0"/>
        <w:snapToGrid w:val="0"/>
        <w:spacing w:line="560" w:lineRule="exact"/>
        <w:jc w:val="left"/>
        <w:rPr>
          <w:rFonts w:eastAsia="仿宋_GB2312" w:cs="仿宋_GB2312"/>
          <w:sz w:val="32"/>
          <w:szCs w:val="32"/>
        </w:rPr>
      </w:pPr>
      <w:bookmarkStart w:id="94" w:name="_Toc15396625"/>
      <w:r>
        <w:rPr>
          <w:rFonts w:hint="eastAsia" w:eastAsia="仿宋_GB2312" w:cs="仿宋_GB2312"/>
          <w:sz w:val="32"/>
          <w:szCs w:val="32"/>
        </w:rPr>
        <w:t>七、一般公共预算财政拨款支出决算明细表</w:t>
      </w:r>
      <w:bookmarkEnd w:id="94"/>
    </w:p>
    <w:p>
      <w:pPr>
        <w:pStyle w:val="14"/>
        <w:adjustRightInd w:val="0"/>
        <w:snapToGrid w:val="0"/>
        <w:spacing w:line="560" w:lineRule="exact"/>
        <w:jc w:val="left"/>
        <w:rPr>
          <w:rFonts w:eastAsia="仿宋_GB2312" w:cs="仿宋_GB2312"/>
          <w:sz w:val="32"/>
          <w:szCs w:val="32"/>
        </w:rPr>
      </w:pPr>
      <w:bookmarkStart w:id="95" w:name="_Toc15396626"/>
      <w:r>
        <w:rPr>
          <w:rFonts w:hint="eastAsia" w:eastAsia="仿宋_GB2312" w:cs="仿宋_GB2312"/>
          <w:sz w:val="32"/>
          <w:szCs w:val="32"/>
        </w:rPr>
        <w:t>八、一般公共预算财政拨款基本支出决算表</w:t>
      </w:r>
      <w:bookmarkEnd w:id="95"/>
    </w:p>
    <w:p>
      <w:pPr>
        <w:pStyle w:val="14"/>
        <w:adjustRightInd w:val="0"/>
        <w:snapToGrid w:val="0"/>
        <w:spacing w:line="560" w:lineRule="exact"/>
        <w:jc w:val="left"/>
        <w:rPr>
          <w:rFonts w:eastAsia="仿宋_GB2312" w:cs="仿宋_GB2312"/>
          <w:sz w:val="32"/>
          <w:szCs w:val="32"/>
        </w:rPr>
      </w:pPr>
      <w:bookmarkStart w:id="96" w:name="_Toc15396627"/>
      <w:r>
        <w:rPr>
          <w:rFonts w:hint="eastAsia" w:eastAsia="仿宋_GB2312" w:cs="仿宋_GB2312"/>
          <w:sz w:val="32"/>
          <w:szCs w:val="32"/>
        </w:rPr>
        <w:t>九、一般公共预算财政拨款项目支出决算表</w:t>
      </w:r>
      <w:bookmarkEnd w:id="96"/>
    </w:p>
    <w:p>
      <w:pPr>
        <w:pStyle w:val="14"/>
        <w:adjustRightInd w:val="0"/>
        <w:snapToGrid w:val="0"/>
        <w:spacing w:line="560" w:lineRule="exact"/>
        <w:jc w:val="left"/>
        <w:rPr>
          <w:rFonts w:eastAsia="仿宋_GB2312" w:cs="仿宋_GB2312"/>
          <w:sz w:val="32"/>
          <w:szCs w:val="32"/>
        </w:rPr>
      </w:pPr>
      <w:bookmarkStart w:id="97" w:name="_Toc15396628"/>
      <w:r>
        <w:rPr>
          <w:rFonts w:hint="eastAsia" w:eastAsia="仿宋_GB2312" w:cs="仿宋_GB2312"/>
          <w:sz w:val="32"/>
          <w:szCs w:val="32"/>
        </w:rPr>
        <w:t>十、</w:t>
      </w:r>
      <w:bookmarkEnd w:id="97"/>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98" w:name="_Toc15396629"/>
      <w:r>
        <w:rPr>
          <w:rFonts w:hint="eastAsia" w:eastAsia="仿宋_GB2312" w:cs="仿宋_GB2312"/>
          <w:sz w:val="32"/>
          <w:szCs w:val="32"/>
        </w:rPr>
        <w:t>十一、</w:t>
      </w:r>
      <w:bookmarkEnd w:id="98"/>
      <w:r>
        <w:rPr>
          <w:rFonts w:hint="eastAsia" w:eastAsia="仿宋_GB2312" w:cs="仿宋_GB2312"/>
          <w:sz w:val="32"/>
          <w:szCs w:val="32"/>
        </w:rPr>
        <w:t>国有资本经营预算财政拨款收入支出决算表</w:t>
      </w:r>
    </w:p>
    <w:p>
      <w:pPr>
        <w:pStyle w:val="14"/>
        <w:adjustRightInd w:val="0"/>
        <w:snapToGrid w:val="0"/>
        <w:spacing w:line="560" w:lineRule="exact"/>
        <w:jc w:val="left"/>
        <w:rPr>
          <w:rFonts w:eastAsia="仿宋_GB2312" w:cs="仿宋_GB2312"/>
          <w:sz w:val="32"/>
          <w:szCs w:val="32"/>
        </w:rPr>
      </w:pPr>
      <w:bookmarkStart w:id="99" w:name="_Toc15396630"/>
      <w:r>
        <w:rPr>
          <w:rFonts w:hint="eastAsia" w:eastAsia="仿宋_GB2312" w:cs="仿宋_GB2312"/>
          <w:sz w:val="32"/>
          <w:szCs w:val="32"/>
        </w:rPr>
        <w:t>十二、</w:t>
      </w:r>
      <w:bookmarkEnd w:id="99"/>
      <w:r>
        <w:rPr>
          <w:rFonts w:hint="eastAsia" w:eastAsia="仿宋_GB2312" w:cs="仿宋_GB2312"/>
          <w:sz w:val="32"/>
          <w:szCs w:val="32"/>
        </w:rPr>
        <w:t>国有资本经营预算财政拨款支出决算表</w:t>
      </w:r>
    </w:p>
    <w:p>
      <w:pPr>
        <w:pStyle w:val="14"/>
        <w:adjustRightInd w:val="0"/>
        <w:snapToGrid w:val="0"/>
        <w:spacing w:line="560" w:lineRule="exact"/>
        <w:jc w:val="left"/>
        <w:rPr>
          <w:rFonts w:eastAsia="仿宋_GB2312" w:cs="仿宋_GB2312"/>
          <w:sz w:val="32"/>
          <w:szCs w:val="32"/>
        </w:rPr>
      </w:pPr>
      <w:bookmarkStart w:id="100" w:name="_Toc15396631"/>
      <w:r>
        <w:rPr>
          <w:rFonts w:hint="eastAsia" w:eastAsia="仿宋_GB2312" w:cs="仿宋_GB2312"/>
          <w:sz w:val="32"/>
          <w:szCs w:val="32"/>
        </w:rPr>
        <w:t>十三、</w:t>
      </w:r>
      <w:bookmarkEnd w:id="100"/>
      <w:r>
        <w:rPr>
          <w:rFonts w:hint="eastAsia" w:eastAsia="仿宋_GB2312" w:cs="仿宋_GB2312"/>
          <w:sz w:val="32"/>
          <w:szCs w:val="32"/>
        </w:rPr>
        <w:t>财政拨款“三公”经费支出决算表</w:t>
      </w:r>
    </w:p>
    <w:p/>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A01B1"/>
    <w:multiLevelType w:val="multilevel"/>
    <w:tmpl w:val="686A01B1"/>
    <w:lvl w:ilvl="0" w:tentative="0">
      <w:start w:val="1"/>
      <w:numFmt w:val="japaneseCounting"/>
      <w:lvlText w:val="%1．"/>
      <w:lvlJc w:val="left"/>
      <w:pPr>
        <w:ind w:left="1040" w:hanging="720"/>
      </w:pPr>
      <w:rPr>
        <w:rFonts w:hint="default"/>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5040"/>
    <w:rsid w:val="000768F2"/>
    <w:rsid w:val="0009184B"/>
    <w:rsid w:val="00094236"/>
    <w:rsid w:val="0009498E"/>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5E2A"/>
    <w:rsid w:val="000F726D"/>
    <w:rsid w:val="00114E9B"/>
    <w:rsid w:val="00142216"/>
    <w:rsid w:val="001441FA"/>
    <w:rsid w:val="00144D6A"/>
    <w:rsid w:val="0014729F"/>
    <w:rsid w:val="00151339"/>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0C6C"/>
    <w:rsid w:val="00222673"/>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74FC"/>
    <w:rsid w:val="004223DE"/>
    <w:rsid w:val="00434489"/>
    <w:rsid w:val="00437085"/>
    <w:rsid w:val="00443880"/>
    <w:rsid w:val="004464F4"/>
    <w:rsid w:val="00471401"/>
    <w:rsid w:val="00473F31"/>
    <w:rsid w:val="0048012F"/>
    <w:rsid w:val="0048263A"/>
    <w:rsid w:val="00487E5D"/>
    <w:rsid w:val="004A54C3"/>
    <w:rsid w:val="004A711F"/>
    <w:rsid w:val="004B199D"/>
    <w:rsid w:val="004B4690"/>
    <w:rsid w:val="004B68FA"/>
    <w:rsid w:val="004E0A2D"/>
    <w:rsid w:val="004E206B"/>
    <w:rsid w:val="004E6DF7"/>
    <w:rsid w:val="004F0FBD"/>
    <w:rsid w:val="00505A47"/>
    <w:rsid w:val="00512FDA"/>
    <w:rsid w:val="00520DA0"/>
    <w:rsid w:val="00533AD9"/>
    <w:rsid w:val="005508D8"/>
    <w:rsid w:val="005664BB"/>
    <w:rsid w:val="00566FFA"/>
    <w:rsid w:val="00570DC3"/>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34AC"/>
    <w:rsid w:val="00664777"/>
    <w:rsid w:val="006748A4"/>
    <w:rsid w:val="00681A31"/>
    <w:rsid w:val="00683E73"/>
    <w:rsid w:val="006A3141"/>
    <w:rsid w:val="006A5E34"/>
    <w:rsid w:val="006B2422"/>
    <w:rsid w:val="006B2B9A"/>
    <w:rsid w:val="006C1937"/>
    <w:rsid w:val="006D0BD4"/>
    <w:rsid w:val="006F020C"/>
    <w:rsid w:val="007127B7"/>
    <w:rsid w:val="0071798E"/>
    <w:rsid w:val="007416B6"/>
    <w:rsid w:val="00746F48"/>
    <w:rsid w:val="00751A00"/>
    <w:rsid w:val="0075404D"/>
    <w:rsid w:val="0076182A"/>
    <w:rsid w:val="00767B7E"/>
    <w:rsid w:val="00776E2D"/>
    <w:rsid w:val="007770C3"/>
    <w:rsid w:val="00784D24"/>
    <w:rsid w:val="00785FBA"/>
    <w:rsid w:val="00786E4A"/>
    <w:rsid w:val="007875EB"/>
    <w:rsid w:val="00791AE9"/>
    <w:rsid w:val="0079426B"/>
    <w:rsid w:val="007B576D"/>
    <w:rsid w:val="007C0E77"/>
    <w:rsid w:val="007D1682"/>
    <w:rsid w:val="007D2ADD"/>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728A"/>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423F"/>
    <w:rsid w:val="0094682F"/>
    <w:rsid w:val="00946945"/>
    <w:rsid w:val="00951248"/>
    <w:rsid w:val="0095152F"/>
    <w:rsid w:val="00954C49"/>
    <w:rsid w:val="00955E37"/>
    <w:rsid w:val="009629A3"/>
    <w:rsid w:val="0097099F"/>
    <w:rsid w:val="00971997"/>
    <w:rsid w:val="00971FFC"/>
    <w:rsid w:val="0098660A"/>
    <w:rsid w:val="009931C3"/>
    <w:rsid w:val="009B2C43"/>
    <w:rsid w:val="009B4EAE"/>
    <w:rsid w:val="009B7573"/>
    <w:rsid w:val="009C22F4"/>
    <w:rsid w:val="009C2A4B"/>
    <w:rsid w:val="009C2E98"/>
    <w:rsid w:val="009D3447"/>
    <w:rsid w:val="009D4711"/>
    <w:rsid w:val="009E5580"/>
    <w:rsid w:val="009E5EC8"/>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1B5D"/>
    <w:rsid w:val="00A56DF2"/>
    <w:rsid w:val="00A56E6E"/>
    <w:rsid w:val="00A67AB5"/>
    <w:rsid w:val="00A733B2"/>
    <w:rsid w:val="00A741C2"/>
    <w:rsid w:val="00A91760"/>
    <w:rsid w:val="00A93B00"/>
    <w:rsid w:val="00A93C21"/>
    <w:rsid w:val="00A93E32"/>
    <w:rsid w:val="00AB64C9"/>
    <w:rsid w:val="00AC3C6A"/>
    <w:rsid w:val="00AD5620"/>
    <w:rsid w:val="00AD656B"/>
    <w:rsid w:val="00AD7C1B"/>
    <w:rsid w:val="00AE16BA"/>
    <w:rsid w:val="00AE1EBE"/>
    <w:rsid w:val="00B03C9D"/>
    <w:rsid w:val="00B060AE"/>
    <w:rsid w:val="00B10517"/>
    <w:rsid w:val="00B14E76"/>
    <w:rsid w:val="00B161B8"/>
    <w:rsid w:val="00B2048C"/>
    <w:rsid w:val="00B20C05"/>
    <w:rsid w:val="00B310B9"/>
    <w:rsid w:val="00B35F3F"/>
    <w:rsid w:val="00B36CBB"/>
    <w:rsid w:val="00B425E0"/>
    <w:rsid w:val="00B43437"/>
    <w:rsid w:val="00B440AA"/>
    <w:rsid w:val="00B44B70"/>
    <w:rsid w:val="00B45037"/>
    <w:rsid w:val="00B4503E"/>
    <w:rsid w:val="00B53C56"/>
    <w:rsid w:val="00B543D1"/>
    <w:rsid w:val="00B57DAF"/>
    <w:rsid w:val="00B77EA6"/>
    <w:rsid w:val="00B800F9"/>
    <w:rsid w:val="00B81598"/>
    <w:rsid w:val="00B841F1"/>
    <w:rsid w:val="00B93BE3"/>
    <w:rsid w:val="00B944D6"/>
    <w:rsid w:val="00BB4728"/>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2F6"/>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CBB"/>
    <w:rsid w:val="00D34E7C"/>
    <w:rsid w:val="00D35489"/>
    <w:rsid w:val="00D36AFE"/>
    <w:rsid w:val="00D51276"/>
    <w:rsid w:val="00D7035F"/>
    <w:rsid w:val="00DA634F"/>
    <w:rsid w:val="00DA65AC"/>
    <w:rsid w:val="00DB1913"/>
    <w:rsid w:val="00DC410D"/>
    <w:rsid w:val="00DC5A81"/>
    <w:rsid w:val="00DC68CA"/>
    <w:rsid w:val="00DC6D82"/>
    <w:rsid w:val="00DC7CBA"/>
    <w:rsid w:val="00DD26CB"/>
    <w:rsid w:val="00DD73B7"/>
    <w:rsid w:val="00DF28BC"/>
    <w:rsid w:val="00DF34B9"/>
    <w:rsid w:val="00E01053"/>
    <w:rsid w:val="00E07ACF"/>
    <w:rsid w:val="00E331A1"/>
    <w:rsid w:val="00E33202"/>
    <w:rsid w:val="00E336A9"/>
    <w:rsid w:val="00E43073"/>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E3836"/>
    <w:rsid w:val="00EF4C34"/>
    <w:rsid w:val="00EF77C6"/>
    <w:rsid w:val="00F0027B"/>
    <w:rsid w:val="00F00F1B"/>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1857422"/>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OC Heading"/>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WPSOffice手动目录 1"/>
    <w:uiPriority w:val="0"/>
    <w:rPr>
      <w:rFonts w:ascii="Times New Roman" w:hAnsi="Times New Roman" w:eastAsia="宋体" w:cs="Times New Roman"/>
      <w:lang w:val="en-US" w:eastAsia="zh-CN" w:bidi="ar-SA"/>
    </w:rPr>
  </w:style>
  <w:style w:type="paragraph" w:customStyle="1" w:styleId="37">
    <w:name w:val="WPSOffice手动目录 2"/>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收、支决算总计变动情况 单位：万元</a:t>
            </a:r>
            <a:endParaRPr lang="zh-CN" altLang="en-US" sz="1400"/>
          </a:p>
        </c:rich>
      </c:tx>
      <c:layout/>
      <c:overlay val="0"/>
    </c:title>
    <c:autoTitleDeleted val="0"/>
    <c:plotArea>
      <c:layout/>
      <c:barChart>
        <c:barDir val="col"/>
        <c:grouping val="clustered"/>
        <c:varyColors val="0"/>
        <c:ser>
          <c:idx val="0"/>
          <c:order val="0"/>
          <c:tx>
            <c:strRef>
              <c:f>Sheet1!$B$1:$B$2</c:f>
              <c:strCache>
                <c:ptCount val="1"/>
                <c:pt idx="0">
                  <c:v>收、支决算总计变动情况 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Sheet1!$A$3:$A$5</c:f>
              <c:strCache>
                <c:ptCount val="3"/>
                <c:pt idx="0">
                  <c:v>2023年</c:v>
                </c:pt>
                <c:pt idx="1">
                  <c:v>2024年</c:v>
                </c:pt>
                <c:pt idx="2">
                  <c:v>2024年减少额</c:v>
                </c:pt>
              </c:strCache>
            </c:strRef>
          </c:cat>
          <c:val>
            <c:numRef>
              <c:f>Sheet1!$B$3:$B$5</c:f>
              <c:numCache>
                <c:formatCode>General</c:formatCode>
                <c:ptCount val="3"/>
                <c:pt idx="0">
                  <c:v>1735.6</c:v>
                </c:pt>
                <c:pt idx="1">
                  <c:v>1653.9</c:v>
                </c:pt>
                <c:pt idx="2">
                  <c:v>81.6999999999998</c:v>
                </c:pt>
              </c:numCache>
            </c:numRef>
          </c:val>
        </c:ser>
        <c:dLbls>
          <c:showLegendKey val="0"/>
          <c:showVal val="1"/>
          <c:showCatName val="0"/>
          <c:showSerName val="0"/>
          <c:showPercent val="0"/>
          <c:showBubbleSize val="0"/>
        </c:dLbls>
        <c:gapWidth val="150"/>
        <c:axId val="72595328"/>
        <c:axId val="72596864"/>
      </c:barChart>
      <c:catAx>
        <c:axId val="725953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596864"/>
        <c:crosses val="autoZero"/>
        <c:auto val="1"/>
        <c:lblAlgn val="ctr"/>
        <c:lblOffset val="100"/>
        <c:noMultiLvlLbl val="0"/>
      </c:catAx>
      <c:valAx>
        <c:axId val="725968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59532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  收入决算结构图</a:t>
            </a:r>
            <a:r>
              <a:rPr lang="zh-CN" altLang="en-US"/>
              <a:t>     </a:t>
            </a:r>
            <a:r>
              <a:rPr lang="zh-CN" altLang="en-US" sz="1050"/>
              <a:t>单位：万元</a:t>
            </a:r>
            <a:endParaRPr lang="zh-CN" altLang="en-US" sz="1050"/>
          </a:p>
        </c:rich>
      </c:tx>
      <c:layout/>
      <c:overlay val="0"/>
    </c:title>
    <c:autoTitleDeleted val="0"/>
    <c:plotArea>
      <c:layout/>
      <c:pieChart>
        <c:varyColors val="1"/>
        <c:ser>
          <c:idx val="0"/>
          <c:order val="0"/>
          <c:tx>
            <c:strRef>
              <c:f>Sheet6!$B$1:$B$2</c:f>
              <c:strCache>
                <c:ptCount val="1"/>
                <c:pt idx="0">
                  <c:v>收入决算结构图 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Sheet6!$A$3:$A$4</c:f>
              <c:strCache>
                <c:ptCount val="2"/>
                <c:pt idx="0">
                  <c:v>一般公共预算财政拨款收入</c:v>
                </c:pt>
                <c:pt idx="1">
                  <c:v>政府性基金预算财政拨款收入</c:v>
                </c:pt>
              </c:strCache>
            </c:strRef>
          </c:cat>
          <c:val>
            <c:numRef>
              <c:f>Sheet6!$B$3:$B$4</c:f>
              <c:numCache>
                <c:formatCode>General</c:formatCode>
                <c:ptCount val="2"/>
                <c:pt idx="0">
                  <c:v>1580.96</c:v>
                </c:pt>
                <c:pt idx="1">
                  <c:v>0</c:v>
                </c:pt>
              </c:numCache>
            </c:numRef>
          </c:val>
        </c:ser>
        <c:dLbls>
          <c:showLegendKey val="0"/>
          <c:showVal val="1"/>
          <c:showCatName val="0"/>
          <c:showSerName val="0"/>
          <c:showPercent val="0"/>
          <c:showBubbleSize val="0"/>
          <c:showLeaderLines val="1"/>
        </c:dLbls>
        <c:firstSliceAng val="0"/>
      </c:pieChart>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本年支出合计</a:t>
            </a:r>
            <a:r>
              <a:rPr lang="zh-CN" altLang="en-US"/>
              <a:t>  </a:t>
            </a:r>
            <a:r>
              <a:rPr lang="zh-CN" altLang="en-US" sz="1050"/>
              <a:t>单位：万元</a:t>
            </a:r>
            <a:endParaRPr lang="zh-CN" altLang="en-US" sz="1050"/>
          </a:p>
        </c:rich>
      </c:tx>
      <c:layout/>
      <c:overlay val="0"/>
    </c:title>
    <c:autoTitleDeleted val="0"/>
    <c:plotArea>
      <c:layout/>
      <c:pieChart>
        <c:varyColors val="1"/>
        <c:ser>
          <c:idx val="0"/>
          <c:order val="0"/>
          <c:tx>
            <c:strRef>
              <c:f>Sheet4!$B$1:$B$2</c:f>
              <c:strCache>
                <c:ptCount val="1"/>
                <c:pt idx="0">
                  <c:v>本年支出合计  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Sheet4!$A$3:$A$4</c:f>
              <c:strCache>
                <c:ptCount val="2"/>
                <c:pt idx="0">
                  <c:v>基本支出</c:v>
                </c:pt>
                <c:pt idx="1">
                  <c:v>项目支出</c:v>
                </c:pt>
              </c:strCache>
            </c:strRef>
          </c:cat>
          <c:val>
            <c:numRef>
              <c:f>Sheet4!$B$3:$B$4</c:f>
              <c:numCache>
                <c:formatCode>General</c:formatCode>
                <c:ptCount val="2"/>
                <c:pt idx="0">
                  <c:v>1492.59</c:v>
                </c:pt>
                <c:pt idx="1">
                  <c:v>161.32</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00" b="1" i="0" u="none" strike="noStrike" kern="1200" baseline="0">
                <a:solidFill>
                  <a:schemeClr val="tx1"/>
                </a:solidFill>
                <a:latin typeface="+mn-lt"/>
                <a:ea typeface="+mn-ea"/>
                <a:cs typeface="+mn-cs"/>
              </a:defRPr>
            </a:pPr>
            <a:r>
              <a:rPr lang="zh-CN" altLang="en-US" sz="1100"/>
              <a:t>财政拨款收、支决算总计变动情况     </a:t>
            </a:r>
            <a:r>
              <a:rPr lang="zh-CN" altLang="en-US" sz="900"/>
              <a:t>单位：万元</a:t>
            </a:r>
            <a:endParaRPr lang="zh-CN" altLang="en-US" sz="900"/>
          </a:p>
        </c:rich>
      </c:tx>
      <c:layout/>
      <c:overlay val="0"/>
    </c:title>
    <c:autoTitleDeleted val="0"/>
    <c:plotArea>
      <c:layout/>
      <c:barChart>
        <c:barDir val="col"/>
        <c:grouping val="clustered"/>
        <c:varyColors val="0"/>
        <c:ser>
          <c:idx val="0"/>
          <c:order val="0"/>
          <c:tx>
            <c:strRef>
              <c:f>Sheet2!$B$1:$B$2</c:f>
              <c:strCache>
                <c:ptCount val="1"/>
                <c:pt idx="0">
                  <c:v>财政拨款收、支决算总计变动情况 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Sheet2!$A$3:$A$5</c:f>
              <c:strCache>
                <c:ptCount val="3"/>
                <c:pt idx="0">
                  <c:v>2023年</c:v>
                </c:pt>
                <c:pt idx="1">
                  <c:v>2024年</c:v>
                </c:pt>
                <c:pt idx="2">
                  <c:v>2024年减少额</c:v>
                </c:pt>
              </c:strCache>
            </c:strRef>
          </c:cat>
          <c:val>
            <c:numRef>
              <c:f>Sheet2!$B$3:$B$5</c:f>
              <c:numCache>
                <c:formatCode>General</c:formatCode>
                <c:ptCount val="3"/>
                <c:pt idx="0">
                  <c:v>1735.6</c:v>
                </c:pt>
                <c:pt idx="1">
                  <c:v>1653.9</c:v>
                </c:pt>
                <c:pt idx="2">
                  <c:v>81.6999999999998</c:v>
                </c:pt>
              </c:numCache>
            </c:numRef>
          </c:val>
        </c:ser>
        <c:dLbls>
          <c:showLegendKey val="0"/>
          <c:showVal val="1"/>
          <c:showCatName val="0"/>
          <c:showSerName val="0"/>
          <c:showPercent val="0"/>
          <c:showBubbleSize val="0"/>
        </c:dLbls>
        <c:gapWidth val="150"/>
        <c:axId val="142489856"/>
        <c:axId val="142493184"/>
      </c:barChart>
      <c:catAx>
        <c:axId val="1424898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2493184"/>
        <c:crosses val="autoZero"/>
        <c:auto val="1"/>
        <c:lblAlgn val="ctr"/>
        <c:lblOffset val="100"/>
        <c:noMultiLvlLbl val="0"/>
      </c:catAx>
      <c:valAx>
        <c:axId val="1424931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248985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一般公共预算财政拨款支出决算变动情况             </a:t>
            </a:r>
            <a:r>
              <a:rPr lang="zh-CN" altLang="en-US" sz="1050"/>
              <a:t>单位：万元</a:t>
            </a:r>
            <a:endParaRPr lang="zh-CN" altLang="en-US" sz="1050"/>
          </a:p>
        </c:rich>
      </c:tx>
      <c:layout/>
      <c:overlay val="0"/>
    </c:title>
    <c:autoTitleDeleted val="0"/>
    <c:plotArea>
      <c:layout/>
      <c:barChart>
        <c:barDir val="col"/>
        <c:grouping val="clustered"/>
        <c:varyColors val="0"/>
        <c:ser>
          <c:idx val="0"/>
          <c:order val="0"/>
          <c:tx>
            <c:strRef>
              <c:f>Sheet3!$B$1:$B$2</c:f>
              <c:strCache>
                <c:ptCount val="1"/>
                <c:pt idx="0">
                  <c:v>一般公共预算财政拨款支出决算变动情况 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Sheet3!$A$3:$A$4</c:f>
              <c:strCache>
                <c:ptCount val="2"/>
                <c:pt idx="0">
                  <c:v>2023年</c:v>
                </c:pt>
                <c:pt idx="1">
                  <c:v>2024年</c:v>
                </c:pt>
              </c:strCache>
            </c:strRef>
          </c:cat>
          <c:val>
            <c:numRef>
              <c:f>Sheet3!$B$3:$B$4</c:f>
              <c:numCache>
                <c:formatCode>General</c:formatCode>
                <c:ptCount val="2"/>
                <c:pt idx="0">
                  <c:v>1735.6</c:v>
                </c:pt>
                <c:pt idx="1">
                  <c:v>1653.9</c:v>
                </c:pt>
              </c:numCache>
            </c:numRef>
          </c:val>
        </c:ser>
        <c:dLbls>
          <c:showLegendKey val="0"/>
          <c:showVal val="1"/>
          <c:showCatName val="0"/>
          <c:showSerName val="0"/>
          <c:showPercent val="0"/>
          <c:showBubbleSize val="0"/>
        </c:dLbls>
        <c:gapWidth val="150"/>
        <c:axId val="152000384"/>
        <c:axId val="152324736"/>
      </c:barChart>
      <c:catAx>
        <c:axId val="1520003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2324736"/>
        <c:crosses val="autoZero"/>
        <c:auto val="1"/>
        <c:lblAlgn val="ctr"/>
        <c:lblOffset val="100"/>
        <c:noMultiLvlLbl val="0"/>
      </c:catAx>
      <c:valAx>
        <c:axId val="152324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200038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100"/>
              <a:t>一般公共预算财政拨款支出决算结构                                      </a:t>
            </a:r>
            <a:r>
              <a:rPr lang="zh-CN" altLang="en-US" sz="1000"/>
              <a:t>单位：万元</a:t>
            </a:r>
            <a:endParaRPr lang="zh-CN" altLang="en-US" sz="1000"/>
          </a:p>
        </c:rich>
      </c:tx>
      <c:layout>
        <c:manualLayout>
          <c:xMode val="edge"/>
          <c:yMode val="edge"/>
          <c:x val="0.0929860017497813"/>
          <c:y val="0.0462962962962964"/>
        </c:manualLayout>
      </c:layout>
      <c:overlay val="0"/>
    </c:title>
    <c:autoTitleDeleted val="0"/>
    <c:plotArea>
      <c:layout/>
      <c:pieChart>
        <c:varyColors val="1"/>
        <c:ser>
          <c:idx val="0"/>
          <c:order val="0"/>
          <c:tx>
            <c:strRef>
              <c:f>Sheet7!$B$1:$B$2</c:f>
              <c:strCache>
                <c:ptCount val="1"/>
                <c:pt idx="0">
                  <c:v>一般公共预算财政拨款支出决算结构 单位：万元</c:v>
                </c:pt>
              </c:strCache>
            </c:strRef>
          </c:tx>
          <c:explosion val="0"/>
          <c:dPt>
            <c:idx val="0"/>
            <c:bubble3D val="0"/>
          </c:dPt>
          <c:dPt>
            <c:idx val="1"/>
            <c:bubble3D val="0"/>
          </c:dPt>
          <c:dPt>
            <c:idx val="2"/>
            <c:bubble3D val="0"/>
          </c:dPt>
          <c:dPt>
            <c:idx val="3"/>
            <c:bubble3D val="0"/>
          </c:dPt>
          <c:dLbls>
            <c:delete val="1"/>
          </c:dLbls>
          <c:cat>
            <c:strRef>
              <c:f>Sheet7!$A$3:$A$6</c:f>
              <c:strCache>
                <c:ptCount val="4"/>
                <c:pt idx="0">
                  <c:v>社会保障和就业支出</c:v>
                </c:pt>
                <c:pt idx="1">
                  <c:v>一般公共服务支出</c:v>
                </c:pt>
                <c:pt idx="2">
                  <c:v>住房保障支出</c:v>
                </c:pt>
                <c:pt idx="3">
                  <c:v>卫生健康支出</c:v>
                </c:pt>
              </c:strCache>
            </c:strRef>
          </c:cat>
          <c:val>
            <c:numRef>
              <c:f>Sheet7!$B$3:$B$6</c:f>
              <c:numCache>
                <c:formatCode>General</c:formatCode>
                <c:ptCount val="4"/>
                <c:pt idx="0">
                  <c:v>176.98</c:v>
                </c:pt>
                <c:pt idx="1">
                  <c:v>1243.42</c:v>
                </c:pt>
                <c:pt idx="2">
                  <c:v>102.43</c:v>
                </c:pt>
                <c:pt idx="3">
                  <c:v>131.07</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“三公”经费财政拨款支出结构     </a:t>
            </a:r>
            <a:r>
              <a:rPr lang="zh-CN" altLang="en-US" sz="1100"/>
              <a:t>单位：万元</a:t>
            </a:r>
            <a:endParaRPr lang="zh-CN" altLang="en-US" sz="1100"/>
          </a:p>
        </c:rich>
      </c:tx>
      <c:layout/>
      <c:overlay val="0"/>
    </c:title>
    <c:autoTitleDeleted val="0"/>
    <c:plotArea>
      <c:layout/>
      <c:pieChart>
        <c:varyColors val="1"/>
        <c:ser>
          <c:idx val="0"/>
          <c:order val="0"/>
          <c:tx>
            <c:strRef>
              <c:f>Sheet8!$B$1:$B$2</c:f>
              <c:strCache>
                <c:ptCount val="1"/>
                <c:pt idx="0">
                  <c:v>“三公”经费财政拨款支出结构 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Sheet8!$A$3:$A$4</c:f>
              <c:strCache>
                <c:ptCount val="2"/>
                <c:pt idx="0">
                  <c:v>公务用车购置及运行维护费支出决算</c:v>
                </c:pt>
                <c:pt idx="1">
                  <c:v>公务接待费支出决算</c:v>
                </c:pt>
              </c:strCache>
            </c:strRef>
          </c:cat>
          <c:val>
            <c:numRef>
              <c:f>Sheet8!$B$3:$B$4</c:f>
              <c:numCache>
                <c:formatCode>General</c:formatCode>
                <c:ptCount val="2"/>
                <c:pt idx="0">
                  <c:v>14.92</c:v>
                </c:pt>
                <c:pt idx="1">
                  <c:v>0.59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5FD3-229C-4EDA-A653-53F0C7EA2CC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2383</Words>
  <Characters>13588</Characters>
  <Lines>113</Lines>
  <Paragraphs>31</Paragraphs>
  <TotalTime>1</TotalTime>
  <ScaleCrop>false</ScaleCrop>
  <LinksUpToDate>false</LinksUpToDate>
  <CharactersWithSpaces>15940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收发文</cp:lastModifiedBy>
  <cp:lastPrinted>2025-08-06T17:34:00Z</cp:lastPrinted>
  <dcterms:modified xsi:type="dcterms:W3CDTF">2025-10-29T08:37:30Z</dcterms:modified>
  <dc:title>四川省***</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04787F2533EB45DC91BCDE4AB213247F</vt:lpwstr>
  </property>
</Properties>
</file>