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77193"/>
      <w:bookmarkStart w:id="3" w:name="_Toc15396475"/>
      <w:bookmarkStart w:id="4" w:name="_Toc15306267"/>
      <w:bookmarkStart w:id="5" w:name="_Toc15378441"/>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2024年度四川省攀枝花市西区</w:t>
      </w: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财政投资评审中心单位决算</w:t>
      </w:r>
    </w:p>
    <w:p>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w:t>
      </w:r>
      <w:r>
        <w:rPr>
          <w:rFonts w:hint="eastAsia" w:ascii="Times New Roman" w:eastAsia="方正小标宋简体" w:cs="Times New Roman"/>
          <w:color w:val="auto"/>
          <w:kern w:val="2"/>
          <w:sz w:val="44"/>
          <w:szCs w:val="44"/>
          <w:highlight w:val="none"/>
          <w:lang w:val="en-US" w:eastAsia="zh-CN" w:bidi="ar-SA"/>
        </w:rPr>
        <w:t>编制</w:t>
      </w:r>
      <w:r>
        <w:rPr>
          <w:rFonts w:hint="eastAsia" w:ascii="Times New Roman" w:hAnsi="Times New Roman" w:eastAsia="方正小标宋简体" w:cs="Times New Roman"/>
          <w:color w:val="auto"/>
          <w:kern w:val="2"/>
          <w:sz w:val="44"/>
          <w:szCs w:val="44"/>
          <w:highlight w:val="none"/>
          <w:lang w:val="en-US" w:eastAsia="zh-CN" w:bidi="ar-SA"/>
        </w:rPr>
        <w:t>说明</w:t>
      </w: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bookmarkEnd w:id="5"/>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bookmarkStart w:id="61" w:name="_GoBack"/>
      <w:bookmarkEnd w:id="61"/>
    </w:p>
    <w:p>
      <w:pPr>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第一部分 单位概况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一、主要职责</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4</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11</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6" w:name="_Toc15396599"/>
      <w:bookmarkStart w:id="7" w:name="_Toc15377196"/>
      <w:r>
        <w:rPr>
          <w:rFonts w:ascii="仿宋" w:hAnsi="仿宋" w:eastAsia="仿宋"/>
          <w:b/>
          <w:sz w:val="24"/>
        </w:rPr>
        <w:br w:type="page"/>
      </w:r>
    </w:p>
    <w:p>
      <w:pPr>
        <w:pStyle w:val="5"/>
        <w:jc w:val="center"/>
        <w:rPr>
          <w:rStyle w:val="36"/>
          <w:rFonts w:ascii="黑体" w:hAnsi="黑体" w:eastAsia="黑体"/>
          <w:b/>
          <w:bCs w:val="0"/>
        </w:rPr>
      </w:pPr>
      <w:r>
        <w:rPr>
          <w:rFonts w:hint="eastAsia" w:ascii="黑体" w:hAnsi="黑体" w:eastAsia="黑体"/>
          <w:b w:val="0"/>
        </w:rPr>
        <w:t>第一部分 单位</w:t>
      </w:r>
      <w:r>
        <w:rPr>
          <w:rStyle w:val="36"/>
          <w:rFonts w:hint="eastAsia" w:ascii="黑体" w:hAnsi="黑体" w:eastAsia="黑体"/>
          <w:b w:val="0"/>
          <w:bCs w:val="0"/>
        </w:rPr>
        <w:t>概况</w:t>
      </w:r>
      <w:bookmarkEnd w:id="6"/>
      <w:bookmarkEnd w:id="7"/>
    </w:p>
    <w:p>
      <w:pPr>
        <w:widowControl/>
        <w:jc w:val="left"/>
        <w:rPr>
          <w:rFonts w:ascii="黑体" w:eastAsia="黑体"/>
          <w:sz w:val="32"/>
          <w:szCs w:val="32"/>
        </w:rPr>
      </w:pPr>
    </w:p>
    <w:p>
      <w:pPr>
        <w:pStyle w:val="6"/>
        <w:numPr>
          <w:ilvl w:val="0"/>
          <w:numId w:val="0"/>
        </w:numPr>
        <w:ind w:firstLine="640" w:firstLineChars="200"/>
        <w:rPr>
          <w:rStyle w:val="37"/>
          <w:rFonts w:ascii="黑体" w:hAnsi="黑体" w:eastAsia="黑体"/>
          <w:b w:val="0"/>
          <w:bCs w:val="0"/>
        </w:rPr>
      </w:pPr>
      <w:bookmarkStart w:id="8" w:name="_Toc15377197"/>
      <w:bookmarkStart w:id="9" w:name="_Toc15396600"/>
      <w:r>
        <w:rPr>
          <w:rStyle w:val="37"/>
          <w:rFonts w:hint="eastAsia" w:ascii="黑体" w:hAnsi="黑体" w:eastAsia="黑体"/>
          <w:b w:val="0"/>
          <w:bCs w:val="0"/>
          <w:lang w:eastAsia="zh-CN"/>
        </w:rPr>
        <w:t>一、</w:t>
      </w:r>
      <w:r>
        <w:rPr>
          <w:rStyle w:val="37"/>
          <w:rFonts w:hint="eastAsia" w:ascii="黑体" w:hAnsi="黑体" w:eastAsia="黑体"/>
          <w:b w:val="0"/>
          <w:bCs w:val="0"/>
        </w:rPr>
        <w:t>主要职责</w:t>
      </w:r>
    </w:p>
    <w:p>
      <w:pPr>
        <w:spacing w:line="600" w:lineRule="exact"/>
        <w:ind w:firstLine="624" w:firstLineChars="200"/>
        <w:rPr>
          <w:rFonts w:hint="eastAsia" w:ascii="仿宋_GB2312" w:eastAsia="仿宋_GB2312"/>
          <w:spacing w:val="-4"/>
          <w:sz w:val="32"/>
        </w:rPr>
      </w:pPr>
      <w:r>
        <w:rPr>
          <w:rFonts w:hint="eastAsia" w:ascii="仿宋_GB2312" w:eastAsia="仿宋_GB2312"/>
          <w:spacing w:val="-4"/>
          <w:sz w:val="32"/>
          <w:lang w:val="en-US" w:eastAsia="zh-CN"/>
        </w:rPr>
        <w:t>1.</w:t>
      </w:r>
      <w:r>
        <w:rPr>
          <w:rFonts w:hint="eastAsia" w:ascii="仿宋_GB2312" w:eastAsia="仿宋_GB2312"/>
          <w:spacing w:val="-4"/>
          <w:sz w:val="32"/>
        </w:rPr>
        <w:t>制定投资评审规章制度，指导投资评审业务工作；</w:t>
      </w:r>
    </w:p>
    <w:p>
      <w:pPr>
        <w:spacing w:line="600" w:lineRule="exact"/>
        <w:ind w:firstLine="624" w:firstLineChars="200"/>
        <w:rPr>
          <w:rFonts w:hint="eastAsia" w:ascii="仿宋_GB2312" w:eastAsia="仿宋_GB2312"/>
          <w:spacing w:val="-4"/>
          <w:sz w:val="32"/>
        </w:rPr>
      </w:pPr>
      <w:r>
        <w:rPr>
          <w:rFonts w:hint="eastAsia" w:ascii="仿宋_GB2312" w:eastAsia="仿宋_GB2312"/>
          <w:spacing w:val="-4"/>
          <w:sz w:val="32"/>
          <w:lang w:val="en-US" w:eastAsia="zh-CN"/>
        </w:rPr>
        <w:t>2.</w:t>
      </w:r>
      <w:r>
        <w:rPr>
          <w:rFonts w:hint="eastAsia" w:ascii="仿宋_GB2312" w:eastAsia="仿宋_GB2312"/>
          <w:spacing w:val="-4"/>
          <w:sz w:val="32"/>
        </w:rPr>
        <w:t>确定投资评审项目，下达评审计划；</w:t>
      </w:r>
    </w:p>
    <w:p>
      <w:pPr>
        <w:spacing w:line="600" w:lineRule="exact"/>
        <w:ind w:firstLine="624" w:firstLineChars="200"/>
        <w:rPr>
          <w:rFonts w:hint="eastAsia" w:ascii="仿宋_GB2312" w:eastAsia="仿宋_GB2312"/>
          <w:spacing w:val="-4"/>
          <w:sz w:val="32"/>
        </w:rPr>
      </w:pPr>
      <w:r>
        <w:rPr>
          <w:rFonts w:hint="eastAsia" w:ascii="仿宋_GB2312" w:eastAsia="仿宋_GB2312"/>
          <w:spacing w:val="-4"/>
          <w:sz w:val="32"/>
          <w:lang w:val="en-US" w:eastAsia="zh-CN"/>
        </w:rPr>
        <w:t>3.</w:t>
      </w:r>
      <w:r>
        <w:rPr>
          <w:rFonts w:hint="eastAsia" w:ascii="仿宋_GB2312" w:eastAsia="仿宋_GB2312"/>
          <w:spacing w:val="-4"/>
          <w:sz w:val="32"/>
        </w:rPr>
        <w:t>确认或批复评审机构出具的评审报告；</w:t>
      </w:r>
    </w:p>
    <w:p>
      <w:pPr>
        <w:spacing w:line="600" w:lineRule="exact"/>
        <w:ind w:firstLine="624" w:firstLineChars="200"/>
        <w:rPr>
          <w:rFonts w:hint="eastAsia" w:ascii="仿宋_GB2312" w:eastAsia="仿宋_GB2312"/>
          <w:spacing w:val="-4"/>
          <w:sz w:val="32"/>
          <w:lang w:val="en-US" w:eastAsia="zh-CN"/>
        </w:rPr>
      </w:pPr>
      <w:r>
        <w:rPr>
          <w:rFonts w:hint="eastAsia" w:ascii="仿宋_GB2312" w:eastAsia="仿宋_GB2312"/>
          <w:spacing w:val="-4"/>
          <w:sz w:val="32"/>
          <w:lang w:val="en-US" w:eastAsia="zh-CN"/>
        </w:rPr>
        <w:t>4.依据财政部的统一规定和要求制定预算绩效考核的具体实施办法，指导和监督预算绩效评价工作；</w:t>
      </w:r>
    </w:p>
    <w:p>
      <w:pPr>
        <w:spacing w:line="600" w:lineRule="exact"/>
        <w:ind w:firstLine="624" w:firstLineChars="200"/>
        <w:rPr>
          <w:rFonts w:hint="eastAsia" w:ascii="仿宋_GB2312" w:eastAsia="仿宋_GB2312"/>
          <w:spacing w:val="-4"/>
          <w:sz w:val="32"/>
          <w:lang w:val="en-US" w:eastAsia="zh-CN"/>
        </w:rPr>
      </w:pPr>
      <w:r>
        <w:rPr>
          <w:rFonts w:hint="eastAsia" w:ascii="仿宋_GB2312" w:eastAsia="仿宋_GB2312"/>
          <w:spacing w:val="-4"/>
          <w:sz w:val="32"/>
          <w:lang w:val="en-US" w:eastAsia="zh-CN"/>
        </w:rPr>
        <w:t>5.受理、处理评审争议和投诉。</w:t>
      </w:r>
    </w:p>
    <w:p>
      <w:pPr>
        <w:pStyle w:val="6"/>
        <w:ind w:firstLine="640" w:firstLineChars="200"/>
        <w:rPr>
          <w:rFonts w:hint="eastAsia" w:ascii="黑体" w:hAnsi="黑体" w:eastAsia="黑体"/>
          <w:b w:val="0"/>
        </w:rPr>
      </w:pPr>
      <w:r>
        <w:rPr>
          <w:rFonts w:hint="eastAsia" w:ascii="黑体" w:hAnsi="黑体" w:eastAsia="黑体"/>
          <w:b w:val="0"/>
        </w:rPr>
        <w:t>二、机构设置</w:t>
      </w:r>
    </w:p>
    <w:p>
      <w:p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攀枝花市西区财政投资评审中心中心属于攀枝花市西区财政局下属的事业单位，下设独立编制机构</w:t>
      </w:r>
      <w:r>
        <w:rPr>
          <w:rFonts w:hint="eastAsia" w:ascii="仿宋_GB2312" w:hAnsi="仿宋_GB2312" w:eastAsia="仿宋_GB2312" w:cs="仿宋_GB2312"/>
          <w:bCs/>
          <w:sz w:val="32"/>
          <w:szCs w:val="32"/>
          <w:lang w:val="en-US" w:eastAsia="zh-CN"/>
        </w:rPr>
        <w:t>0个，其中行政机构0个，参照公务员法管理事业机构0个，其他事业机构0个。</w:t>
      </w:r>
    </w:p>
    <w:p>
      <w:pPr>
        <w:ind w:firstLine="420" w:firstLineChars="200"/>
      </w:pPr>
    </w:p>
    <w:bookmarkEnd w:id="8"/>
    <w:bookmarkEnd w:id="9"/>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36"/>
          <w:rFonts w:ascii="黑体" w:hAnsi="黑体" w:eastAsia="黑体"/>
          <w:b w:val="0"/>
          <w:bCs/>
        </w:rPr>
      </w:pPr>
      <w:bookmarkStart w:id="10" w:name="_Toc15377204"/>
      <w:bookmarkStart w:id="11" w:name="_Toc15396602"/>
      <w:r>
        <w:rPr>
          <w:rFonts w:hint="eastAsia" w:ascii="黑体" w:hAnsi="黑体" w:eastAsia="黑体"/>
          <w:b w:val="0"/>
          <w:lang w:val="en-US" w:eastAsia="zh-CN"/>
        </w:rPr>
        <w:t xml:space="preserve">  </w:t>
      </w: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6"/>
          <w:rFonts w:hint="eastAsia" w:ascii="黑体" w:hAnsi="黑体" w:eastAsia="黑体"/>
          <w:b w:val="0"/>
          <w:bCs/>
        </w:rPr>
        <w:t>单位决算情况说明</w:t>
      </w:r>
      <w:bookmarkEnd w:id="10"/>
      <w:bookmarkEnd w:id="11"/>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均为329.4</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25.89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7.29</w:t>
      </w:r>
      <w:r>
        <w:rPr>
          <w:rFonts w:hint="eastAsia" w:ascii="Times New Roman" w:hAnsi="Times New Roman" w:eastAsia="仿宋_GB2312" w:cs="仿宋_GB2312"/>
          <w:color w:val="auto"/>
          <w:sz w:val="32"/>
          <w:szCs w:val="32"/>
          <w:highlight w:val="none"/>
        </w:rPr>
        <w:t>%。主要变动原因是人员及公用经费支出减少</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4596130" cy="221869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96130" cy="221869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lang w:eastAsia="zh-CN"/>
        </w:rPr>
        <w:t>年度本年收入合计</w:t>
      </w:r>
      <w:r>
        <w:rPr>
          <w:rFonts w:hint="eastAsia" w:ascii="Times New Roman" w:hAnsi="Times New Roman" w:eastAsia="仿宋_GB2312" w:cs="仿宋_GB2312"/>
          <w:color w:val="auto"/>
          <w:sz w:val="32"/>
          <w:szCs w:val="32"/>
          <w:highlight w:val="none"/>
          <w:lang w:eastAsia="zh-CN"/>
        </w:rPr>
        <w:t>322.02</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sz w:val="32"/>
          <w:szCs w:val="32"/>
          <w:highlight w:val="none"/>
          <w:lang w:eastAsia="zh-CN"/>
        </w:rPr>
        <w:t>224.82</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69.8</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Times New Roman" w:hAnsi="Times New Roman" w:eastAsia="仿宋_GB2312" w:cs="仿宋_GB2312"/>
          <w:color w:val="auto"/>
          <w:sz w:val="32"/>
          <w:szCs w:val="32"/>
          <w:highlight w:val="none"/>
          <w:lang w:eastAsia="zh-CN"/>
        </w:rPr>
        <w:t>97.2</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30.18%</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6130" cy="221869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96130" cy="221869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lang w:eastAsia="zh-CN"/>
        </w:rPr>
        <w:t>年度本年支出合计</w:t>
      </w:r>
      <w:r>
        <w:rPr>
          <w:rFonts w:hint="eastAsia" w:ascii="Times New Roman" w:hAnsi="Times New Roman" w:eastAsia="仿宋_GB2312" w:cs="仿宋_GB2312"/>
          <w:color w:val="auto"/>
          <w:sz w:val="32"/>
          <w:szCs w:val="32"/>
          <w:highlight w:val="none"/>
          <w:lang w:eastAsia="zh-CN"/>
        </w:rPr>
        <w:t>329.38</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lang w:eastAsia="zh-CN"/>
        </w:rPr>
        <w:t>224.82</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68.2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lang w:eastAsia="zh-CN"/>
        </w:rPr>
        <w:t>104.56</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31.74%</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6130" cy="222504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96130" cy="2225040"/>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2024年度财政拨款收入、支出总计均为329.38万元。与2023年度相比，财政拨款收入总计、支出总计各减少</w:t>
      </w:r>
      <w:r>
        <w:rPr>
          <w:rFonts w:hint="eastAsia" w:eastAsia="仿宋_GB2312" w:cs="仿宋_GB2312"/>
          <w:color w:val="auto"/>
          <w:kern w:val="2"/>
          <w:sz w:val="32"/>
          <w:szCs w:val="32"/>
          <w:highlight w:val="none"/>
          <w:lang w:val="en-US" w:eastAsia="zh-CN" w:bidi="ar-SA"/>
        </w:rPr>
        <w:t>25.89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7.29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人员及公用经费支出减少</w:t>
      </w:r>
      <w:r>
        <w:rPr>
          <w:rFonts w:hint="eastAsia" w:eastAsia="仿宋_GB2312" w:cs="仿宋_GB2312"/>
          <w:color w:val="auto"/>
          <w:sz w:val="32"/>
          <w:szCs w:val="32"/>
          <w:highlight w:val="none"/>
          <w:lang w:eastAsia="zh-CN"/>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2"/>
        <w:rPr>
          <w:rFonts w:hint="eastAsia"/>
          <w:lang w:val="en-US" w:eastAsia="zh-CN"/>
        </w:rPr>
      </w:pPr>
      <w:r>
        <w:rPr>
          <w:rFonts w:hint="eastAsia"/>
          <w:lang w:val="en-US" w:eastAsia="zh-CN"/>
        </w:rPr>
        <w:t xml:space="preserve">       </w:t>
      </w:r>
      <w:r>
        <w:drawing>
          <wp:inline distT="0" distB="0" distL="114300" distR="114300">
            <wp:extent cx="4596130" cy="2237105"/>
            <wp:effectExtent l="0" t="0" r="635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596130" cy="2237105"/>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年度一般公共预算财政拨款支出</w:t>
      </w:r>
      <w:r>
        <w:rPr>
          <w:rFonts w:hint="eastAsia" w:ascii="Times New Roman" w:hAnsi="Times New Roman" w:eastAsia="仿宋_GB2312" w:cs="仿宋_GB2312"/>
          <w:color w:val="auto"/>
          <w:kern w:val="2"/>
          <w:sz w:val="32"/>
          <w:szCs w:val="32"/>
          <w:highlight w:val="none"/>
          <w:lang w:val="en-US" w:eastAsia="zh-CN" w:bidi="ar-SA"/>
        </w:rPr>
        <w:t>232.17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color w:val="auto"/>
          <w:kern w:val="2"/>
          <w:sz w:val="32"/>
          <w:szCs w:val="32"/>
          <w:highlight w:val="none"/>
          <w:lang w:val="en-US" w:eastAsia="zh-CN" w:bidi="ar-SA"/>
        </w:rPr>
        <w:t>70.4</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s="仿宋_GB2312"/>
          <w:color w:val="auto"/>
          <w:kern w:val="2"/>
          <w:sz w:val="32"/>
          <w:szCs w:val="32"/>
          <w:highlight w:val="none"/>
          <w:lang w:val="en-US" w:eastAsia="zh-CN" w:bidi="ar-SA"/>
        </w:rPr>
        <w:t>年度相比，一般公共预算财政拨款支出减少</w:t>
      </w:r>
      <w:r>
        <w:rPr>
          <w:rFonts w:hint="eastAsia" w:ascii="Times New Roman" w:hAnsi="Times New Roman" w:eastAsia="仿宋_GB2312" w:cs="仿宋_GB2312"/>
          <w:color w:val="auto"/>
          <w:kern w:val="2"/>
          <w:sz w:val="32"/>
          <w:szCs w:val="32"/>
          <w:highlight w:val="none"/>
          <w:lang w:val="en-US" w:eastAsia="zh-CN" w:bidi="ar-SA"/>
        </w:rPr>
        <w:t>21.46</w:t>
      </w:r>
      <w:r>
        <w:rPr>
          <w:rFonts w:hint="eastAsia" w:ascii="仿宋_GB2312" w:hAnsi="仿宋_GB2312" w:eastAsia="仿宋_GB2312" w:cs="仿宋_GB2312"/>
          <w:color w:val="auto"/>
          <w:kern w:val="2"/>
          <w:sz w:val="32"/>
          <w:szCs w:val="32"/>
          <w:highlight w:val="none"/>
          <w:lang w:val="en-US" w:eastAsia="zh-CN" w:bidi="ar-SA"/>
        </w:rPr>
        <w:t>万元，下降</w:t>
      </w:r>
      <w:r>
        <w:rPr>
          <w:rFonts w:hint="eastAsia" w:ascii="Times New Roman" w:hAnsi="Times New Roman" w:eastAsia="仿宋_GB2312" w:cs="仿宋_GB2312"/>
          <w:color w:val="auto"/>
          <w:kern w:val="2"/>
          <w:sz w:val="32"/>
          <w:szCs w:val="32"/>
          <w:highlight w:val="none"/>
          <w:lang w:val="en-US" w:eastAsia="zh-CN" w:bidi="ar-SA"/>
        </w:rPr>
        <w:t>8.46%</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人员及公用经费支出减少</w:t>
      </w:r>
      <w:r>
        <w:rPr>
          <w:rFonts w:hint="eastAsia" w:eastAsia="仿宋_GB2312" w:cs="仿宋_GB2312"/>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2"/>
        <w:rPr>
          <w:rFonts w:hint="eastAsia"/>
          <w:lang w:val="en-US" w:eastAsia="zh-CN"/>
        </w:rPr>
      </w:pPr>
      <w:r>
        <w:rPr>
          <w:rFonts w:hint="eastAsia"/>
          <w:lang w:val="en-US" w:eastAsia="zh-CN"/>
        </w:rPr>
        <w:t xml:space="preserve">       </w:t>
      </w:r>
      <w:r>
        <w:drawing>
          <wp:inline distT="0" distB="0" distL="114300" distR="114300">
            <wp:extent cx="4596130" cy="2212975"/>
            <wp:effectExtent l="0" t="0" r="635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596130" cy="2212975"/>
                    </a:xfrm>
                    <a:prstGeom prst="rect">
                      <a:avLst/>
                    </a:prstGeom>
                    <a:noFill/>
                    <a:ln>
                      <a:noFill/>
                    </a:ln>
                  </pic:spPr>
                </pic:pic>
              </a:graphicData>
            </a:graphic>
          </wp:inline>
        </w:drawing>
      </w:r>
    </w:p>
    <w:p>
      <w:pPr>
        <w:pStyle w:val="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2024年度一般公共预算财政拨款支出232.17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172.39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74.25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8.92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19.56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19.51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pStyle w:val="2"/>
        <w:rPr>
          <w:rFonts w:hint="eastAsia"/>
          <w:lang w:val="en-US" w:eastAsia="zh-CN"/>
        </w:rPr>
      </w:pPr>
      <w:r>
        <w:rPr>
          <w:rFonts w:hint="eastAsia"/>
          <w:lang w:val="en-US" w:eastAsia="zh-CN"/>
        </w:rPr>
        <w:t xml:space="preserve">       </w:t>
      </w:r>
      <w:r>
        <w:drawing>
          <wp:inline distT="0" distB="0" distL="114300" distR="114300">
            <wp:extent cx="4596130" cy="2225040"/>
            <wp:effectExtent l="0" t="0" r="635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4596130" cy="2225040"/>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7444"/>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2024年度一般公共预算财政拨款支出决算数为232.17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1.一般公共服务（类）财政事务（款）财政委托业务支出（项）: 支出决算为</w:t>
      </w:r>
      <w:r>
        <w:rPr>
          <w:rFonts w:hint="eastAsia" w:eastAsia="仿宋_GB2312" w:cs="仿宋_GB2312"/>
          <w:color w:val="auto"/>
          <w:kern w:val="2"/>
          <w:sz w:val="32"/>
          <w:szCs w:val="32"/>
          <w:highlight w:val="none"/>
          <w:lang w:val="en-US" w:eastAsia="zh-CN" w:bidi="ar-SA"/>
        </w:rPr>
        <w:t>7.36</w:t>
      </w:r>
      <w:r>
        <w:rPr>
          <w:rFonts w:hint="eastAsia" w:ascii="Times New Roman" w:hAnsi="Times New Roman" w:eastAsia="仿宋_GB2312" w:cs="仿宋_GB2312"/>
          <w:color w:val="auto"/>
          <w:kern w:val="2"/>
          <w:sz w:val="32"/>
          <w:szCs w:val="32"/>
          <w:highlight w:val="none"/>
          <w:lang w:val="en-US" w:eastAsia="zh-CN" w:bidi="ar-SA"/>
        </w:rPr>
        <w:t>万元，完成预算100%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事业运行（项）: 支出决算为</w:t>
      </w:r>
      <w:r>
        <w:rPr>
          <w:rFonts w:hint="eastAsia" w:eastAsia="仿宋_GB2312" w:cs="仿宋_GB2312"/>
          <w:color w:val="auto"/>
          <w:kern w:val="2"/>
          <w:sz w:val="32"/>
          <w:szCs w:val="32"/>
          <w:highlight w:val="none"/>
          <w:lang w:val="en-US" w:eastAsia="zh-CN" w:bidi="ar-SA"/>
        </w:rPr>
        <w:t>165.03</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2.社会保障和就业支出（类）行政事业单位养老支出（款）机关事业单位基本养老保险缴费支出（项）: 支出决算为2</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3.卫生健康支出（类）行政事业单位医疗（款）事业单位医疗（项）:支出决算为1</w:t>
      </w:r>
      <w:r>
        <w:rPr>
          <w:rFonts w:hint="eastAsia" w:eastAsia="仿宋_GB2312" w:cs="仿宋_GB2312"/>
          <w:color w:val="auto"/>
          <w:kern w:val="2"/>
          <w:sz w:val="32"/>
          <w:szCs w:val="32"/>
          <w:highlight w:val="none"/>
          <w:lang w:val="en-US" w:eastAsia="zh-CN" w:bidi="ar-SA"/>
        </w:rPr>
        <w:t>2.80</w:t>
      </w:r>
      <w:r>
        <w:rPr>
          <w:rFonts w:hint="eastAsia" w:ascii="Times New Roman" w:hAnsi="Times New Roman" w:eastAsia="仿宋_GB2312" w:cs="仿宋_GB2312"/>
          <w:color w:val="auto"/>
          <w:kern w:val="2"/>
          <w:sz w:val="32"/>
          <w:szCs w:val="32"/>
          <w:highlight w:val="none"/>
          <w:lang w:val="en-US" w:eastAsia="zh-CN" w:bidi="ar-SA"/>
        </w:rPr>
        <w:t>万元，完成预算100%；其他行政事业单位医疗支出（项）:支出决算为6.</w:t>
      </w:r>
      <w:r>
        <w:rPr>
          <w:rFonts w:hint="eastAsia" w:eastAsia="仿宋_GB2312" w:cs="仿宋_GB2312"/>
          <w:color w:val="auto"/>
          <w:kern w:val="2"/>
          <w:sz w:val="32"/>
          <w:szCs w:val="32"/>
          <w:highlight w:val="none"/>
          <w:lang w:val="en-US" w:eastAsia="zh-CN" w:bidi="ar-SA"/>
        </w:rPr>
        <w:t>76</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4.住房保障支出（类）住房改革支出（款）住房公积金（项）:支出决算为1</w:t>
      </w:r>
      <w:r>
        <w:rPr>
          <w:rFonts w:hint="eastAsia" w:eastAsia="仿宋_GB2312" w:cs="仿宋_GB2312"/>
          <w:color w:val="auto"/>
          <w:kern w:val="2"/>
          <w:sz w:val="32"/>
          <w:szCs w:val="32"/>
          <w:highlight w:val="none"/>
          <w:lang w:val="en-US" w:eastAsia="zh-CN" w:bidi="ar-SA"/>
        </w:rPr>
        <w:t>9.51</w:t>
      </w:r>
      <w:r>
        <w:rPr>
          <w:rFonts w:hint="eastAsia" w:ascii="Times New Roman" w:hAnsi="Times New Roman" w:eastAsia="仿宋_GB2312" w:cs="仿宋_GB2312"/>
          <w:color w:val="auto"/>
          <w:kern w:val="2"/>
          <w:sz w:val="32"/>
          <w:szCs w:val="32"/>
          <w:highlight w:val="none"/>
          <w:lang w:val="en-US" w:eastAsia="zh-CN" w:bidi="ar-SA"/>
        </w:rPr>
        <w:t>万元，完成预算100%。</w:t>
      </w:r>
    </w:p>
    <w:p>
      <w:pPr>
        <w:tabs>
          <w:tab w:val="right" w:pos="8306"/>
        </w:tabs>
        <w:spacing w:line="600" w:lineRule="exact"/>
        <w:ind w:firstLine="640"/>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2024年度一般公共预算财政拨款基本支出224.82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人员经费213.64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w:t>
      </w:r>
      <w:r>
        <w:rPr>
          <w:rFonts w:hint="eastAsia" w:eastAsia="仿宋_GB2312" w:cs="仿宋_GB2312"/>
          <w:color w:val="auto"/>
          <w:kern w:val="2"/>
          <w:sz w:val="32"/>
          <w:szCs w:val="32"/>
          <w:highlight w:val="none"/>
          <w:lang w:val="en-US" w:eastAsia="zh-CN" w:bidi="ar-SA"/>
        </w:rPr>
        <w:t>职工基本医疗保险</w:t>
      </w:r>
      <w:r>
        <w:rPr>
          <w:rFonts w:hint="eastAsia" w:ascii="Times New Roman" w:hAnsi="Times New Roman" w:eastAsia="仿宋_GB2312" w:cs="仿宋_GB2312"/>
          <w:color w:val="auto"/>
          <w:kern w:val="2"/>
          <w:sz w:val="32"/>
          <w:szCs w:val="32"/>
          <w:highlight w:val="none"/>
          <w:lang w:val="en-US" w:eastAsia="zh-CN" w:bidi="ar-SA"/>
        </w:rPr>
        <w:t>缴费、其他社会保障缴费、</w:t>
      </w:r>
      <w:r>
        <w:rPr>
          <w:rFonts w:hint="eastAsia" w:eastAsia="仿宋_GB2312" w:cs="仿宋_GB2312"/>
          <w:color w:val="auto"/>
          <w:kern w:val="2"/>
          <w:sz w:val="32"/>
          <w:szCs w:val="32"/>
          <w:highlight w:val="none"/>
          <w:lang w:val="en-US" w:eastAsia="zh-CN" w:bidi="ar-SA"/>
        </w:rPr>
        <w:t>公务员</w:t>
      </w:r>
      <w:r>
        <w:rPr>
          <w:rFonts w:hint="eastAsia" w:ascii="Times New Roman" w:hAnsi="Times New Roman" w:eastAsia="仿宋_GB2312" w:cs="仿宋_GB2312"/>
          <w:color w:val="auto"/>
          <w:kern w:val="2"/>
          <w:sz w:val="32"/>
          <w:szCs w:val="32"/>
          <w:highlight w:val="none"/>
          <w:lang w:val="en-US" w:eastAsia="zh-CN" w:bidi="ar-SA"/>
        </w:rPr>
        <w:t>医疗补助</w:t>
      </w:r>
      <w:r>
        <w:rPr>
          <w:rFonts w:hint="eastAsia" w:eastAsia="仿宋_GB2312" w:cs="仿宋_GB2312"/>
          <w:color w:val="auto"/>
          <w:kern w:val="2"/>
          <w:sz w:val="32"/>
          <w:szCs w:val="32"/>
          <w:highlight w:val="none"/>
          <w:lang w:val="en-US" w:eastAsia="zh-CN" w:bidi="ar-SA"/>
        </w:rPr>
        <w:t>缴费</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其他工资福利支出。</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公用经费11.18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物业管理费、差旅费、工会经费、福利费、公务用车运行维护费、其他商品和服务支出。</w:t>
      </w:r>
    </w:p>
    <w:p>
      <w:pPr>
        <w:spacing w:line="600" w:lineRule="exact"/>
        <w:ind w:firstLine="640"/>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2024年度“三公”经费财政拨款支出决算为2.49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0.31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14.22</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eastAsia="仿宋_GB2312" w:cs="仿宋_GB2312"/>
          <w:color w:val="auto"/>
          <w:kern w:val="2"/>
          <w:sz w:val="32"/>
          <w:szCs w:val="32"/>
          <w:highlight w:val="none"/>
          <w:lang w:val="en-US" w:eastAsia="zh-CN" w:bidi="ar-SA"/>
        </w:rPr>
        <w:t>按照</w:t>
      </w:r>
      <w:r>
        <w:rPr>
          <w:rFonts w:hint="eastAsia" w:ascii="仿宋" w:hAnsi="仿宋" w:eastAsia="仿宋"/>
          <w:sz w:val="32"/>
          <w:szCs w:val="32"/>
        </w:rPr>
        <w:t>“三公”经费</w:t>
      </w:r>
      <w:r>
        <w:rPr>
          <w:rFonts w:hint="eastAsia" w:ascii="仿宋" w:hAnsi="仿宋" w:eastAsia="仿宋"/>
          <w:sz w:val="32"/>
          <w:szCs w:val="32"/>
          <w:lang w:eastAsia="zh-CN"/>
        </w:rPr>
        <w:t>预算严格控制</w:t>
      </w:r>
      <w:r>
        <w:rPr>
          <w:rFonts w:hint="eastAsia" w:ascii="仿宋" w:hAnsi="仿宋" w:eastAsia="仿宋"/>
          <w:sz w:val="32"/>
          <w:szCs w:val="32"/>
        </w:rPr>
        <w:t>“三公”经费</w:t>
      </w:r>
      <w:r>
        <w:rPr>
          <w:rFonts w:hint="eastAsia" w:ascii="仿宋" w:hAnsi="仿宋" w:eastAsia="仿宋"/>
          <w:sz w:val="32"/>
          <w:szCs w:val="32"/>
          <w:lang w:eastAsia="zh-CN"/>
        </w:rPr>
        <w:t>支出</w:t>
      </w:r>
      <w:r>
        <w:rPr>
          <w:rFonts w:hint="eastAsia" w:ascii="仿宋" w:hAnsi="仿宋" w:eastAsia="仿宋"/>
          <w:sz w:val="32"/>
          <w:szCs w:val="32"/>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年度“三公”经费财政拨款支出决算中，因公出国（境）费支出决算</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w:t>
      </w:r>
      <w:r>
        <w:rPr>
          <w:rFonts w:hint="eastAsia" w:ascii="Times New Roman" w:hAnsi="Times New Roman" w:eastAsia="仿宋_GB2312" w:cs="仿宋_GB2312"/>
          <w:color w:val="auto"/>
          <w:kern w:val="2"/>
          <w:sz w:val="32"/>
          <w:szCs w:val="32"/>
          <w:highlight w:val="none"/>
          <w:lang w:val="en-US" w:eastAsia="zh-CN" w:bidi="ar-SA"/>
        </w:rPr>
        <w:t>2.49</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；公务接待费支出决算</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pStyle w:val="2"/>
        <w:rPr>
          <w:rFonts w:hint="eastAsia"/>
          <w:lang w:val="en-US" w:eastAsia="zh-CN"/>
        </w:rPr>
      </w:pPr>
      <w:r>
        <w:rPr>
          <w:rFonts w:hint="eastAsia"/>
          <w:lang w:val="en-US" w:eastAsia="zh-CN"/>
        </w:rPr>
        <w:t xml:space="preserve">       </w:t>
      </w:r>
      <w:r>
        <w:drawing>
          <wp:inline distT="0" distB="0" distL="114300" distR="114300">
            <wp:extent cx="4596130" cy="2218690"/>
            <wp:effectExtent l="0" t="0" r="6350" b="635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4596130" cy="2218690"/>
                    </a:xfrm>
                    <a:prstGeom prst="rect">
                      <a:avLst/>
                    </a:prstGeom>
                    <a:noFill/>
                    <a:ln>
                      <a:noFill/>
                    </a:ln>
                  </pic:spPr>
                </pic:pic>
              </a:graphicData>
            </a:graphic>
          </wp:inline>
        </w:drawing>
      </w:r>
    </w:p>
    <w:p>
      <w:pPr>
        <w:pStyle w:val="2"/>
        <w:rPr>
          <w:rFonts w:hint="eastAsia"/>
          <w:lang w:val="en-US" w:eastAsia="zh-CN"/>
        </w:rPr>
      </w:pP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Times New Roman" w:hAnsi="Times New Roman" w:eastAsia="仿宋_GB2312" w:cs="仿宋_GB2312"/>
          <w:color w:val="auto"/>
          <w:kern w:val="2"/>
          <w:sz w:val="32"/>
          <w:szCs w:val="32"/>
          <w:highlight w:val="none"/>
          <w:lang w:val="en-US" w:eastAsia="zh-CN" w:bidi="ar-SA"/>
        </w:rPr>
        <w:t>0次，出国（境）0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2.49万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0.31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14.22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车辆老旧，维修费用增加。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2.49万元。主要用于</w:t>
      </w:r>
      <w:r>
        <w:rPr>
          <w:rFonts w:hint="eastAsia" w:ascii="仿宋_GB2312" w:eastAsia="仿宋_GB2312"/>
          <w:color w:val="000000"/>
          <w:sz w:val="32"/>
          <w:szCs w:val="32"/>
        </w:rPr>
        <w:t>财政投资评审</w:t>
      </w:r>
      <w:r>
        <w:rPr>
          <w:rFonts w:hint="eastAsia" w:ascii="仿宋_GB2312" w:eastAsia="仿宋_GB2312"/>
          <w:color w:val="000000"/>
          <w:sz w:val="32"/>
          <w:szCs w:val="32"/>
          <w:highlight w:val="none"/>
          <w:lang w:val="en-US" w:eastAsia="zh-CN"/>
        </w:rPr>
        <w:t>项目现场调研</w:t>
      </w:r>
      <w:r>
        <w:rPr>
          <w:rFonts w:hint="eastAsia" w:ascii="仿宋_GB2312" w:hAnsi="仿宋" w:eastAsia="仿宋_GB2312"/>
          <w:color w:val="000000"/>
          <w:sz w:val="32"/>
          <w:szCs w:val="32"/>
          <w:lang w:eastAsia="zh-CN"/>
        </w:rPr>
        <w:t>等工作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Times New Roman" w:hAnsi="Times New Roman" w:eastAsia="仿宋_GB2312" w:cs="仿宋_GB2312"/>
          <w:color w:val="auto"/>
          <w:kern w:val="2"/>
          <w:sz w:val="32"/>
          <w:szCs w:val="32"/>
          <w:highlight w:val="none"/>
          <w:lang w:val="en-US" w:eastAsia="zh-CN" w:bidi="ar-SA"/>
        </w:rPr>
        <w:t>0人次，共计支出0万元。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人次，共计支出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29"/>
          <w:rFonts w:ascii="Times New Roman" w:hAnsi="Times New Roman" w:eastAsia="黑体"/>
          <w:color w:val="auto"/>
          <w:highlight w:val="none"/>
        </w:rPr>
      </w:pPr>
      <w:bookmarkStart w:id="34" w:name="_Toc15396610"/>
      <w:bookmarkStart w:id="35"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年度政府性基金预算财政拨款支出</w:t>
      </w:r>
      <w:r>
        <w:rPr>
          <w:rFonts w:hint="eastAsia" w:ascii="Times New Roman" w:hAnsi="Times New Roman" w:eastAsia="仿宋_GB2312" w:cs="仿宋_GB2312"/>
          <w:color w:val="auto"/>
          <w:kern w:val="2"/>
          <w:sz w:val="32"/>
          <w:szCs w:val="32"/>
          <w:highlight w:val="none"/>
          <w:lang w:val="en-US" w:eastAsia="zh-CN" w:bidi="ar-SA"/>
        </w:rPr>
        <w:t>97.20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color w:val="auto"/>
          <w:kern w:val="2"/>
          <w:sz w:val="32"/>
          <w:szCs w:val="32"/>
          <w:highlight w:val="none"/>
          <w:lang w:val="en-US" w:eastAsia="zh-CN" w:bidi="ar-SA"/>
        </w:rPr>
        <w:t>29.51%。与2023年度相比，政府性基金预算财政拨款支出减少</w:t>
      </w:r>
      <w:r>
        <w:rPr>
          <w:rFonts w:hint="eastAsia" w:eastAsia="仿宋_GB2312" w:cs="仿宋_GB2312"/>
          <w:color w:val="auto"/>
          <w:kern w:val="2"/>
          <w:sz w:val="32"/>
          <w:szCs w:val="32"/>
          <w:highlight w:val="none"/>
          <w:lang w:val="en-US" w:eastAsia="zh-CN" w:bidi="ar-SA"/>
        </w:rPr>
        <w:t>4.44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4.36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财政投资评审项目工作支出增加。</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77219"/>
      <w:bookmarkStart w:id="3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bookmarkStart w:id="41" w:name="_Toc15377223"/>
      <w:r>
        <w:rPr>
          <w:rFonts w:hint="eastAsia" w:ascii="Times New Roman" w:hAnsi="Times New Roman" w:eastAsia="仿宋_GB2312" w:cs="仿宋_GB2312"/>
          <w:color w:val="auto"/>
          <w:kern w:val="2"/>
          <w:sz w:val="32"/>
          <w:szCs w:val="32"/>
          <w:highlight w:val="none"/>
          <w:lang w:val="en-US" w:eastAsia="zh-CN" w:bidi="ar-SA"/>
        </w:rPr>
        <w:t>攀枝花市西区财政投资评审中心为事业单位，机关运行经费支出0万元，与202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年度决算数持平。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攀枝花市西区财政投资评审中心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攀枝花市西区财政投资评审中心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color w:val="000000"/>
          <w:sz w:val="32"/>
          <w:szCs w:val="32"/>
        </w:rPr>
        <w:t>财政投资评审</w:t>
      </w:r>
      <w:r>
        <w:rPr>
          <w:rFonts w:hint="eastAsia" w:ascii="仿宋_GB2312" w:eastAsia="仿宋_GB2312"/>
          <w:color w:val="000000"/>
          <w:sz w:val="32"/>
          <w:szCs w:val="32"/>
          <w:highlight w:val="none"/>
          <w:lang w:val="en-US" w:eastAsia="zh-CN"/>
        </w:rPr>
        <w:t>项目现场调研</w:t>
      </w:r>
      <w:r>
        <w:rPr>
          <w:rFonts w:hint="eastAsia" w:ascii="仿宋_GB2312" w:hAnsi="仿宋" w:eastAsia="仿宋_GB2312"/>
          <w:color w:val="000000"/>
          <w:sz w:val="32"/>
          <w:szCs w:val="32"/>
          <w:lang w:eastAsia="zh-CN"/>
        </w:rPr>
        <w:t>等工作</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w:t>
      </w:r>
      <w:r>
        <w:rPr>
          <w:rFonts w:hint="eastAsia" w:ascii="仿宋_GB2312" w:eastAsia="仿宋_GB2312"/>
          <w:sz w:val="32"/>
          <w:szCs w:val="32"/>
          <w:lang w:val="en-US" w:eastAsia="zh-CN"/>
        </w:rPr>
        <w:t>项目评审服务费、业务经费2</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w:t>
      </w:r>
      <w:r>
        <w:rPr>
          <w:rFonts w:hint="eastAsia" w:ascii="仿宋_GB2312" w:eastAsia="仿宋_GB2312"/>
          <w:sz w:val="32"/>
          <w:szCs w:val="32"/>
        </w:rPr>
        <w:t>个项目开展绩效自评，绩效自评表详见第四部分附件。</w:t>
      </w: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.其他收入：指单位取得的除上述收入以外的各项收入。主要是</w:t>
      </w:r>
      <w:r>
        <w:rPr>
          <w:rFonts w:hint="eastAsia" w:eastAsia="仿宋_GB2312" w:cs="仿宋_GB2312"/>
          <w:color w:val="auto"/>
          <w:kern w:val="2"/>
          <w:sz w:val="32"/>
          <w:szCs w:val="32"/>
          <w:highlight w:val="none"/>
          <w:lang w:val="en-US" w:eastAsia="zh-CN" w:bidi="ar-SA"/>
        </w:rPr>
        <w:t>银行存款利息</w:t>
      </w:r>
      <w:r>
        <w:rPr>
          <w:rFonts w:hint="eastAsia" w:ascii="Times New Roman" w:hAnsi="Times New Roman" w:eastAsia="仿宋_GB2312" w:cs="仿宋_GB2312"/>
          <w:color w:val="auto"/>
          <w:kern w:val="2"/>
          <w:sz w:val="32"/>
          <w:szCs w:val="32"/>
          <w:highlight w:val="none"/>
          <w:lang w:val="en-US" w:eastAsia="zh-CN" w:bidi="ar-SA"/>
        </w:rPr>
        <w:t xml:space="preserve">等。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5.</w:t>
      </w:r>
      <w:r>
        <w:rPr>
          <w:rFonts w:hint="eastAsia" w:ascii="仿宋_GB2312" w:eastAsia="仿宋_GB2312"/>
          <w:color w:val="000000"/>
          <w:sz w:val="32"/>
          <w:szCs w:val="32"/>
        </w:rPr>
        <w:t>一般公共服务（类）财政事务（款）财政委托业务支出（项）：</w:t>
      </w:r>
      <w:r>
        <w:rPr>
          <w:rFonts w:hint="eastAsia" w:ascii="仿宋" w:hAnsi="仿宋" w:eastAsia="仿宋"/>
          <w:color w:val="auto"/>
          <w:sz w:val="32"/>
          <w:szCs w:val="32"/>
          <w:highlight w:val="none"/>
          <w:lang w:eastAsia="zh-CN"/>
        </w:rPr>
        <w:t>指财政委托评审机构进行财政投资评审和委托建设银行等机构代理业务发生的支出；</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运行（项）：</w:t>
      </w:r>
      <w:r>
        <w:rPr>
          <w:rFonts w:hint="eastAsia" w:ascii="仿宋" w:hAnsi="仿宋" w:eastAsia="仿宋"/>
          <w:color w:val="000000"/>
          <w:sz w:val="32"/>
          <w:szCs w:val="32"/>
          <w:lang w:eastAsia="zh-CN"/>
        </w:rPr>
        <w:t>指</w:t>
      </w:r>
      <w:r>
        <w:rPr>
          <w:rFonts w:hint="eastAsia" w:ascii="仿宋" w:hAnsi="仿宋" w:eastAsia="仿宋"/>
          <w:color w:val="000000"/>
          <w:sz w:val="32"/>
          <w:szCs w:val="32"/>
        </w:rPr>
        <w:t>事业单位的基本支出，不包括行政单位（包括实行公务员管理的事业单位）后勤服务中心、医务室等附属事业单位。</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6.</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（款）机关事业单位基本养老保险缴费支出（项）：</w:t>
      </w:r>
      <w:r>
        <w:rPr>
          <w:rFonts w:hint="eastAsia" w:ascii="仿宋_GB2312" w:eastAsia="仿宋_GB2312"/>
          <w:color w:val="000000"/>
          <w:sz w:val="32"/>
          <w:szCs w:val="32"/>
          <w:lang w:eastAsia="zh-CN"/>
        </w:rPr>
        <w:t>指</w:t>
      </w:r>
      <w:r>
        <w:rPr>
          <w:rFonts w:hint="eastAsia" w:ascii="仿宋_GB2312" w:eastAsia="仿宋_GB2312"/>
          <w:color w:val="000000"/>
          <w:sz w:val="32"/>
          <w:szCs w:val="32"/>
        </w:rPr>
        <w:t>机关事业单位</w:t>
      </w:r>
      <w:r>
        <w:rPr>
          <w:rFonts w:hint="eastAsia" w:ascii="仿宋_GB2312" w:eastAsia="仿宋_GB2312"/>
          <w:color w:val="000000"/>
          <w:sz w:val="32"/>
          <w:szCs w:val="32"/>
          <w:lang w:eastAsia="zh-CN"/>
        </w:rPr>
        <w:t>实施养老保险制度由单位</w:t>
      </w:r>
      <w:r>
        <w:rPr>
          <w:rFonts w:hint="eastAsia" w:ascii="仿宋_GB2312" w:eastAsia="仿宋_GB2312"/>
          <w:color w:val="000000"/>
          <w:sz w:val="32"/>
          <w:szCs w:val="32"/>
        </w:rPr>
        <w:t>缴纳的基本养老保险费</w:t>
      </w:r>
      <w:r>
        <w:rPr>
          <w:rFonts w:hint="eastAsia" w:ascii="仿宋_GB2312" w:eastAsia="仿宋_GB2312"/>
          <w:color w:val="000000"/>
          <w:sz w:val="32"/>
          <w:szCs w:val="32"/>
          <w:lang w:eastAsia="zh-CN"/>
        </w:rPr>
        <w:t>支出。</w:t>
      </w:r>
    </w:p>
    <w:p>
      <w:pPr>
        <w:ind w:firstLine="640" w:firstLineChars="20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7.</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（类）行政事业单位医疗（款）</w:t>
      </w:r>
      <w:r>
        <w:rPr>
          <w:rFonts w:hint="eastAsia" w:ascii="仿宋" w:hAnsi="仿宋" w:eastAsia="仿宋"/>
          <w:color w:val="000000"/>
          <w:sz w:val="32"/>
          <w:szCs w:val="32"/>
        </w:rPr>
        <w:t>事业单位医疗（项）：</w:t>
      </w:r>
      <w:r>
        <w:rPr>
          <w:rFonts w:hint="eastAsia" w:ascii="仿宋" w:hAnsi="仿宋" w:eastAsia="仿宋"/>
          <w:color w:val="000000"/>
          <w:sz w:val="32"/>
          <w:szCs w:val="32"/>
          <w:lang w:eastAsia="zh-CN"/>
        </w:rPr>
        <w:t>指</w:t>
      </w:r>
      <w:r>
        <w:rPr>
          <w:rFonts w:hint="eastAsia" w:ascii="仿宋" w:hAnsi="仿宋" w:eastAsia="仿宋"/>
          <w:color w:val="000000"/>
          <w:sz w:val="32"/>
          <w:szCs w:val="32"/>
        </w:rPr>
        <w:t>财政部门集中安排的事业单位基本医疗保险缴费经费，未参加医疗保险的事业单位公费医疗经费，按国家规定享受离休人员待遇人员的医疗经费；</w:t>
      </w:r>
      <w:r>
        <w:rPr>
          <w:rFonts w:hint="eastAsia" w:ascii="仿宋_GB2312" w:eastAsia="仿宋_GB2312"/>
          <w:color w:val="000000"/>
          <w:sz w:val="32"/>
          <w:szCs w:val="32"/>
          <w:lang w:eastAsia="zh-CN"/>
        </w:rPr>
        <w:t>其他行政事业单位医疗支出</w:t>
      </w:r>
      <w:r>
        <w:rPr>
          <w:rFonts w:hint="eastAsia" w:ascii="仿宋" w:hAnsi="仿宋" w:eastAsia="仿宋"/>
          <w:color w:val="000000"/>
          <w:sz w:val="32"/>
          <w:szCs w:val="32"/>
        </w:rPr>
        <w:t>（项）：</w:t>
      </w:r>
      <w:r>
        <w:rPr>
          <w:rFonts w:hint="eastAsia" w:ascii="仿宋" w:hAnsi="仿宋" w:eastAsia="仿宋"/>
          <w:color w:val="000000"/>
          <w:sz w:val="32"/>
          <w:szCs w:val="32"/>
          <w:lang w:eastAsia="zh-CN"/>
        </w:rPr>
        <w:t>指除上述项目以外其他用于行政事业单位医疗方面的支出</w:t>
      </w:r>
      <w:r>
        <w:rPr>
          <w:rFonts w:hint="eastAsia" w:ascii="仿宋_GB2312" w:eastAsia="仿宋_GB2312"/>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8.</w:t>
      </w:r>
      <w:r>
        <w:rPr>
          <w:rFonts w:hint="eastAsia" w:ascii="仿宋" w:hAnsi="仿宋" w:eastAsia="仿宋"/>
          <w:color w:val="000000"/>
          <w:sz w:val="32"/>
          <w:szCs w:val="32"/>
        </w:rPr>
        <w:t>城乡社区支出（类）国有土地使用权出让收入及对应专项债务收入安排的支出（款）土地开发支出（项）：</w:t>
      </w:r>
      <w:r>
        <w:rPr>
          <w:rFonts w:hint="eastAsia" w:ascii="仿宋" w:hAnsi="仿宋" w:eastAsia="仿宋"/>
          <w:color w:val="000000"/>
          <w:sz w:val="32"/>
          <w:szCs w:val="32"/>
          <w:lang w:eastAsia="zh-CN"/>
        </w:rPr>
        <w:t>指新疆生产建设兵团和地方政府用于前期土地开发性支出以及与前期土地开发相关的费用等支出。</w:t>
      </w:r>
    </w:p>
    <w:p>
      <w:pPr>
        <w:ind w:firstLine="640" w:firstLineChars="20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jc w:val="center"/>
        <w:outlineLvl w:val="0"/>
        <w:rPr>
          <w:rStyle w:val="36"/>
          <w:rFonts w:ascii="黑体" w:hAnsi="黑体" w:eastAsia="黑体"/>
          <w:b w:val="0"/>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bookmarkStart w:id="47" w:name="_Toc15396618"/>
      <w:r>
        <w:rPr>
          <w:rFonts w:hint="eastAsia" w:ascii="黑体" w:hAnsi="黑体" w:eastAsia="黑体"/>
          <w:sz w:val="44"/>
          <w:szCs w:val="44"/>
        </w:rPr>
        <w:t>第</w:t>
      </w:r>
      <w:r>
        <w:rPr>
          <w:rStyle w:val="36"/>
          <w:rFonts w:hint="eastAsia" w:ascii="黑体" w:hAnsi="黑体" w:eastAsia="黑体"/>
          <w:b w:val="0"/>
        </w:rPr>
        <w:t>四部分 附件</w:t>
      </w:r>
      <w:bookmarkEnd w:id="46"/>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default" w:ascii="黑体" w:hAnsi="黑体" w:eastAsia="宋体"/>
          <w:color w:val="FF0000"/>
          <w:sz w:val="44"/>
          <w:szCs w:val="44"/>
          <w:lang w:val="en-US" w:eastAsia="zh-CN"/>
        </w:rPr>
      </w:pPr>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r>
        <w:rPr>
          <w:rFonts w:hint="eastAsia"/>
          <w:sz w:val="32"/>
          <w:szCs w:val="32"/>
          <w:lang w:eastAsia="zh-CN"/>
        </w:rPr>
        <w:t>见附件</w:t>
      </w:r>
      <w:r>
        <w:rPr>
          <w:rFonts w:hint="eastAsia"/>
          <w:sz w:val="32"/>
          <w:szCs w:val="32"/>
          <w:lang w:val="en-US" w:eastAsia="zh-CN"/>
        </w:rPr>
        <w:t>。</w:t>
      </w:r>
    </w:p>
    <w:p>
      <w:pPr>
        <w:pStyle w:val="3"/>
        <w:spacing w:line="560" w:lineRule="exact"/>
        <w:ind w:left="0" w:leftChars="0" w:firstLine="640"/>
        <w:rPr>
          <w:sz w:val="32"/>
        </w:rPr>
      </w:pPr>
    </w:p>
    <w:p>
      <w:pPr>
        <w:widowControl/>
        <w:jc w:val="cente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ind w:firstLine="2640" w:firstLineChars="600"/>
        <w:jc w:val="both"/>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ODRhNjVlZGJjMjBmOWRmZmQyMWE5YTM2NzUxY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D02095"/>
    <w:rsid w:val="09867E8F"/>
    <w:rsid w:val="0A2032A3"/>
    <w:rsid w:val="0A5E2F65"/>
    <w:rsid w:val="0CA8290A"/>
    <w:rsid w:val="0D35B1ED"/>
    <w:rsid w:val="0E254B6B"/>
    <w:rsid w:val="0F98263C"/>
    <w:rsid w:val="101860EC"/>
    <w:rsid w:val="101F47CC"/>
    <w:rsid w:val="10C055FF"/>
    <w:rsid w:val="11694EBD"/>
    <w:rsid w:val="11772AA4"/>
    <w:rsid w:val="118107EC"/>
    <w:rsid w:val="12E24EE2"/>
    <w:rsid w:val="1365575B"/>
    <w:rsid w:val="13D50BC4"/>
    <w:rsid w:val="14B17F78"/>
    <w:rsid w:val="15B8435D"/>
    <w:rsid w:val="165E0673"/>
    <w:rsid w:val="16B831D5"/>
    <w:rsid w:val="16BB723D"/>
    <w:rsid w:val="1763479D"/>
    <w:rsid w:val="17E50567"/>
    <w:rsid w:val="186504BB"/>
    <w:rsid w:val="191938B0"/>
    <w:rsid w:val="19A445FC"/>
    <w:rsid w:val="1BE8440E"/>
    <w:rsid w:val="1D155CEE"/>
    <w:rsid w:val="1D1638FE"/>
    <w:rsid w:val="1E312DEB"/>
    <w:rsid w:val="1E740ACF"/>
    <w:rsid w:val="1FF35744"/>
    <w:rsid w:val="1FF6BC77"/>
    <w:rsid w:val="2186353C"/>
    <w:rsid w:val="22A14237"/>
    <w:rsid w:val="23860B96"/>
    <w:rsid w:val="240371BF"/>
    <w:rsid w:val="244F3473"/>
    <w:rsid w:val="24C97D99"/>
    <w:rsid w:val="25855F2D"/>
    <w:rsid w:val="25A718F0"/>
    <w:rsid w:val="25BB59F6"/>
    <w:rsid w:val="260F557C"/>
    <w:rsid w:val="26970054"/>
    <w:rsid w:val="281408E2"/>
    <w:rsid w:val="28A014FD"/>
    <w:rsid w:val="29FD04D3"/>
    <w:rsid w:val="2ADA1721"/>
    <w:rsid w:val="2BFF7BC6"/>
    <w:rsid w:val="2C8A61B5"/>
    <w:rsid w:val="2D1E4F96"/>
    <w:rsid w:val="2DF04E50"/>
    <w:rsid w:val="2E586DFA"/>
    <w:rsid w:val="2F040D46"/>
    <w:rsid w:val="2F6B035B"/>
    <w:rsid w:val="2FAE5751"/>
    <w:rsid w:val="2FB1A395"/>
    <w:rsid w:val="2FD9A7D8"/>
    <w:rsid w:val="2FDBF714"/>
    <w:rsid w:val="30AB6865"/>
    <w:rsid w:val="319F7F4E"/>
    <w:rsid w:val="32BD1EF1"/>
    <w:rsid w:val="3304709D"/>
    <w:rsid w:val="33A773CB"/>
    <w:rsid w:val="349D6851"/>
    <w:rsid w:val="356704E5"/>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40332"/>
    <w:rsid w:val="3D98207C"/>
    <w:rsid w:val="3DEE7CF3"/>
    <w:rsid w:val="3E740A63"/>
    <w:rsid w:val="3E78745D"/>
    <w:rsid w:val="3EE17838"/>
    <w:rsid w:val="3F55381A"/>
    <w:rsid w:val="3F7F7599"/>
    <w:rsid w:val="3FF4CAE0"/>
    <w:rsid w:val="3FF7B227"/>
    <w:rsid w:val="44E268DA"/>
    <w:rsid w:val="450D13D7"/>
    <w:rsid w:val="45506656"/>
    <w:rsid w:val="458F36F6"/>
    <w:rsid w:val="47AB6C3D"/>
    <w:rsid w:val="486A6C7A"/>
    <w:rsid w:val="4A1B7220"/>
    <w:rsid w:val="4A627F82"/>
    <w:rsid w:val="4B0E749A"/>
    <w:rsid w:val="4B2477C4"/>
    <w:rsid w:val="4B4F25DA"/>
    <w:rsid w:val="4BE068DB"/>
    <w:rsid w:val="4D577224"/>
    <w:rsid w:val="4DBF1CEB"/>
    <w:rsid w:val="4DF0007C"/>
    <w:rsid w:val="4EAB630A"/>
    <w:rsid w:val="4ECE2238"/>
    <w:rsid w:val="4F833267"/>
    <w:rsid w:val="4FE9BD67"/>
    <w:rsid w:val="4FFB052F"/>
    <w:rsid w:val="52054B30"/>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7B5C33"/>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553E03"/>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4E0192"/>
    <w:rsid w:val="7B6C7DFB"/>
    <w:rsid w:val="7B866FF1"/>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样式1"/>
    <w:basedOn w:val="1"/>
    <w:qFormat/>
    <w:uiPriority w:val="0"/>
    <w:rPr>
      <w:b/>
      <w:color w:val="538135"/>
      <w:sz w:val="28"/>
    </w:rPr>
  </w:style>
  <w:style w:type="character" w:customStyle="1" w:styleId="36">
    <w:name w:val="标题 1 字符"/>
    <w:basedOn w:val="16"/>
    <w:link w:val="5"/>
    <w:qFormat/>
    <w:uiPriority w:val="9"/>
    <w:rPr>
      <w:rFonts w:ascii="Times New Roman" w:hAnsi="Times New Roman"/>
      <w:b/>
      <w:bCs/>
      <w:kern w:val="44"/>
      <w:sz w:val="44"/>
      <w:szCs w:val="44"/>
    </w:rPr>
  </w:style>
  <w:style w:type="character" w:customStyle="1" w:styleId="37">
    <w:name w:val="标题 2 字符"/>
    <w:basedOn w:val="16"/>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4397</Words>
  <Characters>4801</Characters>
  <Lines>61</Lines>
  <Paragraphs>17</Paragraphs>
  <TotalTime>58</TotalTime>
  <ScaleCrop>false</ScaleCrop>
  <LinksUpToDate>false</LinksUpToDate>
  <CharactersWithSpaces>4975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2025-10-29T02:55:32Z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23B0D8B89160407C8037AE89D023E7DB_13</vt:lpwstr>
  </property>
</Properties>
</file>