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1C868">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7425"/>
      <w:bookmarkStart w:id="2" w:name="_Toc15396475"/>
      <w:bookmarkStart w:id="3" w:name="_Toc15378441"/>
      <w:bookmarkStart w:id="4" w:name="_Toc15306267"/>
      <w:bookmarkStart w:id="5" w:name="_Toc15396597"/>
    </w:p>
    <w:p w14:paraId="72CD6EC7">
      <w:pPr>
        <w:pStyle w:val="2"/>
        <w:rPr>
          <w:rFonts w:hint="eastAsia" w:ascii="Times New Roman" w:hAnsi="Times New Roman" w:eastAsia="方正小标宋简体" w:cs="Times New Roman"/>
          <w:color w:val="auto"/>
          <w:kern w:val="2"/>
          <w:sz w:val="72"/>
          <w:szCs w:val="72"/>
          <w:highlight w:val="none"/>
          <w:lang w:val="en-US" w:eastAsia="zh-CN" w:bidi="ar-SA"/>
        </w:rPr>
      </w:pPr>
    </w:p>
    <w:p w14:paraId="7D6E2B96">
      <w:pPr>
        <w:pStyle w:val="2"/>
        <w:rPr>
          <w:rFonts w:hint="eastAsia" w:ascii="Times New Roman" w:hAnsi="Times New Roman" w:eastAsia="方正小标宋简体" w:cs="Times New Roman"/>
          <w:color w:val="auto"/>
          <w:kern w:val="2"/>
          <w:sz w:val="72"/>
          <w:szCs w:val="72"/>
          <w:highlight w:val="none"/>
          <w:lang w:val="en-US" w:eastAsia="zh-CN" w:bidi="ar-SA"/>
        </w:rPr>
      </w:pPr>
    </w:p>
    <w:p w14:paraId="5019F125">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w:t>
      </w:r>
      <w:r>
        <w:rPr>
          <w:rFonts w:hint="eastAsia" w:ascii="Times New Roman" w:hAnsi="Times New Roman" w:eastAsia="方正小标宋简体" w:cs="Times New Roman"/>
          <w:color w:val="auto"/>
          <w:kern w:val="2"/>
          <w:sz w:val="44"/>
          <w:szCs w:val="44"/>
          <w:highlight w:val="none"/>
          <w:lang w:val="en-US" w:eastAsia="zh-CN" w:bidi="ar-SA"/>
        </w:rPr>
        <w:t>攀枝花市</w:t>
      </w:r>
    </w:p>
    <w:p w14:paraId="4B862B44">
      <w:pPr>
        <w:pStyle w:val="2"/>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西区残疾人联合会</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bookmarkEnd w:id="0"/>
    <w:bookmarkEnd w:id="1"/>
    <w:bookmarkEnd w:id="2"/>
    <w:bookmarkEnd w:id="3"/>
    <w:bookmarkEnd w:id="4"/>
    <w:bookmarkEnd w:id="5"/>
    <w:p w14:paraId="69B80EF2">
      <w:pPr>
        <w:pStyle w:val="2"/>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2A28CC1">
      <w:pPr>
        <w:widowControl/>
        <w:jc w:val="center"/>
        <w:rPr>
          <w:rFonts w:ascii="Times New Roman" w:hAnsi="Times New Roman" w:eastAsia="黑体" w:cstheme="minorBidi"/>
          <w:color w:val="auto"/>
          <w:sz w:val="28"/>
          <w:szCs w:val="28"/>
          <w:highlight w:val="none"/>
        </w:rPr>
      </w:pPr>
    </w:p>
    <w:p w14:paraId="1A78238B">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29</w:t>
      </w:r>
      <w:bookmarkStart w:id="64" w:name="_GoBack"/>
      <w:bookmarkEnd w:id="64"/>
      <w:r>
        <w:rPr>
          <w:rFonts w:hint="eastAsia" w:ascii="Times New Roman" w:hAnsi="Times New Roman" w:eastAsia="仿宋_GB2312" w:cs="仿宋_GB2312"/>
          <w:color w:val="auto"/>
          <w:sz w:val="32"/>
          <w:szCs w:val="32"/>
          <w:highlight w:val="none"/>
        </w:rPr>
        <w:t>日</w:t>
      </w:r>
    </w:p>
    <w:p w14:paraId="622CEA38">
      <w:pPr>
        <w:rPr>
          <w:rFonts w:ascii="Times New Roman" w:hAnsi="Times New Roman"/>
          <w:color w:val="auto"/>
          <w:highlight w:val="none"/>
        </w:rPr>
      </w:pPr>
    </w:p>
    <w:p w14:paraId="29E8E5E4">
      <w:pPr>
        <w:pStyle w:val="13"/>
        <w:adjustRightInd w:val="0"/>
        <w:snapToGrid w:val="0"/>
        <w:spacing w:before="0" w:line="440" w:lineRule="exact"/>
        <w:jc w:val="left"/>
        <w:rPr>
          <w:sz w:val="24"/>
          <w:szCs w:val="24"/>
        </w:rPr>
      </w:pPr>
      <w:bookmarkStart w:id="6" w:name="_Toc15377196"/>
      <w:bookmarkStart w:id="7" w:name="_Toc15396599"/>
      <w:r>
        <w:rPr>
          <w:rFonts w:hint="eastAsia"/>
          <w:sz w:val="24"/>
        </w:rPr>
        <w:t>第一部分</w:t>
      </w:r>
      <w:r>
        <w:rPr>
          <w:sz w:val="24"/>
        </w:rPr>
        <w:t xml:space="preserve"> </w:t>
      </w:r>
      <w:r>
        <w:rPr>
          <w:rFonts w:hint="eastAsia"/>
          <w:sz w:val="24"/>
          <w:lang w:eastAsia="zh-CN"/>
        </w:rPr>
        <w:t>单位</w:t>
      </w:r>
      <w:r>
        <w:rPr>
          <w:rFonts w:hint="eastAsia"/>
          <w:sz w:val="24"/>
        </w:rPr>
        <w:t>概况</w:t>
      </w:r>
    </w:p>
    <w:p w14:paraId="15B584A8">
      <w:pPr>
        <w:pStyle w:val="15"/>
        <w:adjustRightInd w:val="0"/>
        <w:snapToGrid w:val="0"/>
        <w:spacing w:line="440" w:lineRule="exact"/>
        <w:jc w:val="left"/>
        <w:rPr>
          <w:rFonts w:hint="default" w:ascii="仿宋" w:hAnsi="仿宋" w:eastAsia="宋体"/>
          <w:sz w:val="24"/>
          <w:lang w:val="en-US" w:eastAsia="zh-CN"/>
        </w:rPr>
      </w:pPr>
      <w:r>
        <w:rPr>
          <w:rFonts w:hint="eastAsia"/>
          <w:sz w:val="24"/>
        </w:rPr>
        <w:t>一、</w:t>
      </w:r>
      <w:r>
        <w:rPr>
          <w:rFonts w:hint="eastAsia"/>
          <w:sz w:val="24"/>
          <w:lang w:eastAsia="zh-CN"/>
        </w:rPr>
        <w:t>单位</w:t>
      </w:r>
      <w:r>
        <w:rPr>
          <w:rFonts w:hint="eastAsia"/>
          <w:sz w:val="24"/>
        </w:rPr>
        <w:t>职责</w:t>
      </w:r>
      <w:r>
        <w:rPr>
          <w:rFonts w:hint="eastAsia"/>
          <w:sz w:val="24"/>
          <w:lang w:val="en-US" w:eastAsia="zh-CN"/>
        </w:rPr>
        <w:t>..................................................................................................3</w:t>
      </w:r>
    </w:p>
    <w:p w14:paraId="7F2B0A57">
      <w:pPr>
        <w:pStyle w:val="15"/>
        <w:adjustRightInd w:val="0"/>
        <w:snapToGrid w:val="0"/>
        <w:spacing w:line="440" w:lineRule="exact"/>
        <w:jc w:val="left"/>
        <w:rPr>
          <w:rFonts w:hint="default" w:ascii="仿宋" w:hAnsi="仿宋" w:eastAsia="宋体"/>
          <w:sz w:val="24"/>
          <w:lang w:val="en-US" w:eastAsia="zh-CN"/>
        </w:rPr>
      </w:pPr>
      <w:r>
        <w:rPr>
          <w:rFonts w:hint="eastAsia"/>
          <w:sz w:val="24"/>
        </w:rPr>
        <w:t>二、机构设置</w:t>
      </w:r>
      <w:r>
        <w:rPr>
          <w:rFonts w:hint="eastAsia"/>
          <w:sz w:val="24"/>
          <w:lang w:val="en-US" w:eastAsia="zh-CN"/>
        </w:rPr>
        <w:t>..................................................................................................4</w:t>
      </w:r>
    </w:p>
    <w:p w14:paraId="22B35DEF">
      <w:pPr>
        <w:pStyle w:val="13"/>
        <w:adjustRightInd w:val="0"/>
        <w:snapToGrid w:val="0"/>
        <w:spacing w:before="0" w:line="440" w:lineRule="exact"/>
        <w:jc w:val="left"/>
        <w:rPr>
          <w:rFonts w:hint="default" w:eastAsia="仿宋"/>
          <w:sz w:val="24"/>
          <w:szCs w:val="24"/>
          <w:lang w:val="en-US" w:eastAsia="zh-CN"/>
        </w:rPr>
      </w:pPr>
      <w:r>
        <w:rPr>
          <w:rFonts w:hint="eastAsia"/>
          <w:sz w:val="24"/>
        </w:rPr>
        <w:t>第二部分 202</w:t>
      </w:r>
      <w:r>
        <w:rPr>
          <w:rFonts w:hint="eastAsia"/>
          <w:sz w:val="24"/>
          <w:lang w:val="en-US" w:eastAsia="zh-CN"/>
        </w:rPr>
        <w:t>4</w:t>
      </w:r>
      <w:r>
        <w:rPr>
          <w:rFonts w:hint="eastAsia"/>
          <w:sz w:val="24"/>
        </w:rPr>
        <w:t>年度</w:t>
      </w:r>
      <w:r>
        <w:rPr>
          <w:rFonts w:hint="eastAsia"/>
          <w:sz w:val="24"/>
          <w:lang w:eastAsia="zh-CN"/>
        </w:rPr>
        <w:t>单位</w:t>
      </w:r>
      <w:r>
        <w:rPr>
          <w:rFonts w:hint="eastAsia"/>
          <w:sz w:val="24"/>
        </w:rPr>
        <w:t>决算情况说明</w:t>
      </w:r>
    </w:p>
    <w:p w14:paraId="4DD2746A">
      <w:pPr>
        <w:pStyle w:val="15"/>
        <w:adjustRightInd w:val="0"/>
        <w:snapToGrid w:val="0"/>
        <w:spacing w:line="440" w:lineRule="exact"/>
        <w:jc w:val="left"/>
        <w:rPr>
          <w:rFonts w:hint="default" w:ascii="仿宋" w:hAnsi="仿宋" w:eastAsia="宋体"/>
          <w:sz w:val="24"/>
          <w:lang w:val="en-US" w:eastAsia="zh-CN"/>
        </w:rPr>
      </w:pPr>
      <w:r>
        <w:rPr>
          <w:rFonts w:hint="eastAsia"/>
          <w:sz w:val="24"/>
        </w:rPr>
        <w:t>一、收入支出决算总体情况说明</w:t>
      </w:r>
      <w:r>
        <w:rPr>
          <w:rFonts w:hint="eastAsia"/>
          <w:sz w:val="24"/>
          <w:lang w:val="en-US" w:eastAsia="zh-CN"/>
        </w:rPr>
        <w:t>...................................................................5</w:t>
      </w:r>
    </w:p>
    <w:p w14:paraId="4633601D">
      <w:pPr>
        <w:pStyle w:val="15"/>
        <w:adjustRightInd w:val="0"/>
        <w:snapToGrid w:val="0"/>
        <w:spacing w:line="440" w:lineRule="exact"/>
        <w:jc w:val="left"/>
        <w:rPr>
          <w:rFonts w:hint="default" w:ascii="仿宋" w:hAnsi="仿宋" w:eastAsia="宋体"/>
          <w:sz w:val="24"/>
          <w:lang w:val="en-US" w:eastAsia="zh-CN"/>
        </w:rPr>
      </w:pPr>
      <w:r>
        <w:rPr>
          <w:rFonts w:hint="eastAsia"/>
          <w:sz w:val="24"/>
        </w:rPr>
        <w:t>二、收入决算情况说明</w:t>
      </w:r>
      <w:r>
        <w:rPr>
          <w:rFonts w:hint="eastAsia"/>
          <w:sz w:val="24"/>
          <w:lang w:val="en-US" w:eastAsia="zh-CN"/>
        </w:rPr>
        <w:t>...................................................................................5</w:t>
      </w:r>
    </w:p>
    <w:p w14:paraId="7804EA03">
      <w:pPr>
        <w:pStyle w:val="15"/>
        <w:adjustRightInd w:val="0"/>
        <w:snapToGrid w:val="0"/>
        <w:spacing w:line="440" w:lineRule="exact"/>
        <w:jc w:val="left"/>
        <w:rPr>
          <w:rFonts w:hint="default" w:ascii="仿宋" w:hAnsi="仿宋" w:eastAsia="宋体"/>
          <w:sz w:val="24"/>
          <w:lang w:val="en-US" w:eastAsia="zh-CN"/>
        </w:rPr>
      </w:pPr>
      <w:r>
        <w:rPr>
          <w:rFonts w:hint="eastAsia"/>
          <w:sz w:val="24"/>
        </w:rPr>
        <w:t>三、支出决算情况说明</w:t>
      </w:r>
      <w:r>
        <w:rPr>
          <w:rFonts w:hint="eastAsia"/>
          <w:sz w:val="24"/>
          <w:lang w:val="en-US" w:eastAsia="zh-CN"/>
        </w:rPr>
        <w:t>...................................................................................6</w:t>
      </w:r>
    </w:p>
    <w:p w14:paraId="495190EF">
      <w:pPr>
        <w:pStyle w:val="15"/>
        <w:adjustRightInd w:val="0"/>
        <w:snapToGrid w:val="0"/>
        <w:spacing w:line="440" w:lineRule="exact"/>
        <w:jc w:val="left"/>
        <w:rPr>
          <w:rFonts w:hint="default" w:ascii="仿宋" w:hAnsi="仿宋" w:eastAsia="宋体"/>
          <w:sz w:val="24"/>
          <w:lang w:val="en-US" w:eastAsia="zh-CN"/>
        </w:rPr>
      </w:pPr>
      <w:r>
        <w:rPr>
          <w:rFonts w:hint="eastAsia"/>
          <w:sz w:val="24"/>
        </w:rPr>
        <w:t>四、财政拨款收入支出决算总体情况说明</w:t>
      </w:r>
      <w:r>
        <w:rPr>
          <w:rFonts w:hint="eastAsia"/>
          <w:sz w:val="24"/>
          <w:lang w:val="en-US" w:eastAsia="zh-CN"/>
        </w:rPr>
        <w:t>....................................................6</w:t>
      </w:r>
    </w:p>
    <w:p w14:paraId="62744995">
      <w:pPr>
        <w:pStyle w:val="15"/>
        <w:adjustRightInd w:val="0"/>
        <w:snapToGrid w:val="0"/>
        <w:spacing w:line="440" w:lineRule="exact"/>
        <w:jc w:val="left"/>
        <w:rPr>
          <w:rFonts w:hint="default" w:ascii="仿宋" w:hAnsi="仿宋" w:eastAsia="宋体"/>
          <w:sz w:val="24"/>
          <w:lang w:val="en-US" w:eastAsia="zh-CN"/>
        </w:rPr>
      </w:pPr>
      <w:r>
        <w:rPr>
          <w:rFonts w:hint="eastAsia"/>
          <w:sz w:val="24"/>
        </w:rPr>
        <w:t>五、一般公共预算财政拨款支出决算情况说明</w:t>
      </w:r>
      <w:r>
        <w:rPr>
          <w:rFonts w:hint="eastAsia"/>
          <w:sz w:val="24"/>
          <w:lang w:val="en-US" w:eastAsia="zh-CN"/>
        </w:rPr>
        <w:t>............................................7</w:t>
      </w:r>
    </w:p>
    <w:p w14:paraId="657E4A16">
      <w:pPr>
        <w:pStyle w:val="15"/>
        <w:adjustRightInd w:val="0"/>
        <w:snapToGrid w:val="0"/>
        <w:spacing w:line="440" w:lineRule="exact"/>
        <w:jc w:val="left"/>
        <w:rPr>
          <w:rFonts w:hint="default" w:ascii="仿宋" w:hAnsi="仿宋" w:eastAsia="宋体"/>
          <w:sz w:val="24"/>
          <w:lang w:val="en-US" w:eastAsia="zh-CN"/>
        </w:rPr>
      </w:pPr>
      <w:r>
        <w:rPr>
          <w:rFonts w:hint="eastAsia"/>
          <w:sz w:val="24"/>
        </w:rPr>
        <w:t>六、一般公共预算财政拨款基本支出决算情况说明</w:t>
      </w:r>
      <w:r>
        <w:rPr>
          <w:rFonts w:hint="eastAsia"/>
          <w:sz w:val="24"/>
          <w:lang w:val="en-US" w:eastAsia="zh-CN"/>
        </w:rPr>
        <w:t>....................................9</w:t>
      </w:r>
    </w:p>
    <w:p w14:paraId="00345009">
      <w:pPr>
        <w:pStyle w:val="15"/>
        <w:adjustRightInd w:val="0"/>
        <w:snapToGrid w:val="0"/>
        <w:spacing w:line="440" w:lineRule="exact"/>
        <w:jc w:val="left"/>
        <w:rPr>
          <w:rFonts w:hint="default" w:ascii="仿宋" w:hAnsi="仿宋" w:eastAsia="宋体"/>
          <w:sz w:val="24"/>
          <w:lang w:val="en-US" w:eastAsia="zh-CN"/>
        </w:rPr>
      </w:pPr>
      <w:r>
        <w:rPr>
          <w:rFonts w:hint="eastAsia"/>
          <w:sz w:val="24"/>
        </w:rPr>
        <w:t>七、财政拨款“三公”经费支出决算情况说明</w:t>
      </w:r>
      <w:r>
        <w:rPr>
          <w:rFonts w:hint="eastAsia"/>
          <w:sz w:val="24"/>
          <w:lang w:val="en-US" w:eastAsia="zh-CN"/>
        </w:rPr>
        <w:t>...........................................10</w:t>
      </w:r>
    </w:p>
    <w:p w14:paraId="44D424ED">
      <w:pPr>
        <w:pStyle w:val="15"/>
        <w:adjustRightInd w:val="0"/>
        <w:snapToGrid w:val="0"/>
        <w:spacing w:line="440" w:lineRule="exact"/>
        <w:jc w:val="left"/>
        <w:rPr>
          <w:rFonts w:hint="default" w:ascii="仿宋" w:hAnsi="仿宋" w:eastAsia="宋体"/>
          <w:sz w:val="24"/>
          <w:lang w:val="en-US" w:eastAsia="zh-CN"/>
        </w:rPr>
      </w:pPr>
      <w:r>
        <w:rPr>
          <w:rFonts w:hint="eastAsia"/>
          <w:sz w:val="24"/>
        </w:rPr>
        <w:t>八、政府性基金预算支出决算情况说明</w:t>
      </w:r>
      <w:r>
        <w:rPr>
          <w:rFonts w:hint="eastAsia"/>
          <w:sz w:val="24"/>
          <w:lang w:val="en-US" w:eastAsia="zh-CN"/>
        </w:rPr>
        <w:t>.......................................................12</w:t>
      </w:r>
    </w:p>
    <w:p w14:paraId="6152B9EC">
      <w:pPr>
        <w:pStyle w:val="15"/>
        <w:adjustRightInd w:val="0"/>
        <w:snapToGrid w:val="0"/>
        <w:spacing w:line="440" w:lineRule="exact"/>
        <w:ind w:leftChars="0"/>
        <w:jc w:val="left"/>
        <w:rPr>
          <w:rFonts w:hint="default" w:ascii="宋体" w:hAnsi="宋体" w:eastAsia="宋体" w:cs="宋体"/>
          <w:sz w:val="24"/>
          <w:lang w:val="en-US" w:eastAsia="zh-CN"/>
        </w:rPr>
      </w:pPr>
      <w:r>
        <w:rPr>
          <w:rFonts w:hint="eastAsia" w:ascii="宋体" w:hAnsi="宋体" w:cs="宋体"/>
          <w:sz w:val="24"/>
        </w:rPr>
        <w:t>九、国有资本经营预算支出决算情况说明</w:t>
      </w:r>
      <w:r>
        <w:rPr>
          <w:rFonts w:hint="eastAsia" w:ascii="宋体" w:hAnsi="宋体" w:cs="宋体"/>
          <w:sz w:val="24"/>
          <w:lang w:val="en-US" w:eastAsia="zh-CN"/>
        </w:rPr>
        <w:t>..........................12</w:t>
      </w:r>
    </w:p>
    <w:p w14:paraId="3E890273">
      <w:pPr>
        <w:adjustRightInd w:val="0"/>
        <w:snapToGrid w:val="0"/>
        <w:spacing w:line="440" w:lineRule="exact"/>
        <w:ind w:firstLine="420" w:firstLineChars="175"/>
        <w:jc w:val="left"/>
        <w:rPr>
          <w:rFonts w:hint="default" w:ascii="宋体" w:hAnsi="宋体" w:eastAsia="宋体" w:cs="宋体"/>
          <w:sz w:val="24"/>
          <w:lang w:val="en-US" w:eastAsia="zh-CN"/>
        </w:rPr>
      </w:pPr>
      <w:r>
        <w:rPr>
          <w:rStyle w:val="19"/>
          <w:rFonts w:hint="eastAsia" w:ascii="宋体" w:hAnsi="宋体" w:cs="宋体"/>
          <w:color w:val="auto"/>
          <w:sz w:val="24"/>
          <w:u w:val="none"/>
        </w:rPr>
        <w:t>十、</w:t>
      </w:r>
      <w:r>
        <w:rPr>
          <w:rFonts w:hint="eastAsia" w:ascii="宋体" w:hAnsi="宋体" w:cs="宋体"/>
          <w:sz w:val="24"/>
        </w:rPr>
        <w:t>其他重要事项的情况说明</w:t>
      </w:r>
      <w:r>
        <w:rPr>
          <w:rFonts w:hint="eastAsia" w:ascii="宋体" w:hAnsi="宋体" w:cs="宋体"/>
          <w:sz w:val="24"/>
        </w:rPr>
        <w:tab/>
      </w:r>
      <w:r>
        <w:rPr>
          <w:rFonts w:hint="eastAsia" w:ascii="宋体" w:hAnsi="宋体" w:cs="宋体"/>
          <w:sz w:val="24"/>
          <w:lang w:val="en-US" w:eastAsia="zh-CN"/>
        </w:rPr>
        <w:t>..................................12</w:t>
      </w:r>
    </w:p>
    <w:p w14:paraId="05CBBAEE">
      <w:pPr>
        <w:pStyle w:val="13"/>
        <w:adjustRightInd w:val="0"/>
        <w:snapToGrid w:val="0"/>
        <w:spacing w:before="0" w:line="440" w:lineRule="exact"/>
        <w:jc w:val="left"/>
        <w:rPr>
          <w:rFonts w:hint="default" w:eastAsia="仿宋"/>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................................................15</w:t>
      </w:r>
    </w:p>
    <w:p w14:paraId="59FA3B7B">
      <w:pPr>
        <w:pStyle w:val="13"/>
        <w:adjustRightInd w:val="0"/>
        <w:snapToGrid w:val="0"/>
        <w:spacing w:before="0" w:line="440" w:lineRule="exact"/>
        <w:jc w:val="left"/>
        <w:rPr>
          <w:rFonts w:hint="default" w:eastAsia="仿宋"/>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....................................................18</w:t>
      </w:r>
    </w:p>
    <w:p w14:paraId="431929C9">
      <w:pPr>
        <w:pStyle w:val="13"/>
        <w:adjustRightInd w:val="0"/>
        <w:snapToGrid w:val="0"/>
        <w:spacing w:before="0" w:line="440" w:lineRule="exact"/>
        <w:jc w:val="left"/>
        <w:rPr>
          <w:rFonts w:hint="default" w:eastAsia="仿宋"/>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....................................................19</w:t>
      </w:r>
    </w:p>
    <w:p w14:paraId="7765319F">
      <w:pPr>
        <w:pStyle w:val="15"/>
        <w:adjustRightInd w:val="0"/>
        <w:snapToGrid w:val="0"/>
        <w:spacing w:line="440" w:lineRule="exact"/>
        <w:jc w:val="left"/>
        <w:rPr>
          <w:rFonts w:hint="eastAsia"/>
          <w:sz w:val="24"/>
        </w:rPr>
      </w:pPr>
      <w:r>
        <w:rPr>
          <w:rFonts w:hint="eastAsia"/>
          <w:sz w:val="24"/>
        </w:rPr>
        <w:t>一、收入支出决算总表</w:t>
      </w:r>
    </w:p>
    <w:p w14:paraId="7C0280AD">
      <w:pPr>
        <w:pStyle w:val="15"/>
        <w:adjustRightInd w:val="0"/>
        <w:snapToGrid w:val="0"/>
        <w:spacing w:line="440" w:lineRule="exact"/>
        <w:jc w:val="left"/>
        <w:rPr>
          <w:rFonts w:hint="eastAsia"/>
          <w:sz w:val="24"/>
        </w:rPr>
      </w:pPr>
      <w:r>
        <w:rPr>
          <w:rFonts w:hint="eastAsia"/>
          <w:sz w:val="24"/>
        </w:rPr>
        <w:t>二、收入决算表</w:t>
      </w:r>
    </w:p>
    <w:p w14:paraId="474E6375">
      <w:pPr>
        <w:pStyle w:val="15"/>
        <w:adjustRightInd w:val="0"/>
        <w:snapToGrid w:val="0"/>
        <w:spacing w:line="440" w:lineRule="exact"/>
        <w:jc w:val="left"/>
        <w:rPr>
          <w:rFonts w:hint="eastAsia"/>
          <w:sz w:val="24"/>
        </w:rPr>
      </w:pPr>
      <w:r>
        <w:rPr>
          <w:rFonts w:hint="eastAsia"/>
          <w:sz w:val="24"/>
        </w:rPr>
        <w:t>三、支出决算表</w:t>
      </w:r>
    </w:p>
    <w:p w14:paraId="0F40D803">
      <w:pPr>
        <w:pStyle w:val="15"/>
        <w:adjustRightInd w:val="0"/>
        <w:snapToGrid w:val="0"/>
        <w:spacing w:line="440" w:lineRule="exact"/>
        <w:jc w:val="left"/>
        <w:rPr>
          <w:rFonts w:hint="eastAsia"/>
          <w:sz w:val="24"/>
        </w:rPr>
      </w:pPr>
      <w:r>
        <w:rPr>
          <w:rFonts w:hint="eastAsia"/>
          <w:sz w:val="24"/>
        </w:rPr>
        <w:t>四、财政拨款收入支出决算总表</w:t>
      </w:r>
    </w:p>
    <w:p w14:paraId="2E0F6D63">
      <w:pPr>
        <w:pStyle w:val="15"/>
        <w:adjustRightInd w:val="0"/>
        <w:snapToGrid w:val="0"/>
        <w:spacing w:line="440" w:lineRule="exact"/>
        <w:jc w:val="left"/>
        <w:rPr>
          <w:rFonts w:hint="eastAsia"/>
          <w:sz w:val="24"/>
        </w:rPr>
      </w:pPr>
      <w:r>
        <w:rPr>
          <w:rFonts w:hint="eastAsia"/>
          <w:sz w:val="24"/>
        </w:rPr>
        <w:t>五、财政拨款支出决算明细表</w:t>
      </w:r>
    </w:p>
    <w:p w14:paraId="7401EAFB">
      <w:pPr>
        <w:pStyle w:val="15"/>
        <w:adjustRightInd w:val="0"/>
        <w:snapToGrid w:val="0"/>
        <w:spacing w:line="440" w:lineRule="exact"/>
        <w:jc w:val="left"/>
        <w:rPr>
          <w:rFonts w:hint="eastAsia"/>
          <w:sz w:val="24"/>
        </w:rPr>
      </w:pPr>
      <w:r>
        <w:rPr>
          <w:rFonts w:hint="eastAsia"/>
          <w:sz w:val="24"/>
        </w:rPr>
        <w:t>六、一般公共预算财政拨款支出决算表</w:t>
      </w:r>
    </w:p>
    <w:p w14:paraId="255C981E">
      <w:pPr>
        <w:pStyle w:val="15"/>
        <w:adjustRightInd w:val="0"/>
        <w:snapToGrid w:val="0"/>
        <w:spacing w:line="440" w:lineRule="exact"/>
        <w:jc w:val="left"/>
        <w:rPr>
          <w:rFonts w:hint="eastAsia"/>
          <w:sz w:val="24"/>
        </w:rPr>
      </w:pPr>
      <w:r>
        <w:rPr>
          <w:rFonts w:hint="eastAsia"/>
          <w:sz w:val="24"/>
        </w:rPr>
        <w:t>七、一般公共预算财政拨款支出决算明细表</w:t>
      </w:r>
    </w:p>
    <w:p w14:paraId="225D6679">
      <w:pPr>
        <w:pStyle w:val="15"/>
        <w:adjustRightInd w:val="0"/>
        <w:snapToGrid w:val="0"/>
        <w:spacing w:line="440" w:lineRule="exact"/>
        <w:jc w:val="left"/>
        <w:rPr>
          <w:rFonts w:hint="eastAsia"/>
          <w:sz w:val="24"/>
        </w:rPr>
      </w:pPr>
      <w:r>
        <w:rPr>
          <w:rFonts w:hint="eastAsia"/>
          <w:sz w:val="24"/>
        </w:rPr>
        <w:t>八、一般公共预算财政拨款基本支出决算明细表</w:t>
      </w:r>
    </w:p>
    <w:p w14:paraId="7C713129">
      <w:pPr>
        <w:pStyle w:val="15"/>
        <w:adjustRightInd w:val="0"/>
        <w:snapToGrid w:val="0"/>
        <w:spacing w:line="440" w:lineRule="exact"/>
        <w:jc w:val="left"/>
        <w:rPr>
          <w:rFonts w:hint="eastAsia"/>
          <w:sz w:val="24"/>
        </w:rPr>
      </w:pPr>
      <w:r>
        <w:rPr>
          <w:rFonts w:hint="eastAsia"/>
          <w:sz w:val="24"/>
        </w:rPr>
        <w:t>九、一般公共预算财政拨款项目支出决算表</w:t>
      </w:r>
    </w:p>
    <w:p w14:paraId="70D74A11">
      <w:pPr>
        <w:pStyle w:val="15"/>
        <w:adjustRightInd w:val="0"/>
        <w:snapToGrid w:val="0"/>
        <w:spacing w:line="440" w:lineRule="exact"/>
        <w:jc w:val="left"/>
        <w:rPr>
          <w:rFonts w:hint="eastAsia"/>
          <w:sz w:val="24"/>
        </w:rPr>
      </w:pPr>
      <w:r>
        <w:rPr>
          <w:rFonts w:hint="eastAsia"/>
          <w:sz w:val="24"/>
        </w:rPr>
        <w:t>十、政府性基金预算财政拨款收入支出决算表</w:t>
      </w:r>
    </w:p>
    <w:p w14:paraId="7BB4F358">
      <w:pPr>
        <w:pStyle w:val="15"/>
        <w:adjustRightInd w:val="0"/>
        <w:snapToGrid w:val="0"/>
        <w:spacing w:line="440" w:lineRule="exact"/>
        <w:jc w:val="left"/>
        <w:rPr>
          <w:rFonts w:hint="eastAsia"/>
          <w:sz w:val="24"/>
        </w:rPr>
      </w:pPr>
      <w:r>
        <w:rPr>
          <w:rFonts w:hint="eastAsia"/>
          <w:sz w:val="24"/>
        </w:rPr>
        <w:t>十一、国有资本经营预算财政拨款收入支出决算表</w:t>
      </w:r>
    </w:p>
    <w:p w14:paraId="10B4B31D">
      <w:pPr>
        <w:pStyle w:val="15"/>
        <w:adjustRightInd w:val="0"/>
        <w:snapToGrid w:val="0"/>
        <w:spacing w:line="440" w:lineRule="exact"/>
        <w:jc w:val="left"/>
        <w:rPr>
          <w:rFonts w:hint="eastAsia"/>
          <w:sz w:val="24"/>
        </w:rPr>
      </w:pPr>
      <w:r>
        <w:rPr>
          <w:rFonts w:hint="eastAsia"/>
          <w:sz w:val="24"/>
        </w:rPr>
        <w:t>十二、国有资本经营预算财政拨款支出决算表</w:t>
      </w:r>
    </w:p>
    <w:p w14:paraId="43D76540">
      <w:pPr>
        <w:pStyle w:val="15"/>
        <w:adjustRightInd w:val="0"/>
        <w:snapToGrid w:val="0"/>
        <w:spacing w:line="440" w:lineRule="exact"/>
        <w:jc w:val="left"/>
        <w:rPr>
          <w:rFonts w:hint="eastAsia" w:ascii="宋体" w:hAnsi="宋体" w:cs="宋体"/>
          <w:sz w:val="24"/>
        </w:rPr>
      </w:pPr>
      <w:r>
        <w:rPr>
          <w:rFonts w:hint="eastAsia"/>
          <w:sz w:val="24"/>
        </w:rPr>
        <w:t>十三、财政拨款“三公”经费支出决算表</w:t>
      </w:r>
    </w:p>
    <w:p w14:paraId="7F105F3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66FF7182">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14:paraId="5BF34897">
      <w:pPr>
        <w:widowControl/>
        <w:jc w:val="left"/>
        <w:rPr>
          <w:rFonts w:ascii="Times New Roman" w:hAnsi="Times New Roman" w:eastAsia="黑体"/>
          <w:color w:val="auto"/>
          <w:sz w:val="32"/>
          <w:szCs w:val="32"/>
          <w:highlight w:val="none"/>
        </w:rPr>
      </w:pPr>
    </w:p>
    <w:p w14:paraId="4B2B0C61">
      <w:pPr>
        <w:pStyle w:val="5"/>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单位职责</w:t>
      </w:r>
    </w:p>
    <w:p w14:paraId="5EA9C0F5">
      <w:pPr>
        <w:ind w:firstLine="640" w:firstLineChars="200"/>
        <w:rPr>
          <w:rFonts w:hint="eastAsia" w:ascii="Times New Roman" w:hAnsi="Times New Roman" w:eastAsia="黑体"/>
          <w:b w:val="0"/>
          <w:color w:val="auto"/>
          <w:highlight w:val="none"/>
        </w:rPr>
      </w:pPr>
      <w:bookmarkStart w:id="10" w:name="_Hlk176619974"/>
      <w:bookmarkStart w:id="11" w:name="_Toc15377200"/>
      <w:bookmarkStart w:id="12" w:name="_Toc15396601"/>
      <w:r>
        <w:rPr>
          <w:rFonts w:hint="eastAsia" w:ascii="仿宋" w:hAnsi="仿宋" w:eastAsia="仿宋"/>
          <w:sz w:val="32"/>
          <w:szCs w:val="32"/>
        </w:rPr>
        <w:t>（1）听取残疾人意见，反映残疾人要求，维护残疾人的合法权益，为残疾人服务;（</w:t>
      </w:r>
      <w:r>
        <w:rPr>
          <w:rFonts w:ascii="仿宋" w:hAnsi="仿宋" w:eastAsia="仿宋"/>
          <w:sz w:val="32"/>
          <w:szCs w:val="32"/>
        </w:rPr>
        <w:t>2</w:t>
      </w:r>
      <w:r>
        <w:rPr>
          <w:rFonts w:hint="eastAsia" w:ascii="仿宋" w:hAnsi="仿宋" w:eastAsia="仿宋"/>
          <w:sz w:val="32"/>
          <w:szCs w:val="32"/>
        </w:rPr>
        <w:t>）教育残疾人遵纪守法，履行应尽的义务，发扬乐观进取的精神，自尊、自信、自强、自立，为社会主义贡献力量;(</w:t>
      </w:r>
      <w:r>
        <w:rPr>
          <w:rFonts w:ascii="仿宋" w:hAnsi="仿宋" w:eastAsia="仿宋"/>
          <w:sz w:val="32"/>
          <w:szCs w:val="32"/>
        </w:rPr>
        <w:t>3</w:t>
      </w:r>
      <w:r>
        <w:rPr>
          <w:rFonts w:hint="eastAsia" w:ascii="仿宋" w:hAnsi="仿宋" w:eastAsia="仿宋"/>
          <w:sz w:val="32"/>
          <w:szCs w:val="32"/>
        </w:rPr>
        <w:t>)弘扬人道主义，宣传残疾人事业，沟通政府、社会与残疾人之间的联系，动员全社会理解、尊重、关心、帮助残疾人;(</w:t>
      </w:r>
      <w:r>
        <w:rPr>
          <w:rFonts w:ascii="仿宋" w:hAnsi="仿宋" w:eastAsia="仿宋"/>
          <w:sz w:val="32"/>
          <w:szCs w:val="32"/>
        </w:rPr>
        <w:t>4</w:t>
      </w:r>
      <w:r>
        <w:rPr>
          <w:rFonts w:hint="eastAsia" w:ascii="仿宋" w:hAnsi="仿宋" w:eastAsia="仿宋"/>
          <w:sz w:val="32"/>
          <w:szCs w:val="32"/>
        </w:rPr>
        <w:t>)开展残疾人康复、扶贫、劳动就业、职业培训、文化体育、福利、服务、无障碍设施和残疾预防工作，创造良好的社会环境和条件，扶助残疾人平等参与社会生活;(</w:t>
      </w:r>
      <w:r>
        <w:rPr>
          <w:rFonts w:ascii="仿宋" w:hAnsi="仿宋" w:eastAsia="仿宋"/>
          <w:sz w:val="32"/>
          <w:szCs w:val="32"/>
        </w:rPr>
        <w:t>5</w:t>
      </w:r>
      <w:r>
        <w:rPr>
          <w:rFonts w:hint="eastAsia" w:ascii="仿宋" w:hAnsi="仿宋" w:eastAsia="仿宋"/>
          <w:sz w:val="32"/>
          <w:szCs w:val="32"/>
        </w:rPr>
        <w:t>)协助政府研究、制定和实施残疾人政策、规划和计划；调查、掌握残疾人状况，向政府提出决策建议，并组织实施;(</w:t>
      </w:r>
      <w:r>
        <w:rPr>
          <w:rFonts w:ascii="仿宋" w:hAnsi="仿宋" w:eastAsia="仿宋"/>
          <w:sz w:val="32"/>
          <w:szCs w:val="32"/>
        </w:rPr>
        <w:t>6</w:t>
      </w:r>
      <w:r>
        <w:rPr>
          <w:rFonts w:hint="eastAsia" w:ascii="仿宋" w:hAnsi="仿宋" w:eastAsia="仿宋"/>
          <w:sz w:val="32"/>
          <w:szCs w:val="32"/>
        </w:rPr>
        <w:t>)负责培训街办（镇）及企、事业单位残联组织负责人;(</w:t>
      </w:r>
      <w:r>
        <w:rPr>
          <w:rFonts w:ascii="仿宋" w:hAnsi="仿宋" w:eastAsia="仿宋"/>
          <w:sz w:val="32"/>
          <w:szCs w:val="32"/>
        </w:rPr>
        <w:t>7</w:t>
      </w:r>
      <w:r>
        <w:rPr>
          <w:rFonts w:hint="eastAsia" w:ascii="仿宋" w:hAnsi="仿宋" w:eastAsia="仿宋"/>
          <w:sz w:val="32"/>
          <w:szCs w:val="32"/>
        </w:rPr>
        <w:t>)承担区政府残疾人工作协调委员会的日常工作，履行综合、组织、协调和服务的职责;(</w:t>
      </w:r>
      <w:r>
        <w:rPr>
          <w:rFonts w:ascii="仿宋" w:hAnsi="仿宋" w:eastAsia="仿宋"/>
          <w:sz w:val="32"/>
          <w:szCs w:val="32"/>
        </w:rPr>
        <w:t>8</w:t>
      </w:r>
      <w:r>
        <w:rPr>
          <w:rFonts w:hint="eastAsia" w:ascii="仿宋" w:hAnsi="仿宋" w:eastAsia="仿宋"/>
          <w:sz w:val="32"/>
          <w:szCs w:val="32"/>
        </w:rPr>
        <w:t>)全面组织实施按比例安置残疾人就业，负责收取、管理和使用残疾人就业保障金工作，会同有关部门制定并监督实施残疾人社会福利生产的扶持保护政策;(</w:t>
      </w:r>
      <w:r>
        <w:rPr>
          <w:rFonts w:ascii="仿宋" w:hAnsi="仿宋" w:eastAsia="仿宋"/>
          <w:sz w:val="32"/>
          <w:szCs w:val="32"/>
        </w:rPr>
        <w:t>9</w:t>
      </w:r>
      <w:r>
        <w:rPr>
          <w:rFonts w:hint="eastAsia" w:ascii="仿宋" w:hAnsi="仿宋" w:eastAsia="仿宋"/>
          <w:sz w:val="32"/>
          <w:szCs w:val="32"/>
        </w:rPr>
        <w:t>)统筹开展为残疾人事业的捐赠活动;(</w:t>
      </w:r>
      <w:r>
        <w:rPr>
          <w:rFonts w:ascii="仿宋" w:hAnsi="仿宋" w:eastAsia="仿宋"/>
          <w:sz w:val="32"/>
          <w:szCs w:val="32"/>
        </w:rPr>
        <w:t>10</w:t>
      </w:r>
      <w:r>
        <w:rPr>
          <w:rFonts w:hint="eastAsia" w:ascii="仿宋" w:hAnsi="仿宋" w:eastAsia="仿宋"/>
          <w:sz w:val="32"/>
          <w:szCs w:val="32"/>
        </w:rPr>
        <w:t>)开展残疾人对外交流与合作事业;(</w:t>
      </w:r>
      <w:r>
        <w:rPr>
          <w:rFonts w:ascii="仿宋" w:hAnsi="仿宋" w:eastAsia="仿宋"/>
          <w:sz w:val="32"/>
          <w:szCs w:val="32"/>
        </w:rPr>
        <w:t>11</w:t>
      </w:r>
      <w:r>
        <w:rPr>
          <w:rFonts w:hint="eastAsia" w:ascii="仿宋" w:hAnsi="仿宋" w:eastAsia="仿宋"/>
          <w:sz w:val="32"/>
          <w:szCs w:val="32"/>
        </w:rPr>
        <w:t>)指导和管理各类残疾人社团组织;(</w:t>
      </w:r>
      <w:r>
        <w:rPr>
          <w:rFonts w:ascii="仿宋" w:hAnsi="仿宋" w:eastAsia="仿宋"/>
          <w:sz w:val="32"/>
          <w:szCs w:val="32"/>
        </w:rPr>
        <w:t>12</w:t>
      </w:r>
      <w:r>
        <w:rPr>
          <w:rFonts w:hint="eastAsia" w:ascii="仿宋" w:hAnsi="仿宋" w:eastAsia="仿宋"/>
          <w:sz w:val="32"/>
          <w:szCs w:val="32"/>
        </w:rPr>
        <w:t>)核发辖区残疾人的《残疾人证》。</w:t>
      </w:r>
      <w:bookmarkEnd w:id="10"/>
    </w:p>
    <w:p w14:paraId="19E8A091">
      <w:pPr>
        <w:pStyle w:val="5"/>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1"/>
      <w:bookmarkEnd w:id="12"/>
    </w:p>
    <w:p w14:paraId="183B1215">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攀枝花市西区残疾人联合会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16467CA9">
      <w:pPr>
        <w:pStyle w:val="2"/>
        <w:adjustRightInd w:val="0"/>
        <w:snapToGrid w:val="0"/>
        <w:spacing w:before="93" w:line="600" w:lineRule="exact"/>
        <w:ind w:firstLine="672" w:firstLineChars="210"/>
        <w:rPr>
          <w:rFonts w:hint="eastAsia" w:ascii="Times New Roman" w:hAnsi="Times New Roman" w:eastAsia="仿宋" w:cs="仿宋_GB2312"/>
          <w:color w:val="auto"/>
          <w:sz w:val="32"/>
          <w:szCs w:val="32"/>
          <w:highlight w:val="none"/>
          <w:lang w:val="en-US" w:eastAsia="zh-CN"/>
        </w:rPr>
      </w:pPr>
      <w:r>
        <w:rPr>
          <w:rFonts w:hint="eastAsia" w:ascii="仿宋" w:hAnsi="仿宋" w:eastAsia="仿宋"/>
          <w:sz w:val="32"/>
          <w:szCs w:val="32"/>
        </w:rPr>
        <w:t>纳入西区残疾人联合会2023年度部门决算编制范围的二级预算单位无</w:t>
      </w:r>
      <w:r>
        <w:rPr>
          <w:rFonts w:hint="eastAsia" w:ascii="仿宋" w:hAnsi="仿宋" w:eastAsia="仿宋"/>
          <w:sz w:val="32"/>
          <w:szCs w:val="32"/>
          <w:lang w:eastAsia="zh-CN"/>
        </w:rPr>
        <w:t>。</w:t>
      </w:r>
    </w:p>
    <w:p w14:paraId="64387A34">
      <w:pPr>
        <w:pStyle w:val="2"/>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5D099168">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06F6DD6">
      <w:pPr>
        <w:pStyle w:val="4"/>
        <w:jc w:val="center"/>
        <w:rPr>
          <w:rFonts w:hint="eastAsia" w:ascii="Times New Roman" w:hAnsi="Times New Roman" w:eastAsia="方正小标宋简体" w:cs="方正小标宋简体"/>
          <w:b w:val="0"/>
          <w:color w:val="auto"/>
          <w:highlight w:val="none"/>
        </w:rPr>
      </w:pPr>
      <w:bookmarkStart w:id="13" w:name="_Toc15396602"/>
      <w:bookmarkStart w:id="14"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3"/>
      <w:bookmarkEnd w:id="14"/>
    </w:p>
    <w:p w14:paraId="51BE5862">
      <w:pPr>
        <w:rPr>
          <w:rFonts w:ascii="Times New Roman" w:hAnsi="Times New Roman"/>
          <w:color w:val="auto"/>
          <w:highlight w:val="none"/>
        </w:rPr>
      </w:pPr>
    </w:p>
    <w:p w14:paraId="31D9D9F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5" w:name="_Toc15396603"/>
      <w:bookmarkStart w:id="16"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5"/>
      <w:bookmarkEnd w:id="16"/>
    </w:p>
    <w:p w14:paraId="6E8EC91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365.69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8.15</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2.23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5E4A30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349A15B">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67225" cy="27336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467225" cy="2733675"/>
                    </a:xfrm>
                    <a:prstGeom prst="rect">
                      <a:avLst/>
                    </a:prstGeom>
                    <a:noFill/>
                    <a:ln>
                      <a:noFill/>
                    </a:ln>
                  </pic:spPr>
                </pic:pic>
              </a:graphicData>
            </a:graphic>
          </wp:inline>
        </w:drawing>
      </w:r>
    </w:p>
    <w:p w14:paraId="2A34E2A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7" w:name="_Toc15396604"/>
      <w:bookmarkStart w:id="18" w:name="_Toc15377206"/>
      <w:r>
        <w:rPr>
          <w:rFonts w:hint="eastAsia" w:ascii="Times New Roman" w:hAnsi="Times New Roman" w:eastAsia="黑体"/>
          <w:color w:val="auto"/>
          <w:sz w:val="32"/>
          <w:szCs w:val="32"/>
          <w:highlight w:val="none"/>
          <w:lang w:eastAsia="zh-CN"/>
        </w:rPr>
        <w:t>二、收入决算情况说明</w:t>
      </w:r>
      <w:bookmarkEnd w:id="17"/>
      <w:bookmarkEnd w:id="18"/>
    </w:p>
    <w:p w14:paraId="29D43D0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353.7万元，其中：一般公共预算财政拨款收入333.99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94.42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19.71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5.57%</w:t>
      </w:r>
      <w:r>
        <w:rPr>
          <w:rFonts w:hint="eastAsia" w:ascii="仿宋_GB2312" w:hAnsi="仿宋_GB2312" w:eastAsia="仿宋_GB2312" w:cs="仿宋_GB2312"/>
          <w:color w:val="auto"/>
          <w:sz w:val="32"/>
          <w:szCs w:val="32"/>
          <w:highlight w:val="none"/>
          <w:lang w:eastAsia="zh-CN"/>
        </w:rPr>
        <w:t>。</w:t>
      </w:r>
    </w:p>
    <w:p w14:paraId="594455B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61FE406">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305300" cy="261937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305300" cy="2619375"/>
                    </a:xfrm>
                    <a:prstGeom prst="rect">
                      <a:avLst/>
                    </a:prstGeom>
                    <a:noFill/>
                    <a:ln>
                      <a:noFill/>
                    </a:ln>
                  </pic:spPr>
                </pic:pic>
              </a:graphicData>
            </a:graphic>
          </wp:inline>
        </w:drawing>
      </w:r>
    </w:p>
    <w:p w14:paraId="6BFFFE5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9" w:name="_Toc15396605"/>
      <w:bookmarkStart w:id="20"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9"/>
      <w:bookmarkEnd w:id="20"/>
    </w:p>
    <w:p w14:paraId="06104A6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365.69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93.18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25.47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272.51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74.52</w:t>
      </w:r>
      <w:r>
        <w:rPr>
          <w:rFonts w:hint="eastAsia" w:ascii="仿宋_GB2312" w:hAnsi="仿宋_GB2312" w:eastAsia="仿宋_GB2312" w:cs="仿宋_GB2312"/>
          <w:color w:val="auto"/>
          <w:sz w:val="32"/>
          <w:szCs w:val="32"/>
          <w:highlight w:val="none"/>
          <w:lang w:eastAsia="zh-CN"/>
        </w:rPr>
        <w:t>%。</w:t>
      </w:r>
    </w:p>
    <w:p w14:paraId="63E6216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CCB2B29">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419475" cy="272415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419475" cy="2724150"/>
                    </a:xfrm>
                    <a:prstGeom prst="rect">
                      <a:avLst/>
                    </a:prstGeom>
                    <a:noFill/>
                    <a:ln>
                      <a:noFill/>
                    </a:ln>
                  </pic:spPr>
                </pic:pic>
              </a:graphicData>
            </a:graphic>
          </wp:inline>
        </w:drawing>
      </w:r>
    </w:p>
    <w:p w14:paraId="3E1D13B3">
      <w:pPr>
        <w:spacing w:line="600" w:lineRule="exact"/>
        <w:ind w:firstLine="640" w:firstLineChars="200"/>
        <w:outlineLvl w:val="1"/>
        <w:rPr>
          <w:rStyle w:val="29"/>
          <w:rFonts w:ascii="Times New Roman" w:hAnsi="Times New Roman" w:eastAsia="黑体"/>
          <w:b w:val="0"/>
          <w:color w:val="auto"/>
          <w:highlight w:val="none"/>
        </w:rPr>
      </w:pPr>
      <w:bookmarkStart w:id="21" w:name="_Toc15396606"/>
      <w:bookmarkStart w:id="22"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1"/>
      <w:bookmarkEnd w:id="22"/>
    </w:p>
    <w:p w14:paraId="04CD84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365.69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8.15</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2.23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2616C1E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ABDD4DF">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95800" cy="27622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495800" cy="2762250"/>
                    </a:xfrm>
                    <a:prstGeom prst="rect">
                      <a:avLst/>
                    </a:prstGeom>
                    <a:noFill/>
                    <a:ln>
                      <a:noFill/>
                    </a:ln>
                  </pic:spPr>
                </pic:pic>
              </a:graphicData>
            </a:graphic>
          </wp:inline>
        </w:drawing>
      </w:r>
    </w:p>
    <w:p w14:paraId="4863C2E4">
      <w:pPr>
        <w:spacing w:line="600" w:lineRule="exact"/>
        <w:ind w:firstLine="640" w:firstLineChars="200"/>
        <w:outlineLvl w:val="1"/>
        <w:rPr>
          <w:rStyle w:val="29"/>
          <w:rFonts w:ascii="Times New Roman" w:hAnsi="Times New Roman" w:eastAsia="黑体"/>
          <w:b w:val="0"/>
          <w:color w:val="auto"/>
          <w:highlight w:val="none"/>
        </w:rPr>
      </w:pPr>
      <w:bookmarkStart w:id="23" w:name="_Toc15377209"/>
      <w:bookmarkStart w:id="24"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3"/>
      <w:bookmarkEnd w:id="24"/>
    </w:p>
    <w:p w14:paraId="52A8BC8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5"/>
    </w:p>
    <w:p w14:paraId="56BD3C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345.98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94.6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%。与2023年度相比，一般公共预算财政拨款支出增加10.24万元，增长2.96%。主要变动原因是项目经费增加。</w:t>
      </w:r>
    </w:p>
    <w:p w14:paraId="4EB9E2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F8145DA">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3839210" cy="2445385"/>
            <wp:effectExtent l="0" t="0" r="8890" b="1206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3839210" cy="2445385"/>
                    </a:xfrm>
                    <a:prstGeom prst="rect">
                      <a:avLst/>
                    </a:prstGeom>
                    <a:noFill/>
                    <a:ln>
                      <a:noFill/>
                    </a:ln>
                  </pic:spPr>
                </pic:pic>
              </a:graphicData>
            </a:graphic>
          </wp:inline>
        </w:drawing>
      </w:r>
    </w:p>
    <w:p w14:paraId="7CDEC5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6"/>
    </w:p>
    <w:p w14:paraId="146A2E0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345.98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333.34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96.35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7.26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45610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B3067CE">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91050" cy="261937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4591050" cy="2619375"/>
                    </a:xfrm>
                    <a:prstGeom prst="rect">
                      <a:avLst/>
                    </a:prstGeom>
                    <a:noFill/>
                    <a:ln>
                      <a:noFill/>
                    </a:ln>
                  </pic:spPr>
                </pic:pic>
              </a:graphicData>
            </a:graphic>
          </wp:inline>
        </w:drawing>
      </w:r>
    </w:p>
    <w:p w14:paraId="1C464C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7"/>
    </w:p>
    <w:p w14:paraId="46B42C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8" w:name="_Toc15377213"/>
      <w:bookmarkStart w:id="29" w:name="_Toc15377444"/>
      <w:bookmarkStart w:id="30"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345.98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8"/>
      <w:bookmarkEnd w:id="29"/>
      <w:bookmarkEnd w:id="30"/>
    </w:p>
    <w:p w14:paraId="3C411C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A51E1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2.社会保障和就业支出（类）行政事业单位养老支出（款）机关事业单位基本养老保险缴费支出（项）: 支出决算为</w:t>
      </w:r>
      <w:r>
        <w:rPr>
          <w:rFonts w:hint="eastAsia" w:eastAsia="仿宋_GB2312" w:cs="仿宋_GB2312"/>
          <w:color w:val="auto"/>
          <w:kern w:val="2"/>
          <w:sz w:val="32"/>
          <w:szCs w:val="32"/>
          <w:highlight w:val="none"/>
          <w:lang w:val="en-US" w:eastAsia="zh-CN" w:bidi="ar-SA"/>
        </w:rPr>
        <w:t>6.67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128BB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7.03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306AD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4.社会保障和就业支出（类）残疾人事业（款）行政运行（项）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58.66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E7AA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5.社会保障和就业支出（类）残疾人事业（款）残疾人康复（项）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79.96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EA47E7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社会保障和就业支出（类）残疾人事业（款）残疾人就业（项）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23.22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E6C72F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社会保障和就业支出（类）残疾人事业（款）其他残疾人事业支出（项）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151.34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D2D055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FFC502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6D6D32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64DF83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65C925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5.38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F332F24">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E292CA0">
      <w:pPr>
        <w:tabs>
          <w:tab w:val="right" w:pos="8306"/>
        </w:tabs>
        <w:spacing w:line="600" w:lineRule="exact"/>
        <w:ind w:firstLine="640"/>
        <w:outlineLvl w:val="1"/>
        <w:rPr>
          <w:rStyle w:val="29"/>
          <w:rFonts w:ascii="Times New Roman" w:hAnsi="Times New Roman"/>
          <w:color w:val="auto"/>
          <w:highlight w:val="none"/>
        </w:rPr>
      </w:pPr>
      <w:bookmarkStart w:id="31" w:name="_Toc15396608"/>
      <w:bookmarkStart w:id="32"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1"/>
      <w:bookmarkEnd w:id="32"/>
      <w:r>
        <w:rPr>
          <w:rStyle w:val="29"/>
          <w:rFonts w:ascii="Times New Roman" w:hAnsi="Times New Roman" w:eastAsia="黑体"/>
          <w:b w:val="0"/>
          <w:color w:val="auto"/>
          <w:highlight w:val="none"/>
        </w:rPr>
        <w:tab/>
      </w:r>
    </w:p>
    <w:p w14:paraId="3469CA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93.18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908C2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86.3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职工基本医疗保险缴费、公务员医疗补助缴费、生活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元，主要包括：办公费、差旅费、公务接待费、劳务费、工会经费、福利费、其他交通费、其他商品和服务支出。</w:t>
      </w:r>
    </w:p>
    <w:p w14:paraId="167EC1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EF7E1EE">
      <w:pPr>
        <w:spacing w:line="600" w:lineRule="exact"/>
        <w:ind w:firstLine="640"/>
        <w:outlineLvl w:val="1"/>
        <w:rPr>
          <w:rStyle w:val="29"/>
          <w:rFonts w:ascii="Times New Roman" w:hAnsi="Times New Roman" w:eastAsia="黑体"/>
          <w:b w:val="0"/>
          <w:color w:val="auto"/>
          <w:highlight w:val="none"/>
        </w:rPr>
      </w:pPr>
      <w:bookmarkStart w:id="33" w:name="_Toc15396609"/>
      <w:bookmarkStart w:id="34"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3"/>
      <w:bookmarkEnd w:id="34"/>
    </w:p>
    <w:p w14:paraId="449706A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5"/>
    </w:p>
    <w:p w14:paraId="7C3A658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w:t>
      </w:r>
    </w:p>
    <w:p w14:paraId="3AB1C4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6"/>
    </w:p>
    <w:p w14:paraId="3CE22A0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0.1</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68C39B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1DFFC1F">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457700" cy="2724150"/>
            <wp:effectExtent l="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a:stretch>
                      <a:fillRect/>
                    </a:stretch>
                  </pic:blipFill>
                  <pic:spPr>
                    <a:xfrm>
                      <a:off x="0" y="0"/>
                      <a:ext cx="4457700" cy="2724150"/>
                    </a:xfrm>
                    <a:prstGeom prst="rect">
                      <a:avLst/>
                    </a:prstGeom>
                    <a:noFill/>
                    <a:ln>
                      <a:noFill/>
                    </a:ln>
                  </pic:spPr>
                </pic:pic>
              </a:graphicData>
            </a:graphic>
          </wp:inline>
        </w:drawing>
      </w:r>
    </w:p>
    <w:p w14:paraId="73B8CD9D">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 w:hAnsi="仿宋" w:eastAsia="仿宋"/>
          <w:sz w:val="32"/>
          <w:szCs w:val="32"/>
        </w:rPr>
        <w:t>全年安排因公出国（境）团组0次，出国（境）0人。因公出国（境）支出决算与202</w:t>
      </w:r>
      <w:r>
        <w:rPr>
          <w:rFonts w:hint="eastAsia" w:ascii="仿宋" w:hAnsi="仿宋" w:eastAsia="仿宋"/>
          <w:sz w:val="32"/>
          <w:szCs w:val="32"/>
          <w:lang w:val="en-US" w:eastAsia="zh-CN"/>
        </w:rPr>
        <w:t>3</w:t>
      </w:r>
      <w:r>
        <w:rPr>
          <w:rFonts w:hint="eastAsia" w:ascii="仿宋" w:hAnsi="仿宋" w:eastAsia="仿宋"/>
          <w:sz w:val="32"/>
          <w:szCs w:val="32"/>
        </w:rPr>
        <w:t>年比无增减变化。主要原因是202</w:t>
      </w:r>
      <w:r>
        <w:rPr>
          <w:rFonts w:hint="eastAsia" w:ascii="仿宋" w:hAnsi="仿宋" w:eastAsia="仿宋"/>
          <w:sz w:val="32"/>
          <w:szCs w:val="32"/>
          <w:lang w:val="en-US" w:eastAsia="zh-CN"/>
        </w:rPr>
        <w:t>4</w:t>
      </w:r>
      <w:r>
        <w:rPr>
          <w:rFonts w:hint="eastAsia" w:ascii="仿宋" w:hAnsi="仿宋" w:eastAsia="仿宋"/>
          <w:sz w:val="32"/>
          <w:szCs w:val="32"/>
        </w:rPr>
        <w:t>年无因公出国（境）经费支出</w:t>
      </w:r>
      <w:r>
        <w:rPr>
          <w:rFonts w:hint="eastAsia" w:ascii="仿宋" w:hAnsi="仿宋" w:eastAsia="仿宋"/>
          <w:sz w:val="32"/>
          <w:szCs w:val="32"/>
          <w:lang w:eastAsia="zh-CN"/>
        </w:rPr>
        <w:t>。</w:t>
      </w:r>
    </w:p>
    <w:p w14:paraId="555A5D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3216168E">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 w:hAnsi="仿宋" w:eastAsia="仿宋"/>
          <w:sz w:val="32"/>
          <w:szCs w:val="32"/>
        </w:rPr>
        <w:t>公务用车购置及运行维护费支出决算与202</w:t>
      </w:r>
      <w:r>
        <w:rPr>
          <w:rFonts w:hint="eastAsia" w:ascii="仿宋" w:hAnsi="仿宋" w:eastAsia="仿宋"/>
          <w:sz w:val="32"/>
          <w:szCs w:val="32"/>
          <w:lang w:val="en-US" w:eastAsia="zh-CN"/>
        </w:rPr>
        <w:t>3</w:t>
      </w:r>
      <w:r>
        <w:rPr>
          <w:rFonts w:hint="eastAsia" w:ascii="仿宋" w:hAnsi="仿宋" w:eastAsia="仿宋"/>
          <w:sz w:val="32"/>
          <w:szCs w:val="32"/>
        </w:rPr>
        <w:t>年度比无增减变化。主要原因是无公务用车</w:t>
      </w:r>
      <w:r>
        <w:rPr>
          <w:rFonts w:hint="eastAsia" w:ascii="仿宋" w:hAnsi="仿宋" w:eastAsia="仿宋"/>
          <w:sz w:val="32"/>
          <w:szCs w:val="32"/>
          <w:lang w:eastAsia="zh-CN"/>
        </w:rPr>
        <w:t>。</w:t>
      </w:r>
    </w:p>
    <w:p w14:paraId="2C5442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A7043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484EA4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 w:hAnsi="仿宋" w:eastAsia="仿宋"/>
          <w:sz w:val="32"/>
          <w:szCs w:val="32"/>
        </w:rPr>
        <w:t>公务接待费支出决算与202</w:t>
      </w:r>
      <w:r>
        <w:rPr>
          <w:rFonts w:hint="eastAsia" w:ascii="仿宋" w:hAnsi="仿宋" w:eastAsia="仿宋"/>
          <w:sz w:val="32"/>
          <w:szCs w:val="32"/>
          <w:lang w:val="en-US" w:eastAsia="zh-CN"/>
        </w:rPr>
        <w:t>3</w:t>
      </w:r>
      <w:r>
        <w:rPr>
          <w:rFonts w:hint="eastAsia" w:ascii="仿宋" w:hAnsi="仿宋" w:eastAsia="仿宋"/>
          <w:sz w:val="32"/>
          <w:szCs w:val="32"/>
        </w:rPr>
        <w:t>年度比无增减变化。</w:t>
      </w:r>
      <w:r>
        <w:rPr>
          <w:rFonts w:hint="eastAsia" w:ascii="Times New Roman" w:hAnsi="Times New Roman" w:eastAsia="仿宋_GB2312" w:cs="仿宋_GB2312"/>
          <w:color w:val="auto"/>
          <w:kern w:val="2"/>
          <w:sz w:val="32"/>
          <w:szCs w:val="32"/>
          <w:highlight w:val="none"/>
          <w:lang w:val="en-US" w:eastAsia="zh-CN" w:bidi="ar-SA"/>
        </w:rPr>
        <w:t>其中：</w:t>
      </w:r>
    </w:p>
    <w:p w14:paraId="517AD1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11</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万元，具体内容包括：市残联调研西区残疾人康复工作</w:t>
      </w:r>
      <w:r>
        <w:rPr>
          <w:rFonts w:hint="eastAsia" w:eastAsia="仿宋_GB2312" w:cs="仿宋_GB2312"/>
          <w:color w:val="auto"/>
          <w:kern w:val="2"/>
          <w:sz w:val="32"/>
          <w:szCs w:val="32"/>
          <w:highlight w:val="none"/>
          <w:lang w:val="en-US" w:eastAsia="zh-CN" w:bidi="ar-SA"/>
        </w:rPr>
        <w:t>0.02万元、省残联赴西区调研0.08万元</w:t>
      </w:r>
      <w:r>
        <w:rPr>
          <w:rFonts w:hint="eastAsia" w:ascii="Times New Roman" w:hAnsi="Times New Roman" w:eastAsia="仿宋_GB2312" w:cs="仿宋_GB2312"/>
          <w:color w:val="auto"/>
          <w:kern w:val="2"/>
          <w:sz w:val="32"/>
          <w:szCs w:val="32"/>
          <w:highlight w:val="none"/>
          <w:lang w:val="en-US" w:eastAsia="zh-CN" w:bidi="ar-SA"/>
        </w:rPr>
        <w:t>。</w:t>
      </w:r>
    </w:p>
    <w:p w14:paraId="0C1714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1DD5B3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7" w:name="_Toc15377218"/>
      <w:bookmarkStart w:id="38" w:name="_Toc15396610"/>
    </w:p>
    <w:p w14:paraId="1DA814C8">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7"/>
      <w:bookmarkEnd w:id="38"/>
    </w:p>
    <w:p w14:paraId="0F006FC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19.71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5.38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2.09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项目经费减少。</w:t>
      </w:r>
    </w:p>
    <w:p w14:paraId="1E0C53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3F6E5B">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9" w:name="_Toc15396611"/>
      <w:bookmarkStart w:id="40"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9"/>
      <w:bookmarkEnd w:id="40"/>
    </w:p>
    <w:p w14:paraId="4F3CDD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1330CF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199152">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1" w:name="_Toc15396612"/>
      <w:bookmarkStart w:id="42"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1"/>
      <w:bookmarkEnd w:id="42"/>
    </w:p>
    <w:p w14:paraId="129B710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2"/>
      <w:r>
        <w:rPr>
          <w:rFonts w:hint="eastAsia" w:ascii="Times New Roman" w:hAnsi="Times New Roman" w:eastAsia="楷体_GB2312" w:cs="楷体_GB2312"/>
          <w:b/>
          <w:color w:val="auto"/>
          <w:sz w:val="32"/>
          <w:szCs w:val="32"/>
          <w:highlight w:val="none"/>
        </w:rPr>
        <w:t>（一）机关运行经费支出情况</w:t>
      </w:r>
      <w:bookmarkEnd w:id="43"/>
    </w:p>
    <w:p w14:paraId="0349C40C">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攀枝花市西区残疾人联合会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6.88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0.74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10.76</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主要原因是人员减少，运行经费减少</w:t>
      </w:r>
      <w:r>
        <w:rPr>
          <w:rFonts w:hint="eastAsia" w:ascii="仿宋" w:hAnsi="仿宋" w:eastAsia="仿宋"/>
          <w:sz w:val="32"/>
          <w:szCs w:val="32"/>
          <w:lang w:eastAsia="zh-CN"/>
        </w:rPr>
        <w:t>。</w:t>
      </w:r>
    </w:p>
    <w:p w14:paraId="7447FA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3B16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3"/>
      <w:r>
        <w:rPr>
          <w:rFonts w:hint="eastAsia" w:ascii="Times New Roman" w:hAnsi="Times New Roman" w:eastAsia="楷体_GB2312" w:cs="楷体_GB2312"/>
          <w:b/>
          <w:color w:val="auto"/>
          <w:sz w:val="32"/>
          <w:szCs w:val="32"/>
          <w:highlight w:val="none"/>
        </w:rPr>
        <w:t>（二）政府采购支出情况</w:t>
      </w:r>
      <w:bookmarkEnd w:id="44"/>
    </w:p>
    <w:p w14:paraId="61B99A2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攀枝花市西区残疾人联合会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万元。主要用于残疾证打印机采购。授予中小企业合同金额</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58531C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0D494A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4"/>
      <w:r>
        <w:rPr>
          <w:rFonts w:hint="eastAsia" w:ascii="Times New Roman" w:hAnsi="Times New Roman" w:eastAsia="楷体_GB2312" w:cs="楷体_GB2312"/>
          <w:b/>
          <w:color w:val="auto"/>
          <w:sz w:val="32"/>
          <w:szCs w:val="32"/>
          <w:highlight w:val="none"/>
        </w:rPr>
        <w:t>（三）国有资产占有使用情况</w:t>
      </w:r>
      <w:bookmarkEnd w:id="45"/>
    </w:p>
    <w:p w14:paraId="1AAE82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攀枝花市西区残疾人联合会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097D2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A95B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D1EAF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在2024年度预算编制阶段，组织对残联人事业发展项目开展了预算事前绩效评估，对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F96A5E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西区残联部门整体（含部门预算项目）绩效自评报告、残联人事业发展专项预算项目绩效自评报告，其中，西区残联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较好地完成了残疾人各项工作，对残疾人实施了康复救助、家庭医生签约服务，为残疾人适配了基本的生活辅具，验配了助听器，对残疾人家庭实施了无障碍改造，让残疾人的生活出行更加便捷，能积极地参与社会生活。对贫困残疾人进行了技能及实用技术培训，发放了居家灵活就业及扶持农村残疾人发展生产补贴，通过自己的努力改善生产生活条件，提高生活质量。为义务教育阶段残疾学生发放了生活补贴，为残疾人购买居民医保实施补贴等，缓解了残疾人困难，完成了全年的绩效目标。通过走访、电话抽查被帮扶的残疾人满意度达基本满意及以上；残联人事业发展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为持证残疾人开展“量体裁衣式”服务；残疾人提供免费的康复服务及为残疾人适配基本生活辅具等；残疾人就业帮扶主要是为残疾人提供实用技术培训和实施居家灵活就业补贴，帮助残疾人改善生产和生活条件，提高生活水平</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695F5A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59003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0F94F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6" w:name="_Toc15396613"/>
      <w:bookmarkStart w:id="47" w:name="_Toc15377225"/>
    </w:p>
    <w:p w14:paraId="32C002E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073796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45F799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01D84D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C8E18B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CEE0A8D">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6"/>
      <w:bookmarkEnd w:id="47"/>
    </w:p>
    <w:p w14:paraId="5BC3B740">
      <w:pPr>
        <w:spacing w:line="600" w:lineRule="exact"/>
        <w:jc w:val="left"/>
        <w:rPr>
          <w:rFonts w:ascii="Times New Roman" w:hAnsi="Times New Roman"/>
          <w:b/>
          <w:color w:val="auto"/>
          <w:sz w:val="44"/>
          <w:szCs w:val="44"/>
          <w:highlight w:val="none"/>
        </w:rPr>
      </w:pPr>
    </w:p>
    <w:p w14:paraId="451F56A4">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bookmarkStart w:id="48" w:name="_Toc15377226"/>
      <w:r>
        <w:rPr>
          <w:rFonts w:hAnsi="仿宋"/>
          <w:color w:val="auto"/>
          <w:sz w:val="32"/>
          <w:szCs w:val="32"/>
        </w:rPr>
        <w:t>1.</w:t>
      </w:r>
      <w:r>
        <w:rPr>
          <w:rFonts w:hint="eastAsia" w:hAnsi="仿宋"/>
          <w:color w:val="auto"/>
          <w:sz w:val="32"/>
          <w:szCs w:val="32"/>
        </w:rPr>
        <w:t>财政拨款收入：指单位从同级财政部门取得的财政预算资金。</w:t>
      </w:r>
    </w:p>
    <w:p w14:paraId="3C0F3BC7">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2.</w:t>
      </w:r>
      <w:r>
        <w:rPr>
          <w:rFonts w:hint="eastAsia" w:hAnsi="仿宋"/>
          <w:color w:val="auto"/>
          <w:sz w:val="32"/>
          <w:szCs w:val="32"/>
        </w:rPr>
        <w:t>年初结转和结余：指以前年度尚未完成、结转到本年按有关规定继续使用的资金。</w:t>
      </w:r>
    </w:p>
    <w:p w14:paraId="479B1EF8">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3.</w:t>
      </w:r>
      <w:r>
        <w:rPr>
          <w:rFonts w:hint="eastAsia" w:hAnsi="仿宋"/>
          <w:sz w:val="32"/>
          <w:szCs w:val="32"/>
        </w:rPr>
        <w:t>社会保障和就业支出（类）行政事业单位养老支出（款）行政单位离退休（项）：指行政单位（包括实行公务员管理的事业单位）开支的离退休支出</w:t>
      </w:r>
      <w:r>
        <w:rPr>
          <w:rFonts w:hint="eastAsia" w:hAnsi="仿宋"/>
          <w:color w:val="auto"/>
          <w:sz w:val="32"/>
          <w:szCs w:val="32"/>
        </w:rPr>
        <w:t>。</w:t>
      </w:r>
    </w:p>
    <w:p w14:paraId="6544FA88">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4.</w:t>
      </w:r>
      <w:r>
        <w:rPr>
          <w:rFonts w:hint="eastAsia" w:hAnsi="仿宋"/>
          <w:sz w:val="32"/>
          <w:szCs w:val="32"/>
        </w:rPr>
        <w:t>社会保障和就业支出（类）行政事业单位养老支出（款）机关事业单位基本养老保险缴费支出（项）：指机关事业单位实施养老保险制度有单位缴纳的基本养老保险费支出</w:t>
      </w:r>
    </w:p>
    <w:p w14:paraId="3732C8A0">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5.</w:t>
      </w:r>
      <w:r>
        <w:rPr>
          <w:rFonts w:hint="eastAsia" w:hAnsi="仿宋"/>
          <w:sz w:val="32"/>
          <w:szCs w:val="32"/>
        </w:rPr>
        <w:t>社会保障和就业支出（类）残疾人事业（款）行政运行（项）：指行政单位（包括实行公务员管理的事业单位）的基本支出</w:t>
      </w:r>
    </w:p>
    <w:p w14:paraId="35B7D79F">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6.</w:t>
      </w:r>
      <w:r>
        <w:rPr>
          <w:rFonts w:hint="eastAsia" w:hAnsi="仿宋"/>
          <w:sz w:val="32"/>
          <w:szCs w:val="32"/>
        </w:rPr>
        <w:t>社会保障和就业支出（类）残疾人事业（款）残疾人康复（项）：指</w:t>
      </w:r>
      <w:r>
        <w:rPr>
          <w:rFonts w:hAnsi="仿宋"/>
          <w:sz w:val="32"/>
          <w:szCs w:val="32"/>
        </w:rPr>
        <w:t>残疾人联合会用于残疾人康复方面的支出</w:t>
      </w:r>
    </w:p>
    <w:p w14:paraId="30FAEF33">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7.</w:t>
      </w:r>
      <w:r>
        <w:rPr>
          <w:rFonts w:hint="eastAsia" w:hAnsi="仿宋"/>
          <w:sz w:val="32"/>
          <w:szCs w:val="32"/>
        </w:rPr>
        <w:t>社会保障和就业支出（类）残疾人事业（款）残疾人就业（项）：指残疾人联合会用于残疾人就业方面的支出</w:t>
      </w:r>
    </w:p>
    <w:p w14:paraId="13583862">
      <w:pPr>
        <w:pStyle w:val="3"/>
        <w:keepNext w:val="0"/>
        <w:keepLines w:val="0"/>
        <w:pageBreakBefore w:val="0"/>
        <w:widowControl w:val="0"/>
        <w:kinsoku/>
        <w:wordWrap/>
        <w:overflowPunct/>
        <w:topLinePunct w:val="0"/>
        <w:bidi w:val="0"/>
        <w:snapToGrid/>
        <w:spacing w:line="600" w:lineRule="exact"/>
        <w:ind w:firstLine="640" w:firstLineChars="200"/>
        <w:textAlignment w:val="auto"/>
        <w:rPr>
          <w:rFonts w:hAnsi="仿宋"/>
          <w:color w:val="auto"/>
          <w:sz w:val="32"/>
          <w:szCs w:val="32"/>
        </w:rPr>
      </w:pPr>
      <w:r>
        <w:rPr>
          <w:rFonts w:hAnsi="仿宋"/>
          <w:color w:val="auto"/>
          <w:sz w:val="32"/>
          <w:szCs w:val="32"/>
        </w:rPr>
        <w:t>8</w:t>
      </w:r>
      <w:r>
        <w:rPr>
          <w:rFonts w:hint="eastAsia" w:hAnsi="仿宋"/>
          <w:color w:val="auto"/>
          <w:sz w:val="32"/>
          <w:szCs w:val="32"/>
        </w:rPr>
        <w:t>.</w:t>
      </w:r>
      <w:r>
        <w:rPr>
          <w:rFonts w:hint="eastAsia" w:hAnsi="仿宋"/>
          <w:sz w:val="32"/>
          <w:szCs w:val="32"/>
        </w:rPr>
        <w:t>社会保障和就业支出（类）残疾人事业（款）其他残疾人事业支出（项）：指除上述项目以外其他用于残疾人事业方面的支出</w:t>
      </w:r>
    </w:p>
    <w:p w14:paraId="6D6B5114">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 xml:space="preserve"> 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人员的医疗经费。</w:t>
      </w:r>
    </w:p>
    <w:p w14:paraId="4147C49F">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w:t>
      </w:r>
      <w:r>
        <w:rPr>
          <w:rFonts w:hint="eastAsia" w:ascii="仿宋" w:hAnsi="仿宋" w:eastAsia="仿宋"/>
          <w:sz w:val="32"/>
          <w:szCs w:val="32"/>
        </w:rPr>
        <w:t>卫生健康支出（类）行政事业单位医疗（款）事业单位医疗（项）：指财政部门安排的事业单位基本医疗保险缴费经费，未参加医疗保险的事业单位的公费医疗经费，按国家规定享受离休人员待遇的医疗经费。</w:t>
      </w:r>
    </w:p>
    <w:p w14:paraId="2F87EF43">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卫生健康支出支出（类）行政事业单位医疗支出（款）公务员医疗补助：反映财政部门安排的公务员医疗补助经费。</w:t>
      </w:r>
    </w:p>
    <w:p w14:paraId="27905B24">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卫生健康支出支出（类）行政事业单位医疗支出（款）其他行政事业单位医疗支出（项）：指除上述项目以外的其他用于行政事业单位医疗方面的支出。</w:t>
      </w:r>
    </w:p>
    <w:p w14:paraId="10B079AF">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住房保障支出（类）住房改革支出（款）住房公积金（项）：指行政事业单位按人力资源和社会保障部、财政部规定的基本工资和津贴补贴以及规定比例为职工缴纳的住房公积金。</w:t>
      </w:r>
    </w:p>
    <w:p w14:paraId="5744F06F">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其他支出（类）彩票公益金安排的支出（款）用于社会福利的彩票公益金支出（项）：指用于社会福利和社会救助的彩票公益金支出。</w:t>
      </w:r>
    </w:p>
    <w:p w14:paraId="2A9BC579">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其他支出（类）彩票公益金安排的支出（款）用于体育事业的彩票公益金支出（项）：指用于体育事业的彩票公益金支出。</w:t>
      </w:r>
    </w:p>
    <w:p w14:paraId="2E9FE2D0">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其他支出（类）彩票公益金安排的支出（款）用于残疾人事业的彩票公益金支出（项）：指用于残疾人事业的彩票公益金支出。</w:t>
      </w:r>
    </w:p>
    <w:p w14:paraId="0A39EE51">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基本支出：指为保障机构正常运转、完成日常工作任务而发生的人员支出和公用支出。</w:t>
      </w:r>
    </w:p>
    <w:p w14:paraId="5C6412FC">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14:paraId="7D45425D">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17</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AA2C3E4">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18</w:t>
      </w:r>
      <w:r>
        <w:rPr>
          <w:rFonts w:ascii="仿宋" w:hAnsi="仿宋" w:eastAsia="仿宋"/>
          <w:sz w:val="32"/>
          <w:szCs w:val="32"/>
        </w:rPr>
        <w:t>.</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0A3B00">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9"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9"/>
    </w:p>
    <w:p w14:paraId="2C71E5D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9A4E9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0" w:name="_Toc15396618"/>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504D8E1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1AD74C5">
      <w:pPr>
        <w:pStyle w:val="2"/>
        <w:rPr>
          <w:rFonts w:hint="eastAsia" w:ascii="Times New Roman" w:hAnsi="Times New Roman" w:eastAsia="仿宋_GB2312" w:cs="仿宋_GB2312"/>
          <w:b w:val="0"/>
          <w:bCs w:val="0"/>
          <w:kern w:val="0"/>
          <w:position w:val="0"/>
          <w:sz w:val="32"/>
          <w:szCs w:val="32"/>
          <w:highlight w:val="none"/>
          <w:lang w:val="en-US" w:eastAsia="zh-CN" w:bidi="ar-SA"/>
        </w:rPr>
      </w:pPr>
    </w:p>
    <w:p w14:paraId="7A37EAC3">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3E5C7E4E">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41916390">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20D109B4">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33C5D531">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13C2DDC3">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4656DE38">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7E247112">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5001B2A4">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503CDE21">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0E4237D5">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74AF101C">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0BE73973">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53CBD393">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523D3429">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0E8103DB">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36969481">
      <w:pPr>
        <w:pStyle w:val="3"/>
        <w:rPr>
          <w:rFonts w:hint="eastAsia" w:ascii="Times New Roman" w:hAnsi="Times New Roman" w:eastAsia="仿宋_GB2312" w:cs="仿宋_GB2312"/>
          <w:b w:val="0"/>
          <w:bCs w:val="0"/>
          <w:kern w:val="0"/>
          <w:position w:val="0"/>
          <w:sz w:val="32"/>
          <w:szCs w:val="32"/>
          <w:highlight w:val="none"/>
          <w:lang w:val="en-US" w:eastAsia="zh-CN" w:bidi="ar-SA"/>
        </w:rPr>
      </w:pPr>
    </w:p>
    <w:p w14:paraId="2D652D1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8"/>
      <w:bookmarkEnd w:id="50"/>
      <w:bookmarkStart w:id="51" w:name="_Toc15396619"/>
    </w:p>
    <w:p w14:paraId="23E442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839535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0E1CD5D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2968B8C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50315C0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6F66EB9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02AB13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036E52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43E0D8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1235F3D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2BAF95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2D068D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4D8743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63245D1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305DF855">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4D3D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EF27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CEF271">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3BB416E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439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AC15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EAC15C">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0C05">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213EC">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D213EC">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2D54BB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BF31">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1F77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91F77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BD7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A17AE"/>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9E57D5"/>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5562D"/>
    <w:rsid w:val="26970054"/>
    <w:rsid w:val="281408E2"/>
    <w:rsid w:val="29FD04D3"/>
    <w:rsid w:val="2BFF7BC6"/>
    <w:rsid w:val="2C8A61B5"/>
    <w:rsid w:val="2DF04E50"/>
    <w:rsid w:val="2E586DFA"/>
    <w:rsid w:val="2F040D46"/>
    <w:rsid w:val="2F6B035B"/>
    <w:rsid w:val="2FA811CE"/>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574F9"/>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5858</Words>
  <Characters>7211</Characters>
  <Lines>61</Lines>
  <Paragraphs>17</Paragraphs>
  <TotalTime>11</TotalTime>
  <ScaleCrop>false</ScaleCrop>
  <LinksUpToDate>false</LinksUpToDate>
  <CharactersWithSpaces>7232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lenovo</cp:lastModifiedBy>
  <cp:lastPrinted>2025-08-06T17:34:00Z</cp:lastPrinted>
  <dcterms:modified xsi:type="dcterms:W3CDTF">2025-10-29T02:42:43Z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7B3ADE3FBF2A499B8AAED7768AA406A4_13</vt:lpwstr>
  </property>
  <property fmtid="{D5CDD505-2E9C-101B-9397-08002B2CF9AE}" pid="4" name="KSOTemplateDocerSaveRecord">
    <vt:lpwstr>eyJoZGlkIjoiMmY2YmUxZjk2NzRmYTg5MDQ2ZDU3YTM2YzM2MGI4ZDIiLCJ1c2VySWQiOiI1NzIwNzc5ODAifQ==</vt:lpwstr>
  </property>
</Properties>
</file>