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1A348">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96475"/>
      <w:bookmarkStart w:id="3" w:name="_Toc15306267"/>
      <w:bookmarkStart w:id="4" w:name="_Toc15378441"/>
      <w:bookmarkStart w:id="5" w:name="_Toc15377193"/>
    </w:p>
    <w:p w14:paraId="271CDE57">
      <w:pPr>
        <w:pStyle w:val="2"/>
        <w:rPr>
          <w:rFonts w:hint="eastAsia" w:ascii="Times New Roman" w:hAnsi="Times New Roman" w:eastAsia="方正小标宋简体" w:cs="Times New Roman"/>
          <w:color w:val="auto"/>
          <w:kern w:val="2"/>
          <w:sz w:val="72"/>
          <w:szCs w:val="72"/>
          <w:highlight w:val="none"/>
          <w:lang w:val="en-US" w:eastAsia="zh-CN" w:bidi="ar-SA"/>
        </w:rPr>
      </w:pPr>
    </w:p>
    <w:p w14:paraId="7AE899EC">
      <w:pPr>
        <w:pStyle w:val="2"/>
        <w:rPr>
          <w:rFonts w:hint="eastAsia" w:ascii="Times New Roman" w:hAnsi="Times New Roman" w:eastAsia="方正小标宋简体" w:cs="Times New Roman"/>
          <w:color w:val="auto"/>
          <w:kern w:val="2"/>
          <w:sz w:val="72"/>
          <w:szCs w:val="72"/>
          <w:highlight w:val="none"/>
          <w:lang w:val="en-US" w:eastAsia="zh-CN" w:bidi="ar-SA"/>
        </w:rPr>
      </w:pPr>
    </w:p>
    <w:p w14:paraId="072ABDB0">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四川省攀枝花市西区</w:t>
      </w:r>
    </w:p>
    <w:p w14:paraId="701B0097">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经济和信息化局部门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p w14:paraId="5D9B2924">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1A39D0D4">
      <w:pPr>
        <w:pStyle w:val="2"/>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55E5F64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50F0913">
      <w:pPr>
        <w:widowControl/>
        <w:jc w:val="center"/>
        <w:rPr>
          <w:rFonts w:ascii="Times New Roman" w:hAnsi="Times New Roman" w:eastAsia="黑体" w:cstheme="minorBidi"/>
          <w:color w:val="auto"/>
          <w:sz w:val="28"/>
          <w:szCs w:val="28"/>
          <w:highlight w:val="none"/>
        </w:rPr>
      </w:pPr>
    </w:p>
    <w:p w14:paraId="13A130B7">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591A31EE">
      <w:pPr>
        <w:rPr>
          <w:rFonts w:ascii="Times New Roman" w:hAnsi="Times New Roman"/>
          <w:color w:val="auto"/>
          <w:highlight w:val="none"/>
        </w:rPr>
      </w:pPr>
    </w:p>
    <w:p w14:paraId="2ED555CA">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00C045B5">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................................................................................................3</w:t>
      </w:r>
    </w:p>
    <w:p w14:paraId="131B6B84">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14:paraId="427AA47A">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0CEFDECB">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...............................................................5</w:t>
      </w:r>
    </w:p>
    <w:p w14:paraId="56FC84B7">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...............................................................................5</w:t>
      </w:r>
    </w:p>
    <w:p w14:paraId="5863D4E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................................................................................6</w:t>
      </w:r>
    </w:p>
    <w:p w14:paraId="56C3C4B5">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3F07E82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.......................................7</w:t>
      </w:r>
    </w:p>
    <w:p w14:paraId="436CF418">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...............................10</w:t>
      </w:r>
    </w:p>
    <w:p w14:paraId="39AA3CBE">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.......................................11</w:t>
      </w:r>
    </w:p>
    <w:p w14:paraId="4E72BBCC">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...................................................13</w:t>
      </w:r>
    </w:p>
    <w:p w14:paraId="3196158C">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........................13</w:t>
      </w:r>
    </w:p>
    <w:p w14:paraId="5697739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9"/>
          <w:rFonts w:hint="eastAsia" w:ascii="宋体" w:hAnsi="宋体" w:eastAsia="宋体" w:cs="宋体"/>
          <w:color w:val="auto"/>
          <w:sz w:val="24"/>
          <w:highlight w:val="none"/>
          <w:u w:val="none"/>
          <w:lang w:eastAsia="zh-CN"/>
        </w:rPr>
        <w:t>十</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................................13</w:t>
      </w:r>
    </w:p>
    <w:p w14:paraId="7A5985DA">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..............................................18</w:t>
      </w:r>
    </w:p>
    <w:p w14:paraId="10D5E71D">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..................................................22</w:t>
      </w:r>
    </w:p>
    <w:p w14:paraId="576B3AD7">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..................................................23</w:t>
      </w:r>
    </w:p>
    <w:p w14:paraId="41D65223">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73F9EE1">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7617B268">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2487A8F1">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35E4ACEA">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17601170">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六、一般公共预算财政拨款支出决算表</w:t>
      </w:r>
    </w:p>
    <w:p w14:paraId="563F4196">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七、一般公共预算财政拨款支出决算明细表</w:t>
      </w:r>
    </w:p>
    <w:p w14:paraId="1A1AB95A">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44DD646">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九、一般公共预算财政拨款项目支出决算表</w:t>
      </w:r>
    </w:p>
    <w:p w14:paraId="2110F5DC">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十、政府性基金预算财政拨款收入支出决算表</w:t>
      </w:r>
    </w:p>
    <w:p w14:paraId="510D7C19">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十一、国有资本经营预算财政拨款收入支出决算表</w:t>
      </w:r>
    </w:p>
    <w:p w14:paraId="36F3B53A">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73C8A414">
      <w:pPr>
        <w:pStyle w:val="15"/>
        <w:keepNext w:val="0"/>
        <w:keepLines w:val="0"/>
        <w:pageBreakBefore w:val="0"/>
        <w:widowControl w:val="0"/>
        <w:kinsoku/>
        <w:wordWrap/>
        <w:overflowPunct/>
        <w:topLinePunct w:val="0"/>
        <w:autoSpaceDE/>
        <w:autoSpaceDN/>
        <w:bidi w:val="0"/>
        <w:adjustRightInd w:val="0"/>
        <w:snapToGrid w:val="0"/>
        <w:spacing w:line="560" w:lineRule="exact"/>
        <w:ind w:firstLine="240" w:firstLineChars="1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olor w:val="auto"/>
          <w:sz w:val="24"/>
          <w:highlight w:val="none"/>
        </w:rPr>
        <w:t>十三、财政拨款“三公”经费支出决算表</w:t>
      </w:r>
    </w:p>
    <w:p w14:paraId="68136E3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67A59A2D">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4A0C8CAA">
      <w:pPr>
        <w:widowControl/>
        <w:jc w:val="left"/>
        <w:rPr>
          <w:rFonts w:ascii="Times New Roman" w:hAnsi="Times New Roman" w:eastAsia="黑体"/>
          <w:color w:val="auto"/>
          <w:sz w:val="32"/>
          <w:szCs w:val="32"/>
          <w:highlight w:val="none"/>
        </w:rPr>
      </w:pPr>
    </w:p>
    <w:p w14:paraId="47E71723">
      <w:pPr>
        <w:pStyle w:val="2"/>
        <w:numPr>
          <w:ilvl w:val="0"/>
          <w:numId w:val="0"/>
        </w:numPr>
        <w:adjustRightInd w:val="0"/>
        <w:spacing w:before="130" w:beforeLines="0" w:line="600" w:lineRule="exact"/>
        <w:ind w:firstLine="600" w:firstLineChars="200"/>
        <w:rPr>
          <w:rFonts w:hint="eastAsia" w:ascii="Times New Roman" w:hAnsi="Times New Roman" w:eastAsia="黑体"/>
          <w:b w:val="0"/>
          <w:color w:val="auto"/>
          <w:highlight w:val="none"/>
          <w:lang w:eastAsia="zh-CN"/>
        </w:rPr>
      </w:pPr>
      <w:r>
        <w:rPr>
          <w:rFonts w:hint="eastAsia" w:ascii="Times New Roman" w:eastAsia="黑体"/>
          <w:b w:val="0"/>
          <w:color w:val="auto"/>
          <w:highlight w:val="none"/>
          <w:lang w:eastAsia="zh-CN"/>
        </w:rPr>
        <w:t>一、</w:t>
      </w:r>
      <w:r>
        <w:rPr>
          <w:rFonts w:hint="eastAsia" w:ascii="Times New Roman" w:hAnsi="Times New Roman" w:eastAsia="黑体"/>
          <w:b w:val="0"/>
          <w:color w:val="auto"/>
          <w:highlight w:val="none"/>
          <w:lang w:eastAsia="zh-CN"/>
        </w:rPr>
        <w:t>部门职责</w:t>
      </w:r>
      <w:bookmarkStart w:id="8" w:name="_Toc15377200"/>
      <w:bookmarkStart w:id="9" w:name="_Toc15396601"/>
    </w:p>
    <w:p w14:paraId="3C7A6BD5">
      <w:pPr>
        <w:pStyle w:val="2"/>
        <w:numPr>
          <w:ilvl w:val="0"/>
          <w:numId w:val="0"/>
        </w:numPr>
        <w:adjustRightInd w:val="0"/>
        <w:spacing w:before="130" w:beforeLines="0" w:line="600" w:lineRule="exact"/>
        <w:ind w:firstLine="640" w:firstLineChars="200"/>
        <w:rPr>
          <w:rFonts w:hint="eastAsia" w:ascii="Times New Roman" w:hAnsi="Times New Roman" w:eastAsia="黑体"/>
          <w:b w:val="0"/>
          <w:color w:val="auto"/>
          <w:highlight w:val="none"/>
        </w:rPr>
      </w:pPr>
      <w:r>
        <w:rPr>
          <w:rFonts w:hint="eastAsia" w:ascii="Times New Roman"/>
          <w:sz w:val="32"/>
        </w:rPr>
        <w:t>区经济和信息化局主要职责，即贯彻实施国家、省、市、区有关工业经济、工业循环经济、信息化、无线电管理和行业范围内中小企业发展的法律、法规和方针政策；负责拟订新型工业化发展战略和重大政策，协调解决新型工业化进程中的重大问题，组织实施工业强区战略；监测、分析全区工业经济运行态势和质量，协调解决工业经济运行中的重大问题；负责全区企业技术改造推进工作；负责全区企业技术创新体系建设；负责全区工业和信息化领域的节能节水、清洁生产和资源节约与综合利用工作；负责推进企业信用制度建设；负责全区工业企业治乱减负工作；负责对全区工业行业（不包括煤炭、矿山）实施行业管理，指导工业、信息化和无线电领域的社会中介组织发展；统筹推进全区信息化工作，组织协调全区信息安全保障体系建设；负责研究制定并推动全区非公有制经济发展规划和政策措施；指导工业和信息化企业开展对外交流与合作、国际化经营、区外投资及兼并重组；执行全区无线电管理的具体办法；负责全区工业、信息化、无线电管理、工业循环经济等有关行政审批事项的初审、转报、审批；负责盐业行业管理和食盐专营管理工作；负责职责范围内的安全生产和职业健康、生态环境保护、审批服务便民化等工作；完成区委和区政府交办的其他任务。</w:t>
      </w:r>
    </w:p>
    <w:p w14:paraId="67A56CB0">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07F00A40">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攀枝花市西区经济和信息化局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w:t>
      </w:r>
    </w:p>
    <w:p w14:paraId="37A6509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攀枝花市西区经济和信息化局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3B41FE07">
      <w:pPr>
        <w:pStyle w:val="2"/>
        <w:numPr>
          <w:ilvl w:val="0"/>
          <w:numId w:val="0"/>
        </w:numPr>
        <w:adjustRightInd w:val="0"/>
        <w:snapToGrid w:val="0"/>
        <w:spacing w:before="93" w:line="600" w:lineRule="exact"/>
        <w:ind w:firstLine="640" w:firstLineChars="200"/>
        <w:outlineLvl w:val="2"/>
        <w:rPr>
          <w:rFonts w:hint="eastAsia" w:ascii="Times New Roman" w:hAnsi="Times New Roman" w:eastAsia="仿宋_GB2312" w:cs="仿宋_GB2312"/>
          <w:color w:val="auto"/>
          <w:sz w:val="32"/>
          <w:szCs w:val="32"/>
          <w:highlight w:val="none"/>
        </w:rPr>
      </w:pPr>
      <w:bookmarkStart w:id="10" w:name="_Toc15377202"/>
      <w:bookmarkStart w:id="11" w:name="_Toc15377433"/>
      <w:bookmarkStart w:id="12" w:name="_Toc15306276"/>
      <w:bookmarkStart w:id="13" w:name="_Toc15378449"/>
      <w:r>
        <w:rPr>
          <w:rFonts w:hint="eastAsia" w:ascii="Times New Roman" w:cs="仿宋_GB2312"/>
          <w:color w:val="auto"/>
          <w:sz w:val="32"/>
          <w:szCs w:val="32"/>
          <w:highlight w:val="none"/>
          <w:lang w:val="en-US" w:eastAsia="zh-CN"/>
        </w:rPr>
        <w:t>1.</w:t>
      </w:r>
      <w:bookmarkEnd w:id="10"/>
      <w:bookmarkEnd w:id="11"/>
      <w:bookmarkEnd w:id="12"/>
      <w:bookmarkEnd w:id="13"/>
      <w:r>
        <w:rPr>
          <w:rFonts w:hint="eastAsia"/>
          <w:color w:val="000000"/>
          <w:sz w:val="32"/>
        </w:rPr>
        <w:t>攀枝花市西区信息产业发展中心</w:t>
      </w:r>
    </w:p>
    <w:p w14:paraId="5B6A0E61">
      <w:pPr>
        <w:pStyle w:val="2"/>
        <w:numPr>
          <w:ilvl w:val="0"/>
          <w:numId w:val="0"/>
        </w:numPr>
        <w:adjustRightInd w:val="0"/>
        <w:snapToGrid w:val="0"/>
        <w:spacing w:before="93" w:line="600" w:lineRule="exact"/>
        <w:ind w:left="672" w:leftChars="0"/>
        <w:outlineLvl w:val="2"/>
        <w:rPr>
          <w:rFonts w:hint="eastAsia" w:ascii="Times New Roman"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2.</w:t>
      </w:r>
      <w:r>
        <w:rPr>
          <w:rFonts w:hint="eastAsia"/>
          <w:color w:val="000000"/>
          <w:sz w:val="32"/>
        </w:rPr>
        <w:t>攀枝花市西区企业服务中心</w:t>
      </w:r>
    </w:p>
    <w:p w14:paraId="5A6FADCD">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3.</w:t>
      </w:r>
      <w:r>
        <w:rPr>
          <w:rFonts w:hint="eastAsia"/>
          <w:color w:val="000000"/>
          <w:sz w:val="32"/>
        </w:rPr>
        <w:t>攀枝花市西区投资促进中心</w:t>
      </w:r>
    </w:p>
    <w:p w14:paraId="77B1667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498A584">
      <w:pPr>
        <w:pStyle w:val="4"/>
        <w:jc w:val="center"/>
        <w:rPr>
          <w:rFonts w:hint="eastAsia" w:ascii="Times New Roman" w:hAnsi="Times New Roman" w:eastAsia="方正小标宋简体" w:cs="方正小标宋简体"/>
          <w:b w:val="0"/>
          <w:color w:val="auto"/>
          <w:highlight w:val="none"/>
        </w:rPr>
      </w:pPr>
      <w:bookmarkStart w:id="14" w:name="_Toc1539660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14:paraId="0CB534E2">
      <w:pPr>
        <w:rPr>
          <w:rFonts w:ascii="Times New Roman" w:hAnsi="Times New Roman"/>
          <w:color w:val="auto"/>
          <w:highlight w:val="none"/>
        </w:rPr>
      </w:pPr>
    </w:p>
    <w:p w14:paraId="2AF687C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77205"/>
      <w:bookmarkStart w:id="1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p>
    <w:p w14:paraId="08D0B92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1761.12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711.19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40.38</w:t>
      </w:r>
      <w:r>
        <w:rPr>
          <w:rFonts w:hint="eastAsia" w:ascii="Times New Roman" w:hAnsi="Times New Roman" w:eastAsia="仿宋_GB2312" w:cs="仿宋_GB2312"/>
          <w:color w:val="auto"/>
          <w:sz w:val="32"/>
          <w:szCs w:val="32"/>
          <w:highlight w:val="none"/>
        </w:rPr>
        <w:t>%。主要变动原因是根据攀西委（2024）48号关于攀枝花市西区机构改革方案区经合局划入区经信局，机构合并</w:t>
      </w:r>
      <w:r>
        <w:rPr>
          <w:rFonts w:hint="eastAsia" w:eastAsia="仿宋_GB2312" w:cs="仿宋_GB2312"/>
          <w:color w:val="auto"/>
          <w:sz w:val="32"/>
          <w:szCs w:val="32"/>
          <w:highlight w:val="none"/>
          <w:lang w:eastAsia="zh-CN"/>
        </w:rPr>
        <w:t>，人员经费、项目经费增加。</w:t>
      </w:r>
    </w:p>
    <w:p w14:paraId="6EA46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6236604">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381500" cy="273367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381500" cy="2733675"/>
                    </a:xfrm>
                    <a:prstGeom prst="rect">
                      <a:avLst/>
                    </a:prstGeom>
                    <a:noFill/>
                    <a:ln>
                      <a:noFill/>
                    </a:ln>
                  </pic:spPr>
                </pic:pic>
              </a:graphicData>
            </a:graphic>
          </wp:inline>
        </w:drawing>
      </w:r>
    </w:p>
    <w:p w14:paraId="5FF2312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77206"/>
      <w:bookmarkStart w:id="19" w:name="_Toc15396604"/>
      <w:r>
        <w:rPr>
          <w:rFonts w:hint="eastAsia" w:ascii="Times New Roman" w:hAnsi="Times New Roman" w:eastAsia="黑体"/>
          <w:color w:val="auto"/>
          <w:sz w:val="32"/>
          <w:szCs w:val="32"/>
          <w:highlight w:val="none"/>
          <w:lang w:eastAsia="zh-CN"/>
        </w:rPr>
        <w:t>二、收入决算情况说明</w:t>
      </w:r>
      <w:bookmarkEnd w:id="18"/>
      <w:bookmarkEnd w:id="19"/>
    </w:p>
    <w:p w14:paraId="59B5A3C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1687.9万元，其中：一般公共预算财政拨款收入1632.2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96.69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55.7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w:t>
      </w:r>
      <w:r>
        <w:rPr>
          <w:rFonts w:hint="eastAsia" w:ascii="仿宋_GB2312" w:hAnsi="仿宋_GB2312" w:eastAsia="仿宋_GB2312" w:cs="仿宋_GB2312"/>
          <w:color w:val="auto"/>
          <w:sz w:val="32"/>
          <w:szCs w:val="32"/>
          <w:highlight w:val="none"/>
          <w:lang w:eastAsia="zh-CN"/>
        </w:rPr>
        <w:t>。</w:t>
      </w:r>
    </w:p>
    <w:p w14:paraId="78B389A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570DFD4">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24350" cy="260032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24350" cy="2600325"/>
                    </a:xfrm>
                    <a:prstGeom prst="rect">
                      <a:avLst/>
                    </a:prstGeom>
                    <a:noFill/>
                    <a:ln>
                      <a:noFill/>
                    </a:ln>
                  </pic:spPr>
                </pic:pic>
              </a:graphicData>
            </a:graphic>
          </wp:inline>
        </w:drawing>
      </w:r>
    </w:p>
    <w:p w14:paraId="317D134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96605"/>
      <w:bookmarkStart w:id="2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0"/>
      <w:bookmarkEnd w:id="21"/>
    </w:p>
    <w:p w14:paraId="7FC34BB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1761.12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595.66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33.82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1165.46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66.17</w:t>
      </w:r>
      <w:r>
        <w:rPr>
          <w:rFonts w:hint="eastAsia" w:ascii="仿宋_GB2312" w:hAnsi="仿宋_GB2312" w:eastAsia="仿宋_GB2312" w:cs="仿宋_GB2312"/>
          <w:color w:val="auto"/>
          <w:sz w:val="32"/>
          <w:szCs w:val="32"/>
          <w:highlight w:val="none"/>
          <w:lang w:eastAsia="zh-CN"/>
        </w:rPr>
        <w:t>%。</w:t>
      </w:r>
    </w:p>
    <w:p w14:paraId="24AA342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A7A41E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48075" cy="27622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648075" cy="2762250"/>
                    </a:xfrm>
                    <a:prstGeom prst="rect">
                      <a:avLst/>
                    </a:prstGeom>
                    <a:noFill/>
                    <a:ln>
                      <a:noFill/>
                    </a:ln>
                  </pic:spPr>
                </pic:pic>
              </a:graphicData>
            </a:graphic>
          </wp:inline>
        </w:drawing>
      </w:r>
    </w:p>
    <w:p w14:paraId="4ACAA630">
      <w:pPr>
        <w:spacing w:line="600" w:lineRule="exact"/>
        <w:ind w:firstLine="640" w:firstLineChars="200"/>
        <w:outlineLvl w:val="1"/>
        <w:rPr>
          <w:rStyle w:val="29"/>
          <w:rFonts w:ascii="Times New Roman" w:hAnsi="Times New Roman" w:eastAsia="黑体"/>
          <w:b w:val="0"/>
          <w:color w:val="auto"/>
          <w:highlight w:val="none"/>
        </w:rPr>
      </w:pPr>
      <w:bookmarkStart w:id="22" w:name="_Toc15396606"/>
      <w:bookmarkStart w:id="23"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2"/>
      <w:bookmarkEnd w:id="23"/>
    </w:p>
    <w:p w14:paraId="056E62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1761.12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711.19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40.38</w:t>
      </w:r>
      <w:r>
        <w:rPr>
          <w:rFonts w:hint="eastAsia" w:ascii="Times New Roman" w:hAnsi="Times New Roman" w:eastAsia="仿宋_GB2312" w:cs="仿宋_GB2312"/>
          <w:color w:val="auto"/>
          <w:sz w:val="32"/>
          <w:szCs w:val="32"/>
          <w:highlight w:val="none"/>
        </w:rPr>
        <w:t>%。主要变动原因是根据攀西委（2024）48号关于攀枝花市西区机构改革方案区经合局划入区经信局，机构合并</w:t>
      </w:r>
      <w:r>
        <w:rPr>
          <w:rFonts w:hint="eastAsia" w:eastAsia="仿宋_GB2312" w:cs="仿宋_GB2312"/>
          <w:color w:val="auto"/>
          <w:sz w:val="32"/>
          <w:szCs w:val="32"/>
          <w:highlight w:val="none"/>
          <w:lang w:eastAsia="zh-CN"/>
        </w:rPr>
        <w:t>，人员经费、项目经费增加。</w:t>
      </w:r>
    </w:p>
    <w:p w14:paraId="2127EF9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8AEF196">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62475" cy="2733675"/>
            <wp:effectExtent l="0" t="0" r="9525"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562475" cy="2733675"/>
                    </a:xfrm>
                    <a:prstGeom prst="rect">
                      <a:avLst/>
                    </a:prstGeom>
                    <a:noFill/>
                    <a:ln>
                      <a:noFill/>
                    </a:ln>
                  </pic:spPr>
                </pic:pic>
              </a:graphicData>
            </a:graphic>
          </wp:inline>
        </w:drawing>
      </w:r>
    </w:p>
    <w:p w14:paraId="770623DC">
      <w:pPr>
        <w:spacing w:line="600" w:lineRule="exact"/>
        <w:ind w:firstLine="640" w:firstLineChars="200"/>
        <w:outlineLvl w:val="1"/>
        <w:rPr>
          <w:rStyle w:val="29"/>
          <w:rFonts w:ascii="Times New Roman" w:hAnsi="Times New Roman" w:eastAsia="黑体"/>
          <w:b w:val="0"/>
          <w:color w:val="auto"/>
          <w:highlight w:val="none"/>
        </w:rPr>
      </w:pPr>
      <w:bookmarkStart w:id="24" w:name="_Toc15377209"/>
      <w:bookmarkStart w:id="25"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4"/>
      <w:bookmarkEnd w:id="25"/>
    </w:p>
    <w:p w14:paraId="1E6D36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14:paraId="3A25691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1668.71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94.75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%。与2023年度相比，一般公共预算财政拨款支出增加658.81万元，增长39.48%。主要变动原因是</w:t>
      </w:r>
      <w:r>
        <w:rPr>
          <w:rFonts w:hint="eastAsia" w:ascii="Times New Roman" w:hAnsi="Times New Roman" w:eastAsia="仿宋_GB2312" w:cs="仿宋_GB2312"/>
          <w:color w:val="auto"/>
          <w:sz w:val="32"/>
          <w:szCs w:val="32"/>
          <w:highlight w:val="none"/>
        </w:rPr>
        <w:t>根据攀西委（2024）48号关于攀枝花市西区机构改革方案区经合局划入区经信局，机构合并</w:t>
      </w:r>
      <w:r>
        <w:rPr>
          <w:rFonts w:hint="eastAsia" w:eastAsia="仿宋_GB2312" w:cs="仿宋_GB2312"/>
          <w:color w:val="auto"/>
          <w:sz w:val="32"/>
          <w:szCs w:val="32"/>
          <w:highlight w:val="none"/>
          <w:lang w:eastAsia="zh-CN"/>
        </w:rPr>
        <w:t>，人员经费、项目经费增加。</w:t>
      </w:r>
    </w:p>
    <w:p w14:paraId="5D4EE0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28B89E0">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43400" cy="275272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4343400" cy="2752725"/>
                    </a:xfrm>
                    <a:prstGeom prst="rect">
                      <a:avLst/>
                    </a:prstGeom>
                    <a:noFill/>
                    <a:ln>
                      <a:noFill/>
                    </a:ln>
                  </pic:spPr>
                </pic:pic>
              </a:graphicData>
            </a:graphic>
          </wp:inline>
        </w:drawing>
      </w:r>
    </w:p>
    <w:p w14:paraId="70755B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7"/>
    </w:p>
    <w:p w14:paraId="2C23618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1668.71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101.7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6.09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61.81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51.72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%；资源勘探工业信息等支出</w:t>
      </w:r>
      <w:r>
        <w:rPr>
          <w:rFonts w:hint="eastAsia" w:eastAsia="仿宋_GB2312" w:cs="仿宋_GB2312"/>
          <w:color w:val="auto"/>
          <w:kern w:val="2"/>
          <w:sz w:val="32"/>
          <w:szCs w:val="32"/>
          <w:highlight w:val="none"/>
          <w:lang w:val="en-US" w:eastAsia="zh-CN" w:bidi="ar-SA"/>
        </w:rPr>
        <w:t>1409.42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84.46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44.06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52BDD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552B127">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019675" cy="2695575"/>
            <wp:effectExtent l="0" t="0" r="9525" b="952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5019675" cy="2695575"/>
                    </a:xfrm>
                    <a:prstGeom prst="rect">
                      <a:avLst/>
                    </a:prstGeom>
                    <a:noFill/>
                    <a:ln>
                      <a:noFill/>
                    </a:ln>
                  </pic:spPr>
                </pic:pic>
              </a:graphicData>
            </a:graphic>
          </wp:inline>
        </w:drawing>
      </w:r>
    </w:p>
    <w:p w14:paraId="7C9C38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14:paraId="0603C9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7213"/>
      <w:bookmarkStart w:id="30" w:name="_Toc15377444"/>
      <w:bookmarkStart w:id="31"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1668.71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9"/>
      <w:bookmarkEnd w:id="30"/>
      <w:bookmarkEnd w:id="31"/>
    </w:p>
    <w:p w14:paraId="77A67A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38.52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C927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w:t>
      </w:r>
      <w:r>
        <w:rPr>
          <w:rFonts w:hint="eastAsia" w:eastAsia="仿宋_GB2312" w:cs="仿宋_GB2312"/>
          <w:color w:val="auto"/>
          <w:kern w:val="2"/>
          <w:sz w:val="32"/>
          <w:szCs w:val="32"/>
          <w:highlight w:val="none"/>
          <w:lang w:val="en-US" w:eastAsia="zh-CN" w:bidi="ar-SA"/>
        </w:rPr>
        <w:t>事业</w:t>
      </w:r>
      <w:r>
        <w:rPr>
          <w:rFonts w:hint="eastAsia" w:ascii="Times New Roman" w:hAnsi="Times New Roman" w:eastAsia="仿宋_GB2312" w:cs="仿宋_GB2312"/>
          <w:color w:val="auto"/>
          <w:kern w:val="2"/>
          <w:sz w:val="32"/>
          <w:szCs w:val="32"/>
          <w:highlight w:val="none"/>
          <w:lang w:val="en-US" w:eastAsia="zh-CN" w:bidi="ar-SA"/>
        </w:rPr>
        <w:t>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620102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6D9B15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F8D670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707611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10BF1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10.78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10F8CB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D2AB6A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资源勘探工业信息等支出（类）制造业（款）其他制造业支出（项）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941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83181B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1DE01C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2C6A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资源勘探工业信息等支出（类）工业和信息产业监管（款）行政运行（项）: 支出决算为</w:t>
      </w:r>
      <w:r>
        <w:rPr>
          <w:rFonts w:hint="eastAsia" w:eastAsia="仿宋_GB2312" w:cs="仿宋_GB2312"/>
          <w:color w:val="auto"/>
          <w:kern w:val="2"/>
          <w:sz w:val="32"/>
          <w:szCs w:val="32"/>
          <w:highlight w:val="none"/>
          <w:lang w:val="en-US" w:eastAsia="zh-CN" w:bidi="ar-SA"/>
        </w:rPr>
        <w:t>106.02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016B4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.资源勘探工业信息等支出（类）工业和信息产业监管（款）产业发展（项）: 支出决算为</w:t>
      </w:r>
      <w:r>
        <w:rPr>
          <w:rFonts w:hint="eastAsia" w:eastAsia="仿宋_GB2312" w:cs="仿宋_GB2312"/>
          <w:color w:val="auto"/>
          <w:kern w:val="2"/>
          <w:sz w:val="32"/>
          <w:szCs w:val="32"/>
          <w:highlight w:val="none"/>
          <w:lang w:val="en-US" w:eastAsia="zh-CN" w:bidi="ar-SA"/>
        </w:rPr>
        <w:t>75.46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9068F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.资源勘探工业信息等支出（类）工业和信息产业监管（款）事业运行（项）: 支出决算为</w:t>
      </w:r>
      <w:r>
        <w:rPr>
          <w:rFonts w:hint="eastAsia" w:eastAsia="仿宋_GB2312" w:cs="仿宋_GB2312"/>
          <w:color w:val="auto"/>
          <w:kern w:val="2"/>
          <w:sz w:val="32"/>
          <w:szCs w:val="32"/>
          <w:highlight w:val="none"/>
          <w:lang w:val="en-US" w:eastAsia="zh-CN" w:bidi="ar-SA"/>
        </w:rPr>
        <w:t>230.35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F49F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.资源勘探工业信息等支出（类）工业和信息产业监管（款）其他工业和信息产业监管支出（项）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817B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.资源勘探工业信息等支出（类）支持中小企业发展和管理支出（款）中小企业发展专项（项）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A565F6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B563A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FB156A">
      <w:pPr>
        <w:tabs>
          <w:tab w:val="right" w:pos="8306"/>
        </w:tabs>
        <w:spacing w:line="600" w:lineRule="exact"/>
        <w:ind w:firstLine="640"/>
        <w:outlineLvl w:val="1"/>
        <w:rPr>
          <w:rStyle w:val="29"/>
          <w:rFonts w:ascii="Times New Roman" w:hAnsi="Times New Roman"/>
          <w:color w:val="auto"/>
          <w:highlight w:val="none"/>
        </w:rPr>
      </w:pPr>
      <w:bookmarkStart w:id="32" w:name="_Toc15377214"/>
      <w:bookmarkStart w:id="33"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2"/>
      <w:bookmarkEnd w:id="33"/>
      <w:r>
        <w:rPr>
          <w:rStyle w:val="29"/>
          <w:rFonts w:ascii="Times New Roman" w:hAnsi="Times New Roman" w:eastAsia="黑体"/>
          <w:b w:val="0"/>
          <w:color w:val="auto"/>
          <w:highlight w:val="none"/>
        </w:rPr>
        <w:tab/>
      </w:r>
    </w:p>
    <w:p w14:paraId="30F01C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595.66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805C4A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558.49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元，主要包括：基本工资、津贴补贴、奖金、绩效工资、机关事业单位基本养老保险缴费、其他社会保障缴费、其他工资福利支出、生活补助、住房公积金、其他对个人和家庭的补助支出等。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元，主要包括：办公费、水费、电费、差旅费、工会经费、福利费、公务用车运行维护费、其他交通费、其他商品和服务支出、办公设备购置等。</w:t>
      </w:r>
    </w:p>
    <w:p w14:paraId="1FDE66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F1AE5F">
      <w:pPr>
        <w:spacing w:line="600" w:lineRule="exact"/>
        <w:ind w:firstLine="640"/>
        <w:outlineLvl w:val="1"/>
        <w:rPr>
          <w:rStyle w:val="29"/>
          <w:rFonts w:ascii="Times New Roman" w:hAnsi="Times New Roman" w:eastAsia="黑体"/>
          <w:b w:val="0"/>
          <w:color w:val="auto"/>
          <w:highlight w:val="none"/>
        </w:rPr>
      </w:pPr>
      <w:bookmarkStart w:id="34" w:name="_Toc15396609"/>
      <w:bookmarkStart w:id="35" w:name="_Toc15377215"/>
      <w:bookmarkStart w:id="65" w:name="_GoBack"/>
      <w:bookmarkEnd w:id="6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4"/>
      <w:bookmarkEnd w:id="35"/>
    </w:p>
    <w:p w14:paraId="0DF195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6"/>
    </w:p>
    <w:p w14:paraId="1C5D147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2.38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95.2</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147DDA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7"/>
    </w:p>
    <w:p w14:paraId="3CC1167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C0FAC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A2698EF">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00550" cy="272415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a:stretch>
                      <a:fillRect/>
                    </a:stretch>
                  </pic:blipFill>
                  <pic:spPr>
                    <a:xfrm>
                      <a:off x="0" y="0"/>
                      <a:ext cx="4400550" cy="2724150"/>
                    </a:xfrm>
                    <a:prstGeom prst="rect">
                      <a:avLst/>
                    </a:prstGeom>
                    <a:noFill/>
                    <a:ln>
                      <a:noFill/>
                    </a:ln>
                  </pic:spPr>
                </pic:pic>
              </a:graphicData>
            </a:graphic>
          </wp:inline>
        </w:drawing>
      </w:r>
    </w:p>
    <w:p w14:paraId="470A022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2023年度无因公出国（境）经费支出。</w:t>
      </w:r>
    </w:p>
    <w:p w14:paraId="7AF9B8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1F3BCE7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Times New Roman" w:hAnsi="Times New Roman" w:eastAsia="仿宋_GB2312" w:cs="仿宋_GB2312"/>
          <w:color w:val="auto"/>
          <w:sz w:val="32"/>
          <w:szCs w:val="32"/>
          <w:highlight w:val="none"/>
        </w:rPr>
        <w:t>根据攀西委（2024）48号关于攀枝花市西区机构改革方案区经合局划入区经信局，机构合并</w:t>
      </w:r>
      <w:r>
        <w:rPr>
          <w:rFonts w:hint="eastAsia" w:eastAsia="仿宋_GB2312" w:cs="仿宋_GB2312"/>
          <w:color w:val="auto"/>
          <w:sz w:val="32"/>
          <w:szCs w:val="32"/>
          <w:highlight w:val="none"/>
          <w:lang w:val="en-US" w:eastAsia="zh-CN"/>
        </w:rPr>
        <w:t>,车辆一并移交。</w:t>
      </w:r>
    </w:p>
    <w:p w14:paraId="7AC63B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BB57C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招商引资</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0D3782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是本年度无公务接待任务</w:t>
      </w:r>
      <w:r>
        <w:rPr>
          <w:rFonts w:hint="eastAsia" w:ascii="Times New Roman" w:hAnsi="Times New Roman" w:eastAsia="仿宋_GB2312" w:cs="仿宋_GB2312"/>
          <w:color w:val="auto"/>
          <w:kern w:val="2"/>
          <w:sz w:val="32"/>
          <w:szCs w:val="32"/>
          <w:highlight w:val="none"/>
          <w:lang w:val="en-US" w:eastAsia="zh-CN" w:bidi="ar-SA"/>
        </w:rPr>
        <w:t>。其中：</w:t>
      </w:r>
    </w:p>
    <w:p w14:paraId="4F0B0A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46CC2D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61D475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96610"/>
      <w:bookmarkStart w:id="39" w:name="_Toc15377218"/>
    </w:p>
    <w:p w14:paraId="1C873542">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8"/>
      <w:bookmarkEnd w:id="39"/>
    </w:p>
    <w:p w14:paraId="40940D5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92.41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5.24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52.38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56.68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687E8D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C317B5">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0" w:name="_Toc15377219"/>
      <w:bookmarkStart w:id="41"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0"/>
      <w:bookmarkEnd w:id="41"/>
    </w:p>
    <w:p w14:paraId="565DE8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本年度无国有资本经营预算财政拨款支出。</w:t>
      </w:r>
    </w:p>
    <w:p w14:paraId="795BC7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BF3C03">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2" w:name="_Toc15396612"/>
      <w:bookmarkStart w:id="43"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2"/>
      <w:bookmarkEnd w:id="43"/>
    </w:p>
    <w:p w14:paraId="0E0EF5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14:paraId="79E717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攀枝花市西区经济和信息化局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37.18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16.88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45.4</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ascii="Times New Roman" w:hAnsi="Times New Roman" w:eastAsia="仿宋_GB2312" w:cs="仿宋_GB2312"/>
          <w:color w:val="auto"/>
          <w:sz w:val="32"/>
          <w:szCs w:val="32"/>
          <w:highlight w:val="none"/>
        </w:rPr>
        <w:t>根据攀西委（2024）48号关于攀枝花市西区机构改革方案区经合局划入区经信局，机构合并</w:t>
      </w:r>
      <w:r>
        <w:rPr>
          <w:rFonts w:hint="eastAsia" w:eastAsia="仿宋_GB2312" w:cs="仿宋_GB2312"/>
          <w:color w:val="auto"/>
          <w:sz w:val="32"/>
          <w:szCs w:val="32"/>
          <w:highlight w:val="none"/>
          <w:lang w:eastAsia="zh-CN"/>
        </w:rPr>
        <w:t>。</w:t>
      </w:r>
    </w:p>
    <w:p w14:paraId="6C6BE5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E61C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3"/>
      <w:r>
        <w:rPr>
          <w:rFonts w:hint="eastAsia" w:ascii="Times New Roman" w:hAnsi="Times New Roman" w:eastAsia="楷体_GB2312" w:cs="楷体_GB2312"/>
          <w:b/>
          <w:color w:val="auto"/>
          <w:sz w:val="32"/>
          <w:szCs w:val="32"/>
          <w:highlight w:val="none"/>
        </w:rPr>
        <w:t>（二）政府采购支出情况</w:t>
      </w:r>
      <w:bookmarkEnd w:id="45"/>
    </w:p>
    <w:p w14:paraId="14A8D47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攀枝花市西区经济和信息化局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54E04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6CBE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14:paraId="1D3CAF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攀枝花市西区经济和信息化局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EE641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4982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A1468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转企升规”培育工作财政激励资金</w:t>
      </w:r>
      <w:r>
        <w:rPr>
          <w:rFonts w:hint="eastAsia" w:eastAsia="仿宋_GB2312" w:cs="仿宋_GB2312"/>
          <w:color w:val="auto"/>
          <w:kern w:val="2"/>
          <w:sz w:val="32"/>
          <w:szCs w:val="32"/>
          <w:highlight w:val="none"/>
          <w:lang w:val="en-US" w:eastAsia="zh-CN" w:bidi="ar-SA"/>
        </w:rPr>
        <w:t>、省级工业发展资金-2023年市场开拓活动资金、省级工业发展资金-2022年冲刺全年工业稳增长目标任务激励资金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BC3655C">
      <w:pPr>
        <w:spacing w:line="600" w:lineRule="exact"/>
        <w:ind w:firstLine="640"/>
        <w:rPr>
          <w:rFonts w:hint="eastAsia" w:ascii="仿宋_GB2312" w:hAnsi="Calibri" w:eastAsia="仿宋_GB2312" w:cs="仿宋"/>
          <w:color w:val="auto"/>
          <w:kern w:val="0"/>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组织对2024年度一般公共预算、政府性基金预算等全面开展绩效自评，形成</w:t>
      </w:r>
      <w:r>
        <w:rPr>
          <w:rFonts w:hint="eastAsia" w:ascii="仿宋_GB2312" w:hAnsi="仿宋_GB2312" w:eastAsia="仿宋_GB2312" w:cs="仿宋_GB2312"/>
          <w:sz w:val="32"/>
          <w:szCs w:val="32"/>
        </w:rPr>
        <w:t>攀枝花市西区经济和信息化局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转企升规”培育工作财政激励资金</w:t>
      </w:r>
      <w:r>
        <w:rPr>
          <w:rFonts w:hint="eastAsia" w:eastAsia="仿宋_GB2312" w:cs="仿宋_GB2312"/>
          <w:color w:val="auto"/>
          <w:kern w:val="2"/>
          <w:sz w:val="32"/>
          <w:szCs w:val="32"/>
          <w:highlight w:val="none"/>
          <w:lang w:val="en-US" w:eastAsia="zh-CN" w:bidi="ar-SA"/>
        </w:rPr>
        <w:t>、省级工业发展资金-2023年市场开拓活动</w:t>
      </w:r>
      <w:r>
        <w:rPr>
          <w:rFonts w:hint="eastAsia" w:ascii="仿宋_GB2312" w:hAnsi="Calibri" w:eastAsia="仿宋_GB2312" w:cs="仿宋"/>
          <w:color w:val="auto"/>
          <w:kern w:val="0"/>
          <w:sz w:val="32"/>
          <w:szCs w:val="32"/>
          <w:highlight w:val="none"/>
          <w:lang w:val="en-US" w:eastAsia="zh-CN" w:bidi="ar-SA"/>
        </w:rPr>
        <w:t>资金、省级工业发展资金-2022年冲刺全年工业稳增长目标任务激励资金等专项预算项目绩效自评报告，其中，攀枝花市西区经济和信息化局部门整体（含部门预算项目）绩效自评得分为97分，绩效自评综述促进地方经济发展、促进社会进步、带动就业、提高人民生活水平，顺利完成工作任务，达到预期目标；“转企升规”培育工作财政激励资金专项预算项目绩效自评得分为100分，绩效自评综述完成</w:t>
      </w:r>
      <w:r>
        <w:rPr>
          <w:rFonts w:hint="eastAsia" w:ascii="仿宋_GB2312" w:hAnsi="Calibri" w:eastAsia="仿宋_GB2312" w:cs="仿宋"/>
          <w:color w:val="auto"/>
          <w:kern w:val="0"/>
          <w:sz w:val="32"/>
          <w:szCs w:val="32"/>
          <w:highlight w:val="none"/>
          <w:lang w:val="zh-CN" w:eastAsia="zh-CN" w:bidi="ar-SA"/>
        </w:rPr>
        <w:t>辰阳工贸、城府旗正、鸿康工贸、三维发电、阳晨污水、鼎道工贸、晶磊新材料、顺帆工贸8户</w:t>
      </w:r>
      <w:r>
        <w:rPr>
          <w:rFonts w:hint="eastAsia" w:ascii="仿宋_GB2312" w:hAnsi="Calibri" w:eastAsia="仿宋_GB2312" w:cs="仿宋"/>
          <w:color w:val="auto"/>
          <w:kern w:val="0"/>
          <w:sz w:val="32"/>
          <w:szCs w:val="32"/>
          <w:highlight w:val="none"/>
          <w:lang w:val="en-US" w:eastAsia="zh-CN" w:bidi="ar-SA"/>
        </w:rPr>
        <w:t>企业升规入户；2021年火电企业丰存枯用电煤储存奖补资金--攀钢集团钒钛资源股份有限公司发电厂）专项预算项目绩效自评得分为100分，绩效自评综述</w:t>
      </w:r>
      <w:r>
        <w:rPr>
          <w:rFonts w:hint="eastAsia" w:ascii="仿宋_GB2312" w:hAnsi="Calibri" w:eastAsia="仿宋_GB2312" w:cs="仿宋"/>
          <w:color w:val="auto"/>
          <w:kern w:val="0"/>
          <w:sz w:val="32"/>
          <w:szCs w:val="32"/>
          <w:highlight w:val="none"/>
          <w:lang w:val="zh-CN" w:eastAsia="zh-CN" w:bidi="ar-SA"/>
        </w:rPr>
        <w:t>攀钢集团钒钛资源股份有限公司发电厂</w:t>
      </w:r>
      <w:r>
        <w:rPr>
          <w:rFonts w:hint="eastAsia" w:ascii="仿宋_GB2312" w:hAnsi="Calibri" w:eastAsia="仿宋_GB2312" w:cs="仿宋"/>
          <w:color w:val="auto"/>
          <w:kern w:val="0"/>
          <w:sz w:val="32"/>
          <w:szCs w:val="32"/>
          <w:highlight w:val="none"/>
          <w:lang w:val="en-US" w:eastAsia="zh-CN" w:bidi="ar-SA"/>
        </w:rPr>
        <w:t>在2021年</w:t>
      </w:r>
      <w:r>
        <w:rPr>
          <w:rFonts w:hint="eastAsia" w:ascii="仿宋_GB2312" w:hAnsi="Calibri" w:eastAsia="仿宋_GB2312" w:cs="仿宋"/>
          <w:color w:val="auto"/>
          <w:kern w:val="0"/>
          <w:sz w:val="32"/>
          <w:szCs w:val="32"/>
          <w:highlight w:val="none"/>
          <w:lang w:val="zh-CN" w:eastAsia="zh-CN" w:bidi="ar-SA"/>
        </w:rPr>
        <w:t>11月30日</w:t>
      </w:r>
      <w:r>
        <w:rPr>
          <w:rFonts w:hint="eastAsia" w:ascii="仿宋_GB2312" w:hAnsi="Calibri" w:eastAsia="仿宋_GB2312" w:cs="仿宋"/>
          <w:color w:val="auto"/>
          <w:kern w:val="0"/>
          <w:sz w:val="32"/>
          <w:szCs w:val="32"/>
          <w:highlight w:val="none"/>
          <w:lang w:val="en-US" w:eastAsia="zh-CN" w:bidi="ar-SA"/>
        </w:rPr>
        <w:t>前</w:t>
      </w:r>
      <w:r>
        <w:rPr>
          <w:rFonts w:hint="eastAsia" w:ascii="仿宋_GB2312" w:hAnsi="Calibri" w:eastAsia="仿宋_GB2312" w:cs="仿宋"/>
          <w:color w:val="auto"/>
          <w:kern w:val="0"/>
          <w:sz w:val="32"/>
          <w:szCs w:val="32"/>
          <w:highlight w:val="none"/>
          <w:lang w:val="zh-CN" w:eastAsia="zh-CN" w:bidi="ar-SA"/>
        </w:rPr>
        <w:t>储备丰存枯用电煤21.09万吨，</w:t>
      </w:r>
      <w:r>
        <w:rPr>
          <w:rFonts w:hint="eastAsia" w:ascii="仿宋_GB2312" w:hAnsi="Calibri" w:eastAsia="仿宋_GB2312" w:cs="仿宋"/>
          <w:color w:val="auto"/>
          <w:kern w:val="0"/>
          <w:sz w:val="32"/>
          <w:szCs w:val="32"/>
          <w:highlight w:val="none"/>
          <w:lang w:val="en-US" w:eastAsia="zh-CN" w:bidi="ar-SA"/>
        </w:rPr>
        <w:t>完成省能源局前下达的储煤任务；规上工业企业研发平台建设专项资金（国鑫-中试研发平台建设）专项预算项目绩效自评得分为100分，绩效自评综述</w:t>
      </w:r>
      <w:r>
        <w:rPr>
          <w:rFonts w:hint="eastAsia" w:ascii="仿宋_GB2312" w:hAnsi="Calibri" w:eastAsia="仿宋_GB2312" w:cs="仿宋"/>
          <w:color w:val="auto"/>
          <w:kern w:val="0"/>
          <w:sz w:val="32"/>
          <w:szCs w:val="32"/>
          <w:highlight w:val="none"/>
          <w:lang w:val="zh-CN" w:eastAsia="zh-CN" w:bidi="ar-SA"/>
        </w:rPr>
        <w:t>满足</w:t>
      </w:r>
      <w:r>
        <w:rPr>
          <w:rFonts w:hint="eastAsia" w:ascii="仿宋_GB2312" w:hAnsi="Calibri" w:eastAsia="仿宋_GB2312" w:cs="仿宋"/>
          <w:color w:val="auto"/>
          <w:kern w:val="0"/>
          <w:sz w:val="32"/>
          <w:szCs w:val="32"/>
          <w:highlight w:val="none"/>
          <w:lang w:val="en-US" w:eastAsia="zh-CN" w:bidi="ar-SA"/>
        </w:rPr>
        <w:t>国鑫机械</w:t>
      </w:r>
      <w:r>
        <w:rPr>
          <w:rFonts w:hint="eastAsia" w:ascii="仿宋_GB2312" w:hAnsi="Calibri" w:eastAsia="仿宋_GB2312" w:cs="仿宋"/>
          <w:color w:val="auto"/>
          <w:kern w:val="0"/>
          <w:sz w:val="32"/>
          <w:szCs w:val="32"/>
          <w:highlight w:val="none"/>
          <w:lang w:val="zh-CN" w:eastAsia="zh-CN" w:bidi="ar-SA"/>
        </w:rPr>
        <w:t>铁路运输制品、铁路运输加固材料、高分子材料制品、激光表面处理和轧辊堆焊修复等产品研发需求，平台设有五个配套试验车间，负责对钢轨和卷钢铁路外发用专用装置性能安全试验、大型轧辊的再制造修复和激光表面强化、工程机械的维护检修、高分子材料的配方性能改进设计、高精度机加工零部件新产品的开发</w:t>
      </w:r>
      <w:r>
        <w:rPr>
          <w:rFonts w:hint="eastAsia" w:ascii="仿宋_GB2312" w:hAnsi="Calibri" w:eastAsia="仿宋_GB2312" w:cs="仿宋"/>
          <w:color w:val="auto"/>
          <w:kern w:val="0"/>
          <w:sz w:val="32"/>
          <w:szCs w:val="32"/>
          <w:highlight w:val="none"/>
          <w:lang w:val="en-US" w:eastAsia="zh-CN" w:bidi="ar-SA"/>
        </w:rPr>
        <w:t>；省级防疫能力建设资金专项预算项目绩效自评得分为100分，绩效自评综述支持企业在疫情期间加大投入，对企业在疫情期间支出的防疫物资费用作一定补贴，持续生产促进西区经济快速发展；省级工业“小升规”和培育服务活动专项预算项目绩效自评得分为100分，绩效自评综述奖励2023年升规入库企业及区经济和信息化局后续开展企业培育，咨询政策意见工作经费；省级工业发展专项资金（新能源、氢能源等）-2022年新能源与智能汽车产业发展若干政策专项预算项目绩效自评得分为100分，绩效自评综述采购氢能车辆，建设氢能车辆示范项目，加快打造攀枝花氢能示范城市；省级工业发展专项资金-攀枝花瑞峰水泥有限公司超低排放改造项目100万，西区打造5家示范企业50万专项预算项目绩效自评得分为100分，绩效自评综述瑞峰水泥完成超低排放改造项目建设并验收；省级工业发展专项资金-小型微型企业升规奖励-企业激励专项预算项目绩效自评得分为100分，绩效自评综述用于开展企业培育，咨询政策意见，促进企业健康发展；省级工业发展资金-2022年冲刺全年工业稳增长目标任务激励资金专项预算项目绩效自评得分为100分，绩效自评综述激励对全年工业稳增长目标任务作出较大贡献的园区、企业等。二是提升重点工业企业工业统计基础能力；省级工业发展资金-2023年市场开拓活动资金专项预算项目绩效自评得分为100分，绩效自评综述2024年，</w:t>
      </w:r>
      <w:r>
        <w:rPr>
          <w:rFonts w:hint="default" w:ascii="仿宋_GB2312" w:hAnsi="Calibri" w:eastAsia="仿宋_GB2312" w:cs="仿宋"/>
          <w:color w:val="auto"/>
          <w:kern w:val="0"/>
          <w:sz w:val="32"/>
          <w:szCs w:val="32"/>
          <w:highlight w:val="none"/>
          <w:lang w:val="en-US" w:eastAsia="zh-CN" w:bidi="ar-SA"/>
        </w:rPr>
        <w:t>赴河北、河南、陕西、浙江、成都、重庆等地开展小分队招商20余次</w:t>
      </w:r>
      <w:r>
        <w:rPr>
          <w:rFonts w:hint="eastAsia" w:ascii="仿宋_GB2312" w:hAnsi="Calibri" w:eastAsia="仿宋_GB2312" w:cs="仿宋"/>
          <w:color w:val="auto"/>
          <w:kern w:val="0"/>
          <w:sz w:val="32"/>
          <w:szCs w:val="32"/>
          <w:highlight w:val="none"/>
          <w:lang w:val="en-US" w:eastAsia="zh-CN" w:bidi="ar-SA"/>
        </w:rPr>
        <w:t>、</w:t>
      </w:r>
      <w:r>
        <w:rPr>
          <w:rFonts w:hint="default" w:ascii="仿宋_GB2312" w:hAnsi="Calibri" w:eastAsia="仿宋_GB2312" w:cs="仿宋"/>
          <w:color w:val="auto"/>
          <w:kern w:val="0"/>
          <w:sz w:val="32"/>
          <w:szCs w:val="32"/>
          <w:highlight w:val="none"/>
          <w:lang w:val="en-US" w:eastAsia="zh-CN" w:bidi="ar-SA"/>
        </w:rPr>
        <w:t>对接洽谈项目100余场</w:t>
      </w:r>
      <w:r>
        <w:rPr>
          <w:rFonts w:hint="eastAsia" w:ascii="仿宋_GB2312" w:hAnsi="Calibri" w:eastAsia="仿宋_GB2312" w:cs="仿宋"/>
          <w:color w:val="auto"/>
          <w:kern w:val="0"/>
          <w:sz w:val="32"/>
          <w:szCs w:val="32"/>
          <w:highlight w:val="none"/>
          <w:lang w:val="en-US" w:eastAsia="zh-CN" w:bidi="ar-SA"/>
        </w:rPr>
        <w:t>；</w:t>
      </w:r>
      <w:r>
        <w:rPr>
          <w:rFonts w:hint="default" w:ascii="仿宋_GB2312" w:hAnsi="Calibri" w:eastAsia="仿宋_GB2312" w:cs="仿宋"/>
          <w:color w:val="auto"/>
          <w:kern w:val="0"/>
          <w:sz w:val="32"/>
          <w:szCs w:val="32"/>
          <w:highlight w:val="none"/>
          <w:lang w:val="en-US" w:eastAsia="zh-CN" w:bidi="ar-SA"/>
        </w:rPr>
        <w:t>同时</w:t>
      </w:r>
      <w:r>
        <w:rPr>
          <w:rFonts w:hint="eastAsia" w:ascii="仿宋_GB2312" w:hAnsi="Calibri" w:eastAsia="仿宋_GB2312" w:cs="仿宋"/>
          <w:color w:val="auto"/>
          <w:kern w:val="0"/>
          <w:sz w:val="32"/>
          <w:szCs w:val="32"/>
          <w:highlight w:val="none"/>
          <w:lang w:val="en-US" w:eastAsia="zh-CN" w:bidi="ar-SA"/>
        </w:rPr>
        <w:t>，通过</w:t>
      </w:r>
      <w:r>
        <w:rPr>
          <w:rFonts w:hint="default" w:ascii="仿宋_GB2312" w:hAnsi="Calibri" w:eastAsia="仿宋_GB2312" w:cs="仿宋"/>
          <w:color w:val="auto"/>
          <w:kern w:val="0"/>
          <w:sz w:val="32"/>
          <w:szCs w:val="32"/>
          <w:highlight w:val="none"/>
          <w:lang w:val="en-US" w:eastAsia="zh-CN" w:bidi="ar-SA"/>
        </w:rPr>
        <w:t>深化产业链招商、以商招商、平台招商等多种方式，</w:t>
      </w:r>
      <w:r>
        <w:rPr>
          <w:rFonts w:hint="eastAsia" w:ascii="仿宋_GB2312" w:hAnsi="Calibri" w:eastAsia="仿宋_GB2312" w:cs="仿宋"/>
          <w:color w:val="auto"/>
          <w:kern w:val="0"/>
          <w:sz w:val="32"/>
          <w:szCs w:val="32"/>
          <w:highlight w:val="none"/>
          <w:lang w:val="en-US" w:eastAsia="zh-CN" w:bidi="ar-SA"/>
        </w:rPr>
        <w:t>对</w:t>
      </w:r>
      <w:r>
        <w:rPr>
          <w:rFonts w:hint="default" w:ascii="仿宋_GB2312" w:hAnsi="Calibri" w:eastAsia="仿宋_GB2312" w:cs="仿宋"/>
          <w:color w:val="auto"/>
          <w:kern w:val="0"/>
          <w:sz w:val="32"/>
          <w:szCs w:val="32"/>
          <w:highlight w:val="none"/>
          <w:lang w:val="en-US" w:eastAsia="zh-CN" w:bidi="ar-SA"/>
        </w:rPr>
        <w:t>四川能投、蜀道集团、华西能源、中科清能等一大批行业领军企业实施精准招商，成功招引银河化学固废资源绿色循环高值化综合利用、鼎智新能源年产2万吨五氧化二钒等9个工业项目，预计总投资62.7亿元（其中，10亿元及以上项目2个，5亿元以上项目5个）</w:t>
      </w:r>
      <w:r>
        <w:rPr>
          <w:rFonts w:hint="eastAsia" w:ascii="仿宋_GB2312" w:hAnsi="Calibri" w:eastAsia="仿宋_GB2312" w:cs="仿宋"/>
          <w:color w:val="auto"/>
          <w:kern w:val="0"/>
          <w:sz w:val="32"/>
          <w:szCs w:val="32"/>
          <w:highlight w:val="none"/>
          <w:lang w:val="en-US" w:eastAsia="zh-CN" w:bidi="ar-SA"/>
        </w:rPr>
        <w:t>；省预算内基本建设投资计划220万元(川煤集团攀枝花采煤沉陷区综合治理项目)专项预算项目绩效自评得分为100分，绩效自评综述完成对矿山地质环境得到保护、治理和恢复，原有林地得到保护，区域生态功能有效恢复和提高，实现矿区生态环境与周边自然环境的协调，建成绿色矿山。这样就消除了矿区外围居民以及社会公众对采矿影响的担心，维护社会稳定，为矿业开发创造了良好的社会氛围。绩效自评报告详见附件。</w:t>
      </w:r>
    </w:p>
    <w:p w14:paraId="25FE84C1">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A82474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96613"/>
      <w:bookmarkStart w:id="48" w:name="_Toc15377225"/>
    </w:p>
    <w:p w14:paraId="322585B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27596C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84917F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6674778">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14:paraId="75E99A5C">
      <w:pPr>
        <w:spacing w:line="600" w:lineRule="exact"/>
        <w:jc w:val="left"/>
        <w:rPr>
          <w:rFonts w:ascii="Times New Roman" w:hAnsi="Times New Roman"/>
          <w:b/>
          <w:color w:val="auto"/>
          <w:sz w:val="44"/>
          <w:szCs w:val="44"/>
          <w:highlight w:val="none"/>
        </w:rPr>
      </w:pPr>
    </w:p>
    <w:p w14:paraId="12C168F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211B400">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269EFF1E">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7EB7F56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469FDAC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7E02AD4D">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613DA86">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20FA966">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0D574E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default" w:hAnsi="仿宋" w:eastAsia="仿宋"/>
          <w:color w:val="auto"/>
          <w:sz w:val="32"/>
          <w:szCs w:val="32"/>
          <w:lang w:val="en-US" w:eastAsia="zh-CN"/>
        </w:rPr>
      </w:pPr>
      <w:r>
        <w:rPr>
          <w:rFonts w:hAnsi="仿宋"/>
          <w:color w:val="auto"/>
          <w:sz w:val="32"/>
          <w:szCs w:val="32"/>
        </w:rPr>
        <w:t>9.</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（类）商贸事务（款）行政运行（项）</w:t>
      </w:r>
      <w:r>
        <w:rPr>
          <w:rFonts w:hint="eastAsia" w:hAnsi="仿宋"/>
          <w:color w:val="auto"/>
          <w:sz w:val="32"/>
          <w:szCs w:val="32"/>
          <w:lang w:eastAsia="zh-CN"/>
        </w:rPr>
        <w:t>：指反映行政单位(包括实行公务员管理的事业单位)的基本支出。</w:t>
      </w:r>
    </w:p>
    <w:p w14:paraId="7E898358">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default" w:hAnsi="仿宋"/>
          <w:sz w:val="32"/>
          <w:szCs w:val="32"/>
          <w:lang w:val="en-US" w:eastAsia="zh-CN"/>
        </w:rPr>
      </w:pPr>
      <w:r>
        <w:rPr>
          <w:rFonts w:hint="eastAsia" w:hAnsi="仿宋"/>
          <w:sz w:val="32"/>
          <w:szCs w:val="32"/>
          <w:lang w:val="en-US" w:eastAsia="zh-CN"/>
        </w:rPr>
        <w:t>10.</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w:t>
      </w:r>
      <w:r>
        <w:rPr>
          <w:rFonts w:hint="eastAsia" w:eastAsia="仿宋_GB2312" w:cs="仿宋_GB2312"/>
          <w:color w:val="auto"/>
          <w:kern w:val="2"/>
          <w:sz w:val="32"/>
          <w:szCs w:val="32"/>
          <w:highlight w:val="none"/>
          <w:lang w:val="en-US" w:eastAsia="zh-CN" w:bidi="ar-SA"/>
        </w:rPr>
        <w:t>事业</w:t>
      </w:r>
      <w:r>
        <w:rPr>
          <w:rFonts w:hint="eastAsia" w:ascii="Times New Roman" w:hAnsi="Times New Roman" w:eastAsia="仿宋_GB2312" w:cs="仿宋_GB2312"/>
          <w:color w:val="auto"/>
          <w:kern w:val="2"/>
          <w:sz w:val="32"/>
          <w:szCs w:val="32"/>
          <w:highlight w:val="none"/>
          <w:lang w:val="en-US" w:eastAsia="zh-CN" w:bidi="ar-SA"/>
        </w:rPr>
        <w:t>运行（项）:反映事业单位的基本支出，不包括行政单位(包括实行公务员管理的事业单位)后勤服务中心、医务室等附属事业单位。</w:t>
      </w:r>
    </w:p>
    <w:p w14:paraId="249DC714">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eastAsia" w:hAnsi="仿宋" w:eastAsia="仿宋"/>
          <w:sz w:val="32"/>
          <w:szCs w:val="32"/>
          <w:lang w:val="en-US" w:eastAsia="zh-CN"/>
        </w:rPr>
      </w:pPr>
      <w:r>
        <w:rPr>
          <w:rFonts w:hint="eastAsia" w:hAnsi="仿宋"/>
          <w:sz w:val="32"/>
          <w:szCs w:val="32"/>
          <w:lang w:val="en-US" w:eastAsia="zh-CN"/>
        </w:rPr>
        <w:t>11.</w:t>
      </w:r>
      <w:r>
        <w:rPr>
          <w:rFonts w:hint="eastAsia" w:ascii="仿宋" w:hAnsi="仿宋" w:eastAsia="仿宋"/>
          <w:sz w:val="32"/>
          <w:szCs w:val="32"/>
        </w:rPr>
        <w:t>社会保障和就业支出（类）行政事业单位养老支出（款）行政单位离退休（项）：指反映行政单位(包括实行公务员管理的事业单位)开支的离退休经费</w:t>
      </w:r>
      <w:r>
        <w:rPr>
          <w:rFonts w:hint="eastAsia" w:hAnsi="仿宋"/>
          <w:sz w:val="32"/>
          <w:szCs w:val="32"/>
          <w:lang w:eastAsia="zh-CN"/>
        </w:rPr>
        <w:t>。</w:t>
      </w:r>
    </w:p>
    <w:p w14:paraId="0D7C5539">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Ansi="仿宋"/>
          <w:color w:val="auto"/>
          <w:sz w:val="32"/>
          <w:szCs w:val="32"/>
        </w:rPr>
      </w:pPr>
      <w:r>
        <w:rPr>
          <w:rFonts w:hint="eastAsia" w:hAnsi="仿宋"/>
          <w:sz w:val="32"/>
          <w:szCs w:val="32"/>
          <w:lang w:val="en-US" w:eastAsia="zh-CN"/>
        </w:rPr>
        <w:t>12.</w:t>
      </w:r>
      <w:r>
        <w:rPr>
          <w:rFonts w:hint="eastAsia" w:ascii="仿宋" w:hAnsi="仿宋" w:eastAsia="仿宋"/>
          <w:sz w:val="32"/>
          <w:szCs w:val="32"/>
        </w:rPr>
        <w:t>社会保障和就业支出（类）行政事业单位养老支出（款）机关事业单位基本养老保险缴费支出（项）：指机关事业单位实施养老保险制度有单位缴纳的基本养老保险费支出</w:t>
      </w:r>
      <w:r>
        <w:rPr>
          <w:rFonts w:hint="eastAsia" w:hAnsi="仿宋"/>
          <w:color w:val="auto"/>
          <w:sz w:val="32"/>
          <w:szCs w:val="32"/>
        </w:rPr>
        <w:t>。</w:t>
      </w:r>
    </w:p>
    <w:p w14:paraId="119D7F1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eastAsia" w:hAnsi="仿宋" w:eastAsia="仿宋"/>
          <w:color w:val="auto"/>
          <w:sz w:val="32"/>
          <w:szCs w:val="32"/>
          <w:lang w:eastAsia="zh-CN"/>
        </w:rPr>
      </w:pPr>
      <w:r>
        <w:rPr>
          <w:rFonts w:hAnsi="仿宋"/>
          <w:color w:val="auto"/>
          <w:sz w:val="32"/>
          <w:szCs w:val="32"/>
        </w:rPr>
        <w:t>1</w:t>
      </w:r>
      <w:r>
        <w:rPr>
          <w:rFonts w:hint="eastAsia" w:hAnsi="仿宋"/>
          <w:color w:val="auto"/>
          <w:sz w:val="32"/>
          <w:szCs w:val="32"/>
          <w:lang w:val="en-US" w:eastAsia="zh-CN"/>
        </w:rPr>
        <w:t>3</w:t>
      </w:r>
      <w:r>
        <w:rPr>
          <w:rFonts w:hAnsi="仿宋"/>
          <w:color w:val="auto"/>
          <w:sz w:val="32"/>
          <w:szCs w:val="32"/>
        </w:rPr>
        <w:t>.</w:t>
      </w:r>
      <w:r>
        <w:rPr>
          <w:rFonts w:hint="eastAsia" w:ascii="仿宋" w:hAnsi="仿宋" w:eastAsia="仿宋"/>
          <w:sz w:val="32"/>
          <w:szCs w:val="32"/>
        </w:rPr>
        <w:t>社会保障和就业支出（类）行政事业单位养老支出（款）机关事业单位职业年金缴费支出（项）：指反映机关事业单位实施养老保险制度由单位实际缴纳的职业年金</w:t>
      </w:r>
      <w:r>
        <w:rPr>
          <w:rFonts w:hint="eastAsia" w:hAnsi="仿宋"/>
          <w:sz w:val="32"/>
          <w:szCs w:val="32"/>
          <w:lang w:eastAsia="zh-CN"/>
        </w:rPr>
        <w:t>支</w:t>
      </w:r>
      <w:r>
        <w:rPr>
          <w:rFonts w:hint="eastAsia" w:ascii="仿宋" w:hAnsi="仿宋" w:eastAsia="仿宋"/>
          <w:sz w:val="32"/>
          <w:szCs w:val="32"/>
        </w:rPr>
        <w:t>出</w:t>
      </w:r>
      <w:r>
        <w:rPr>
          <w:rFonts w:hint="eastAsia" w:hAnsi="仿宋"/>
          <w:sz w:val="32"/>
          <w:szCs w:val="32"/>
          <w:lang w:eastAsia="zh-CN"/>
        </w:rPr>
        <w:t>。</w:t>
      </w:r>
    </w:p>
    <w:p w14:paraId="6D91BB8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Ansi="仿宋"/>
          <w:color w:val="auto"/>
          <w:sz w:val="32"/>
          <w:szCs w:val="32"/>
        </w:rPr>
      </w:pPr>
      <w:r>
        <w:rPr>
          <w:rFonts w:hint="eastAsia" w:hAnsi="仿宋"/>
          <w:sz w:val="32"/>
          <w:szCs w:val="32"/>
          <w:lang w:val="en-US" w:eastAsia="zh-CN"/>
        </w:rPr>
        <w:t>14.卫生</w:t>
      </w:r>
      <w:r>
        <w:rPr>
          <w:rFonts w:hint="eastAsia" w:ascii="仿宋" w:hAnsi="仿宋" w:eastAsia="仿宋"/>
          <w:sz w:val="32"/>
          <w:szCs w:val="32"/>
        </w:rPr>
        <w:t>健康支出（类）行政事业单位医疗支出（款）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hAnsi="仿宋"/>
          <w:color w:val="auto"/>
          <w:sz w:val="32"/>
          <w:szCs w:val="32"/>
        </w:rPr>
        <w:t>。</w:t>
      </w:r>
    </w:p>
    <w:p w14:paraId="2F3FFAF9">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Ansi="仿宋"/>
          <w:color w:val="auto"/>
          <w:sz w:val="32"/>
          <w:szCs w:val="32"/>
        </w:rPr>
      </w:pPr>
      <w:r>
        <w:rPr>
          <w:rFonts w:hint="eastAsia" w:hAnsi="仿宋"/>
          <w:color w:val="auto"/>
          <w:sz w:val="32"/>
          <w:szCs w:val="32"/>
          <w:lang w:val="en-US" w:eastAsia="zh-CN"/>
        </w:rPr>
        <w:t>15</w:t>
      </w:r>
      <w:r>
        <w:rPr>
          <w:rFonts w:hAnsi="仿宋"/>
          <w:color w:val="auto"/>
          <w:sz w:val="32"/>
          <w:szCs w:val="32"/>
        </w:rPr>
        <w:t>.</w:t>
      </w:r>
      <w:r>
        <w:rPr>
          <w:rFonts w:hint="eastAsia" w:ascii="仿宋" w:hAnsi="仿宋" w:eastAsia="仿宋"/>
          <w:sz w:val="32"/>
          <w:szCs w:val="32"/>
        </w:rPr>
        <w:t>卫生健康支出支出（类）行政事业单位医疗支出（款）事业单位医疗（项）：反映财政部门安排的事业单位基本医疗保险缴费经费，未参加医疗保险的事业单位的公费医疗经费，按国家规定享受离休人员待遇的医疗经费</w:t>
      </w:r>
      <w:r>
        <w:rPr>
          <w:rFonts w:hint="eastAsia" w:hAnsi="仿宋"/>
          <w:color w:val="auto"/>
          <w:sz w:val="32"/>
          <w:szCs w:val="32"/>
        </w:rPr>
        <w:t>。</w:t>
      </w:r>
    </w:p>
    <w:p w14:paraId="2ECD0D71">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卫生健康支出支出（类）行政事业单位医疗支出（款）公务员医疗补助：反映财政部门安排的公务员医疗补助经费。</w:t>
      </w:r>
    </w:p>
    <w:p w14:paraId="1B1E943F">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58E466B5">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lang w:val="en-US" w:eastAsia="zh-CN"/>
        </w:rPr>
        <w:t>8</w:t>
      </w:r>
      <w:r>
        <w:rPr>
          <w:rFonts w:ascii="仿宋" w:hAnsi="仿宋" w:eastAsia="仿宋"/>
          <w:sz w:val="32"/>
          <w:szCs w:val="32"/>
          <w:highlight w:val="none"/>
        </w:rPr>
        <w:t>.</w:t>
      </w:r>
      <w:r>
        <w:rPr>
          <w:rFonts w:hint="eastAsia" w:ascii="仿宋" w:hAnsi="仿宋" w:eastAsia="仿宋" w:cs="仿宋"/>
          <w:color w:val="000000"/>
          <w:kern w:val="0"/>
          <w:sz w:val="32"/>
          <w:szCs w:val="32"/>
          <w:highlight w:val="none"/>
        </w:rPr>
        <w:t>城乡社区支出(类)国有土地使用权出让收入安排的支出(款)土地开发支出(项):反映新疆生产建设兵团和地方政府用于前期土地开发性支出以及与前期土地开发相关</w:t>
      </w:r>
      <w:r>
        <w:rPr>
          <w:rFonts w:hint="eastAsia" w:ascii="仿宋" w:hAnsi="仿宋" w:eastAsia="仿宋" w:cs="仿宋"/>
          <w:color w:val="000000"/>
          <w:kern w:val="0"/>
          <w:sz w:val="32"/>
          <w:szCs w:val="32"/>
          <w:highlight w:val="none"/>
          <w:lang w:eastAsia="zh-CN"/>
        </w:rPr>
        <w:t>的</w:t>
      </w:r>
      <w:r>
        <w:rPr>
          <w:rFonts w:hint="eastAsia" w:ascii="仿宋" w:hAnsi="仿宋" w:eastAsia="仿宋" w:cs="仿宋"/>
          <w:color w:val="000000"/>
          <w:kern w:val="0"/>
          <w:sz w:val="32"/>
          <w:szCs w:val="32"/>
          <w:highlight w:val="none"/>
        </w:rPr>
        <w:t>费用等支出</w:t>
      </w:r>
      <w:r>
        <w:rPr>
          <w:rFonts w:hint="eastAsia" w:ascii="仿宋" w:hAnsi="仿宋" w:eastAsia="仿宋"/>
          <w:sz w:val="32"/>
          <w:szCs w:val="32"/>
          <w:highlight w:val="none"/>
        </w:rPr>
        <w:t>。</w:t>
      </w:r>
    </w:p>
    <w:p w14:paraId="461C7B57">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仿宋" w:hAnsi="仿宋" w:eastAsia="仿宋"/>
          <w:sz w:val="32"/>
          <w:szCs w:val="32"/>
          <w:highlight w:val="none"/>
          <w:lang w:val="en-US" w:eastAsia="zh-CN"/>
        </w:rPr>
      </w:pPr>
      <w:r>
        <w:rPr>
          <w:rFonts w:ascii="仿宋" w:hAnsi="仿宋" w:eastAsia="仿宋"/>
          <w:sz w:val="32"/>
          <w:szCs w:val="32"/>
          <w:highlight w:val="none"/>
        </w:rPr>
        <w:t>1</w:t>
      </w:r>
      <w:r>
        <w:rPr>
          <w:rFonts w:hint="eastAsia" w:ascii="仿宋" w:hAnsi="仿宋" w:eastAsia="仿宋"/>
          <w:sz w:val="32"/>
          <w:szCs w:val="32"/>
          <w:highlight w:val="none"/>
          <w:lang w:val="en-US" w:eastAsia="zh-CN"/>
        </w:rPr>
        <w:t>9.</w:t>
      </w:r>
      <w:r>
        <w:rPr>
          <w:rFonts w:hint="eastAsia" w:ascii="Times New Roman" w:hAnsi="Times New Roman" w:eastAsia="仿宋_GB2312" w:cs="仿宋_GB2312"/>
          <w:color w:val="auto"/>
          <w:kern w:val="2"/>
          <w:sz w:val="32"/>
          <w:szCs w:val="32"/>
          <w:highlight w:val="none"/>
          <w:lang w:val="en-US" w:eastAsia="zh-CN" w:bidi="ar-SA"/>
        </w:rPr>
        <w:t>资源勘探工业信息等支出（类）制造业（款）其他制造业支出（项）:</w:t>
      </w:r>
      <w:r>
        <w:rPr>
          <w:rFonts w:hint="eastAsia" w:ascii="仿宋" w:hAnsi="仿宋" w:eastAsia="仿宋"/>
          <w:sz w:val="32"/>
          <w:szCs w:val="32"/>
          <w:highlight w:val="none"/>
        </w:rPr>
        <w:t>反映</w:t>
      </w:r>
      <w:r>
        <w:rPr>
          <w:rFonts w:hint="eastAsia" w:ascii="仿宋" w:hAnsi="仿宋" w:eastAsia="仿宋"/>
          <w:sz w:val="32"/>
          <w:szCs w:val="32"/>
          <w:highlight w:val="none"/>
          <w:lang w:eastAsia="zh-CN"/>
        </w:rPr>
        <w:t>除上述项目以外其他用于制造业方面的支出</w:t>
      </w:r>
      <w:r>
        <w:rPr>
          <w:rFonts w:hint="eastAsia" w:ascii="仿宋" w:hAnsi="仿宋" w:eastAsia="仿宋"/>
          <w:sz w:val="32"/>
          <w:szCs w:val="32"/>
          <w:highlight w:val="none"/>
        </w:rPr>
        <w:t>。</w:t>
      </w:r>
    </w:p>
    <w:p w14:paraId="3B2157D9">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20.</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资源勘探工业信息等支出（类）工业和信息产业监管（款）行政运行（项）</w:t>
      </w:r>
      <w:r>
        <w:rPr>
          <w:rFonts w:hint="eastAsia"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lang w:eastAsia="zh-CN"/>
        </w:rPr>
        <w:t>指反映行政单位(包括实行公务员管理的事业单位)的基本支出。</w:t>
      </w:r>
    </w:p>
    <w:p w14:paraId="690CB979">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21.</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资源勘探工业信息等支出（类）工业和信息产业监管（款）事业运行（项）</w:t>
      </w:r>
      <w:r>
        <w:rPr>
          <w:rFonts w:hint="eastAsia" w:ascii="仿宋" w:hAnsi="仿宋" w:eastAsia="仿宋"/>
          <w:sz w:val="32"/>
          <w:szCs w:val="32"/>
          <w:highlight w:val="none"/>
        </w:rPr>
        <w:t>：</w:t>
      </w:r>
      <w:r>
        <w:rPr>
          <w:rFonts w:hint="eastAsia" w:ascii="仿宋" w:hAnsi="仿宋" w:eastAsia="仿宋"/>
          <w:sz w:val="32"/>
          <w:szCs w:val="32"/>
          <w:highlight w:val="none"/>
          <w:lang w:eastAsia="zh-CN"/>
        </w:rPr>
        <w:t>指</w:t>
      </w:r>
      <w:r>
        <w:rPr>
          <w:rFonts w:hint="eastAsia" w:ascii="Times New Roman" w:hAnsi="Times New Roman" w:eastAsia="仿宋_GB2312" w:cs="仿宋_GB2312"/>
          <w:color w:val="auto"/>
          <w:kern w:val="2"/>
          <w:sz w:val="32"/>
          <w:szCs w:val="32"/>
          <w:highlight w:val="none"/>
          <w:lang w:val="en-US" w:eastAsia="zh-CN" w:bidi="ar-SA"/>
        </w:rPr>
        <w:t>反映事业单位的基本支出，不包括行政单位(包括实行公务员管理的事业单位)后勤服务中心、医务室等附属事业单位。</w:t>
      </w:r>
    </w:p>
    <w:p w14:paraId="6331C965">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highlight w:val="none"/>
          <w:lang w:val="en-US" w:eastAsia="zh-CN"/>
        </w:rPr>
        <w:t>22.</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资源勘探工业信息等支出（类）工业和信息产业监管（款）其他工业和信息产业监管支出（项）:</w:t>
      </w:r>
      <w:r>
        <w:rPr>
          <w:rFonts w:hint="eastAsia" w:ascii="仿宋" w:hAnsi="仿宋" w:eastAsia="仿宋" w:cs="仿宋"/>
          <w:color w:val="000000"/>
          <w:kern w:val="0"/>
          <w:sz w:val="32"/>
          <w:szCs w:val="32"/>
          <w:highlight w:val="none"/>
        </w:rPr>
        <w:t>反映</w:t>
      </w:r>
      <w:r>
        <w:rPr>
          <w:rFonts w:hint="eastAsia" w:ascii="仿宋" w:hAnsi="仿宋" w:eastAsia="仿宋" w:cs="仿宋"/>
          <w:color w:val="000000"/>
          <w:kern w:val="0"/>
          <w:sz w:val="32"/>
          <w:szCs w:val="32"/>
          <w:highlight w:val="none"/>
          <w:lang w:eastAsia="zh-CN"/>
        </w:rPr>
        <w:t>除</w:t>
      </w:r>
      <w:r>
        <w:rPr>
          <w:rFonts w:hint="eastAsia" w:ascii="仿宋" w:hAnsi="仿宋" w:eastAsia="仿宋" w:cs="仿宋"/>
          <w:color w:val="000000"/>
          <w:kern w:val="0"/>
          <w:sz w:val="32"/>
          <w:szCs w:val="32"/>
          <w:lang w:eastAsia="zh-CN"/>
        </w:rPr>
        <w:t>上述项目以外其他用于工业和信息产业监管方面的支出。</w:t>
      </w:r>
    </w:p>
    <w:p w14:paraId="43B02A4E">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 w:hAnsi="仿宋" w:eastAsia="仿宋"/>
          <w:sz w:val="32"/>
          <w:szCs w:val="32"/>
          <w:lang w:val="en-US" w:eastAsia="zh-CN"/>
        </w:rPr>
        <w:t>23.</w:t>
      </w:r>
      <w:r>
        <w:rPr>
          <w:rFonts w:hint="eastAsia" w:ascii="仿宋" w:hAnsi="仿宋" w:eastAsia="仿宋"/>
          <w:sz w:val="32"/>
          <w:szCs w:val="32"/>
        </w:rPr>
        <w:t>住房保障支出（类）住房改革支出（款）住房公积金（项）：指行政事业单位按人力资源和社会保障部、财政部规定的基本工资和津贴补贴以及规定比例为职工缴纳的住房公积金。</w:t>
      </w:r>
    </w:p>
    <w:p w14:paraId="0330F845">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基本支出：指为保障机构正常运转、完成日常工作任务而发生的人员支出和公用支出。</w:t>
      </w:r>
    </w:p>
    <w:p w14:paraId="4C976813">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175DAD6">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DE397B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DD606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76E1AA">
      <w:pPr>
        <w:spacing w:line="600" w:lineRule="exact"/>
        <w:jc w:val="center"/>
        <w:rPr>
          <w:rStyle w:val="28"/>
          <w:rFonts w:hint="eastAsia" w:ascii="Times New Roman" w:hAnsi="Times New Roman" w:eastAsia="黑体"/>
          <w:b w:val="0"/>
          <w:color w:val="auto"/>
          <w:highlight w:val="none"/>
          <w:lang w:eastAsia="zh-CN"/>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14:paraId="29788A7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771FD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252DA5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D01FF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6AF0FB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9"/>
      <w:bookmarkEnd w:id="51"/>
      <w:bookmarkStart w:id="52" w:name="_Toc15396619"/>
    </w:p>
    <w:p w14:paraId="4DB0D4B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52841D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2"/>
    </w:p>
    <w:p w14:paraId="7463B1C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0"/>
      <w:r>
        <w:rPr>
          <w:rFonts w:hint="eastAsia" w:ascii="Times New Roman" w:hAnsi="Times New Roman" w:eastAsia="仿宋_GB2312" w:cs="仿宋_GB2312"/>
          <w:color w:val="auto"/>
          <w:sz w:val="32"/>
          <w:szCs w:val="32"/>
          <w:highlight w:val="none"/>
        </w:rPr>
        <w:t>二、收入决算表</w:t>
      </w:r>
      <w:bookmarkEnd w:id="53"/>
    </w:p>
    <w:p w14:paraId="17E6C34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1"/>
      <w:r>
        <w:rPr>
          <w:rFonts w:hint="eastAsia" w:ascii="Times New Roman" w:hAnsi="Times New Roman" w:eastAsia="仿宋_GB2312" w:cs="仿宋_GB2312"/>
          <w:color w:val="auto"/>
          <w:sz w:val="32"/>
          <w:szCs w:val="32"/>
          <w:highlight w:val="none"/>
        </w:rPr>
        <w:t>三、支出决算表</w:t>
      </w:r>
      <w:bookmarkEnd w:id="54"/>
    </w:p>
    <w:p w14:paraId="31DFDFD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2"/>
      <w:r>
        <w:rPr>
          <w:rFonts w:hint="eastAsia" w:ascii="Times New Roman" w:hAnsi="Times New Roman" w:eastAsia="仿宋_GB2312" w:cs="仿宋_GB2312"/>
          <w:color w:val="auto"/>
          <w:sz w:val="32"/>
          <w:szCs w:val="32"/>
          <w:highlight w:val="none"/>
        </w:rPr>
        <w:t>四、财政拨款收入支出决算总表</w:t>
      </w:r>
      <w:bookmarkEnd w:id="55"/>
    </w:p>
    <w:p w14:paraId="114DC51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3"/>
      <w:r>
        <w:rPr>
          <w:rFonts w:hint="eastAsia" w:ascii="Times New Roman" w:hAnsi="Times New Roman" w:eastAsia="仿宋_GB2312" w:cs="仿宋_GB2312"/>
          <w:color w:val="auto"/>
          <w:sz w:val="32"/>
          <w:szCs w:val="32"/>
          <w:highlight w:val="none"/>
        </w:rPr>
        <w:t>五、财政拨款支出决算明细表</w:t>
      </w:r>
      <w:bookmarkEnd w:id="56"/>
      <w:bookmarkStart w:id="57" w:name="_Toc15396624"/>
    </w:p>
    <w:p w14:paraId="3BFD1C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7"/>
    </w:p>
    <w:p w14:paraId="0EBC040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5"/>
      <w:r>
        <w:rPr>
          <w:rFonts w:hint="eastAsia" w:ascii="Times New Roman" w:hAnsi="Times New Roman" w:eastAsia="仿宋_GB2312" w:cs="仿宋_GB2312"/>
          <w:color w:val="auto"/>
          <w:sz w:val="32"/>
          <w:szCs w:val="32"/>
          <w:highlight w:val="none"/>
        </w:rPr>
        <w:t>七、一般公共预算财政拨款支出决算明细表</w:t>
      </w:r>
      <w:bookmarkEnd w:id="58"/>
    </w:p>
    <w:p w14:paraId="0FD7765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6"/>
      <w:r>
        <w:rPr>
          <w:rFonts w:hint="eastAsia" w:ascii="Times New Roman" w:hAnsi="Times New Roman" w:eastAsia="仿宋_GB2312" w:cs="仿宋_GB2312"/>
          <w:color w:val="auto"/>
          <w:sz w:val="32"/>
          <w:szCs w:val="32"/>
          <w:highlight w:val="none"/>
        </w:rPr>
        <w:t>八、一般公共预算财政拨款基本支出决算表</w:t>
      </w:r>
      <w:bookmarkEnd w:id="59"/>
    </w:p>
    <w:p w14:paraId="4D85E3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7"/>
      <w:r>
        <w:rPr>
          <w:rFonts w:hint="eastAsia" w:ascii="Times New Roman" w:hAnsi="Times New Roman" w:eastAsia="仿宋_GB2312" w:cs="仿宋_GB2312"/>
          <w:color w:val="auto"/>
          <w:sz w:val="32"/>
          <w:szCs w:val="32"/>
          <w:highlight w:val="none"/>
        </w:rPr>
        <w:t>九、一般公共预算财政拨款项目支出决算表</w:t>
      </w:r>
      <w:bookmarkEnd w:id="60"/>
    </w:p>
    <w:p w14:paraId="781C341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8"/>
      <w:r>
        <w:rPr>
          <w:rFonts w:hint="eastAsia" w:ascii="Times New Roman" w:hAnsi="Times New Roman" w:eastAsia="仿宋_GB2312" w:cs="仿宋_GB2312"/>
          <w:color w:val="auto"/>
          <w:sz w:val="32"/>
          <w:szCs w:val="32"/>
          <w:highlight w:val="none"/>
        </w:rPr>
        <w:t>十、</w:t>
      </w:r>
      <w:bookmarkEnd w:id="61"/>
      <w:r>
        <w:rPr>
          <w:rFonts w:hint="eastAsia" w:ascii="Times New Roman" w:hAnsi="Times New Roman" w:eastAsia="仿宋_GB2312" w:cs="仿宋_GB2312"/>
          <w:color w:val="auto"/>
          <w:sz w:val="32"/>
          <w:szCs w:val="32"/>
          <w:highlight w:val="none"/>
        </w:rPr>
        <w:t>政府性基金预算财政拨款收入支出决算表</w:t>
      </w:r>
    </w:p>
    <w:p w14:paraId="157097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9"/>
      <w:r>
        <w:rPr>
          <w:rFonts w:hint="eastAsia" w:ascii="Times New Roman" w:hAnsi="Times New Roman" w:eastAsia="仿宋_GB2312" w:cs="仿宋_GB2312"/>
          <w:color w:val="auto"/>
          <w:sz w:val="32"/>
          <w:szCs w:val="32"/>
          <w:highlight w:val="none"/>
        </w:rPr>
        <w:t>十一、</w:t>
      </w:r>
      <w:bookmarkEnd w:id="6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9D94D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30"/>
      <w:r>
        <w:rPr>
          <w:rFonts w:hint="eastAsia" w:ascii="Times New Roman" w:hAnsi="Times New Roman" w:eastAsia="仿宋_GB2312" w:cs="仿宋_GB2312"/>
          <w:color w:val="auto"/>
          <w:sz w:val="32"/>
          <w:szCs w:val="32"/>
          <w:highlight w:val="none"/>
        </w:rPr>
        <w:t>十二、</w:t>
      </w:r>
      <w:bookmarkEnd w:id="63"/>
      <w:r>
        <w:rPr>
          <w:rFonts w:hint="eastAsia" w:ascii="Times New Roman" w:hAnsi="Times New Roman" w:eastAsia="仿宋_GB2312" w:cs="仿宋_GB2312"/>
          <w:color w:val="auto"/>
          <w:sz w:val="32"/>
          <w:szCs w:val="32"/>
          <w:highlight w:val="none"/>
          <w:lang w:eastAsia="zh-CN"/>
        </w:rPr>
        <w:t>国有资本经营预算财政拨款支出决算表</w:t>
      </w:r>
    </w:p>
    <w:p w14:paraId="1DA8993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4" w:name="_Toc15396631"/>
      <w:r>
        <w:rPr>
          <w:rFonts w:hint="eastAsia" w:ascii="Times New Roman" w:hAnsi="Times New Roman" w:eastAsia="仿宋_GB2312" w:cs="仿宋_GB2312"/>
          <w:color w:val="auto"/>
          <w:sz w:val="32"/>
          <w:szCs w:val="32"/>
          <w:highlight w:val="none"/>
        </w:rPr>
        <w:t>十三、</w:t>
      </w:r>
      <w:bookmarkEnd w:id="64"/>
      <w:r>
        <w:rPr>
          <w:rFonts w:hint="eastAsia" w:ascii="Times New Roman" w:hAnsi="Times New Roman" w:eastAsia="仿宋_GB2312" w:cs="仿宋_GB2312"/>
          <w:color w:val="auto"/>
          <w:sz w:val="32"/>
          <w:szCs w:val="32"/>
          <w:highlight w:val="none"/>
          <w:lang w:eastAsia="zh-CN"/>
        </w:rPr>
        <w:t>财政拨款“三公”经费支出决算表</w:t>
      </w:r>
    </w:p>
    <w:p w14:paraId="3E877207">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746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A2C45">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A2C45">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3E42377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ABC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C5D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1C5D3">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542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2CE">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2902CE">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C2D859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4D69">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DC5D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0DC5D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3DC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583FE3"/>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A5745E"/>
    <w:rsid w:val="2186353C"/>
    <w:rsid w:val="23860B96"/>
    <w:rsid w:val="240371BF"/>
    <w:rsid w:val="244F3473"/>
    <w:rsid w:val="24C97D99"/>
    <w:rsid w:val="25A718F0"/>
    <w:rsid w:val="25BB59F6"/>
    <w:rsid w:val="260F557C"/>
    <w:rsid w:val="26970054"/>
    <w:rsid w:val="26C36A96"/>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6C522A"/>
    <w:rsid w:val="5FBF9FF3"/>
    <w:rsid w:val="5FCD4E2C"/>
    <w:rsid w:val="5FEF394A"/>
    <w:rsid w:val="5FF67715"/>
    <w:rsid w:val="62BF3928"/>
    <w:rsid w:val="63B3701E"/>
    <w:rsid w:val="647F5392"/>
    <w:rsid w:val="65E66580"/>
    <w:rsid w:val="664B1D71"/>
    <w:rsid w:val="664B4E8E"/>
    <w:rsid w:val="6699622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8023</Words>
  <Characters>9492</Characters>
  <Lines>61</Lines>
  <Paragraphs>17</Paragraphs>
  <TotalTime>4</TotalTime>
  <ScaleCrop>false</ScaleCrop>
  <LinksUpToDate>false</LinksUpToDate>
  <CharactersWithSpaces>9517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赵琦</cp:lastModifiedBy>
  <cp:lastPrinted>2025-08-06T17:34:00Z</cp:lastPrinted>
  <dcterms:modified xsi:type="dcterms:W3CDTF">2025-10-28T10:06:04Z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eyJoZGlkIjoiZTRjODA1Yzc0Mzk0YzQyOTRhZDMwYjNmMjAyOGMyODEiLCJ1c2VySWQiOiIxMTQxNDU4NTI3In0=</vt:lpwstr>
  </property>
</Properties>
</file>