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FDE058">
      <w:pPr>
        <w:pStyle w:val="5"/>
        <w:rPr>
          <w:rFonts w:hint="eastAsia" w:ascii="Times New Roman" w:hAnsi="Times New Roman" w:eastAsia="方正小标宋简体" w:cs="Times New Roman"/>
          <w:color w:val="auto"/>
          <w:kern w:val="2"/>
          <w:sz w:val="72"/>
          <w:szCs w:val="72"/>
          <w:highlight w:val="none"/>
          <w:lang w:val="en-US" w:eastAsia="zh-CN" w:bidi="ar-SA"/>
        </w:rPr>
      </w:pPr>
      <w:bookmarkStart w:id="0" w:name="_Toc15377193"/>
      <w:bookmarkStart w:id="1" w:name="_Toc15378441"/>
      <w:bookmarkStart w:id="2" w:name="_Toc15396475"/>
      <w:bookmarkStart w:id="3" w:name="_Toc15396597"/>
      <w:bookmarkStart w:id="4" w:name="_Toc15306267"/>
      <w:bookmarkStart w:id="5" w:name="_Toc15377425"/>
    </w:p>
    <w:p w14:paraId="4CFAEE67">
      <w:pPr>
        <w:pStyle w:val="5"/>
        <w:rPr>
          <w:rFonts w:hint="eastAsia" w:ascii="Times New Roman" w:hAnsi="Times New Roman" w:eastAsia="方正小标宋简体" w:cs="Times New Roman"/>
          <w:color w:val="auto"/>
          <w:kern w:val="2"/>
          <w:sz w:val="72"/>
          <w:szCs w:val="72"/>
          <w:highlight w:val="none"/>
          <w:lang w:val="en-US" w:eastAsia="zh-CN" w:bidi="ar-SA"/>
        </w:rPr>
      </w:pPr>
    </w:p>
    <w:p w14:paraId="40477121">
      <w:pPr>
        <w:pStyle w:val="5"/>
        <w:rPr>
          <w:rFonts w:hint="eastAsia" w:ascii="Times New Roman" w:hAnsi="Times New Roman" w:eastAsia="方正小标宋简体" w:cs="Times New Roman"/>
          <w:color w:val="auto"/>
          <w:kern w:val="2"/>
          <w:sz w:val="72"/>
          <w:szCs w:val="72"/>
          <w:highlight w:val="none"/>
          <w:lang w:val="en-US" w:eastAsia="zh-CN" w:bidi="ar-SA"/>
        </w:rPr>
      </w:pPr>
    </w:p>
    <w:p w14:paraId="4ABDA630">
      <w:pPr>
        <w:pStyle w:val="5"/>
        <w:jc w:val="center"/>
        <w:rPr>
          <w:rFonts w:hint="eastAsia" w:ascii="方正小标宋简体" w:hAnsi="方正小标宋简体" w:eastAsia="方正小标宋简体" w:cs="方正小标宋简体"/>
          <w:sz w:val="44"/>
          <w:szCs w:val="44"/>
        </w:rPr>
      </w:pPr>
      <w:r>
        <w:rPr>
          <w:rFonts w:hint="eastAsia" w:ascii="Times New Roman" w:hAnsi="Times New Roman" w:eastAsia="方正小标宋简体" w:cs="Times New Roman"/>
          <w:color w:val="auto"/>
          <w:kern w:val="2"/>
          <w:sz w:val="44"/>
          <w:szCs w:val="44"/>
          <w:highlight w:val="none"/>
          <w:lang w:val="en-US" w:eastAsia="zh-CN" w:bidi="ar-SA"/>
        </w:rPr>
        <w:t>2024年度</w:t>
      </w:r>
      <w:r>
        <w:rPr>
          <w:rFonts w:hint="eastAsia" w:ascii="方正小标宋简体" w:hAnsi="宋体" w:eastAsia="方正小标宋简体" w:cs="Times New Roman"/>
          <w:color w:val="auto"/>
          <w:kern w:val="2"/>
          <w:sz w:val="44"/>
          <w:szCs w:val="44"/>
          <w:highlight w:val="none"/>
          <w:lang w:val="en-US" w:eastAsia="zh-CN" w:bidi="ar-SA"/>
        </w:rPr>
        <w:t>四川省</w:t>
      </w:r>
      <w:r>
        <w:rPr>
          <w:rFonts w:hint="eastAsia" w:ascii="方正小标宋简体" w:hAnsi="方正小标宋简体" w:eastAsia="方正小标宋简体" w:cs="方正小标宋简体"/>
          <w:sz w:val="44"/>
          <w:szCs w:val="44"/>
        </w:rPr>
        <w:t>攀枝花市</w:t>
      </w:r>
    </w:p>
    <w:p w14:paraId="3F60751C">
      <w:pPr>
        <w:pStyle w:val="5"/>
        <w:jc w:val="center"/>
        <w:rPr>
          <w:rFonts w:ascii="Times New Roman" w:hAnsi="Times New Roman"/>
        </w:rPr>
        <w:sectPr>
          <w:footerReference r:id="rId5" w:type="first"/>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pPr>
      <w:r>
        <w:rPr>
          <w:rFonts w:hint="eastAsia" w:ascii="方正小标宋简体" w:hAnsi="方正小标宋简体" w:eastAsia="方正小标宋简体" w:cs="方正小标宋简体"/>
          <w:sz w:val="44"/>
          <w:szCs w:val="44"/>
        </w:rPr>
        <w:t>西区公务服务中心</w:t>
      </w:r>
      <w:r>
        <w:rPr>
          <w:rFonts w:hint="eastAsia" w:ascii="方正小标宋简体" w:hAnsi="方正小标宋简体" w:eastAsia="方正小标宋简体" w:cs="方正小标宋简体"/>
          <w:sz w:val="44"/>
          <w:szCs w:val="44"/>
          <w:lang w:eastAsia="zh-CN"/>
        </w:rPr>
        <w:t>单位决算</w:t>
      </w:r>
      <w:r>
        <w:rPr>
          <w:rFonts w:hint="eastAsia" w:ascii="Times New Roman" w:hAnsi="Times New Roman" w:eastAsia="方正小标宋简体" w:cs="Times New Roman"/>
          <w:color w:val="auto"/>
          <w:kern w:val="2"/>
          <w:sz w:val="44"/>
          <w:szCs w:val="44"/>
          <w:highlight w:val="none"/>
          <w:lang w:val="en-US" w:eastAsia="zh-CN" w:bidi="ar-SA"/>
        </w:rPr>
        <w:t>公开文字说明</w:t>
      </w:r>
    </w:p>
    <w:bookmarkEnd w:id="0"/>
    <w:bookmarkEnd w:id="1"/>
    <w:bookmarkEnd w:id="2"/>
    <w:bookmarkEnd w:id="3"/>
    <w:bookmarkEnd w:id="4"/>
    <w:bookmarkEnd w:id="5"/>
    <w:p w14:paraId="52BFF4C7">
      <w:pPr>
        <w:widowControl/>
        <w:jc w:val="center"/>
        <w:rPr>
          <w:rFonts w:ascii="Times New Roman" w:hAnsi="Times New Roman" w:eastAsia="黑体"/>
          <w:color w:val="auto"/>
          <w:sz w:val="48"/>
          <w:szCs w:val="48"/>
          <w:highlight w:val="none"/>
        </w:rPr>
      </w:pPr>
      <w:r>
        <w:rPr>
          <w:rFonts w:hint="eastAsia" w:ascii="Times New Roman" w:hAnsi="Times New Roman" w:eastAsia="黑体"/>
          <w:color w:val="auto"/>
          <w:sz w:val="48"/>
          <w:szCs w:val="48"/>
          <w:highlight w:val="none"/>
        </w:rPr>
        <w:t>目录</w:t>
      </w:r>
    </w:p>
    <w:p w14:paraId="3522E57A">
      <w:pPr>
        <w:widowControl/>
        <w:jc w:val="center"/>
        <w:rPr>
          <w:rFonts w:ascii="Times New Roman" w:hAnsi="Times New Roman" w:eastAsia="黑体" w:cstheme="minorBidi"/>
          <w:color w:val="auto"/>
          <w:sz w:val="28"/>
          <w:szCs w:val="28"/>
          <w:highlight w:val="none"/>
        </w:rPr>
      </w:pPr>
    </w:p>
    <w:p w14:paraId="01A66946">
      <w:pPr>
        <w:pStyle w:val="12"/>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25</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10</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24</w:t>
      </w:r>
      <w:bookmarkStart w:id="64" w:name="_GoBack"/>
      <w:bookmarkEnd w:id="64"/>
      <w:r>
        <w:rPr>
          <w:rFonts w:hint="eastAsia" w:ascii="Times New Roman" w:hAnsi="Times New Roman" w:eastAsia="仿宋_GB2312" w:cs="仿宋_GB2312"/>
          <w:color w:val="auto"/>
          <w:sz w:val="32"/>
          <w:szCs w:val="32"/>
          <w:highlight w:val="none"/>
        </w:rPr>
        <w:t>日</w:t>
      </w:r>
    </w:p>
    <w:p w14:paraId="2665427D">
      <w:pPr>
        <w:rPr>
          <w:rFonts w:ascii="Times New Roman" w:hAnsi="Times New Roman"/>
          <w:color w:val="auto"/>
          <w:highlight w:val="none"/>
        </w:rPr>
      </w:pPr>
    </w:p>
    <w:p w14:paraId="6BC20A21">
      <w:pPr>
        <w:pStyle w:val="12"/>
        <w:adjustRightInd w:val="0"/>
        <w:snapToGrid w:val="0"/>
        <w:spacing w:before="0" w:line="440" w:lineRule="exact"/>
        <w:jc w:val="left"/>
        <w:rPr>
          <w:rFonts w:cs="Times New Roman"/>
          <w:color w:val="auto"/>
          <w:sz w:val="24"/>
          <w:szCs w:val="24"/>
          <w:highlight w:val="none"/>
        </w:rPr>
      </w:pPr>
      <w:r>
        <w:rPr>
          <w:rFonts w:hint="eastAsia"/>
          <w:color w:val="auto"/>
          <w:sz w:val="24"/>
          <w:highlight w:val="none"/>
        </w:rPr>
        <w:t>第一部分</w:t>
      </w:r>
      <w:r>
        <w:rPr>
          <w:color w:val="auto"/>
          <w:sz w:val="24"/>
          <w:highlight w:val="none"/>
        </w:rPr>
        <w:t xml:space="preserve"> </w:t>
      </w:r>
      <w:r>
        <w:rPr>
          <w:rFonts w:hint="eastAsia"/>
          <w:color w:val="auto"/>
          <w:sz w:val="24"/>
          <w:highlight w:val="none"/>
          <w:lang w:eastAsia="zh-CN"/>
        </w:rPr>
        <w:t>单位</w:t>
      </w:r>
      <w:r>
        <w:rPr>
          <w:rFonts w:hint="eastAsia"/>
          <w:color w:val="auto"/>
          <w:sz w:val="24"/>
          <w:highlight w:val="none"/>
        </w:rPr>
        <w:t>概况</w:t>
      </w:r>
    </w:p>
    <w:p w14:paraId="6C6FF6EF">
      <w:pPr>
        <w:pStyle w:val="14"/>
        <w:adjustRightInd w:val="0"/>
        <w:snapToGrid w:val="0"/>
        <w:spacing w:line="440" w:lineRule="exact"/>
        <w:jc w:val="left"/>
        <w:rPr>
          <w:rFonts w:hint="default" w:ascii="仿宋" w:hAnsi="仿宋" w:eastAsia="仿宋"/>
          <w:color w:val="auto"/>
          <w:sz w:val="24"/>
          <w:highlight w:val="none"/>
          <w:lang w:val="en-US"/>
        </w:rPr>
      </w:pPr>
      <w:r>
        <w:rPr>
          <w:rFonts w:hint="eastAsia"/>
          <w:color w:val="auto"/>
          <w:sz w:val="24"/>
          <w:highlight w:val="none"/>
        </w:rPr>
        <w:t>一、</w:t>
      </w:r>
      <w:r>
        <w:rPr>
          <w:rFonts w:hint="eastAsia"/>
          <w:color w:val="auto"/>
          <w:sz w:val="24"/>
          <w:highlight w:val="none"/>
          <w:lang w:eastAsia="zh-CN"/>
        </w:rPr>
        <w:t>单位职责</w:t>
      </w:r>
      <w:r>
        <w:rPr>
          <w:rFonts w:hint="eastAsia"/>
          <w:color w:val="auto"/>
          <w:sz w:val="24"/>
          <w:highlight w:val="none"/>
          <w:lang w:val="en-US" w:eastAsia="zh-CN"/>
        </w:rPr>
        <w:t>........................................................................................................3</w:t>
      </w:r>
    </w:p>
    <w:p w14:paraId="706D6D06">
      <w:pPr>
        <w:pStyle w:val="14"/>
        <w:adjustRightInd w:val="0"/>
        <w:snapToGrid w:val="0"/>
        <w:spacing w:line="440" w:lineRule="exact"/>
        <w:jc w:val="left"/>
        <w:rPr>
          <w:rFonts w:hint="default" w:ascii="仿宋" w:hAnsi="仿宋" w:eastAsia="宋体" w:cs="Times New Roman"/>
          <w:color w:val="auto"/>
          <w:sz w:val="24"/>
          <w:highlight w:val="none"/>
          <w:lang w:val="en-US" w:eastAsia="zh-CN"/>
        </w:rPr>
      </w:pPr>
      <w:r>
        <w:rPr>
          <w:rFonts w:hint="eastAsia"/>
          <w:color w:val="auto"/>
          <w:sz w:val="24"/>
          <w:highlight w:val="none"/>
        </w:rPr>
        <w:t>二、机构设置</w:t>
      </w:r>
      <w:r>
        <w:rPr>
          <w:rFonts w:hint="eastAsia"/>
          <w:color w:val="auto"/>
          <w:sz w:val="24"/>
          <w:highlight w:val="none"/>
          <w:lang w:val="en-US" w:eastAsia="zh-CN"/>
        </w:rPr>
        <w:t>........................................................................................................3</w:t>
      </w:r>
    </w:p>
    <w:p w14:paraId="2445CB72">
      <w:pPr>
        <w:pStyle w:val="12"/>
        <w:adjustRightInd w:val="0"/>
        <w:snapToGrid w:val="0"/>
        <w:spacing w:before="0" w:line="440" w:lineRule="exact"/>
        <w:jc w:val="left"/>
        <w:rPr>
          <w:color w:val="auto"/>
          <w:sz w:val="24"/>
          <w:szCs w:val="24"/>
          <w:highlight w:val="none"/>
        </w:rPr>
      </w:pPr>
      <w:r>
        <w:rPr>
          <w:rFonts w:hint="eastAsia"/>
          <w:color w:val="auto"/>
          <w:sz w:val="24"/>
          <w:highlight w:val="none"/>
        </w:rPr>
        <w:t>第二部分</w:t>
      </w:r>
      <w:r>
        <w:rPr>
          <w:rFonts w:hint="eastAsia"/>
          <w:color w:val="auto"/>
          <w:sz w:val="24"/>
          <w:highlight w:val="none"/>
          <w:lang w:val="en-US" w:eastAsia="zh-CN"/>
        </w:rPr>
        <w:t xml:space="preserve"> 2024年度</w:t>
      </w:r>
      <w:r>
        <w:rPr>
          <w:rFonts w:hint="eastAsia"/>
          <w:color w:val="auto"/>
          <w:sz w:val="24"/>
          <w:highlight w:val="none"/>
          <w:lang w:eastAsia="zh-CN"/>
        </w:rPr>
        <w:t>单位</w:t>
      </w:r>
      <w:r>
        <w:rPr>
          <w:rFonts w:hint="eastAsia"/>
          <w:color w:val="auto"/>
          <w:sz w:val="24"/>
          <w:highlight w:val="none"/>
        </w:rPr>
        <w:t>决算情况说明</w:t>
      </w:r>
    </w:p>
    <w:p w14:paraId="68E1333B">
      <w:pPr>
        <w:pStyle w:val="14"/>
        <w:adjustRightInd w:val="0"/>
        <w:snapToGrid w:val="0"/>
        <w:spacing w:line="440" w:lineRule="exact"/>
        <w:jc w:val="left"/>
        <w:rPr>
          <w:rFonts w:hint="default" w:ascii="仿宋" w:hAnsi="仿宋" w:eastAsia="宋体" w:cs="Times New Roman"/>
          <w:color w:val="auto"/>
          <w:sz w:val="24"/>
          <w:highlight w:val="none"/>
          <w:lang w:val="en-US" w:eastAsia="zh-CN"/>
        </w:rPr>
      </w:pPr>
      <w:r>
        <w:rPr>
          <w:rFonts w:hint="eastAsia"/>
          <w:color w:val="auto"/>
          <w:sz w:val="24"/>
          <w:highlight w:val="none"/>
        </w:rPr>
        <w:t>一、收入支出决算总体情况说明</w:t>
      </w:r>
      <w:r>
        <w:rPr>
          <w:rFonts w:hint="eastAsia"/>
          <w:color w:val="auto"/>
          <w:sz w:val="24"/>
          <w:highlight w:val="none"/>
          <w:lang w:val="en-US" w:eastAsia="zh-CN"/>
        </w:rPr>
        <w:t>........................................................................4</w:t>
      </w:r>
    </w:p>
    <w:p w14:paraId="2387A046">
      <w:pPr>
        <w:pStyle w:val="14"/>
        <w:adjustRightInd w:val="0"/>
        <w:snapToGrid w:val="0"/>
        <w:spacing w:line="440" w:lineRule="exact"/>
        <w:jc w:val="left"/>
        <w:rPr>
          <w:rFonts w:hint="default" w:ascii="仿宋" w:hAnsi="仿宋" w:eastAsia="宋体" w:cs="Times New Roman"/>
          <w:color w:val="auto"/>
          <w:sz w:val="24"/>
          <w:highlight w:val="none"/>
          <w:lang w:val="en-US" w:eastAsia="zh-CN"/>
        </w:rPr>
      </w:pPr>
      <w:r>
        <w:rPr>
          <w:rFonts w:hint="eastAsia"/>
          <w:color w:val="auto"/>
          <w:sz w:val="24"/>
          <w:highlight w:val="none"/>
        </w:rPr>
        <w:t>二、收入决算情况说明</w:t>
      </w:r>
      <w:r>
        <w:rPr>
          <w:rFonts w:hint="eastAsia"/>
          <w:color w:val="auto"/>
          <w:sz w:val="24"/>
          <w:highlight w:val="none"/>
          <w:lang w:val="en-US" w:eastAsia="zh-CN"/>
        </w:rPr>
        <w:t>........................................................................................4</w:t>
      </w:r>
    </w:p>
    <w:p w14:paraId="0D3F4753">
      <w:pPr>
        <w:pStyle w:val="14"/>
        <w:adjustRightInd w:val="0"/>
        <w:snapToGrid w:val="0"/>
        <w:spacing w:line="440" w:lineRule="exact"/>
        <w:jc w:val="left"/>
        <w:rPr>
          <w:rFonts w:hint="default" w:ascii="仿宋" w:hAnsi="仿宋" w:eastAsia="宋体" w:cs="Times New Roman"/>
          <w:color w:val="auto"/>
          <w:sz w:val="24"/>
          <w:highlight w:val="none"/>
          <w:lang w:val="en-US" w:eastAsia="zh-CN"/>
        </w:rPr>
      </w:pPr>
      <w:r>
        <w:rPr>
          <w:rFonts w:hint="eastAsia"/>
          <w:color w:val="auto"/>
          <w:sz w:val="24"/>
          <w:highlight w:val="none"/>
        </w:rPr>
        <w:t>三、支出决算情况说明</w:t>
      </w:r>
      <w:r>
        <w:rPr>
          <w:rFonts w:hint="eastAsia"/>
          <w:color w:val="auto"/>
          <w:sz w:val="24"/>
          <w:highlight w:val="none"/>
          <w:lang w:val="en-US" w:eastAsia="zh-CN"/>
        </w:rPr>
        <w:t>.........................................................................................5</w:t>
      </w:r>
    </w:p>
    <w:p w14:paraId="7F2E5E37">
      <w:pPr>
        <w:pStyle w:val="14"/>
        <w:adjustRightInd w:val="0"/>
        <w:snapToGrid w:val="0"/>
        <w:spacing w:line="440" w:lineRule="exact"/>
        <w:jc w:val="left"/>
        <w:rPr>
          <w:rFonts w:hint="default" w:ascii="仿宋" w:hAnsi="仿宋" w:eastAsia="宋体" w:cs="Times New Roman"/>
          <w:color w:val="auto"/>
          <w:sz w:val="24"/>
          <w:highlight w:val="none"/>
          <w:lang w:val="en-US" w:eastAsia="zh-CN"/>
        </w:rPr>
      </w:pPr>
      <w:r>
        <w:rPr>
          <w:rFonts w:hint="eastAsia"/>
          <w:color w:val="auto"/>
          <w:sz w:val="24"/>
          <w:highlight w:val="none"/>
        </w:rPr>
        <w:t>四、财政拨款收入支出决算总体情况说明</w:t>
      </w:r>
      <w:r>
        <w:rPr>
          <w:rFonts w:hint="eastAsia"/>
          <w:color w:val="auto"/>
          <w:sz w:val="24"/>
          <w:highlight w:val="none"/>
          <w:lang w:val="en-US" w:eastAsia="zh-CN"/>
        </w:rPr>
        <w:t>.........................................................5</w:t>
      </w:r>
    </w:p>
    <w:p w14:paraId="170EF0DB">
      <w:pPr>
        <w:pStyle w:val="14"/>
        <w:adjustRightInd w:val="0"/>
        <w:snapToGrid w:val="0"/>
        <w:spacing w:line="440" w:lineRule="exact"/>
        <w:jc w:val="left"/>
        <w:rPr>
          <w:rFonts w:hint="default" w:ascii="仿宋" w:hAnsi="仿宋" w:eastAsia="宋体" w:cs="Times New Roman"/>
          <w:color w:val="auto"/>
          <w:sz w:val="24"/>
          <w:highlight w:val="none"/>
          <w:lang w:val="en-US" w:eastAsia="zh-CN"/>
        </w:rPr>
      </w:pPr>
      <w:r>
        <w:rPr>
          <w:rFonts w:hint="eastAsia"/>
          <w:color w:val="auto"/>
          <w:sz w:val="24"/>
          <w:highlight w:val="none"/>
        </w:rPr>
        <w:t>五、一般公共预算财政拨款支出决算情况说明</w:t>
      </w:r>
      <w:r>
        <w:rPr>
          <w:rFonts w:hint="eastAsia"/>
          <w:color w:val="auto"/>
          <w:sz w:val="24"/>
          <w:highlight w:val="none"/>
          <w:lang w:val="en-US" w:eastAsia="zh-CN"/>
        </w:rPr>
        <w:t>.................................................6</w:t>
      </w:r>
    </w:p>
    <w:p w14:paraId="49B9DA38">
      <w:pPr>
        <w:pStyle w:val="14"/>
        <w:adjustRightInd w:val="0"/>
        <w:snapToGrid w:val="0"/>
        <w:spacing w:line="440" w:lineRule="exact"/>
        <w:jc w:val="left"/>
        <w:rPr>
          <w:rFonts w:hint="default" w:ascii="仿宋" w:hAnsi="仿宋" w:eastAsia="宋体" w:cs="Times New Roman"/>
          <w:color w:val="auto"/>
          <w:sz w:val="24"/>
          <w:highlight w:val="none"/>
          <w:lang w:val="en-US" w:eastAsia="zh-CN"/>
        </w:rPr>
      </w:pPr>
      <w:r>
        <w:rPr>
          <w:rFonts w:hint="eastAsia"/>
          <w:color w:val="auto"/>
          <w:sz w:val="24"/>
          <w:highlight w:val="none"/>
        </w:rPr>
        <w:t>六、一般公共预算财政拨款基本支出决算情况说明</w:t>
      </w:r>
      <w:r>
        <w:rPr>
          <w:rFonts w:hint="eastAsia"/>
          <w:color w:val="auto"/>
          <w:sz w:val="24"/>
          <w:highlight w:val="none"/>
          <w:lang w:val="en-US" w:eastAsia="zh-CN"/>
        </w:rPr>
        <w:t>.........................................8</w:t>
      </w:r>
    </w:p>
    <w:p w14:paraId="40C858E6">
      <w:pPr>
        <w:pStyle w:val="14"/>
        <w:adjustRightInd w:val="0"/>
        <w:snapToGrid w:val="0"/>
        <w:spacing w:line="440" w:lineRule="exact"/>
        <w:jc w:val="left"/>
        <w:rPr>
          <w:rFonts w:hint="default" w:ascii="仿宋" w:hAnsi="仿宋" w:eastAsia="宋体" w:cs="Times New Roman"/>
          <w:color w:val="auto"/>
          <w:sz w:val="24"/>
          <w:highlight w:val="none"/>
          <w:lang w:val="en-US" w:eastAsia="zh-CN"/>
        </w:rPr>
      </w:pPr>
      <w:r>
        <w:rPr>
          <w:rFonts w:hint="eastAsia"/>
          <w:color w:val="auto"/>
          <w:sz w:val="24"/>
          <w:highlight w:val="none"/>
        </w:rPr>
        <w:t>七、财政拨款</w:t>
      </w:r>
      <w:r>
        <w:rPr>
          <w:rFonts w:hint="eastAsia"/>
          <w:color w:val="auto"/>
          <w:sz w:val="24"/>
          <w:highlight w:val="none"/>
          <w:lang w:eastAsia="zh-CN"/>
        </w:rPr>
        <w:t>“</w:t>
      </w:r>
      <w:r>
        <w:rPr>
          <w:rFonts w:hint="eastAsia"/>
          <w:color w:val="auto"/>
          <w:sz w:val="24"/>
          <w:highlight w:val="none"/>
        </w:rPr>
        <w:t>三公”经费支出决算情况说明</w:t>
      </w:r>
      <w:r>
        <w:rPr>
          <w:rFonts w:hint="eastAsia"/>
          <w:color w:val="auto"/>
          <w:sz w:val="24"/>
          <w:highlight w:val="none"/>
          <w:lang w:val="en-US" w:eastAsia="zh-CN"/>
        </w:rPr>
        <w:t>................................................9</w:t>
      </w:r>
    </w:p>
    <w:p w14:paraId="75D4455F">
      <w:pPr>
        <w:pStyle w:val="14"/>
        <w:adjustRightInd w:val="0"/>
        <w:snapToGrid w:val="0"/>
        <w:spacing w:line="440" w:lineRule="exact"/>
        <w:jc w:val="left"/>
        <w:rPr>
          <w:rFonts w:hint="default" w:ascii="仿宋" w:hAnsi="仿宋" w:eastAsia="宋体" w:cs="Times New Roman"/>
          <w:color w:val="auto"/>
          <w:sz w:val="24"/>
          <w:highlight w:val="none"/>
          <w:lang w:val="en-US" w:eastAsia="zh-CN"/>
        </w:rPr>
      </w:pPr>
      <w:r>
        <w:rPr>
          <w:rFonts w:hint="eastAsia"/>
          <w:color w:val="auto"/>
          <w:sz w:val="24"/>
          <w:highlight w:val="none"/>
        </w:rPr>
        <w:t>八、政府性基金预算支出决算情况说明</w:t>
      </w:r>
      <w:r>
        <w:rPr>
          <w:rFonts w:hint="eastAsia"/>
          <w:color w:val="auto"/>
          <w:sz w:val="24"/>
          <w:highlight w:val="none"/>
          <w:lang w:val="en-US" w:eastAsia="zh-CN"/>
        </w:rPr>
        <w:t>...........................................................11</w:t>
      </w:r>
    </w:p>
    <w:p w14:paraId="771F078D">
      <w:pPr>
        <w:pStyle w:val="14"/>
        <w:adjustRightInd w:val="0"/>
        <w:snapToGrid w:val="0"/>
        <w:spacing w:line="440" w:lineRule="exact"/>
        <w:ind w:leftChars="0"/>
        <w:jc w:val="left"/>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九、</w:t>
      </w:r>
      <w:r>
        <w:rPr>
          <w:rFonts w:hint="eastAsia" w:ascii="宋体" w:hAnsi="宋体" w:eastAsia="宋体" w:cs="宋体"/>
          <w:color w:val="auto"/>
          <w:sz w:val="24"/>
          <w:highlight w:val="none"/>
          <w:lang w:eastAsia="zh-CN"/>
        </w:rPr>
        <w:t>国</w:t>
      </w:r>
      <w:r>
        <w:rPr>
          <w:rFonts w:hint="eastAsia" w:ascii="宋体" w:hAnsi="宋体" w:eastAsia="宋体" w:cs="宋体"/>
          <w:color w:val="auto"/>
          <w:sz w:val="24"/>
          <w:highlight w:val="none"/>
        </w:rPr>
        <w:t>有资本经营预算支出决算情况说明</w:t>
      </w:r>
      <w:r>
        <w:rPr>
          <w:rFonts w:hint="eastAsia" w:ascii="宋体" w:hAnsi="宋体" w:cs="宋体"/>
          <w:color w:val="auto"/>
          <w:sz w:val="24"/>
          <w:highlight w:val="none"/>
          <w:lang w:val="en-US" w:eastAsia="zh-CN"/>
        </w:rPr>
        <w:t>............................11</w:t>
      </w:r>
    </w:p>
    <w:p w14:paraId="69028DB7">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175"/>
        <w:jc w:val="left"/>
        <w:textAlignment w:val="auto"/>
        <w:rPr>
          <w:rFonts w:hint="default" w:ascii="宋体" w:hAnsi="宋体" w:eastAsia="宋体" w:cs="宋体"/>
          <w:color w:val="auto"/>
          <w:sz w:val="24"/>
          <w:highlight w:val="none"/>
          <w:lang w:val="en-US" w:eastAsia="zh-CN"/>
        </w:rPr>
      </w:pPr>
      <w:r>
        <w:rPr>
          <w:rStyle w:val="18"/>
          <w:rFonts w:hint="eastAsia" w:ascii="宋体" w:hAnsi="宋体" w:eastAsia="宋体" w:cs="宋体"/>
          <w:color w:val="auto"/>
          <w:sz w:val="24"/>
          <w:highlight w:val="none"/>
          <w:u w:val="none"/>
          <w:lang w:eastAsia="zh-CN"/>
        </w:rPr>
        <w:t>十</w:t>
      </w:r>
      <w:r>
        <w:rPr>
          <w:rStyle w:val="18"/>
          <w:rFonts w:hint="eastAsia" w:ascii="宋体" w:hAnsi="宋体" w:eastAsia="宋体" w:cs="宋体"/>
          <w:color w:val="auto"/>
          <w:sz w:val="24"/>
          <w:highlight w:val="none"/>
          <w:u w:val="none"/>
        </w:rPr>
        <w:t>、</w:t>
      </w:r>
      <w:r>
        <w:rPr>
          <w:rFonts w:hint="eastAsia" w:ascii="宋体" w:hAnsi="宋体" w:eastAsia="宋体" w:cs="宋体"/>
          <w:color w:val="auto"/>
          <w:sz w:val="24"/>
          <w:highlight w:val="none"/>
        </w:rPr>
        <w:t>其他重要事项的情况说明</w:t>
      </w:r>
      <w:r>
        <w:rPr>
          <w:rFonts w:hint="eastAsia" w:ascii="宋体" w:hAnsi="宋体" w:cs="宋体"/>
          <w:color w:val="auto"/>
          <w:sz w:val="24"/>
          <w:highlight w:val="none"/>
          <w:lang w:val="en-US" w:eastAsia="zh-CN"/>
        </w:rPr>
        <w:t>......................................11</w:t>
      </w:r>
    </w:p>
    <w:p w14:paraId="07893D21">
      <w:pPr>
        <w:pStyle w:val="12"/>
        <w:adjustRightInd w:val="0"/>
        <w:snapToGrid w:val="0"/>
        <w:spacing w:before="0" w:line="440" w:lineRule="exact"/>
        <w:jc w:val="left"/>
        <w:rPr>
          <w:rFonts w:hint="default" w:eastAsia="仿宋" w:cs="Times New Roman"/>
          <w:color w:val="auto"/>
          <w:sz w:val="24"/>
          <w:szCs w:val="24"/>
          <w:highlight w:val="none"/>
          <w:lang w:val="en-US" w:eastAsia="zh-CN"/>
        </w:rPr>
      </w:pPr>
      <w:r>
        <w:rPr>
          <w:rFonts w:hint="eastAsia"/>
          <w:color w:val="auto"/>
          <w:sz w:val="24"/>
          <w:highlight w:val="none"/>
        </w:rPr>
        <w:t>第三部分</w:t>
      </w:r>
      <w:r>
        <w:rPr>
          <w:color w:val="auto"/>
          <w:sz w:val="24"/>
          <w:highlight w:val="none"/>
        </w:rPr>
        <w:t xml:space="preserve"> </w:t>
      </w:r>
      <w:r>
        <w:rPr>
          <w:rFonts w:hint="eastAsia"/>
          <w:color w:val="auto"/>
          <w:sz w:val="24"/>
          <w:highlight w:val="none"/>
        </w:rPr>
        <w:t>名词解释</w:t>
      </w:r>
      <w:r>
        <w:rPr>
          <w:rFonts w:hint="eastAsia"/>
          <w:color w:val="auto"/>
          <w:sz w:val="24"/>
          <w:highlight w:val="none"/>
          <w:lang w:val="en-US" w:eastAsia="zh-CN"/>
        </w:rPr>
        <w:t>..................................................14</w:t>
      </w:r>
    </w:p>
    <w:p w14:paraId="4350AD96">
      <w:pPr>
        <w:pStyle w:val="12"/>
        <w:adjustRightInd w:val="0"/>
        <w:snapToGrid w:val="0"/>
        <w:spacing w:before="0" w:line="440" w:lineRule="exact"/>
        <w:jc w:val="left"/>
        <w:rPr>
          <w:rFonts w:hint="default" w:eastAsia="仿宋" w:cs="Times New Roman"/>
          <w:color w:val="auto"/>
          <w:sz w:val="24"/>
          <w:szCs w:val="24"/>
          <w:highlight w:val="none"/>
          <w:lang w:val="en-US" w:eastAsia="zh-CN"/>
        </w:rPr>
      </w:pPr>
      <w:r>
        <w:rPr>
          <w:rFonts w:hint="eastAsia"/>
          <w:color w:val="auto"/>
          <w:sz w:val="24"/>
          <w:highlight w:val="none"/>
        </w:rPr>
        <w:t>第四部分</w:t>
      </w:r>
      <w:r>
        <w:rPr>
          <w:color w:val="auto"/>
          <w:sz w:val="24"/>
          <w:highlight w:val="none"/>
        </w:rPr>
        <w:t xml:space="preserve"> </w:t>
      </w:r>
      <w:r>
        <w:rPr>
          <w:rFonts w:hint="eastAsia"/>
          <w:color w:val="auto"/>
          <w:sz w:val="24"/>
          <w:highlight w:val="none"/>
        </w:rPr>
        <w:t>附件</w:t>
      </w:r>
      <w:r>
        <w:rPr>
          <w:rFonts w:hint="eastAsia"/>
          <w:color w:val="auto"/>
          <w:sz w:val="24"/>
          <w:highlight w:val="none"/>
          <w:lang w:val="en-US" w:eastAsia="zh-CN"/>
        </w:rPr>
        <w:t>......................................................17</w:t>
      </w:r>
    </w:p>
    <w:p w14:paraId="2B8C3A9C">
      <w:pPr>
        <w:pStyle w:val="12"/>
        <w:adjustRightInd w:val="0"/>
        <w:snapToGrid w:val="0"/>
        <w:spacing w:before="0" w:line="440" w:lineRule="exact"/>
        <w:jc w:val="left"/>
        <w:rPr>
          <w:rFonts w:hint="default" w:eastAsia="仿宋" w:cs="Times New Roman"/>
          <w:color w:val="auto"/>
          <w:sz w:val="24"/>
          <w:szCs w:val="24"/>
          <w:highlight w:val="none"/>
          <w:lang w:val="en-US" w:eastAsia="zh-CN"/>
        </w:rPr>
      </w:pPr>
      <w:r>
        <w:rPr>
          <w:rFonts w:hint="eastAsia"/>
          <w:color w:val="auto"/>
          <w:sz w:val="24"/>
          <w:highlight w:val="none"/>
        </w:rPr>
        <w:t>第五部分</w:t>
      </w:r>
      <w:r>
        <w:rPr>
          <w:color w:val="auto"/>
          <w:sz w:val="24"/>
          <w:highlight w:val="none"/>
        </w:rPr>
        <w:t xml:space="preserve"> </w:t>
      </w:r>
      <w:r>
        <w:rPr>
          <w:rFonts w:hint="eastAsia"/>
          <w:color w:val="auto"/>
          <w:sz w:val="24"/>
          <w:highlight w:val="none"/>
        </w:rPr>
        <w:t>附表</w:t>
      </w:r>
      <w:r>
        <w:rPr>
          <w:rFonts w:hint="eastAsia"/>
          <w:color w:val="auto"/>
          <w:sz w:val="24"/>
          <w:highlight w:val="none"/>
          <w:lang w:val="en-US" w:eastAsia="zh-CN"/>
        </w:rPr>
        <w:t>......................................................27</w:t>
      </w:r>
    </w:p>
    <w:p w14:paraId="5DF1C694">
      <w:pPr>
        <w:pStyle w:val="14"/>
        <w:adjustRightInd w:val="0"/>
        <w:snapToGrid w:val="0"/>
        <w:spacing w:line="440" w:lineRule="exact"/>
        <w:jc w:val="left"/>
        <w:rPr>
          <w:rFonts w:hint="eastAsia"/>
          <w:color w:val="auto"/>
          <w:sz w:val="24"/>
          <w:highlight w:val="none"/>
        </w:rPr>
      </w:pPr>
      <w:r>
        <w:rPr>
          <w:rFonts w:hint="eastAsia"/>
          <w:color w:val="auto"/>
          <w:sz w:val="24"/>
          <w:highlight w:val="none"/>
        </w:rPr>
        <w:t>一、收入支出决算总表</w:t>
      </w:r>
    </w:p>
    <w:p w14:paraId="089052F0">
      <w:pPr>
        <w:pStyle w:val="14"/>
        <w:adjustRightInd w:val="0"/>
        <w:snapToGrid w:val="0"/>
        <w:spacing w:line="440" w:lineRule="exact"/>
        <w:jc w:val="left"/>
        <w:rPr>
          <w:rFonts w:hint="eastAsia"/>
          <w:color w:val="auto"/>
          <w:sz w:val="24"/>
          <w:highlight w:val="none"/>
        </w:rPr>
      </w:pPr>
      <w:r>
        <w:rPr>
          <w:rFonts w:hint="eastAsia"/>
          <w:color w:val="auto"/>
          <w:sz w:val="24"/>
          <w:highlight w:val="none"/>
        </w:rPr>
        <w:t>二、收入决算表</w:t>
      </w:r>
    </w:p>
    <w:p w14:paraId="0C54754E">
      <w:pPr>
        <w:pStyle w:val="14"/>
        <w:adjustRightInd w:val="0"/>
        <w:snapToGrid w:val="0"/>
        <w:spacing w:line="440" w:lineRule="exact"/>
        <w:jc w:val="left"/>
        <w:rPr>
          <w:rFonts w:hint="eastAsia"/>
          <w:color w:val="auto"/>
          <w:sz w:val="24"/>
          <w:highlight w:val="none"/>
        </w:rPr>
      </w:pPr>
      <w:r>
        <w:rPr>
          <w:rFonts w:hint="eastAsia"/>
          <w:color w:val="auto"/>
          <w:sz w:val="24"/>
          <w:highlight w:val="none"/>
        </w:rPr>
        <w:t>三、支出决算表</w:t>
      </w:r>
    </w:p>
    <w:p w14:paraId="5EACD5FA">
      <w:pPr>
        <w:pStyle w:val="14"/>
        <w:adjustRightInd w:val="0"/>
        <w:snapToGrid w:val="0"/>
        <w:spacing w:line="440" w:lineRule="exact"/>
        <w:jc w:val="left"/>
        <w:rPr>
          <w:rFonts w:hint="eastAsia"/>
          <w:color w:val="auto"/>
          <w:sz w:val="24"/>
          <w:highlight w:val="none"/>
        </w:rPr>
      </w:pPr>
      <w:r>
        <w:rPr>
          <w:rFonts w:hint="eastAsia"/>
          <w:color w:val="auto"/>
          <w:sz w:val="24"/>
          <w:highlight w:val="none"/>
        </w:rPr>
        <w:t>四、财政拨款收入支出决算总表</w:t>
      </w:r>
    </w:p>
    <w:p w14:paraId="36F8EEEC">
      <w:pPr>
        <w:pStyle w:val="14"/>
        <w:adjustRightInd w:val="0"/>
        <w:snapToGrid w:val="0"/>
        <w:spacing w:line="440" w:lineRule="exact"/>
        <w:jc w:val="left"/>
        <w:rPr>
          <w:rFonts w:hint="eastAsia"/>
          <w:color w:val="auto"/>
          <w:sz w:val="24"/>
          <w:highlight w:val="none"/>
        </w:rPr>
      </w:pPr>
      <w:r>
        <w:rPr>
          <w:rFonts w:hint="eastAsia"/>
          <w:color w:val="auto"/>
          <w:sz w:val="24"/>
          <w:highlight w:val="none"/>
        </w:rPr>
        <w:t>五、财政拨款支出决算明细表</w:t>
      </w:r>
    </w:p>
    <w:p w14:paraId="45C252F4">
      <w:pPr>
        <w:pStyle w:val="14"/>
        <w:adjustRightInd w:val="0"/>
        <w:snapToGrid w:val="0"/>
        <w:spacing w:line="440" w:lineRule="exact"/>
        <w:jc w:val="left"/>
        <w:rPr>
          <w:rFonts w:hint="eastAsia"/>
          <w:color w:val="auto"/>
          <w:sz w:val="24"/>
          <w:highlight w:val="none"/>
        </w:rPr>
      </w:pPr>
      <w:r>
        <w:rPr>
          <w:rFonts w:hint="eastAsia"/>
          <w:color w:val="auto"/>
          <w:sz w:val="24"/>
          <w:highlight w:val="none"/>
        </w:rPr>
        <w:t>六、一般公共预算财政拨款支出决算表</w:t>
      </w:r>
    </w:p>
    <w:p w14:paraId="7DEDEBBC">
      <w:pPr>
        <w:pStyle w:val="14"/>
        <w:adjustRightInd w:val="0"/>
        <w:snapToGrid w:val="0"/>
        <w:spacing w:line="440" w:lineRule="exact"/>
        <w:jc w:val="left"/>
        <w:rPr>
          <w:rFonts w:hint="eastAsia"/>
          <w:color w:val="auto"/>
          <w:sz w:val="24"/>
          <w:highlight w:val="none"/>
        </w:rPr>
      </w:pPr>
      <w:r>
        <w:rPr>
          <w:rFonts w:hint="eastAsia"/>
          <w:color w:val="auto"/>
          <w:sz w:val="24"/>
          <w:highlight w:val="none"/>
        </w:rPr>
        <w:t>七、一般公共预算财政拨款支出决算明细表</w:t>
      </w:r>
    </w:p>
    <w:p w14:paraId="5E674258">
      <w:pPr>
        <w:pStyle w:val="14"/>
        <w:adjustRightInd w:val="0"/>
        <w:snapToGrid w:val="0"/>
        <w:spacing w:line="440" w:lineRule="exact"/>
        <w:jc w:val="left"/>
        <w:rPr>
          <w:rFonts w:hint="eastAsia"/>
          <w:color w:val="auto"/>
          <w:sz w:val="24"/>
          <w:highlight w:val="none"/>
        </w:rPr>
      </w:pPr>
      <w:r>
        <w:rPr>
          <w:rFonts w:hint="eastAsia"/>
          <w:color w:val="auto"/>
          <w:sz w:val="24"/>
          <w:highlight w:val="none"/>
        </w:rPr>
        <w:t>八、一般公共预算财政拨款基本支出决算</w:t>
      </w:r>
      <w:r>
        <w:rPr>
          <w:rFonts w:hint="eastAsia"/>
          <w:color w:val="auto"/>
          <w:sz w:val="24"/>
          <w:highlight w:val="none"/>
          <w:lang w:eastAsia="zh-CN"/>
        </w:rPr>
        <w:t>明细</w:t>
      </w:r>
      <w:r>
        <w:rPr>
          <w:rFonts w:hint="eastAsia"/>
          <w:color w:val="auto"/>
          <w:sz w:val="24"/>
          <w:highlight w:val="none"/>
        </w:rPr>
        <w:t>表</w:t>
      </w:r>
    </w:p>
    <w:p w14:paraId="402EA494">
      <w:pPr>
        <w:pStyle w:val="14"/>
        <w:adjustRightInd w:val="0"/>
        <w:snapToGrid w:val="0"/>
        <w:spacing w:line="440" w:lineRule="exact"/>
        <w:jc w:val="left"/>
        <w:rPr>
          <w:rFonts w:hint="eastAsia"/>
          <w:color w:val="auto"/>
          <w:sz w:val="24"/>
          <w:highlight w:val="none"/>
        </w:rPr>
      </w:pPr>
      <w:r>
        <w:rPr>
          <w:rFonts w:hint="eastAsia"/>
          <w:color w:val="auto"/>
          <w:sz w:val="24"/>
          <w:highlight w:val="none"/>
        </w:rPr>
        <w:t>九、一般公共预算财政拨款项目支出决算表</w:t>
      </w:r>
    </w:p>
    <w:p w14:paraId="73CAE59E">
      <w:pPr>
        <w:pStyle w:val="14"/>
        <w:adjustRightInd w:val="0"/>
        <w:snapToGrid w:val="0"/>
        <w:spacing w:line="440" w:lineRule="exact"/>
        <w:jc w:val="left"/>
        <w:rPr>
          <w:rFonts w:hint="eastAsia"/>
          <w:color w:val="auto"/>
          <w:sz w:val="24"/>
          <w:highlight w:val="none"/>
        </w:rPr>
      </w:pPr>
      <w:r>
        <w:rPr>
          <w:rFonts w:hint="eastAsia"/>
          <w:color w:val="auto"/>
          <w:sz w:val="24"/>
          <w:highlight w:val="none"/>
        </w:rPr>
        <w:t>十、政府性基金预算财政拨款收入支出决算表</w:t>
      </w:r>
    </w:p>
    <w:p w14:paraId="147E9659">
      <w:pPr>
        <w:pStyle w:val="14"/>
        <w:adjustRightInd w:val="0"/>
        <w:snapToGrid w:val="0"/>
        <w:spacing w:line="440" w:lineRule="exact"/>
        <w:jc w:val="left"/>
        <w:rPr>
          <w:rFonts w:hint="eastAsia"/>
          <w:color w:val="auto"/>
          <w:sz w:val="24"/>
          <w:highlight w:val="none"/>
        </w:rPr>
      </w:pPr>
      <w:r>
        <w:rPr>
          <w:rFonts w:hint="eastAsia"/>
          <w:color w:val="auto"/>
          <w:sz w:val="24"/>
          <w:highlight w:val="none"/>
        </w:rPr>
        <w:t>十一、国有资本经营预算财政拨款收入支出决算表</w:t>
      </w:r>
    </w:p>
    <w:p w14:paraId="42632523">
      <w:pPr>
        <w:pStyle w:val="14"/>
        <w:adjustRightInd w:val="0"/>
        <w:snapToGrid w:val="0"/>
        <w:spacing w:line="440" w:lineRule="exact"/>
        <w:jc w:val="left"/>
        <w:rPr>
          <w:rFonts w:hint="eastAsia"/>
          <w:color w:val="auto"/>
          <w:sz w:val="24"/>
          <w:highlight w:val="none"/>
        </w:rPr>
      </w:pPr>
      <w:r>
        <w:rPr>
          <w:rFonts w:hint="eastAsia"/>
          <w:color w:val="auto"/>
          <w:sz w:val="24"/>
          <w:highlight w:val="none"/>
        </w:rPr>
        <w:t>十二、</w:t>
      </w:r>
      <w:r>
        <w:rPr>
          <w:rFonts w:hint="eastAsia"/>
          <w:color w:val="auto"/>
          <w:sz w:val="24"/>
          <w:highlight w:val="none"/>
          <w:lang w:val="en-US" w:eastAsia="zh-CN"/>
        </w:rPr>
        <w:t>国有资本经营预算财政拨款支出决算表</w:t>
      </w:r>
    </w:p>
    <w:p w14:paraId="6092E7A9">
      <w:pPr>
        <w:keepNext w:val="0"/>
        <w:keepLines w:val="0"/>
        <w:pageBreakBefore w:val="0"/>
        <w:widowControl/>
        <w:kinsoku/>
        <w:wordWrap/>
        <w:overflowPunct/>
        <w:topLinePunct w:val="0"/>
        <w:autoSpaceDE/>
        <w:autoSpaceDN/>
        <w:bidi w:val="0"/>
        <w:spacing w:line="560" w:lineRule="exact"/>
        <w:ind w:firstLine="480" w:firstLineChars="200"/>
        <w:jc w:val="left"/>
        <w:textAlignment w:val="auto"/>
        <w:rPr>
          <w:rFonts w:hint="eastAsia"/>
          <w:color w:val="auto"/>
          <w:sz w:val="24"/>
          <w:highlight w:val="none"/>
        </w:rPr>
      </w:pPr>
      <w:r>
        <w:rPr>
          <w:rFonts w:hint="eastAsia"/>
          <w:color w:val="auto"/>
          <w:sz w:val="24"/>
          <w:highlight w:val="none"/>
        </w:rPr>
        <w:t>十三、财政拨款“三公”经费支出决算表</w:t>
      </w:r>
      <w:bookmarkStart w:id="6" w:name="_Toc15377196"/>
      <w:bookmarkStart w:id="7" w:name="_Toc15396599"/>
    </w:p>
    <w:p w14:paraId="4321B1C5">
      <w:pPr>
        <w:pStyle w:val="13"/>
        <w:rPr>
          <w:rFonts w:hint="eastAsia"/>
          <w:color w:val="auto"/>
          <w:sz w:val="24"/>
          <w:highlight w:val="none"/>
        </w:rPr>
      </w:pPr>
    </w:p>
    <w:p w14:paraId="5755B649">
      <w:pPr>
        <w:pStyle w:val="7"/>
        <w:rPr>
          <w:rFonts w:hint="eastAsia"/>
          <w:color w:val="auto"/>
          <w:sz w:val="24"/>
          <w:highlight w:val="none"/>
        </w:rPr>
      </w:pPr>
    </w:p>
    <w:p w14:paraId="2AC1756E">
      <w:pPr>
        <w:pStyle w:val="7"/>
        <w:rPr>
          <w:rFonts w:hint="eastAsia"/>
          <w:color w:val="auto"/>
          <w:sz w:val="24"/>
          <w:highlight w:val="none"/>
        </w:rPr>
      </w:pPr>
    </w:p>
    <w:p w14:paraId="266935DF">
      <w:pPr>
        <w:pStyle w:val="7"/>
        <w:rPr>
          <w:rFonts w:hint="eastAsia"/>
          <w:color w:val="auto"/>
          <w:sz w:val="24"/>
          <w:highlight w:val="none"/>
        </w:rPr>
      </w:pPr>
    </w:p>
    <w:p w14:paraId="490BEF2A">
      <w:pPr>
        <w:pStyle w:val="7"/>
        <w:rPr>
          <w:rFonts w:hint="eastAsia"/>
          <w:color w:val="auto"/>
          <w:sz w:val="24"/>
          <w:highlight w:val="none"/>
        </w:rPr>
      </w:pPr>
    </w:p>
    <w:p w14:paraId="3381487C">
      <w:pPr>
        <w:pStyle w:val="7"/>
        <w:rPr>
          <w:rFonts w:hint="eastAsia"/>
          <w:color w:val="auto"/>
          <w:sz w:val="24"/>
          <w:highlight w:val="none"/>
        </w:rPr>
      </w:pPr>
    </w:p>
    <w:p w14:paraId="2E33C0D5">
      <w:pPr>
        <w:pStyle w:val="7"/>
        <w:rPr>
          <w:rFonts w:hint="eastAsia"/>
          <w:color w:val="auto"/>
          <w:sz w:val="24"/>
          <w:highlight w:val="none"/>
        </w:rPr>
      </w:pPr>
    </w:p>
    <w:p w14:paraId="63708118">
      <w:pPr>
        <w:pStyle w:val="7"/>
        <w:rPr>
          <w:rFonts w:hint="eastAsia"/>
          <w:color w:val="auto"/>
          <w:sz w:val="24"/>
          <w:highlight w:val="none"/>
        </w:rPr>
      </w:pPr>
    </w:p>
    <w:p w14:paraId="50D65025">
      <w:pPr>
        <w:pStyle w:val="7"/>
        <w:rPr>
          <w:rFonts w:hint="eastAsia"/>
          <w:color w:val="auto"/>
          <w:sz w:val="24"/>
          <w:highlight w:val="none"/>
        </w:rPr>
      </w:pPr>
    </w:p>
    <w:p w14:paraId="2BA4E0A3">
      <w:pPr>
        <w:pStyle w:val="7"/>
        <w:rPr>
          <w:rFonts w:hint="eastAsia"/>
          <w:color w:val="auto"/>
          <w:sz w:val="24"/>
          <w:highlight w:val="none"/>
        </w:rPr>
      </w:pPr>
    </w:p>
    <w:p w14:paraId="2E4D240E">
      <w:pPr>
        <w:pStyle w:val="7"/>
        <w:rPr>
          <w:rFonts w:hint="eastAsia"/>
          <w:color w:val="auto"/>
          <w:sz w:val="24"/>
          <w:highlight w:val="none"/>
        </w:rPr>
      </w:pPr>
    </w:p>
    <w:p w14:paraId="4B53EED8">
      <w:pPr>
        <w:pStyle w:val="7"/>
        <w:rPr>
          <w:rFonts w:hint="eastAsia"/>
          <w:color w:val="auto"/>
          <w:sz w:val="24"/>
          <w:highlight w:val="none"/>
        </w:rPr>
      </w:pPr>
    </w:p>
    <w:p w14:paraId="399E76F3">
      <w:pPr>
        <w:pStyle w:val="7"/>
        <w:rPr>
          <w:rFonts w:hint="eastAsia"/>
          <w:color w:val="auto"/>
          <w:sz w:val="24"/>
          <w:highlight w:val="none"/>
        </w:rPr>
      </w:pPr>
    </w:p>
    <w:p w14:paraId="1BA25467">
      <w:pPr>
        <w:pStyle w:val="7"/>
        <w:rPr>
          <w:rFonts w:hint="eastAsia"/>
          <w:color w:val="auto"/>
          <w:sz w:val="24"/>
          <w:highlight w:val="none"/>
        </w:rPr>
      </w:pPr>
    </w:p>
    <w:p w14:paraId="265A5D82">
      <w:pPr>
        <w:pStyle w:val="7"/>
        <w:rPr>
          <w:rFonts w:hint="eastAsia"/>
          <w:color w:val="auto"/>
          <w:sz w:val="24"/>
          <w:highlight w:val="none"/>
        </w:rPr>
      </w:pPr>
    </w:p>
    <w:p w14:paraId="452E3C4E">
      <w:pPr>
        <w:pStyle w:val="7"/>
        <w:rPr>
          <w:rFonts w:hint="eastAsia"/>
          <w:color w:val="auto"/>
          <w:sz w:val="24"/>
          <w:highlight w:val="none"/>
        </w:rPr>
      </w:pPr>
    </w:p>
    <w:p w14:paraId="1FD6193A">
      <w:pPr>
        <w:pStyle w:val="7"/>
        <w:rPr>
          <w:rFonts w:hint="eastAsia"/>
          <w:color w:val="auto"/>
          <w:sz w:val="24"/>
          <w:highlight w:val="none"/>
        </w:rPr>
      </w:pPr>
    </w:p>
    <w:p w14:paraId="79646594">
      <w:pPr>
        <w:pStyle w:val="7"/>
        <w:rPr>
          <w:rFonts w:hint="eastAsia"/>
          <w:color w:val="auto"/>
          <w:sz w:val="24"/>
          <w:highlight w:val="none"/>
        </w:rPr>
      </w:pPr>
    </w:p>
    <w:p w14:paraId="52EF4FBA">
      <w:pPr>
        <w:pStyle w:val="7"/>
        <w:rPr>
          <w:rFonts w:hint="eastAsia"/>
          <w:color w:val="auto"/>
          <w:sz w:val="24"/>
          <w:highlight w:val="none"/>
        </w:rPr>
      </w:pPr>
    </w:p>
    <w:p w14:paraId="74F964C1">
      <w:pPr>
        <w:pStyle w:val="7"/>
        <w:rPr>
          <w:rFonts w:hint="eastAsia"/>
          <w:color w:val="auto"/>
          <w:sz w:val="24"/>
          <w:highlight w:val="none"/>
        </w:rPr>
      </w:pPr>
    </w:p>
    <w:p w14:paraId="7E59FB68">
      <w:pPr>
        <w:pStyle w:val="7"/>
        <w:rPr>
          <w:rFonts w:hint="eastAsia"/>
          <w:color w:val="auto"/>
          <w:sz w:val="24"/>
          <w:highlight w:val="none"/>
        </w:rPr>
      </w:pPr>
    </w:p>
    <w:p w14:paraId="3190B74A">
      <w:pPr>
        <w:pStyle w:val="7"/>
        <w:rPr>
          <w:rFonts w:hint="eastAsia"/>
          <w:color w:val="auto"/>
          <w:sz w:val="24"/>
          <w:highlight w:val="none"/>
        </w:rPr>
      </w:pPr>
    </w:p>
    <w:p w14:paraId="2FE4C48B">
      <w:pPr>
        <w:pStyle w:val="7"/>
        <w:rPr>
          <w:rFonts w:hint="eastAsia"/>
          <w:color w:val="auto"/>
          <w:sz w:val="24"/>
          <w:highlight w:val="none"/>
        </w:rPr>
      </w:pPr>
    </w:p>
    <w:p w14:paraId="0AB95E1D">
      <w:pPr>
        <w:pStyle w:val="7"/>
        <w:rPr>
          <w:rFonts w:hint="eastAsia"/>
          <w:color w:val="auto"/>
          <w:sz w:val="24"/>
          <w:highlight w:val="none"/>
        </w:rPr>
      </w:pPr>
    </w:p>
    <w:p w14:paraId="7A24EB23">
      <w:pPr>
        <w:pStyle w:val="3"/>
        <w:jc w:val="center"/>
        <w:rPr>
          <w:rStyle w:val="28"/>
          <w:rFonts w:hint="eastAsia" w:ascii="Times New Roman" w:hAnsi="Times New Roman" w:eastAsia="方正小标宋简体" w:cs="方正小标宋简体"/>
          <w:b/>
          <w:bCs w:val="0"/>
          <w:color w:val="auto"/>
          <w:highlight w:val="none"/>
        </w:rPr>
      </w:pPr>
      <w:r>
        <w:rPr>
          <w:rFonts w:hint="eastAsia" w:ascii="Times New Roman" w:hAnsi="Times New Roman" w:eastAsia="方正小标宋简体" w:cs="方正小标宋简体"/>
          <w:b w:val="0"/>
          <w:color w:val="auto"/>
          <w:highlight w:val="none"/>
        </w:rPr>
        <w:t>第一部分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Style w:val="28"/>
          <w:rFonts w:hint="eastAsia" w:eastAsia="方正小标宋简体" w:cs="方正小标宋简体"/>
          <w:b w:val="0"/>
          <w:bCs w:val="0"/>
          <w:color w:val="auto"/>
          <w:highlight w:val="none"/>
          <w:lang w:eastAsia="zh-CN"/>
        </w:rPr>
        <w:t>单位</w:t>
      </w:r>
      <w:r>
        <w:rPr>
          <w:rStyle w:val="28"/>
          <w:rFonts w:hint="eastAsia" w:ascii="Times New Roman" w:hAnsi="Times New Roman" w:eastAsia="方正小标宋简体" w:cs="方正小标宋简体"/>
          <w:b w:val="0"/>
          <w:bCs w:val="0"/>
          <w:color w:val="auto"/>
          <w:highlight w:val="none"/>
        </w:rPr>
        <w:t>概况</w:t>
      </w:r>
      <w:bookmarkEnd w:id="6"/>
      <w:bookmarkEnd w:id="7"/>
    </w:p>
    <w:p w14:paraId="3071657E">
      <w:pPr>
        <w:widowControl/>
        <w:jc w:val="left"/>
        <w:rPr>
          <w:rFonts w:ascii="Times New Roman" w:hAnsi="Times New Roman" w:eastAsia="黑体"/>
          <w:color w:val="auto"/>
          <w:sz w:val="32"/>
          <w:szCs w:val="32"/>
          <w:highlight w:val="none"/>
        </w:rPr>
      </w:pPr>
    </w:p>
    <w:p w14:paraId="36A6413F">
      <w:pPr>
        <w:pStyle w:val="4"/>
        <w:rPr>
          <w:rStyle w:val="29"/>
          <w:rFonts w:hint="eastAsia" w:ascii="Times New Roman" w:hAnsi="Times New Roman" w:eastAsia="黑体"/>
          <w:b w:val="0"/>
          <w:bCs w:val="0"/>
          <w:color w:val="auto"/>
          <w:highlight w:val="none"/>
          <w:lang w:eastAsia="zh-CN"/>
        </w:rPr>
      </w:pPr>
      <w:bookmarkStart w:id="8" w:name="_Toc15377197"/>
      <w:bookmarkStart w:id="9" w:name="_Toc15396600"/>
      <w:r>
        <w:rPr>
          <w:rFonts w:hint="eastAsia" w:ascii="Times New Roman" w:hAnsi="Times New Roman" w:eastAsia="黑体"/>
          <w:b w:val="0"/>
          <w:color w:val="auto"/>
          <w:highlight w:val="none"/>
        </w:rPr>
        <w:t>一、</w:t>
      </w:r>
      <w:bookmarkEnd w:id="8"/>
      <w:bookmarkEnd w:id="9"/>
      <w:r>
        <w:rPr>
          <w:rFonts w:hint="eastAsia" w:ascii="Times New Roman" w:hAnsi="Times New Roman" w:eastAsia="黑体"/>
          <w:b w:val="0"/>
          <w:color w:val="auto"/>
          <w:highlight w:val="none"/>
          <w:lang w:eastAsia="zh-CN"/>
        </w:rPr>
        <w:t>单位职责</w:t>
      </w:r>
    </w:p>
    <w:p w14:paraId="5E789FCA">
      <w:pPr>
        <w:pStyle w:val="4"/>
        <w:keepNext/>
        <w:keepLines/>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b w:val="0"/>
          <w:bCs w:val="0"/>
          <w:color w:val="auto"/>
          <w:kern w:val="2"/>
          <w:sz w:val="32"/>
          <w:szCs w:val="32"/>
          <w:highlight w:val="none"/>
          <w:lang w:val="en-US" w:eastAsia="zh-CN" w:bidi="ar-SA"/>
        </w:rPr>
      </w:pPr>
      <w:bookmarkStart w:id="10" w:name="_Toc15396601"/>
      <w:bookmarkStart w:id="11" w:name="_Toc15377200"/>
      <w:r>
        <w:rPr>
          <w:rFonts w:hint="eastAsia" w:ascii="仿宋_GB2312" w:hAnsi="仿宋_GB2312" w:eastAsia="仿宋_GB2312" w:cs="仿宋_GB2312"/>
          <w:b w:val="0"/>
          <w:bCs w:val="0"/>
          <w:color w:val="auto"/>
          <w:kern w:val="2"/>
          <w:sz w:val="32"/>
          <w:szCs w:val="32"/>
          <w:highlight w:val="none"/>
          <w:lang w:val="en-US" w:eastAsia="zh-CN" w:bidi="ar-SA"/>
        </w:rPr>
        <w:t>承办区委、区政府领导有关公务服务工作的批示和决定，以及区委、区政府及有关部门转由公务服务中心办理的事项；完成区委、区人大、区政府、区政协四大班子及友邻市、县（区）来西区考察工作的公务服务工作；负责区内公务服务的组织、协调、指导、检查、督促，对区属各部门、各乡镇公务服务工作进行业务指导；协助落实在西区召开的省级及市内大型会议及各项大型重要活动的公务服务工作；负责安排到西区进行投资、洽谈业务等大型活动的服务工作。</w:t>
      </w:r>
    </w:p>
    <w:p w14:paraId="69A4CCD5">
      <w:pPr>
        <w:pStyle w:val="4"/>
        <w:rPr>
          <w:rStyle w:val="29"/>
          <w:rFonts w:ascii="Times New Roman" w:hAnsi="Times New Roman"/>
          <w:b w:val="0"/>
          <w:bCs w:val="0"/>
          <w:color w:val="auto"/>
          <w:highlight w:val="none"/>
        </w:rPr>
      </w:pPr>
      <w:r>
        <w:rPr>
          <w:rFonts w:hint="eastAsia" w:ascii="Times New Roman" w:hAnsi="Times New Roman" w:eastAsia="黑体"/>
          <w:b w:val="0"/>
          <w:color w:val="auto"/>
          <w:highlight w:val="none"/>
        </w:rPr>
        <w:t>二、机</w:t>
      </w:r>
      <w:r>
        <w:rPr>
          <w:rStyle w:val="29"/>
          <w:rFonts w:hint="eastAsia" w:ascii="Times New Roman" w:hAnsi="Times New Roman" w:eastAsia="黑体"/>
          <w:b w:val="0"/>
          <w:bCs w:val="0"/>
          <w:color w:val="auto"/>
          <w:highlight w:val="none"/>
        </w:rPr>
        <w:t>构设置</w:t>
      </w:r>
      <w:bookmarkEnd w:id="10"/>
      <w:bookmarkEnd w:id="11"/>
    </w:p>
    <w:p w14:paraId="46C73BD7">
      <w:pPr>
        <w:ind w:firstLine="800" w:firstLineChars="250"/>
        <w:rPr>
          <w:rFonts w:hint="eastAsia" w:ascii="Times New Roman" w:hAnsi="Times New Roman"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攀枝花市西区公务服务中心</w:t>
      </w:r>
      <w:r>
        <w:rPr>
          <w:rFonts w:hint="eastAsia" w:ascii="Times New Roman" w:hAnsi="Times New Roman" w:eastAsia="仿宋_GB2312" w:cs="仿宋_GB2312"/>
          <w:color w:val="auto"/>
          <w:sz w:val="32"/>
          <w:szCs w:val="32"/>
          <w:highlight w:val="none"/>
        </w:rPr>
        <w:t>下属二级</w:t>
      </w:r>
      <w:r>
        <w:rPr>
          <w:rFonts w:hint="eastAsia" w:ascii="Times New Roman" w:hAnsi="Times New Roman" w:eastAsia="仿宋_GB2312" w:cs="仿宋_GB2312"/>
          <w:color w:val="auto"/>
          <w:sz w:val="32"/>
          <w:szCs w:val="32"/>
          <w:highlight w:val="none"/>
          <w:lang w:eastAsia="zh-CN"/>
        </w:rPr>
        <w:t>预算</w:t>
      </w:r>
      <w:r>
        <w:rPr>
          <w:rFonts w:hint="eastAsia" w:ascii="Times New Roman" w:hAnsi="Times New Roman" w:eastAsia="仿宋_GB2312" w:cs="仿宋_GB2312"/>
          <w:color w:val="auto"/>
          <w:sz w:val="32"/>
          <w:szCs w:val="32"/>
          <w:highlight w:val="none"/>
        </w:rPr>
        <w:t>单位</w:t>
      </w:r>
      <w:r>
        <w:rPr>
          <w:rFonts w:hint="eastAsia"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个，其中行政单位</w:t>
      </w:r>
      <w:r>
        <w:rPr>
          <w:rFonts w:hint="eastAsia"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个，参照公务员法管理的事业单位</w:t>
      </w:r>
      <w:r>
        <w:rPr>
          <w:rFonts w:hint="eastAsia" w:eastAsia="仿宋_GB2312" w:cs="仿宋_GB2312"/>
          <w:bCs/>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个，其他事业单位</w:t>
      </w:r>
      <w:r>
        <w:rPr>
          <w:rFonts w:hint="eastAsia"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个。</w:t>
      </w:r>
    </w:p>
    <w:p w14:paraId="7E6A3E87">
      <w:pPr>
        <w:pStyle w:val="5"/>
        <w:adjustRightInd w:val="0"/>
        <w:snapToGrid w:val="0"/>
        <w:spacing w:before="93" w:line="600" w:lineRule="exact"/>
        <w:ind w:firstLine="672" w:firstLineChars="210"/>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纳入</w:t>
      </w:r>
      <w:r>
        <w:rPr>
          <w:sz w:val="32"/>
          <w:szCs w:val="32"/>
        </w:rPr>
        <w:t>攀枝花市西区公务服务中心</w:t>
      </w:r>
      <w:r>
        <w:rPr>
          <w:rFonts w:hint="eastAsia"/>
          <w:sz w:val="32"/>
          <w:szCs w:val="32"/>
          <w:lang w:eastAsia="zh-CN"/>
        </w:rPr>
        <w:t>无</w:t>
      </w:r>
      <w:r>
        <w:rPr>
          <w:rFonts w:hint="eastAsia" w:ascii="Times New Roman" w:hAnsi="Times New Roman" w:eastAsia="仿宋_GB2312" w:cs="仿宋_GB2312"/>
          <w:color w:val="auto"/>
          <w:sz w:val="32"/>
          <w:szCs w:val="32"/>
          <w:highlight w:val="none"/>
          <w:lang w:eastAsia="zh-CN"/>
        </w:rPr>
        <w:t>2024年度</w:t>
      </w:r>
      <w:r>
        <w:rPr>
          <w:rFonts w:hint="eastAsia" w:ascii="Times New Roman" w:cs="仿宋_GB2312"/>
          <w:color w:val="auto"/>
          <w:sz w:val="32"/>
          <w:szCs w:val="32"/>
          <w:highlight w:val="none"/>
          <w:lang w:eastAsia="zh-CN"/>
        </w:rPr>
        <w:t>单位</w:t>
      </w:r>
      <w:r>
        <w:rPr>
          <w:rFonts w:hint="eastAsia" w:ascii="Times New Roman" w:hAnsi="Times New Roman" w:eastAsia="仿宋_GB2312" w:cs="仿宋_GB2312"/>
          <w:color w:val="auto"/>
          <w:sz w:val="32"/>
          <w:szCs w:val="32"/>
          <w:highlight w:val="none"/>
        </w:rPr>
        <w:t>决算编制范围的二级预算单位包括：</w:t>
      </w:r>
    </w:p>
    <w:p w14:paraId="6CF23C4B">
      <w:pPr>
        <w:widowControl/>
        <w:jc w:val="left"/>
        <w:rPr>
          <w:rFonts w:ascii="Times New Roman" w:hAnsi="Times New Roman" w:eastAsia="仿宋"/>
          <w:color w:val="auto"/>
          <w:kern w:val="0"/>
          <w:sz w:val="32"/>
          <w:szCs w:val="32"/>
          <w:highlight w:val="none"/>
        </w:rPr>
      </w:pPr>
      <w:r>
        <w:rPr>
          <w:rFonts w:ascii="Times New Roman" w:hAnsi="Times New Roman" w:eastAsia="仿宋"/>
          <w:color w:val="auto"/>
          <w:sz w:val="32"/>
          <w:szCs w:val="32"/>
          <w:highlight w:val="none"/>
        </w:rPr>
        <w:br w:type="page"/>
      </w:r>
    </w:p>
    <w:p w14:paraId="353C464B">
      <w:pPr>
        <w:pStyle w:val="3"/>
        <w:jc w:val="center"/>
        <w:rPr>
          <w:rFonts w:hint="eastAsia" w:ascii="Times New Roman" w:hAnsi="Times New Roman" w:eastAsia="方正小标宋简体" w:cs="方正小标宋简体"/>
          <w:b w:val="0"/>
          <w:color w:val="auto"/>
          <w:highlight w:val="none"/>
        </w:rPr>
      </w:pPr>
      <w:bookmarkStart w:id="12" w:name="_Toc15377204"/>
      <w:bookmarkStart w:id="13" w:name="_Toc15396602"/>
      <w:r>
        <w:rPr>
          <w:rFonts w:hint="eastAsia" w:ascii="Times New Roman" w:hAnsi="Times New Roman" w:eastAsia="方正小标宋简体" w:cs="方正小标宋简体"/>
          <w:b w:val="0"/>
          <w:color w:val="auto"/>
          <w:highlight w:val="none"/>
        </w:rPr>
        <w:t>第二部分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ascii="Times New Roman" w:hAnsi="Times New Roman" w:eastAsia="方正小标宋简体" w:cs="方正小标宋简体"/>
          <w:b w:val="0"/>
          <w:color w:val="auto"/>
          <w:highlight w:val="none"/>
          <w:lang w:val="en-US" w:eastAsia="zh-CN"/>
        </w:rPr>
        <w:t>2024年度</w:t>
      </w:r>
      <w:r>
        <w:rPr>
          <w:rFonts w:hint="eastAsia" w:eastAsia="方正小标宋简体" w:cs="方正小标宋简体"/>
          <w:b w:val="0"/>
          <w:color w:val="auto"/>
          <w:highlight w:val="none"/>
          <w:lang w:eastAsia="zh-CN"/>
        </w:rPr>
        <w:t>单位</w:t>
      </w:r>
      <w:r>
        <w:rPr>
          <w:rFonts w:hint="eastAsia" w:ascii="Times New Roman" w:hAnsi="Times New Roman" w:eastAsia="方正小标宋简体" w:cs="方正小标宋简体"/>
          <w:b w:val="0"/>
          <w:color w:val="auto"/>
          <w:highlight w:val="none"/>
        </w:rPr>
        <w:t>决算情况说明</w:t>
      </w:r>
      <w:bookmarkEnd w:id="12"/>
      <w:bookmarkEnd w:id="13"/>
    </w:p>
    <w:p w14:paraId="78B3FAA1">
      <w:pPr>
        <w:rPr>
          <w:rFonts w:ascii="Times New Roman" w:hAnsi="Times New Roman"/>
          <w:color w:val="auto"/>
          <w:highlight w:val="none"/>
        </w:rPr>
      </w:pPr>
    </w:p>
    <w:p w14:paraId="208827C6">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29"/>
          <w:rFonts w:hint="eastAsia" w:ascii="Times New Roman" w:hAnsi="Times New Roman" w:eastAsia="黑体"/>
          <w:b w:val="0"/>
          <w:color w:val="auto"/>
          <w:highlight w:val="none"/>
        </w:rPr>
      </w:pPr>
      <w:bookmarkStart w:id="14" w:name="_Toc15396603"/>
      <w:bookmarkStart w:id="15" w:name="_Toc15377205"/>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29"/>
          <w:rFonts w:hint="eastAsia" w:ascii="Times New Roman" w:hAnsi="Times New Roman" w:eastAsia="黑体"/>
          <w:b w:val="0"/>
          <w:color w:val="auto"/>
          <w:highlight w:val="none"/>
        </w:rPr>
        <w:t>入支出决算总体情况说明</w:t>
      </w:r>
      <w:bookmarkEnd w:id="14"/>
      <w:bookmarkEnd w:id="15"/>
    </w:p>
    <w:p w14:paraId="1EF820D1">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2024年度收入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w:t>
      </w:r>
      <w:r>
        <w:rPr>
          <w:rFonts w:hint="eastAsia" w:ascii="Times New Roman" w:hAnsi="Times New Roman" w:eastAsia="仿宋_GB2312" w:cs="仿宋_GB2312"/>
          <w:color w:val="auto"/>
          <w:sz w:val="32"/>
          <w:szCs w:val="32"/>
          <w:highlight w:val="none"/>
          <w:lang w:eastAsia="zh-CN"/>
        </w:rPr>
        <w:t>均为</w:t>
      </w:r>
      <w:r>
        <w:rPr>
          <w:rFonts w:hint="eastAsia" w:ascii="仿宋_GB2312" w:hAnsi="仿宋_GB2312" w:eastAsia="仿宋_GB2312" w:cs="仿宋_GB2312"/>
          <w:sz w:val="32"/>
          <w:szCs w:val="32"/>
        </w:rPr>
        <w:t>108.27</w:t>
      </w:r>
      <w:r>
        <w:rPr>
          <w:rFonts w:hint="eastAsia" w:ascii="Times New Roman" w:hAnsi="Times New Roman" w:eastAsia="仿宋_GB2312" w:cs="仿宋_GB2312"/>
          <w:color w:val="auto"/>
          <w:sz w:val="32"/>
          <w:szCs w:val="32"/>
          <w:highlight w:val="none"/>
        </w:rPr>
        <w:t>万元。与</w:t>
      </w:r>
      <w:r>
        <w:rPr>
          <w:rFonts w:hint="eastAsia" w:ascii="Times New Roman" w:hAnsi="Times New Roman" w:eastAsia="仿宋_GB2312" w:cs="仿宋_GB2312"/>
          <w:color w:val="auto"/>
          <w:sz w:val="32"/>
          <w:szCs w:val="32"/>
          <w:highlight w:val="none"/>
          <w:lang w:eastAsia="zh-CN"/>
        </w:rPr>
        <w:t>202</w:t>
      </w: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eastAsia="zh-CN"/>
        </w:rPr>
        <w:t>度</w:t>
      </w:r>
      <w:r>
        <w:rPr>
          <w:rFonts w:hint="eastAsia" w:ascii="Times New Roman" w:hAnsi="Times New Roman" w:eastAsia="仿宋_GB2312" w:cs="仿宋_GB2312"/>
          <w:color w:val="auto"/>
          <w:sz w:val="32"/>
          <w:szCs w:val="32"/>
          <w:highlight w:val="none"/>
        </w:rPr>
        <w:t>相比，</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总计各增加</w:t>
      </w:r>
      <w:r>
        <w:rPr>
          <w:rFonts w:hint="eastAsia" w:eastAsia="仿宋_GB2312" w:cs="仿宋_GB2312"/>
          <w:color w:val="auto"/>
          <w:sz w:val="32"/>
          <w:szCs w:val="32"/>
          <w:highlight w:val="none"/>
          <w:lang w:val="en-US" w:eastAsia="zh-CN"/>
        </w:rPr>
        <w:t>1.56</w:t>
      </w:r>
      <w:r>
        <w:rPr>
          <w:rFonts w:hint="eastAsia" w:ascii="Times New Roman" w:hAnsi="Times New Roman" w:eastAsia="仿宋_GB2312" w:cs="仿宋_GB2312"/>
          <w:color w:val="auto"/>
          <w:sz w:val="32"/>
          <w:szCs w:val="32"/>
          <w:highlight w:val="none"/>
        </w:rPr>
        <w:t>万元，增长</w:t>
      </w:r>
      <w:r>
        <w:rPr>
          <w:rFonts w:hint="eastAsia" w:eastAsia="仿宋_GB2312" w:cs="仿宋_GB2312"/>
          <w:color w:val="auto"/>
          <w:sz w:val="32"/>
          <w:szCs w:val="32"/>
          <w:highlight w:val="none"/>
          <w:lang w:val="en-US" w:eastAsia="zh-CN"/>
        </w:rPr>
        <w:t>1.44</w:t>
      </w:r>
      <w:r>
        <w:rPr>
          <w:rFonts w:hint="eastAsia" w:ascii="Times New Roman" w:hAnsi="Times New Roman" w:eastAsia="仿宋_GB2312" w:cs="仿宋_GB2312"/>
          <w:color w:val="auto"/>
          <w:sz w:val="32"/>
          <w:szCs w:val="32"/>
          <w:highlight w:val="none"/>
        </w:rPr>
        <w:t>%。主要变动原因是</w:t>
      </w:r>
      <w:r>
        <w:rPr>
          <w:rFonts w:hint="eastAsia" w:eastAsia="仿宋_GB2312" w:cs="仿宋_GB2312"/>
          <w:color w:val="auto"/>
          <w:sz w:val="32"/>
          <w:szCs w:val="32"/>
          <w:highlight w:val="none"/>
          <w:lang w:eastAsia="zh-CN"/>
        </w:rPr>
        <w:t>人员经费增加。</w:t>
      </w:r>
    </w:p>
    <w:p w14:paraId="4FBB07B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（图1：</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决算总计变动情况图）（柱状图）</w:t>
      </w:r>
    </w:p>
    <w:p w14:paraId="1628F10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imes New Roman" w:hAnsi="Times New Roman" w:eastAsia="仿宋_GB2312" w:cs="仿宋_GB2312"/>
          <w:color w:val="auto"/>
          <w:sz w:val="32"/>
          <w:szCs w:val="32"/>
          <w:highlight w:val="none"/>
        </w:rPr>
      </w:pPr>
      <w:r>
        <w:drawing>
          <wp:inline distT="0" distB="0" distL="114300" distR="114300">
            <wp:extent cx="4467225" cy="2705100"/>
            <wp:effectExtent l="0" t="0" r="9525" b="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9"/>
                    <a:stretch>
                      <a:fillRect/>
                    </a:stretch>
                  </pic:blipFill>
                  <pic:spPr>
                    <a:xfrm>
                      <a:off x="0" y="0"/>
                      <a:ext cx="4467225" cy="2705100"/>
                    </a:xfrm>
                    <a:prstGeom prst="rect">
                      <a:avLst/>
                    </a:prstGeom>
                    <a:noFill/>
                    <a:ln>
                      <a:noFill/>
                    </a:ln>
                  </pic:spPr>
                </pic:pic>
              </a:graphicData>
            </a:graphic>
          </wp:inline>
        </w:drawing>
      </w:r>
    </w:p>
    <w:p w14:paraId="42BC156F">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16" w:name="_Toc15377206"/>
      <w:bookmarkStart w:id="17" w:name="_Toc15396604"/>
      <w:r>
        <w:rPr>
          <w:rFonts w:hint="eastAsia" w:ascii="Times New Roman" w:hAnsi="Times New Roman" w:eastAsia="黑体"/>
          <w:color w:val="auto"/>
          <w:sz w:val="32"/>
          <w:szCs w:val="32"/>
          <w:highlight w:val="none"/>
          <w:lang w:eastAsia="zh-CN"/>
        </w:rPr>
        <w:t>二、收入决算情况说明</w:t>
      </w:r>
      <w:bookmarkEnd w:id="16"/>
      <w:bookmarkEnd w:id="17"/>
    </w:p>
    <w:p w14:paraId="64112739">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b/>
          <w:bCs/>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2024年度本年收入合计</w:t>
      </w:r>
      <w:r>
        <w:rPr>
          <w:rFonts w:hint="eastAsia" w:ascii="仿宋_GB2312" w:hAnsi="仿宋_GB2312" w:eastAsia="仿宋_GB2312" w:cs="仿宋_GB2312"/>
          <w:sz w:val="32"/>
          <w:szCs w:val="32"/>
        </w:rPr>
        <w:t>108.27万元，其中：一般公共预算财政拨款收入105.74</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97.66</w:t>
      </w:r>
      <w:r>
        <w:rPr>
          <w:rFonts w:hint="eastAsia" w:ascii="仿宋_GB2312" w:hAnsi="仿宋_GB2312" w:eastAsia="仿宋_GB2312" w:cs="仿宋_GB2312"/>
          <w:color w:val="auto"/>
          <w:sz w:val="32"/>
          <w:szCs w:val="32"/>
          <w:highlight w:val="none"/>
          <w:lang w:eastAsia="zh-CN"/>
        </w:rPr>
        <w:t>%；政府性基金预算财政拨款收入</w:t>
      </w:r>
      <w:r>
        <w:rPr>
          <w:rFonts w:hint="eastAsia" w:ascii="仿宋_GB2312" w:hAnsi="仿宋_GB2312" w:eastAsia="仿宋_GB2312" w:cs="仿宋_GB2312"/>
          <w:sz w:val="32"/>
          <w:szCs w:val="32"/>
        </w:rPr>
        <w:t>2.53</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2.33%</w:t>
      </w:r>
      <w:r>
        <w:rPr>
          <w:rFonts w:hint="eastAsia" w:ascii="仿宋_GB2312" w:hAnsi="仿宋_GB2312" w:eastAsia="仿宋_GB2312" w:cs="仿宋_GB2312"/>
          <w:color w:val="auto"/>
          <w:sz w:val="32"/>
          <w:szCs w:val="32"/>
          <w:highlight w:val="none"/>
          <w:lang w:eastAsia="zh-CN"/>
        </w:rPr>
        <w:t>。</w:t>
      </w:r>
    </w:p>
    <w:p w14:paraId="6E0B6D2F">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（图2：收入决算结构图）（饼状图）</w:t>
      </w:r>
    </w:p>
    <w:p w14:paraId="729DEF3A">
      <w:pPr>
        <w:ind w:firstLine="525" w:firstLineChars="250"/>
        <w:rPr>
          <w:rFonts w:hint="eastAsia" w:ascii="Times New Roman" w:hAnsi="Times New Roman" w:eastAsia="仿宋_GB2312" w:cs="仿宋_GB2312"/>
          <w:color w:val="auto"/>
          <w:sz w:val="32"/>
          <w:szCs w:val="32"/>
          <w:highlight w:val="none"/>
          <w:lang w:eastAsia="zh-CN"/>
        </w:rPr>
      </w:pPr>
      <w:r>
        <w:drawing>
          <wp:inline distT="0" distB="0" distL="114300" distR="114300">
            <wp:extent cx="4362450" cy="2619375"/>
            <wp:effectExtent l="0" t="0" r="0" b="9525"/>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10"/>
                    <a:stretch>
                      <a:fillRect/>
                    </a:stretch>
                  </pic:blipFill>
                  <pic:spPr>
                    <a:xfrm>
                      <a:off x="0" y="0"/>
                      <a:ext cx="4362450" cy="2619375"/>
                    </a:xfrm>
                    <a:prstGeom prst="rect">
                      <a:avLst/>
                    </a:prstGeom>
                    <a:noFill/>
                    <a:ln>
                      <a:noFill/>
                    </a:ln>
                  </pic:spPr>
                </pic:pic>
              </a:graphicData>
            </a:graphic>
          </wp:inline>
        </w:drawing>
      </w:r>
    </w:p>
    <w:p w14:paraId="50A2D71E">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29"/>
          <w:rFonts w:hint="eastAsia" w:ascii="Times New Roman" w:hAnsi="Times New Roman" w:eastAsia="黑体"/>
          <w:b w:val="0"/>
          <w:color w:val="auto"/>
          <w:highlight w:val="none"/>
        </w:rPr>
      </w:pPr>
      <w:bookmarkStart w:id="18" w:name="_Toc15396605"/>
      <w:bookmarkStart w:id="19" w:name="_Toc15377207"/>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29"/>
          <w:rFonts w:hint="eastAsia" w:ascii="Times New Roman" w:hAnsi="Times New Roman" w:eastAsia="黑体"/>
          <w:b w:val="0"/>
          <w:color w:val="auto"/>
          <w:highlight w:val="none"/>
        </w:rPr>
        <w:t>出决算情况说明</w:t>
      </w:r>
      <w:bookmarkEnd w:id="18"/>
      <w:bookmarkEnd w:id="19"/>
    </w:p>
    <w:p w14:paraId="3448CDBC">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2024年度本年支出合计</w:t>
      </w:r>
      <w:r>
        <w:rPr>
          <w:rFonts w:hint="eastAsia" w:ascii="仿宋_GB2312" w:hAnsi="仿宋_GB2312" w:eastAsia="仿宋_GB2312" w:cs="仿宋_GB2312"/>
          <w:sz w:val="32"/>
          <w:szCs w:val="32"/>
        </w:rPr>
        <w:t>108.27</w:t>
      </w:r>
      <w:r>
        <w:rPr>
          <w:rFonts w:hint="eastAsia" w:ascii="仿宋_GB2312" w:hAnsi="仿宋_GB2312" w:eastAsia="仿宋_GB2312" w:cs="仿宋_GB2312"/>
          <w:color w:val="auto"/>
          <w:sz w:val="32"/>
          <w:szCs w:val="32"/>
          <w:highlight w:val="none"/>
          <w:lang w:eastAsia="zh-CN"/>
        </w:rPr>
        <w:t>万元，其中：基本支出</w:t>
      </w:r>
      <w:r>
        <w:rPr>
          <w:rFonts w:hint="eastAsia" w:ascii="仿宋_GB2312" w:hAnsi="仿宋_GB2312" w:eastAsia="仿宋_GB2312" w:cs="仿宋_GB2312"/>
          <w:sz w:val="32"/>
          <w:szCs w:val="32"/>
        </w:rPr>
        <w:t>105.74</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97.66</w:t>
      </w:r>
      <w:r>
        <w:rPr>
          <w:rFonts w:hint="eastAsia" w:ascii="仿宋_GB2312" w:hAnsi="仿宋_GB2312" w:eastAsia="仿宋_GB2312" w:cs="仿宋_GB2312"/>
          <w:color w:val="auto"/>
          <w:sz w:val="32"/>
          <w:szCs w:val="32"/>
          <w:highlight w:val="none"/>
          <w:lang w:eastAsia="zh-CN"/>
        </w:rPr>
        <w:t>%；项目支出</w:t>
      </w:r>
      <w:r>
        <w:rPr>
          <w:rFonts w:hint="eastAsia" w:ascii="仿宋_GB2312" w:hAnsi="仿宋_GB2312" w:eastAsia="仿宋_GB2312" w:cs="仿宋_GB2312"/>
          <w:sz w:val="32"/>
          <w:szCs w:val="32"/>
        </w:rPr>
        <w:t>2.53</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2.33</w:t>
      </w:r>
      <w:r>
        <w:rPr>
          <w:rFonts w:hint="eastAsia" w:ascii="仿宋_GB2312" w:hAnsi="仿宋_GB2312" w:eastAsia="仿宋_GB2312" w:cs="仿宋_GB2312"/>
          <w:color w:val="auto"/>
          <w:sz w:val="32"/>
          <w:szCs w:val="32"/>
          <w:highlight w:val="none"/>
          <w:lang w:eastAsia="zh-CN"/>
        </w:rPr>
        <w:t>%。</w:t>
      </w:r>
    </w:p>
    <w:p w14:paraId="535DCFD7">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（图3：支出决算结构图）（饼状图）</w:t>
      </w:r>
    </w:p>
    <w:p w14:paraId="341C538C">
      <w:pPr>
        <w:ind w:firstLine="525" w:firstLineChars="250"/>
        <w:rPr>
          <w:rFonts w:hint="eastAsia" w:ascii="Times New Roman" w:hAnsi="Times New Roman" w:eastAsia="仿宋_GB2312" w:cs="仿宋_GB2312"/>
          <w:color w:val="auto"/>
          <w:sz w:val="32"/>
          <w:szCs w:val="32"/>
          <w:highlight w:val="none"/>
          <w:lang w:eastAsia="zh-CN"/>
        </w:rPr>
      </w:pPr>
      <w:r>
        <w:drawing>
          <wp:inline distT="0" distB="0" distL="114300" distR="114300">
            <wp:extent cx="4000500" cy="2705100"/>
            <wp:effectExtent l="0" t="0" r="0" b="0"/>
            <wp:docPr id="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pic:cNvPicPr>
                      <a:picLocks noChangeAspect="1"/>
                    </pic:cNvPicPr>
                  </pic:nvPicPr>
                  <pic:blipFill>
                    <a:blip r:embed="rId11"/>
                    <a:stretch>
                      <a:fillRect/>
                    </a:stretch>
                  </pic:blipFill>
                  <pic:spPr>
                    <a:xfrm>
                      <a:off x="0" y="0"/>
                      <a:ext cx="4000500" cy="2705100"/>
                    </a:xfrm>
                    <a:prstGeom prst="rect">
                      <a:avLst/>
                    </a:prstGeom>
                    <a:noFill/>
                    <a:ln>
                      <a:noFill/>
                    </a:ln>
                  </pic:spPr>
                </pic:pic>
              </a:graphicData>
            </a:graphic>
          </wp:inline>
        </w:drawing>
      </w:r>
    </w:p>
    <w:p w14:paraId="421EDBEB">
      <w:pPr>
        <w:spacing w:line="600" w:lineRule="exact"/>
        <w:ind w:firstLine="640" w:firstLineChars="200"/>
        <w:outlineLvl w:val="1"/>
        <w:rPr>
          <w:rStyle w:val="29"/>
          <w:rFonts w:ascii="Times New Roman" w:hAnsi="Times New Roman" w:eastAsia="黑体"/>
          <w:b w:val="0"/>
          <w:color w:val="auto"/>
          <w:highlight w:val="none"/>
        </w:rPr>
      </w:pPr>
      <w:bookmarkStart w:id="20" w:name="_Toc15377208"/>
      <w:bookmarkStart w:id="21" w:name="_Toc15396606"/>
      <w:r>
        <w:rPr>
          <w:rFonts w:hint="eastAsia" w:ascii="Times New Roman" w:hAnsi="Times New Roman" w:eastAsia="黑体"/>
          <w:color w:val="auto"/>
          <w:sz w:val="32"/>
          <w:szCs w:val="32"/>
          <w:highlight w:val="none"/>
        </w:rPr>
        <w:t>四、财</w:t>
      </w:r>
      <w:r>
        <w:rPr>
          <w:rStyle w:val="29"/>
          <w:rFonts w:hint="eastAsia" w:ascii="Times New Roman" w:hAnsi="Times New Roman" w:eastAsia="黑体"/>
          <w:b w:val="0"/>
          <w:color w:val="auto"/>
          <w:highlight w:val="none"/>
        </w:rPr>
        <w:t>政拨款收入支出决算总体情况说明</w:t>
      </w:r>
      <w:bookmarkEnd w:id="20"/>
      <w:bookmarkEnd w:id="21"/>
    </w:p>
    <w:p w14:paraId="4687283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2024年度财政拨款收入、支出总计均为</w:t>
      </w:r>
      <w:r>
        <w:rPr>
          <w:rFonts w:hint="eastAsia" w:ascii="仿宋_GB2312" w:hAnsi="仿宋_GB2312" w:eastAsia="仿宋_GB2312" w:cs="仿宋_GB2312"/>
          <w:sz w:val="32"/>
          <w:szCs w:val="32"/>
        </w:rPr>
        <w:t>108.27</w:t>
      </w:r>
      <w:r>
        <w:rPr>
          <w:rFonts w:hint="eastAsia" w:ascii="Times New Roman" w:hAnsi="Times New Roman" w:eastAsia="仿宋_GB2312" w:cs="仿宋_GB2312"/>
          <w:color w:val="auto"/>
          <w:kern w:val="2"/>
          <w:sz w:val="32"/>
          <w:szCs w:val="32"/>
          <w:highlight w:val="none"/>
          <w:lang w:val="en-US" w:eastAsia="zh-CN" w:bidi="ar-SA"/>
        </w:rPr>
        <w:t>万元。与2023年度相比，财政拨款收入总计、支出总计</w:t>
      </w:r>
      <w:r>
        <w:rPr>
          <w:rFonts w:hint="eastAsia" w:ascii="Times New Roman" w:hAnsi="Times New Roman" w:eastAsia="仿宋_GB2312" w:cs="仿宋_GB2312"/>
          <w:color w:val="auto"/>
          <w:sz w:val="32"/>
          <w:szCs w:val="32"/>
          <w:highlight w:val="none"/>
        </w:rPr>
        <w:t>各增加</w:t>
      </w:r>
      <w:r>
        <w:rPr>
          <w:rFonts w:hint="eastAsia" w:eastAsia="仿宋_GB2312" w:cs="仿宋_GB2312"/>
          <w:color w:val="auto"/>
          <w:sz w:val="32"/>
          <w:szCs w:val="32"/>
          <w:highlight w:val="none"/>
          <w:lang w:val="en-US" w:eastAsia="zh-CN"/>
        </w:rPr>
        <w:t>1.56</w:t>
      </w:r>
      <w:r>
        <w:rPr>
          <w:rFonts w:hint="eastAsia" w:ascii="Times New Roman" w:hAnsi="Times New Roman" w:eastAsia="仿宋_GB2312" w:cs="仿宋_GB2312"/>
          <w:color w:val="auto"/>
          <w:sz w:val="32"/>
          <w:szCs w:val="32"/>
          <w:highlight w:val="none"/>
        </w:rPr>
        <w:t>万元，增长</w:t>
      </w:r>
      <w:r>
        <w:rPr>
          <w:rFonts w:hint="eastAsia" w:eastAsia="仿宋_GB2312" w:cs="仿宋_GB2312"/>
          <w:color w:val="auto"/>
          <w:sz w:val="32"/>
          <w:szCs w:val="32"/>
          <w:highlight w:val="none"/>
          <w:lang w:val="en-US" w:eastAsia="zh-CN"/>
        </w:rPr>
        <w:t>1.44</w:t>
      </w:r>
      <w:r>
        <w:rPr>
          <w:rFonts w:hint="eastAsia" w:ascii="Times New Roman" w:hAnsi="Times New Roman" w:eastAsia="仿宋_GB2312" w:cs="仿宋_GB2312"/>
          <w:color w:val="auto"/>
          <w:sz w:val="32"/>
          <w:szCs w:val="32"/>
          <w:highlight w:val="none"/>
        </w:rPr>
        <w:t>%。主要变动原因是</w:t>
      </w:r>
      <w:r>
        <w:rPr>
          <w:rFonts w:hint="eastAsia" w:eastAsia="仿宋_GB2312" w:cs="仿宋_GB2312"/>
          <w:color w:val="auto"/>
          <w:sz w:val="32"/>
          <w:szCs w:val="32"/>
          <w:highlight w:val="none"/>
          <w:lang w:eastAsia="zh-CN"/>
        </w:rPr>
        <w:t>人员经费增加。</w:t>
      </w:r>
    </w:p>
    <w:p w14:paraId="009E4A69">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（图4：财政拨款收、支决算总计变动情况）（柱状图）</w:t>
      </w:r>
    </w:p>
    <w:p w14:paraId="35417393">
      <w:pPr>
        <w:spacing w:line="240" w:lineRule="auto"/>
        <w:ind w:firstLine="0"/>
        <w:rPr>
          <w:rFonts w:hint="eastAsia" w:ascii="Times New Roman" w:hAnsi="Times New Roman" w:eastAsia="仿宋_GB2312" w:cs="仿宋_GB2312"/>
          <w:color w:val="auto"/>
          <w:kern w:val="2"/>
          <w:sz w:val="32"/>
          <w:szCs w:val="32"/>
          <w:highlight w:val="none"/>
          <w:lang w:val="en-US" w:eastAsia="zh-CN" w:bidi="ar-SA"/>
        </w:rPr>
      </w:pPr>
      <w:r>
        <w:drawing>
          <wp:inline distT="0" distB="0" distL="114300" distR="114300">
            <wp:extent cx="4448175" cy="2714625"/>
            <wp:effectExtent l="0" t="0" r="9525" b="9525"/>
            <wp:docPr id="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4"/>
                    <pic:cNvPicPr>
                      <a:picLocks noChangeAspect="1"/>
                    </pic:cNvPicPr>
                  </pic:nvPicPr>
                  <pic:blipFill>
                    <a:blip r:embed="rId12"/>
                    <a:stretch>
                      <a:fillRect/>
                    </a:stretch>
                  </pic:blipFill>
                  <pic:spPr>
                    <a:xfrm>
                      <a:off x="0" y="0"/>
                      <a:ext cx="4448175" cy="2714625"/>
                    </a:xfrm>
                    <a:prstGeom prst="rect">
                      <a:avLst/>
                    </a:prstGeom>
                    <a:noFill/>
                    <a:ln>
                      <a:noFill/>
                    </a:ln>
                  </pic:spPr>
                </pic:pic>
              </a:graphicData>
            </a:graphic>
          </wp:inline>
        </w:drawing>
      </w:r>
    </w:p>
    <w:p w14:paraId="07C68F54">
      <w:pPr>
        <w:spacing w:line="600" w:lineRule="exact"/>
        <w:ind w:firstLine="640" w:firstLineChars="200"/>
        <w:outlineLvl w:val="1"/>
        <w:rPr>
          <w:rStyle w:val="29"/>
          <w:rFonts w:ascii="Times New Roman" w:hAnsi="Times New Roman" w:eastAsia="黑体"/>
          <w:b w:val="0"/>
          <w:color w:val="auto"/>
          <w:highlight w:val="none"/>
        </w:rPr>
      </w:pPr>
      <w:bookmarkStart w:id="22" w:name="_Toc15396607"/>
      <w:bookmarkStart w:id="23" w:name="_Toc15377209"/>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29"/>
          <w:rFonts w:hint="eastAsia" w:ascii="Times New Roman" w:hAnsi="Times New Roman" w:eastAsia="黑体"/>
          <w:b w:val="0"/>
          <w:color w:val="auto"/>
          <w:highlight w:val="none"/>
        </w:rPr>
        <w:t>般公共预算财政拨款支出决算情况说明</w:t>
      </w:r>
      <w:bookmarkEnd w:id="22"/>
      <w:bookmarkEnd w:id="23"/>
    </w:p>
    <w:p w14:paraId="469C0CC5">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4"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24"/>
    </w:p>
    <w:p w14:paraId="661C37B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105.74</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97.66</w:t>
      </w:r>
      <w:r>
        <w:rPr>
          <w:rFonts w:hint="eastAsia" w:ascii="仿宋_GB2312" w:hAnsi="仿宋_GB2312" w:eastAsia="仿宋_GB2312" w:cs="仿宋_GB2312"/>
          <w:color w:val="auto"/>
          <w:kern w:val="2"/>
          <w:sz w:val="32"/>
          <w:szCs w:val="32"/>
          <w:highlight w:val="none"/>
          <w:lang w:val="en-US" w:eastAsia="zh-CN" w:bidi="ar-SA"/>
        </w:rPr>
        <w:t>%。与2023年度相比，一般公共预算财政拨款支出增加0.83万元，增长0.78%。主要变动原因是人员经费增加。</w:t>
      </w:r>
    </w:p>
    <w:p w14:paraId="03EDCC7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（图5：一般公共预算财政拨款支出决算变动情况）（柱状图）</w:t>
      </w:r>
    </w:p>
    <w:p w14:paraId="4E47EDA9">
      <w:pPr>
        <w:spacing w:line="240" w:lineRule="auto"/>
        <w:ind w:firstLine="0"/>
        <w:rPr>
          <w:rFonts w:hint="eastAsia" w:ascii="Times New Roman" w:hAnsi="Times New Roman" w:eastAsia="仿宋_GB2312" w:cs="仿宋_GB2312"/>
          <w:color w:val="auto"/>
          <w:kern w:val="2"/>
          <w:sz w:val="32"/>
          <w:szCs w:val="32"/>
          <w:highlight w:val="none"/>
          <w:lang w:val="en-US" w:eastAsia="zh-CN" w:bidi="ar-SA"/>
        </w:rPr>
      </w:pPr>
      <w:r>
        <w:drawing>
          <wp:inline distT="0" distB="0" distL="114300" distR="114300">
            <wp:extent cx="4552950" cy="2800350"/>
            <wp:effectExtent l="0" t="0" r="0" b="0"/>
            <wp:docPr id="9"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5"/>
                    <pic:cNvPicPr>
                      <a:picLocks noChangeAspect="1"/>
                    </pic:cNvPicPr>
                  </pic:nvPicPr>
                  <pic:blipFill>
                    <a:blip r:embed="rId13"/>
                    <a:stretch>
                      <a:fillRect/>
                    </a:stretch>
                  </pic:blipFill>
                  <pic:spPr>
                    <a:xfrm>
                      <a:off x="0" y="0"/>
                      <a:ext cx="4552950" cy="2800350"/>
                    </a:xfrm>
                    <a:prstGeom prst="rect">
                      <a:avLst/>
                    </a:prstGeom>
                    <a:noFill/>
                    <a:ln>
                      <a:noFill/>
                    </a:ln>
                  </pic:spPr>
                </pic:pic>
              </a:graphicData>
            </a:graphic>
          </wp:inline>
        </w:drawing>
      </w:r>
    </w:p>
    <w:p w14:paraId="6A0ABC8F">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5" w:name="_Toc15377211"/>
      <w:r>
        <w:rPr>
          <w:rFonts w:hint="eastAsia" w:ascii="Times New Roman" w:hAnsi="Times New Roman" w:eastAsia="楷体_GB2312" w:cs="楷体_GB2312"/>
          <w:b/>
          <w:color w:val="auto"/>
          <w:sz w:val="32"/>
          <w:szCs w:val="32"/>
          <w:highlight w:val="none"/>
        </w:rPr>
        <w:t>（二）一般公共预算财政拨款支出决算结构情况</w:t>
      </w:r>
      <w:bookmarkEnd w:id="25"/>
    </w:p>
    <w:p w14:paraId="29ADFB7A">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105.74</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，主要用于以下方面</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一般公共服务支出</w:t>
      </w:r>
      <w:r>
        <w:rPr>
          <w:rFonts w:hint="eastAsia" w:eastAsia="仿宋_GB2312" w:cs="仿宋_GB2312"/>
          <w:color w:val="auto"/>
          <w:kern w:val="2"/>
          <w:sz w:val="32"/>
          <w:szCs w:val="32"/>
          <w:highlight w:val="none"/>
          <w:lang w:val="en-US" w:eastAsia="zh-CN" w:bidi="ar-SA"/>
        </w:rPr>
        <w:t>87.58</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82.82</w:t>
      </w:r>
      <w:r>
        <w:rPr>
          <w:rFonts w:hint="eastAsia" w:ascii="Times New Roman" w:hAnsi="Times New Roman" w:eastAsia="仿宋_GB2312" w:cs="仿宋_GB2312"/>
          <w:color w:val="auto"/>
          <w:kern w:val="2"/>
          <w:sz w:val="32"/>
          <w:szCs w:val="32"/>
          <w:highlight w:val="none"/>
          <w:lang w:val="en-US" w:eastAsia="zh-CN" w:bidi="ar-SA"/>
        </w:rPr>
        <w:t>%；社会保障和就业支出</w:t>
      </w:r>
      <w:r>
        <w:rPr>
          <w:rFonts w:hint="eastAsia" w:eastAsia="仿宋_GB2312" w:cs="仿宋_GB2312"/>
          <w:color w:val="auto"/>
          <w:kern w:val="2"/>
          <w:sz w:val="32"/>
          <w:szCs w:val="32"/>
          <w:highlight w:val="none"/>
          <w:lang w:val="en-US" w:eastAsia="zh-CN" w:bidi="ar-SA"/>
        </w:rPr>
        <w:t>6.6</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6.24</w:t>
      </w:r>
      <w:r>
        <w:rPr>
          <w:rFonts w:hint="eastAsia" w:ascii="Times New Roman" w:hAnsi="Times New Roman" w:eastAsia="仿宋_GB2312" w:cs="仿宋_GB2312"/>
          <w:color w:val="auto"/>
          <w:kern w:val="2"/>
          <w:sz w:val="32"/>
          <w:szCs w:val="32"/>
          <w:highlight w:val="none"/>
          <w:lang w:val="en-US" w:eastAsia="zh-CN" w:bidi="ar-SA"/>
        </w:rPr>
        <w:t>%；卫生健康支出</w:t>
      </w:r>
      <w:r>
        <w:rPr>
          <w:rFonts w:hint="eastAsia" w:eastAsia="仿宋_GB2312" w:cs="仿宋_GB2312"/>
          <w:color w:val="auto"/>
          <w:kern w:val="2"/>
          <w:sz w:val="32"/>
          <w:szCs w:val="32"/>
          <w:highlight w:val="none"/>
          <w:lang w:val="en-US" w:eastAsia="zh-CN" w:bidi="ar-SA"/>
        </w:rPr>
        <w:t>5.64</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5.33</w:t>
      </w:r>
      <w:r>
        <w:rPr>
          <w:rFonts w:hint="eastAsia" w:ascii="Times New Roman" w:hAnsi="Times New Roman" w:eastAsia="仿宋_GB2312" w:cs="仿宋_GB2312"/>
          <w:color w:val="auto"/>
          <w:kern w:val="2"/>
          <w:sz w:val="32"/>
          <w:szCs w:val="32"/>
          <w:highlight w:val="none"/>
          <w:lang w:val="en-US" w:eastAsia="zh-CN" w:bidi="ar-SA"/>
        </w:rPr>
        <w:t>%；住房保障支出</w:t>
      </w:r>
      <w:r>
        <w:rPr>
          <w:rFonts w:hint="eastAsia" w:eastAsia="仿宋_GB2312" w:cs="仿宋_GB2312"/>
          <w:color w:val="auto"/>
          <w:kern w:val="2"/>
          <w:sz w:val="32"/>
          <w:szCs w:val="32"/>
          <w:highlight w:val="none"/>
          <w:lang w:val="en-US" w:eastAsia="zh-CN" w:bidi="ar-SA"/>
        </w:rPr>
        <w:t>5.91</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5.61</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46FC06E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（图6：一般公共预算财政拨款支出决算结构）（饼状图）</w:t>
      </w:r>
    </w:p>
    <w:p w14:paraId="088DDB3E">
      <w:pPr>
        <w:spacing w:line="240" w:lineRule="auto"/>
        <w:ind w:firstLine="0"/>
        <w:rPr>
          <w:rFonts w:hint="eastAsia" w:ascii="Times New Roman" w:hAnsi="Times New Roman" w:eastAsia="仿宋_GB2312" w:cs="仿宋_GB2312"/>
          <w:color w:val="auto"/>
          <w:kern w:val="2"/>
          <w:sz w:val="32"/>
          <w:szCs w:val="32"/>
          <w:highlight w:val="none"/>
          <w:lang w:val="en-US" w:eastAsia="zh-CN" w:bidi="ar-SA"/>
        </w:rPr>
      </w:pPr>
      <w:r>
        <w:drawing>
          <wp:inline distT="0" distB="0" distL="114300" distR="114300">
            <wp:extent cx="4733925" cy="2647950"/>
            <wp:effectExtent l="0" t="0" r="9525" b="0"/>
            <wp:docPr id="11"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7"/>
                    <pic:cNvPicPr>
                      <a:picLocks noChangeAspect="1"/>
                    </pic:cNvPicPr>
                  </pic:nvPicPr>
                  <pic:blipFill>
                    <a:blip r:embed="rId14"/>
                    <a:stretch>
                      <a:fillRect/>
                    </a:stretch>
                  </pic:blipFill>
                  <pic:spPr>
                    <a:xfrm>
                      <a:off x="0" y="0"/>
                      <a:ext cx="4733925" cy="2647950"/>
                    </a:xfrm>
                    <a:prstGeom prst="rect">
                      <a:avLst/>
                    </a:prstGeom>
                    <a:noFill/>
                    <a:ln>
                      <a:noFill/>
                    </a:ln>
                  </pic:spPr>
                </pic:pic>
              </a:graphicData>
            </a:graphic>
          </wp:inline>
        </w:drawing>
      </w:r>
    </w:p>
    <w:p w14:paraId="7D801C2D">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6" w:name="_Toc15377212"/>
      <w:r>
        <w:rPr>
          <w:rFonts w:hint="eastAsia" w:ascii="Times New Roman" w:hAnsi="Times New Roman" w:eastAsia="楷体_GB2312" w:cs="楷体_GB2312"/>
          <w:b/>
          <w:color w:val="auto"/>
          <w:sz w:val="32"/>
          <w:szCs w:val="32"/>
          <w:highlight w:val="none"/>
        </w:rPr>
        <w:t>（三）一般公共预算财政拨款支出决算具体情况</w:t>
      </w:r>
      <w:bookmarkEnd w:id="26"/>
    </w:p>
    <w:p w14:paraId="1477778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27" w:name="_Toc15377444"/>
      <w:bookmarkStart w:id="28" w:name="_Toc15377213"/>
      <w:bookmarkStart w:id="29" w:name="_Toc15378460"/>
      <w:r>
        <w:rPr>
          <w:rFonts w:hint="eastAsia" w:ascii="Times New Roman" w:hAnsi="Times New Roman" w:eastAsia="仿宋_GB2312" w:cs="仿宋_GB2312"/>
          <w:color w:val="auto"/>
          <w:kern w:val="2"/>
          <w:sz w:val="32"/>
          <w:szCs w:val="32"/>
          <w:highlight w:val="none"/>
          <w:lang w:val="en-US" w:eastAsia="zh-CN" w:bidi="ar-SA"/>
        </w:rPr>
        <w:t>2024年度一般公共预算财政拨款支出决算数为</w:t>
      </w:r>
      <w:r>
        <w:rPr>
          <w:rFonts w:hint="eastAsia" w:ascii="仿宋_GB2312" w:hAnsi="仿宋_GB2312" w:eastAsia="仿宋_GB2312" w:cs="仿宋_GB2312"/>
          <w:sz w:val="32"/>
          <w:szCs w:val="32"/>
        </w:rPr>
        <w:t>105.74</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%。其中：</w:t>
      </w:r>
      <w:bookmarkEnd w:id="27"/>
      <w:bookmarkEnd w:id="28"/>
      <w:bookmarkEnd w:id="29"/>
    </w:p>
    <w:p w14:paraId="45F00F4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一般公共服务支出（类）政府办公厅（室）及相关机构事务（款）事业运行（项）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87.58</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0B187C6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2.社会保障和就业支出（类）行政事业单位养老支出（款）机关事业单位基本养老保险缴费支出（项）: 支出决算为</w:t>
      </w:r>
      <w:r>
        <w:rPr>
          <w:rFonts w:hint="eastAsia" w:eastAsia="仿宋_GB2312" w:cs="仿宋_GB2312"/>
          <w:color w:val="auto"/>
          <w:kern w:val="2"/>
          <w:sz w:val="32"/>
          <w:szCs w:val="32"/>
          <w:highlight w:val="none"/>
          <w:lang w:val="en-US" w:eastAsia="zh-CN" w:bidi="ar-SA"/>
        </w:rPr>
        <w:t>6.6</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7D1639D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3.卫生健康支出（类）行政事业单位医疗（款）事业单位医疗（项）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3.75</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03D2B0B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4.卫生健康支出（类）行政事业单位医疗（款）其他行政事业单位医疗支出（项）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1.9</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235906D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5.住房保障支出（类）住房改革支出（款）住房公积金（项）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5.91</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4291AAC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21501A8C">
      <w:pPr>
        <w:tabs>
          <w:tab w:val="right" w:pos="8306"/>
        </w:tabs>
        <w:spacing w:line="600" w:lineRule="exact"/>
        <w:ind w:firstLine="640"/>
        <w:outlineLvl w:val="1"/>
        <w:rPr>
          <w:rStyle w:val="29"/>
          <w:rFonts w:ascii="Times New Roman" w:hAnsi="Times New Roman"/>
          <w:color w:val="auto"/>
          <w:highlight w:val="none"/>
        </w:rPr>
      </w:pPr>
      <w:bookmarkStart w:id="30" w:name="_Toc15396608"/>
      <w:bookmarkStart w:id="31" w:name="_Toc15377214"/>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29"/>
          <w:rFonts w:hint="eastAsia" w:ascii="Times New Roman" w:hAnsi="Times New Roman" w:eastAsia="黑体"/>
          <w:b w:val="0"/>
          <w:color w:val="auto"/>
          <w:highlight w:val="none"/>
        </w:rPr>
        <w:t>般公共预算财政拨款基本支出决算情况说明</w:t>
      </w:r>
      <w:bookmarkEnd w:id="30"/>
      <w:bookmarkEnd w:id="31"/>
      <w:r>
        <w:rPr>
          <w:rStyle w:val="29"/>
          <w:rFonts w:ascii="Times New Roman" w:hAnsi="Times New Roman" w:eastAsia="黑体"/>
          <w:b w:val="0"/>
          <w:color w:val="auto"/>
          <w:highlight w:val="none"/>
        </w:rPr>
        <w:tab/>
      </w:r>
    </w:p>
    <w:p w14:paraId="0FC96C0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2024年度一般公共预算财政拨款基本支出</w:t>
      </w:r>
      <w:r>
        <w:rPr>
          <w:rFonts w:hint="eastAsia" w:ascii="仿宋_GB2312" w:hAnsi="仿宋_GB2312" w:eastAsia="仿宋_GB2312" w:cs="仿宋_GB2312"/>
          <w:sz w:val="32"/>
          <w:szCs w:val="32"/>
        </w:rPr>
        <w:t>105.74</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元，其中：</w:t>
      </w:r>
    </w:p>
    <w:p w14:paraId="6E5523DE">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人员经费</w:t>
      </w:r>
      <w:r>
        <w:rPr>
          <w:rFonts w:hint="eastAsia" w:ascii="仿宋_GB2312" w:hAnsi="仿宋_GB2312" w:eastAsia="仿宋_GB2312" w:cs="仿宋_GB2312"/>
          <w:sz w:val="32"/>
          <w:szCs w:val="32"/>
        </w:rPr>
        <w:t>74.07</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元，主要包括：基本工资、津贴补贴、绩效工资、机关事业单位基本养老保险缴费、其他社会保障缴费、其他工资福利支出、住房公积金等。</w:t>
      </w:r>
      <w:r>
        <w:rPr>
          <w:rFonts w:hint="eastAsia" w:ascii="Times New Roman" w:hAnsi="Times New Roman" w:eastAsia="仿宋_GB2312" w:cs="仿宋_GB2312"/>
          <w:color w:val="auto"/>
          <w:kern w:val="2"/>
          <w:sz w:val="32"/>
          <w:szCs w:val="32"/>
          <w:highlight w:val="none"/>
          <w:lang w:val="en-US" w:eastAsia="zh-CN" w:bidi="ar-SA"/>
        </w:rPr>
        <w:br w:type="textWrapping"/>
      </w:r>
      <w:r>
        <w:rPr>
          <w:rFonts w:hint="eastAsia" w:ascii="Times New Roman" w:hAnsi="Times New Roman" w:eastAsia="仿宋_GB2312" w:cs="仿宋_GB2312"/>
          <w:color w:val="auto"/>
          <w:kern w:val="2"/>
          <w:sz w:val="32"/>
          <w:szCs w:val="32"/>
          <w:highlight w:val="none"/>
          <w:lang w:val="en-US" w:eastAsia="zh-CN" w:bidi="ar-SA"/>
        </w:rPr>
        <w:t>　　公用经费</w:t>
      </w:r>
      <w:r>
        <w:rPr>
          <w:rFonts w:hint="eastAsia" w:ascii="仿宋_GB2312" w:hAnsi="仿宋_GB2312" w:eastAsia="仿宋_GB2312" w:cs="仿宋_GB2312"/>
          <w:sz w:val="32"/>
          <w:szCs w:val="32"/>
        </w:rPr>
        <w:t>31.67</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元，主要包括：办公费、差旅费、公务接待费、劳务费、委托业务费、工会经费、福利费、公务用车运行维护费等。</w:t>
      </w:r>
    </w:p>
    <w:p w14:paraId="5FA86D7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028649F4">
      <w:pPr>
        <w:spacing w:line="600" w:lineRule="exact"/>
        <w:ind w:firstLine="640"/>
        <w:outlineLvl w:val="1"/>
        <w:rPr>
          <w:rStyle w:val="29"/>
          <w:rFonts w:ascii="Times New Roman" w:hAnsi="Times New Roman" w:eastAsia="黑体"/>
          <w:b w:val="0"/>
          <w:color w:val="auto"/>
          <w:highlight w:val="none"/>
        </w:rPr>
      </w:pPr>
      <w:bookmarkStart w:id="32" w:name="_Toc15377215"/>
      <w:bookmarkStart w:id="33" w:name="_Toc15396609"/>
      <w:r>
        <w:rPr>
          <w:rFonts w:hint="eastAsia" w:ascii="Times New Roman" w:hAnsi="Times New Roman" w:eastAsia="黑体"/>
          <w:color w:val="auto"/>
          <w:sz w:val="32"/>
          <w:szCs w:val="32"/>
          <w:highlight w:val="none"/>
        </w:rPr>
        <w:t>七、</w:t>
      </w:r>
      <w:r>
        <w:rPr>
          <w:rStyle w:val="29"/>
          <w:rFonts w:hint="eastAsia" w:ascii="Times New Roman" w:hAnsi="Times New Roman" w:eastAsia="黑体"/>
          <w:b w:val="0"/>
          <w:color w:val="auto"/>
          <w:highlight w:val="none"/>
        </w:rPr>
        <w:t>财政拨款</w:t>
      </w:r>
      <w:r>
        <w:rPr>
          <w:rStyle w:val="29"/>
          <w:rFonts w:hint="eastAsia" w:ascii="Times New Roman" w:hAnsi="Times New Roman" w:eastAsia="黑体"/>
          <w:color w:val="auto"/>
          <w:highlight w:val="none"/>
        </w:rPr>
        <w:t>“</w:t>
      </w:r>
      <w:r>
        <w:rPr>
          <w:rStyle w:val="29"/>
          <w:rFonts w:hint="eastAsia" w:ascii="Times New Roman" w:hAnsi="Times New Roman" w:eastAsia="黑体"/>
          <w:b w:val="0"/>
          <w:color w:val="auto"/>
          <w:highlight w:val="none"/>
        </w:rPr>
        <w:t>三公”经费支出决算情况说明</w:t>
      </w:r>
      <w:bookmarkEnd w:id="32"/>
      <w:bookmarkEnd w:id="33"/>
    </w:p>
    <w:p w14:paraId="6F983BB2">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4"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34"/>
    </w:p>
    <w:p w14:paraId="4483924A">
      <w:pPr>
        <w:spacing w:line="600" w:lineRule="exact"/>
        <w:ind w:firstLine="640"/>
        <w:rPr>
          <w:rFonts w:hint="eastAsia" w:ascii="Times New Roman" w:hAnsi="Times New Roman" w:eastAsia="仿宋"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2024年度“三公”经费财政拨款支出决算为</w:t>
      </w:r>
      <w:r>
        <w:rPr>
          <w:rFonts w:hint="eastAsia" w:ascii="仿宋_GB2312" w:hAnsi="仿宋_GB2312" w:eastAsia="仿宋_GB2312" w:cs="仿宋_GB2312"/>
          <w:sz w:val="32"/>
          <w:szCs w:val="32"/>
        </w:rPr>
        <w:t>29.81</w:t>
      </w:r>
      <w:r>
        <w:rPr>
          <w:rFonts w:hint="eastAsia" w:ascii="仿宋_GB2312" w:hAnsi="仿宋_GB2312" w:eastAsia="仿宋_GB2312" w:cs="仿宋_GB2312"/>
          <w:color w:val="auto"/>
          <w:kern w:val="2"/>
          <w:sz w:val="32"/>
          <w:szCs w:val="32"/>
          <w:highlight w:val="none"/>
          <w:lang w:val="en-US" w:eastAsia="zh-CN" w:bidi="ar-SA"/>
        </w:rPr>
        <w:t>万元，完成预算</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较上年度增加</w:t>
      </w:r>
      <w:r>
        <w:rPr>
          <w:rFonts w:hint="eastAsia" w:eastAsia="仿宋_GB2312" w:cs="仿宋_GB2312"/>
          <w:color w:val="auto"/>
          <w:kern w:val="2"/>
          <w:sz w:val="32"/>
          <w:szCs w:val="32"/>
          <w:highlight w:val="none"/>
          <w:lang w:val="en-US" w:eastAsia="zh-CN" w:bidi="ar-SA"/>
        </w:rPr>
        <w:t>4.22</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14.15</w:t>
      </w:r>
      <w:r>
        <w:rPr>
          <w:rFonts w:hint="eastAsia" w:ascii="Times New Roman" w:hAnsi="Times New Roman" w:eastAsia="仿宋_GB2312" w:cs="仿宋_GB2312"/>
          <w:color w:val="auto"/>
          <w:kern w:val="2"/>
          <w:sz w:val="32"/>
          <w:szCs w:val="32"/>
          <w:highlight w:val="none"/>
          <w:lang w:val="en-US" w:eastAsia="zh-CN" w:bidi="ar-SA"/>
        </w:rPr>
        <w:t>%。</w:t>
      </w:r>
      <w:r>
        <w:rPr>
          <w:rFonts w:hint="eastAsia" w:ascii="仿宋" w:hAnsi="仿宋" w:eastAsia="仿宋"/>
          <w:color w:val="auto"/>
          <w:sz w:val="32"/>
          <w:szCs w:val="32"/>
          <w:highlight w:val="none"/>
        </w:rPr>
        <w:t>决算数小于预算数的</w:t>
      </w:r>
      <w:r>
        <w:rPr>
          <w:rFonts w:hint="eastAsia" w:ascii="仿宋" w:hAnsi="仿宋" w:eastAsia="仿宋"/>
          <w:sz w:val="32"/>
          <w:szCs w:val="32"/>
        </w:rPr>
        <w:t>主要原因是严格公务接待费的管理，同时也保障公务服务专项经费的顺利推进</w:t>
      </w:r>
      <w:r>
        <w:rPr>
          <w:rFonts w:hint="eastAsia" w:ascii="仿宋" w:hAnsi="仿宋" w:eastAsia="仿宋"/>
          <w:sz w:val="32"/>
          <w:szCs w:val="32"/>
          <w:lang w:eastAsia="zh-CN"/>
        </w:rPr>
        <w:t>。</w:t>
      </w:r>
    </w:p>
    <w:p w14:paraId="6424F269">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5" w:name="_Toc15377217"/>
      <w:r>
        <w:rPr>
          <w:rFonts w:hint="eastAsia" w:ascii="Times New Roman" w:hAnsi="Times New Roman" w:eastAsia="楷体_GB2312" w:cs="楷体_GB2312"/>
          <w:b/>
          <w:color w:val="auto"/>
          <w:sz w:val="32"/>
          <w:szCs w:val="32"/>
          <w:highlight w:val="none"/>
        </w:rPr>
        <w:t>（二）“三公”经费财政拨款支出决算具体情况说明</w:t>
      </w:r>
      <w:bookmarkEnd w:id="35"/>
    </w:p>
    <w:p w14:paraId="64C38D5C">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2024年度“三公”经费财政拨款支出决算中，因公出国（境）费支出决算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万元，占0%；公务用车购置及运行维护费支出决算</w:t>
      </w:r>
      <w:r>
        <w:rPr>
          <w:rFonts w:hint="eastAsia" w:ascii="仿宋_GB2312" w:hAnsi="仿宋_GB2312" w:eastAsia="仿宋_GB2312" w:cs="仿宋_GB2312"/>
          <w:sz w:val="32"/>
          <w:szCs w:val="32"/>
        </w:rPr>
        <w:t>0.81</w:t>
      </w:r>
      <w:r>
        <w:rPr>
          <w:rFonts w:hint="eastAsia" w:ascii="仿宋_GB2312" w:hAnsi="仿宋_GB2312" w:eastAsia="仿宋_GB2312" w:cs="仿宋_GB2312"/>
          <w:color w:val="auto"/>
          <w:kern w:val="2"/>
          <w:sz w:val="32"/>
          <w:szCs w:val="32"/>
          <w:highlight w:val="none"/>
          <w:lang w:val="en-US" w:eastAsia="zh-CN" w:bidi="ar-SA"/>
        </w:rPr>
        <w:t>万元，占2.71%；公务接待费支出决算</w:t>
      </w:r>
      <w:r>
        <w:rPr>
          <w:rFonts w:hint="eastAsia" w:ascii="仿宋_GB2312" w:hAnsi="仿宋_GB2312" w:eastAsia="仿宋_GB2312" w:cs="仿宋_GB2312"/>
          <w:sz w:val="32"/>
          <w:szCs w:val="32"/>
        </w:rPr>
        <w:t>29</w:t>
      </w:r>
      <w:r>
        <w:rPr>
          <w:rFonts w:hint="eastAsia" w:ascii="仿宋_GB2312" w:hAnsi="仿宋_GB2312" w:eastAsia="仿宋_GB2312" w:cs="仿宋_GB2312"/>
          <w:color w:val="auto"/>
          <w:kern w:val="2"/>
          <w:sz w:val="32"/>
          <w:szCs w:val="32"/>
          <w:highlight w:val="none"/>
          <w:lang w:val="en-US" w:eastAsia="zh-CN" w:bidi="ar-SA"/>
        </w:rPr>
        <w:t>万元，占97.29%。具体情况如下：</w:t>
      </w:r>
    </w:p>
    <w:p w14:paraId="19B0909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（图7：“三公”经费财政拨款支出结构）（饼状图）</w:t>
      </w:r>
    </w:p>
    <w:p w14:paraId="766C7AF4">
      <w:pPr>
        <w:spacing w:line="240" w:lineRule="auto"/>
        <w:ind w:firstLine="0"/>
        <w:rPr>
          <w:rFonts w:hint="eastAsia" w:ascii="Times New Roman" w:hAnsi="Times New Roman" w:eastAsia="仿宋_GB2312" w:cs="仿宋_GB2312"/>
          <w:b/>
          <w:bCs/>
          <w:color w:val="auto"/>
          <w:kern w:val="2"/>
          <w:sz w:val="32"/>
          <w:szCs w:val="32"/>
          <w:highlight w:val="none"/>
          <w:lang w:val="en-US" w:eastAsia="zh-CN" w:bidi="ar-SA"/>
        </w:rPr>
      </w:pPr>
      <w:r>
        <w:drawing>
          <wp:inline distT="0" distB="0" distL="114300" distR="114300">
            <wp:extent cx="4524375" cy="2762250"/>
            <wp:effectExtent l="0" t="0" r="9525" b="0"/>
            <wp:docPr id="12"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8"/>
                    <pic:cNvPicPr>
                      <a:picLocks noChangeAspect="1"/>
                    </pic:cNvPicPr>
                  </pic:nvPicPr>
                  <pic:blipFill>
                    <a:blip r:embed="rId15"/>
                    <a:stretch>
                      <a:fillRect/>
                    </a:stretch>
                  </pic:blipFill>
                  <pic:spPr>
                    <a:xfrm>
                      <a:off x="0" y="0"/>
                      <a:ext cx="4524375" cy="2762250"/>
                    </a:xfrm>
                    <a:prstGeom prst="rect">
                      <a:avLst/>
                    </a:prstGeom>
                    <a:noFill/>
                    <a:ln>
                      <a:noFill/>
                    </a:ln>
                  </pic:spPr>
                </pic:pic>
              </a:graphicData>
            </a:graphic>
          </wp:inline>
        </w:drawing>
      </w:r>
    </w:p>
    <w:p w14:paraId="5CE5986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1.因公出国（境）经费支出</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万元，完成预算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全年安排因公出国（境）团</w:t>
      </w:r>
      <w:r>
        <w:rPr>
          <w:rFonts w:hint="eastAsia" w:ascii="仿宋_GB2312" w:hAnsi="仿宋_GB2312" w:eastAsia="仿宋_GB2312" w:cs="仿宋_GB2312"/>
          <w:color w:val="auto"/>
          <w:kern w:val="2"/>
          <w:sz w:val="32"/>
          <w:szCs w:val="32"/>
          <w:highlight w:val="none"/>
          <w:lang w:val="en-US" w:eastAsia="zh-CN" w:bidi="ar-SA"/>
        </w:rPr>
        <w:t>组</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次，出国（境）</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w:t>
      </w:r>
      <w:r>
        <w:rPr>
          <w:rFonts w:hint="eastAsia" w:ascii="Times New Roman" w:hAnsi="Times New Roman" w:eastAsia="仿宋_GB2312" w:cs="仿宋_GB2312"/>
          <w:color w:val="auto"/>
          <w:kern w:val="2"/>
          <w:sz w:val="32"/>
          <w:szCs w:val="32"/>
          <w:highlight w:val="none"/>
          <w:lang w:val="en-US" w:eastAsia="zh-CN" w:bidi="ar-SA"/>
        </w:rPr>
        <w:t>。</w:t>
      </w:r>
      <w:r>
        <w:rPr>
          <w:rFonts w:hint="eastAsia" w:ascii="仿宋_GB2312" w:eastAsia="仿宋_GB2312"/>
          <w:color w:val="auto"/>
          <w:sz w:val="32"/>
          <w:szCs w:val="32"/>
          <w:highlight w:val="none"/>
        </w:rPr>
        <w:t>因公出国（境）支出决算</w:t>
      </w:r>
      <w:r>
        <w:rPr>
          <w:rFonts w:hint="eastAsia" w:ascii="仿宋_GB2312" w:eastAsia="仿宋_GB2312"/>
          <w:color w:val="auto"/>
          <w:sz w:val="32"/>
          <w:szCs w:val="32"/>
          <w:highlight w:val="none"/>
          <w:lang w:eastAsia="zh-CN"/>
        </w:rPr>
        <w:t>与2022</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持平</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eastAsia="zh-CN"/>
        </w:rPr>
        <w:t>无因公出国（境）经费支出。</w:t>
      </w:r>
    </w:p>
    <w:p w14:paraId="7F27D2B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开支内容包括：</w:t>
      </w:r>
      <w:r>
        <w:rPr>
          <w:rFonts w:hint="eastAsia" w:eastAsia="仿宋_GB2312" w:cs="仿宋_GB2312"/>
          <w:color w:val="auto"/>
          <w:kern w:val="2"/>
          <w:sz w:val="32"/>
          <w:szCs w:val="32"/>
          <w:highlight w:val="none"/>
          <w:lang w:val="en-US" w:eastAsia="zh-CN" w:bidi="ar-SA"/>
        </w:rPr>
        <w:t>无。</w:t>
      </w:r>
    </w:p>
    <w:p w14:paraId="55E0E85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2.公务用车购置及运行维护费支出</w:t>
      </w:r>
      <w:r>
        <w:rPr>
          <w:rFonts w:hint="eastAsia" w:ascii="仿宋_GB2312" w:hAnsi="仿宋_GB2312" w:eastAsia="仿宋_GB2312" w:cs="仿宋_GB2312"/>
          <w:b/>
          <w:bCs/>
          <w:color w:val="auto"/>
          <w:kern w:val="2"/>
          <w:sz w:val="32"/>
          <w:szCs w:val="32"/>
          <w:highlight w:val="none"/>
          <w:lang w:val="en-US" w:eastAsia="zh-CN" w:bidi="ar-SA"/>
        </w:rPr>
        <w:t>0.81万</w:t>
      </w:r>
      <w:r>
        <w:rPr>
          <w:rFonts w:hint="eastAsia" w:ascii="Times New Roman" w:hAnsi="Times New Roman" w:eastAsia="仿宋_GB2312" w:cs="仿宋_GB2312"/>
          <w:b/>
          <w:bCs/>
          <w:color w:val="auto"/>
          <w:kern w:val="2"/>
          <w:sz w:val="32"/>
          <w:szCs w:val="32"/>
          <w:highlight w:val="none"/>
          <w:lang w:val="en-US" w:eastAsia="zh-CN" w:bidi="ar-SA"/>
        </w:rPr>
        <w:t>元</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公务用车购置及运行维护费支出决算比2023年度减少</w:t>
      </w:r>
      <w:r>
        <w:rPr>
          <w:rFonts w:hint="eastAsia" w:eastAsia="仿宋_GB2312" w:cs="仿宋_GB2312"/>
          <w:color w:val="auto"/>
          <w:kern w:val="2"/>
          <w:sz w:val="32"/>
          <w:szCs w:val="32"/>
          <w:highlight w:val="none"/>
          <w:lang w:val="en-US" w:eastAsia="zh-CN" w:bidi="ar-SA"/>
        </w:rPr>
        <w:t>1.69</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208.64</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eastAsia="仿宋_GB2312" w:cs="仿宋_GB2312"/>
          <w:color w:val="auto"/>
          <w:kern w:val="2"/>
          <w:sz w:val="32"/>
          <w:szCs w:val="32"/>
          <w:highlight w:val="none"/>
          <w:lang w:val="en-US" w:eastAsia="zh-CN" w:bidi="ar-SA"/>
        </w:rPr>
        <w:t>本年度无车辆维修费支出。</w:t>
      </w:r>
    </w:p>
    <w:p w14:paraId="3A9EE55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其中：公务用车购置支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万元。全年按规定更新购置公务用车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万元。截至2024年12月31日，单位共有公务用车</w:t>
      </w: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辆、越野车</w:t>
      </w: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辆、载客汽车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w:t>
      </w:r>
    </w:p>
    <w:p w14:paraId="1EF81D8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公务用车运行维护费支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0.81</w:t>
      </w:r>
      <w:r>
        <w:rPr>
          <w:rFonts w:hint="eastAsia" w:ascii="Times New Roman" w:hAnsi="Times New Roman" w:eastAsia="仿宋_GB2312" w:cs="仿宋_GB2312"/>
          <w:color w:val="auto"/>
          <w:kern w:val="2"/>
          <w:sz w:val="32"/>
          <w:szCs w:val="32"/>
          <w:highlight w:val="none"/>
          <w:lang w:val="en-US" w:eastAsia="zh-CN" w:bidi="ar-SA"/>
        </w:rPr>
        <w:t>万元。主要用于</w:t>
      </w:r>
      <w:r>
        <w:rPr>
          <w:rFonts w:hint="eastAsia" w:ascii="仿宋" w:hAnsi="仿宋" w:eastAsia="仿宋"/>
          <w:sz w:val="32"/>
          <w:szCs w:val="32"/>
        </w:rPr>
        <w:t>公务用车燃油、维修、保险等方面支出，保障公务接待任务、公务服务专项任务等工作开展</w:t>
      </w:r>
      <w:r>
        <w:rPr>
          <w:rFonts w:hint="eastAsia" w:ascii="Times New Roman" w:hAnsi="Times New Roman" w:eastAsia="仿宋_GB2312" w:cs="仿宋_GB2312"/>
          <w:color w:val="auto"/>
          <w:kern w:val="2"/>
          <w:sz w:val="32"/>
          <w:szCs w:val="32"/>
          <w:highlight w:val="none"/>
          <w:lang w:val="en-US" w:eastAsia="zh-CN" w:bidi="ar-SA"/>
        </w:rPr>
        <w:t>。</w:t>
      </w:r>
    </w:p>
    <w:p w14:paraId="2838F1B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3.公务接待费支出</w:t>
      </w:r>
      <w:r>
        <w:rPr>
          <w:rFonts w:hint="eastAsia" w:ascii="仿宋_GB2312" w:hAnsi="仿宋_GB2312" w:eastAsia="仿宋_GB2312" w:cs="仿宋_GB2312"/>
          <w:b/>
          <w:bCs/>
          <w:color w:val="auto"/>
          <w:kern w:val="2"/>
          <w:sz w:val="32"/>
          <w:szCs w:val="32"/>
          <w:highlight w:val="none"/>
          <w:lang w:val="en-US" w:eastAsia="zh-CN" w:bidi="ar-SA"/>
        </w:rPr>
        <w:t>29万</w:t>
      </w:r>
      <w:r>
        <w:rPr>
          <w:rFonts w:hint="eastAsia" w:ascii="Times New Roman" w:hAnsi="Times New Roman" w:eastAsia="仿宋_GB2312" w:cs="仿宋_GB2312"/>
          <w:b/>
          <w:bCs/>
          <w:color w:val="auto"/>
          <w:kern w:val="2"/>
          <w:sz w:val="32"/>
          <w:szCs w:val="32"/>
          <w:highlight w:val="none"/>
          <w:lang w:val="en-US" w:eastAsia="zh-CN" w:bidi="ar-SA"/>
        </w:rPr>
        <w:t>元，完成预算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公务接待费支出决算比2023年度增加</w:t>
      </w:r>
      <w:r>
        <w:rPr>
          <w:rFonts w:hint="eastAsia" w:eastAsia="仿宋_GB2312" w:cs="仿宋_GB2312"/>
          <w:color w:val="auto"/>
          <w:kern w:val="2"/>
          <w:sz w:val="32"/>
          <w:szCs w:val="32"/>
          <w:highlight w:val="none"/>
          <w:lang w:val="en-US" w:eastAsia="zh-CN" w:bidi="ar-SA"/>
        </w:rPr>
        <w:t>5.91</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20.37</w:t>
      </w:r>
      <w:r>
        <w:rPr>
          <w:rFonts w:hint="eastAsia" w:ascii="Times New Roman" w:hAnsi="Times New Roman" w:eastAsia="仿宋_GB2312" w:cs="仿宋_GB2312"/>
          <w:color w:val="auto"/>
          <w:kern w:val="2"/>
          <w:sz w:val="32"/>
          <w:szCs w:val="32"/>
          <w:highlight w:val="none"/>
          <w:lang w:val="en-US" w:eastAsia="zh-CN" w:bidi="ar-SA"/>
        </w:rPr>
        <w:t>%。主要原因是年度重点工作推进带来的接待需求增长。其中：</w:t>
      </w:r>
    </w:p>
    <w:p w14:paraId="0B1FC06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国内公务接待支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29</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元，主要用于</w:t>
      </w:r>
      <w:r>
        <w:rPr>
          <w:rFonts w:hint="eastAsia" w:ascii="仿宋_GB2312" w:eastAsia="仿宋_GB2312" w:cs="Times New Roman"/>
          <w:color w:val="auto"/>
          <w:sz w:val="32"/>
          <w:szCs w:val="32"/>
          <w:highlight w:val="none"/>
          <w:lang w:val="en-US" w:eastAsia="zh-CN"/>
        </w:rPr>
        <w:t>接待各级领导及来宾</w:t>
      </w:r>
      <w:r>
        <w:rPr>
          <w:rFonts w:hint="eastAsia" w:ascii="Times New Roman" w:hAnsi="Times New Roman" w:eastAsia="仿宋_GB2312" w:cs="仿宋_GB2312"/>
          <w:color w:val="auto"/>
          <w:kern w:val="2"/>
          <w:sz w:val="32"/>
          <w:szCs w:val="32"/>
          <w:highlight w:val="none"/>
          <w:lang w:val="en-US" w:eastAsia="zh-CN" w:bidi="ar-SA"/>
        </w:rPr>
        <w:t>。国内公务接</w:t>
      </w:r>
      <w:r>
        <w:rPr>
          <w:rFonts w:hint="eastAsia" w:ascii="仿宋_GB2312" w:hAnsi="仿宋_GB2312" w:eastAsia="仿宋_GB2312" w:cs="仿宋_GB2312"/>
          <w:color w:val="auto"/>
          <w:kern w:val="2"/>
          <w:sz w:val="32"/>
          <w:szCs w:val="32"/>
          <w:highlight w:val="none"/>
          <w:lang w:val="en-US" w:eastAsia="zh-CN" w:bidi="ar-SA"/>
        </w:rPr>
        <w:t>待</w:t>
      </w:r>
      <w:r>
        <w:rPr>
          <w:rFonts w:hint="eastAsia" w:ascii="仿宋_GB2312" w:hAnsi="仿宋_GB2312" w:eastAsia="仿宋_GB2312" w:cs="仿宋_GB2312"/>
          <w:sz w:val="32"/>
          <w:szCs w:val="32"/>
        </w:rPr>
        <w:t>84</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rPr>
        <w:t>1940</w:t>
      </w:r>
      <w:r>
        <w:rPr>
          <w:rFonts w:hint="eastAsia" w:ascii="Times New Roman" w:hAnsi="Times New Roman" w:eastAsia="仿宋_GB2312" w:cs="仿宋_GB2312"/>
          <w:color w:val="auto"/>
          <w:kern w:val="2"/>
          <w:sz w:val="32"/>
          <w:szCs w:val="32"/>
          <w:highlight w:val="none"/>
          <w:lang w:val="en-US" w:eastAsia="zh-CN" w:bidi="ar-SA"/>
        </w:rPr>
        <w:t>人次（不包括陪同人员），共计支出</w:t>
      </w:r>
      <w:r>
        <w:rPr>
          <w:rFonts w:hint="eastAsia" w:eastAsia="仿宋_GB2312" w:cs="仿宋_GB2312"/>
          <w:color w:val="auto"/>
          <w:kern w:val="2"/>
          <w:sz w:val="32"/>
          <w:szCs w:val="32"/>
          <w:highlight w:val="none"/>
          <w:lang w:val="en-US" w:eastAsia="zh-CN" w:bidi="ar-SA"/>
        </w:rPr>
        <w:t>29</w:t>
      </w:r>
      <w:r>
        <w:rPr>
          <w:rFonts w:hint="eastAsia" w:ascii="Times New Roman" w:hAnsi="Times New Roman" w:eastAsia="仿宋_GB2312" w:cs="仿宋_GB2312"/>
          <w:color w:val="auto"/>
          <w:kern w:val="2"/>
          <w:sz w:val="32"/>
          <w:szCs w:val="32"/>
          <w:highlight w:val="none"/>
          <w:lang w:val="en-US" w:eastAsia="zh-CN" w:bidi="ar-SA"/>
        </w:rPr>
        <w:t>万元，具体内容包括：指导区级部门接待及配合完成重要招商引资接待31次。配合完成攀枝花2024年水墨金沙“沙滩音乐啤酒活动周”活动、第37届四川省“晚霞杯”桥牌赛暨2024年四川省社区桥牌赛、“牢记嘱托，同心奋进”读书分享会。</w:t>
      </w:r>
    </w:p>
    <w:p w14:paraId="1A0C534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外事接待支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w:t>
      </w:r>
    </w:p>
    <w:p w14:paraId="26B30DC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36" w:name="_Toc15377218"/>
      <w:bookmarkStart w:id="37" w:name="_Toc15396610"/>
    </w:p>
    <w:p w14:paraId="311E6C5D">
      <w:pPr>
        <w:spacing w:line="600" w:lineRule="exact"/>
        <w:ind w:firstLine="640"/>
        <w:outlineLvl w:val="1"/>
        <w:rPr>
          <w:rStyle w:val="29"/>
          <w:rFonts w:ascii="Times New Roman" w:hAnsi="Times New Roman" w:eastAsia="黑体"/>
          <w:color w:val="auto"/>
          <w:highlight w:val="none"/>
        </w:rPr>
      </w:pPr>
      <w:r>
        <w:rPr>
          <w:rFonts w:hint="eastAsia" w:ascii="Times New Roman" w:hAnsi="Times New Roman" w:eastAsia="黑体"/>
          <w:color w:val="auto"/>
          <w:sz w:val="32"/>
          <w:szCs w:val="32"/>
          <w:highlight w:val="none"/>
        </w:rPr>
        <w:t>八、</w:t>
      </w:r>
      <w:r>
        <w:rPr>
          <w:rStyle w:val="29"/>
          <w:rFonts w:hint="eastAsia" w:ascii="Times New Roman" w:hAnsi="Times New Roman" w:eastAsia="黑体"/>
          <w:b w:val="0"/>
          <w:color w:val="auto"/>
          <w:highlight w:val="none"/>
        </w:rPr>
        <w:t>政府性基金预算支出决算情况说明</w:t>
      </w:r>
      <w:bookmarkEnd w:id="36"/>
      <w:bookmarkEnd w:id="37"/>
    </w:p>
    <w:p w14:paraId="445A97A5">
      <w:pPr>
        <w:spacing w:line="600" w:lineRule="exact"/>
        <w:ind w:firstLine="640"/>
        <w:rPr>
          <w:rFonts w:hint="default" w:ascii="Times New Roman" w:hAnsi="Times New Roman"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2024年度政府性基金预算财政拨款支出</w:t>
      </w:r>
      <w:r>
        <w:rPr>
          <w:rFonts w:hint="eastAsia" w:ascii="仿宋_GB2312" w:hAnsi="仿宋_GB2312" w:eastAsia="仿宋_GB2312" w:cs="仿宋_GB2312"/>
          <w:sz w:val="32"/>
          <w:szCs w:val="32"/>
        </w:rPr>
        <w:t>2.53</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2.33</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。与2023年度相比，政府性基金预算财政拨款支出增加</w:t>
      </w:r>
      <w:r>
        <w:rPr>
          <w:rFonts w:hint="eastAsia" w:eastAsia="仿宋_GB2312" w:cs="仿宋_GB2312"/>
          <w:color w:val="auto"/>
          <w:kern w:val="2"/>
          <w:sz w:val="32"/>
          <w:szCs w:val="32"/>
          <w:highlight w:val="none"/>
          <w:lang w:val="en-US" w:eastAsia="zh-CN" w:bidi="ar-SA"/>
        </w:rPr>
        <w:t>0.73</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28.85</w:t>
      </w:r>
      <w:r>
        <w:rPr>
          <w:rFonts w:hint="eastAsia" w:ascii="Times New Roman" w:hAnsi="Times New Roman" w:eastAsia="仿宋_GB2312" w:cs="仿宋_GB2312"/>
          <w:color w:val="auto"/>
          <w:kern w:val="2"/>
          <w:sz w:val="32"/>
          <w:szCs w:val="32"/>
          <w:highlight w:val="none"/>
          <w:lang w:val="en-US" w:eastAsia="zh-CN" w:bidi="ar-SA"/>
        </w:rPr>
        <w:t>%。主要变动原因是</w:t>
      </w:r>
      <w:r>
        <w:rPr>
          <w:rFonts w:hint="eastAsia" w:eastAsia="仿宋_GB2312" w:cs="仿宋_GB2312"/>
          <w:color w:val="auto"/>
          <w:kern w:val="2"/>
          <w:sz w:val="32"/>
          <w:szCs w:val="32"/>
          <w:highlight w:val="none"/>
          <w:lang w:val="en-US" w:eastAsia="zh-CN" w:bidi="ar-SA"/>
        </w:rPr>
        <w:t>项目经费增加。</w:t>
      </w:r>
    </w:p>
    <w:p w14:paraId="5CE9168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507DC6B3">
      <w:pPr>
        <w:numPr>
          <w:ilvl w:val="0"/>
          <w:numId w:val="0"/>
        </w:numPr>
        <w:spacing w:line="600" w:lineRule="exact"/>
        <w:ind w:left="630" w:leftChars="0"/>
        <w:outlineLvl w:val="1"/>
        <w:rPr>
          <w:rStyle w:val="29"/>
          <w:rFonts w:ascii="Times New Roman" w:hAnsi="Times New Roman" w:eastAsia="黑体"/>
          <w:b w:val="0"/>
          <w:color w:val="auto"/>
          <w:highlight w:val="none"/>
        </w:rPr>
      </w:pPr>
      <w:bookmarkStart w:id="38" w:name="_Toc15396611"/>
      <w:bookmarkStart w:id="39" w:name="_Toc15377219"/>
      <w:r>
        <w:rPr>
          <w:rStyle w:val="29"/>
          <w:rFonts w:hint="eastAsia" w:ascii="Times New Roman" w:hAnsi="Times New Roman" w:eastAsia="黑体"/>
          <w:b w:val="0"/>
          <w:color w:val="auto"/>
          <w:highlight w:val="none"/>
          <w:lang w:eastAsia="zh-CN"/>
        </w:rPr>
        <w:t>九、</w:t>
      </w:r>
      <w:r>
        <w:rPr>
          <w:rStyle w:val="29"/>
          <w:rFonts w:hint="eastAsia" w:ascii="Times New Roman" w:hAnsi="Times New Roman" w:eastAsia="黑体"/>
          <w:b w:val="0"/>
          <w:color w:val="auto"/>
          <w:highlight w:val="none"/>
        </w:rPr>
        <w:t>国有资本经营预算支出决算情况说明</w:t>
      </w:r>
      <w:bookmarkEnd w:id="38"/>
      <w:bookmarkEnd w:id="39"/>
    </w:p>
    <w:p w14:paraId="6DFAF48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w:t>
      </w:r>
      <w:r>
        <w:rPr>
          <w:rFonts w:hint="eastAsia" w:ascii="仿宋_GB2312" w:eastAsia="仿宋_GB2312"/>
          <w:color w:val="auto"/>
          <w:sz w:val="32"/>
          <w:szCs w:val="32"/>
          <w:highlight w:val="none"/>
        </w:rPr>
        <w:t>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Times New Roman" w:hAnsi="Times New Roman" w:eastAsia="仿宋_GB2312" w:cs="仿宋_GB2312"/>
          <w:color w:val="auto"/>
          <w:kern w:val="2"/>
          <w:sz w:val="32"/>
          <w:szCs w:val="32"/>
          <w:highlight w:val="none"/>
          <w:lang w:val="en-US" w:eastAsia="zh-CN" w:bidi="ar-SA"/>
        </w:rPr>
        <w:t>。</w:t>
      </w:r>
    </w:p>
    <w:p w14:paraId="30A944B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382815A5">
      <w:pPr>
        <w:numPr>
          <w:ilvl w:val="0"/>
          <w:numId w:val="0"/>
        </w:numPr>
        <w:spacing w:line="600" w:lineRule="exact"/>
        <w:ind w:left="630" w:leftChars="0"/>
        <w:outlineLvl w:val="1"/>
        <w:rPr>
          <w:rStyle w:val="29"/>
          <w:rFonts w:hint="eastAsia" w:ascii="Times New Roman" w:hAnsi="Times New Roman" w:eastAsia="黑体"/>
          <w:b w:val="0"/>
          <w:color w:val="auto"/>
          <w:highlight w:val="none"/>
        </w:rPr>
      </w:pPr>
      <w:bookmarkStart w:id="40" w:name="_Toc15396612"/>
      <w:bookmarkStart w:id="41" w:name="_Toc15377221"/>
      <w:r>
        <w:rPr>
          <w:rStyle w:val="29"/>
          <w:rFonts w:hint="eastAsia" w:ascii="Times New Roman" w:hAnsi="Times New Roman" w:eastAsia="黑体"/>
          <w:b w:val="0"/>
          <w:color w:val="auto"/>
          <w:highlight w:val="none"/>
          <w:lang w:eastAsia="zh-CN"/>
        </w:rPr>
        <w:t>十、</w:t>
      </w:r>
      <w:r>
        <w:rPr>
          <w:rStyle w:val="29"/>
          <w:rFonts w:hint="eastAsia" w:ascii="Times New Roman" w:hAnsi="Times New Roman" w:eastAsia="黑体"/>
          <w:b w:val="0"/>
          <w:color w:val="auto"/>
          <w:highlight w:val="none"/>
        </w:rPr>
        <w:t>其他重要事项的情况说明</w:t>
      </w:r>
      <w:bookmarkEnd w:id="40"/>
      <w:bookmarkEnd w:id="41"/>
    </w:p>
    <w:p w14:paraId="50C2A91F">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2" w:name="_Toc15377222"/>
      <w:r>
        <w:rPr>
          <w:rFonts w:hint="eastAsia" w:ascii="Times New Roman" w:hAnsi="Times New Roman" w:eastAsia="楷体_GB2312" w:cs="楷体_GB2312"/>
          <w:b/>
          <w:color w:val="auto"/>
          <w:sz w:val="32"/>
          <w:szCs w:val="32"/>
          <w:highlight w:val="none"/>
        </w:rPr>
        <w:t>（一）机关运行经费支出情况</w:t>
      </w:r>
      <w:bookmarkEnd w:id="42"/>
    </w:p>
    <w:p w14:paraId="01187AB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sz w:val="32"/>
          <w:szCs w:val="32"/>
        </w:rPr>
        <w:t>攀枝花市西区公务服务中心</w:t>
      </w:r>
      <w:r>
        <w:rPr>
          <w:rFonts w:hint="eastAsia" w:ascii="仿宋_GB2312" w:hAnsi="仿宋_GB2312" w:eastAsia="仿宋_GB2312" w:cs="仿宋_GB2312"/>
          <w:sz w:val="32"/>
          <w:szCs w:val="32"/>
          <w:lang w:eastAsia="zh-CN"/>
        </w:rPr>
        <w:t>无</w:t>
      </w:r>
      <w:r>
        <w:rPr>
          <w:rFonts w:hint="eastAsia" w:ascii="仿宋_GB2312" w:hAnsi="仿宋_GB2312" w:eastAsia="仿宋_GB2312" w:cs="仿宋_GB2312"/>
          <w:color w:val="auto"/>
          <w:kern w:val="2"/>
          <w:sz w:val="32"/>
          <w:szCs w:val="32"/>
          <w:highlight w:val="none"/>
          <w:lang w:val="en-US" w:eastAsia="zh-CN" w:bidi="ar-SA"/>
        </w:rPr>
        <w:t>机关运行经费。</w:t>
      </w:r>
    </w:p>
    <w:p w14:paraId="038C147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250CA374">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3" w:name="_Toc15377223"/>
      <w:r>
        <w:rPr>
          <w:rFonts w:hint="eastAsia" w:ascii="Times New Roman" w:hAnsi="Times New Roman" w:eastAsia="楷体_GB2312" w:cs="楷体_GB2312"/>
          <w:b/>
          <w:color w:val="auto"/>
          <w:sz w:val="32"/>
          <w:szCs w:val="32"/>
          <w:highlight w:val="none"/>
        </w:rPr>
        <w:t>（二）政府采购支出情况</w:t>
      </w:r>
      <w:bookmarkEnd w:id="43"/>
    </w:p>
    <w:p w14:paraId="5EA29A32">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sz w:val="32"/>
          <w:szCs w:val="32"/>
        </w:rPr>
        <w:t>攀枝花市西区公务服务中心</w:t>
      </w:r>
      <w:r>
        <w:rPr>
          <w:rFonts w:hint="eastAsia" w:ascii="仿宋_GB2312" w:hAnsi="仿宋_GB2312" w:eastAsia="仿宋_GB2312" w:cs="仿宋_GB2312"/>
          <w:color w:val="auto"/>
          <w:kern w:val="2"/>
          <w:sz w:val="32"/>
          <w:szCs w:val="32"/>
          <w:highlight w:val="none"/>
          <w:lang w:val="en-US" w:eastAsia="zh-CN" w:bidi="ar-SA"/>
        </w:rPr>
        <w:t>政府采购支出总额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万元，其中：政府采购货物支出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万元、政府采购工程支出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万元、政府采购服务支出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万元。授予中小企业合同金额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%，其中：授予小微企业合同金额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p>
    <w:p w14:paraId="67E0AF0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3531B0E5">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4" w:name="_Toc15377224"/>
      <w:r>
        <w:rPr>
          <w:rFonts w:hint="eastAsia" w:ascii="Times New Roman" w:hAnsi="Times New Roman" w:eastAsia="楷体_GB2312" w:cs="楷体_GB2312"/>
          <w:b/>
          <w:color w:val="auto"/>
          <w:sz w:val="32"/>
          <w:szCs w:val="32"/>
          <w:highlight w:val="none"/>
        </w:rPr>
        <w:t>（三）国有资产占有使用情况</w:t>
      </w:r>
      <w:bookmarkEnd w:id="44"/>
    </w:p>
    <w:p w14:paraId="757A362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截至2024年12月31日，</w:t>
      </w:r>
      <w:r>
        <w:rPr>
          <w:rFonts w:hint="eastAsia" w:ascii="仿宋_GB2312" w:hAnsi="仿宋_GB2312" w:eastAsia="仿宋_GB2312" w:cs="仿宋_GB2312"/>
          <w:sz w:val="32"/>
          <w:szCs w:val="32"/>
        </w:rPr>
        <w:t>攀枝花市西区公务服务中心</w:t>
      </w:r>
      <w:r>
        <w:rPr>
          <w:rFonts w:hint="eastAsia" w:ascii="仿宋_GB2312" w:hAnsi="仿宋_GB2312" w:eastAsia="仿宋_GB2312" w:cs="仿宋_GB2312"/>
          <w:color w:val="auto"/>
          <w:kern w:val="2"/>
          <w:sz w:val="32"/>
          <w:szCs w:val="32"/>
          <w:highlight w:val="none"/>
          <w:lang w:val="en-US" w:eastAsia="zh-CN" w:bidi="ar-SA"/>
        </w:rPr>
        <w:t>共有车辆</w:t>
      </w:r>
      <w:r>
        <w:rPr>
          <w:rFonts w:hint="eastAsia" w:ascii="仿宋_GB2312" w:hAnsi="仿宋_GB2312" w:eastAsia="仿宋_GB2312" w:cs="仿宋_GB2312"/>
          <w:sz w:val="32"/>
          <w:szCs w:val="32"/>
        </w:rPr>
        <w:t>1</w:t>
      </w:r>
      <w:r>
        <w:rPr>
          <w:rFonts w:hint="eastAsia" w:ascii="仿宋_GB2312" w:hAnsi="仿宋_GB2312" w:eastAsia="仿宋_GB2312" w:cs="仿宋_GB2312"/>
          <w:color w:val="auto"/>
          <w:kern w:val="2"/>
          <w:sz w:val="32"/>
          <w:szCs w:val="32"/>
          <w:highlight w:val="none"/>
          <w:lang w:val="en-US" w:eastAsia="zh-CN" w:bidi="ar-SA"/>
        </w:rPr>
        <w:t>辆，其中：主要负责人用车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辆、机要通信用车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辆、应急保障用车</w:t>
      </w:r>
      <w:r>
        <w:rPr>
          <w:rFonts w:hint="eastAsia" w:ascii="仿宋_GB2312" w:hAnsi="仿宋_GB2312" w:eastAsia="仿宋_GB2312" w:cs="仿宋_GB2312"/>
          <w:sz w:val="32"/>
          <w:szCs w:val="32"/>
        </w:rPr>
        <w:t>1</w:t>
      </w:r>
      <w:r>
        <w:rPr>
          <w:rFonts w:hint="eastAsia" w:ascii="仿宋_GB2312" w:hAnsi="仿宋_GB2312" w:eastAsia="仿宋_GB2312" w:cs="仿宋_GB2312"/>
          <w:color w:val="auto"/>
          <w:kern w:val="2"/>
          <w:sz w:val="32"/>
          <w:szCs w:val="32"/>
          <w:highlight w:val="none"/>
          <w:lang w:val="en-US" w:eastAsia="zh-CN" w:bidi="ar-SA"/>
        </w:rPr>
        <w:t>辆、其他用车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辆。单价100万元（含）以上设备（不含车辆）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台（套）</w:t>
      </w:r>
      <w:r>
        <w:rPr>
          <w:rFonts w:hint="eastAsia" w:ascii="Times New Roman" w:hAnsi="Times New Roman" w:eastAsia="仿宋_GB2312" w:cs="仿宋_GB2312"/>
          <w:color w:val="auto"/>
          <w:kern w:val="2"/>
          <w:sz w:val="32"/>
          <w:szCs w:val="32"/>
          <w:highlight w:val="none"/>
          <w:lang w:val="en-US" w:eastAsia="zh-CN" w:bidi="ar-SA"/>
        </w:rPr>
        <w:t>。</w:t>
      </w:r>
    </w:p>
    <w:p w14:paraId="11DB323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67CB8E7D">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（四）预算绩效管理情况</w:t>
      </w:r>
    </w:p>
    <w:p w14:paraId="7ADE59F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根据预算绩效管理要求，</w:t>
      </w:r>
      <w:r>
        <w:rPr>
          <w:rFonts w:hint="eastAsia" w:ascii="仿宋_GB2312" w:hAnsi="仿宋_GB2312" w:eastAsia="仿宋_GB2312" w:cs="仿宋_GB2312"/>
          <w:color w:val="auto"/>
          <w:sz w:val="32"/>
          <w:szCs w:val="32"/>
          <w:highlight w:val="none"/>
        </w:rPr>
        <w:t>本部门在</w:t>
      </w:r>
      <w:r>
        <w:rPr>
          <w:rFonts w:hint="eastAsia" w:ascii="仿宋_GB2312" w:hAnsi="仿宋_GB2312" w:eastAsia="仿宋_GB2312" w:cs="仿宋_GB2312"/>
          <w:color w:val="auto"/>
          <w:sz w:val="32"/>
          <w:szCs w:val="32"/>
          <w:highlight w:val="none"/>
          <w:lang w:val="en-US" w:eastAsia="zh-CN"/>
        </w:rPr>
        <w:t>2023年度</w:t>
      </w:r>
      <w:r>
        <w:rPr>
          <w:rFonts w:hint="eastAsia" w:ascii="仿宋_GB2312" w:hAnsi="仿宋_GB2312" w:eastAsia="仿宋_GB2312" w:cs="仿宋_GB2312"/>
          <w:color w:val="auto"/>
          <w:sz w:val="32"/>
          <w:szCs w:val="32"/>
          <w:highlight w:val="none"/>
        </w:rPr>
        <w:t>预算编制阶段，组织对</w:t>
      </w:r>
      <w:r>
        <w:rPr>
          <w:rFonts w:hint="eastAsia" w:ascii="仿宋_GB2312" w:hAnsi="仿宋_GB2312" w:eastAsia="仿宋_GB2312" w:cs="仿宋_GB2312"/>
          <w:color w:val="auto"/>
          <w:sz w:val="32"/>
          <w:szCs w:val="32"/>
          <w:highlight w:val="none"/>
          <w:lang w:eastAsia="zh-CN"/>
        </w:rPr>
        <w:t>接待协调费</w:t>
      </w:r>
      <w:r>
        <w:rPr>
          <w:rFonts w:hint="eastAsia" w:ascii="仿宋_GB2312" w:hAnsi="仿宋_GB2312" w:eastAsia="仿宋_GB2312" w:cs="仿宋_GB2312"/>
          <w:color w:val="auto"/>
          <w:sz w:val="32"/>
          <w:szCs w:val="32"/>
          <w:highlight w:val="none"/>
        </w:rPr>
        <w:t>项目</w:t>
      </w:r>
      <w:r>
        <w:rPr>
          <w:rFonts w:hint="eastAsia" w:ascii="仿宋_GB2312" w:hAnsi="仿宋_GB2312" w:eastAsia="仿宋_GB2312" w:cs="仿宋_GB2312"/>
          <w:color w:val="auto"/>
          <w:sz w:val="32"/>
          <w:szCs w:val="32"/>
          <w:highlight w:val="none"/>
          <w:lang w:val="en-US" w:eastAsia="zh-CN"/>
        </w:rPr>
        <w:t>1个项目</w:t>
      </w:r>
      <w:r>
        <w:rPr>
          <w:rFonts w:hint="eastAsia" w:ascii="仿宋_GB2312" w:hAnsi="仿宋_GB2312" w:eastAsia="仿宋_GB2312" w:cs="仿宋_GB2312"/>
          <w:color w:val="auto"/>
          <w:sz w:val="32"/>
          <w:szCs w:val="32"/>
          <w:highlight w:val="none"/>
        </w:rPr>
        <w:t>开展了预算事前绩效评估，对</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个项目编制了绩效目标，预算执行过程中，选取</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个项目开展绩效监控</w:t>
      </w:r>
      <w:r>
        <w:rPr>
          <w:rFonts w:hint="eastAsia" w:ascii="Times New Roman" w:hAnsi="Times New Roman" w:eastAsia="仿宋_GB2312" w:cs="仿宋_GB2312"/>
          <w:color w:val="auto"/>
          <w:kern w:val="2"/>
          <w:sz w:val="32"/>
          <w:szCs w:val="32"/>
          <w:highlight w:val="none"/>
          <w:lang w:val="en-US" w:eastAsia="zh-CN" w:bidi="ar-SA"/>
        </w:rPr>
        <w:t>。</w:t>
      </w:r>
    </w:p>
    <w:p w14:paraId="00B98556">
      <w:pPr>
        <w:spacing w:line="600" w:lineRule="exact"/>
        <w:ind w:firstLine="640"/>
        <w:rPr>
          <w:rFonts w:hint="default" w:ascii="Times New Roman" w:hAnsi="Times New Roman"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color w:val="auto"/>
          <w:sz w:val="32"/>
          <w:szCs w:val="32"/>
          <w:highlight w:val="none"/>
          <w:lang w:eastAsia="zh-CN"/>
        </w:rPr>
        <w:t>组织</w:t>
      </w:r>
      <w:r>
        <w:rPr>
          <w:rFonts w:hint="eastAsia" w:ascii="仿宋_GB2312" w:hAnsi="仿宋_GB2312" w:eastAsia="仿宋_GB2312" w:cs="仿宋_GB2312"/>
          <w:color w:val="auto"/>
          <w:sz w:val="32"/>
          <w:szCs w:val="32"/>
          <w:highlight w:val="none"/>
        </w:rPr>
        <w:t>对</w:t>
      </w:r>
      <w:r>
        <w:rPr>
          <w:rFonts w:hint="eastAsia" w:ascii="仿宋_GB2312" w:hAnsi="仿宋_GB2312" w:eastAsia="仿宋_GB2312" w:cs="仿宋_GB2312"/>
          <w:color w:val="auto"/>
          <w:sz w:val="32"/>
          <w:szCs w:val="32"/>
          <w:highlight w:val="none"/>
          <w:lang w:val="en-US" w:eastAsia="zh-CN"/>
        </w:rPr>
        <w:t>2024年度一般公共预算、</w:t>
      </w:r>
      <w:r>
        <w:rPr>
          <w:rFonts w:hint="eastAsia" w:ascii="仿宋_GB2312" w:hAnsi="仿宋_GB2312" w:eastAsia="仿宋_GB2312" w:cs="仿宋_GB2312"/>
          <w:color w:val="auto"/>
          <w:sz w:val="32"/>
          <w:szCs w:val="32"/>
          <w:highlight w:val="none"/>
          <w:lang w:eastAsia="zh-CN"/>
        </w:rPr>
        <w:t>政府性基金预算</w:t>
      </w:r>
      <w:r>
        <w:rPr>
          <w:rFonts w:hint="eastAsia" w:ascii="仿宋_GB2312" w:hAnsi="仿宋_GB2312" w:eastAsia="仿宋_GB2312" w:cs="仿宋_GB2312"/>
          <w:color w:val="auto"/>
          <w:sz w:val="32"/>
          <w:szCs w:val="32"/>
          <w:highlight w:val="none"/>
          <w:lang w:val="en-US" w:eastAsia="zh-CN"/>
        </w:rPr>
        <w:t>全面开展绩效自评，形成</w:t>
      </w:r>
      <w:r>
        <w:rPr>
          <w:rFonts w:hint="eastAsia" w:ascii="仿宋_GB2312" w:eastAsia="仿宋_GB2312"/>
          <w:color w:val="auto"/>
          <w:sz w:val="32"/>
          <w:szCs w:val="32"/>
          <w:highlight w:val="none"/>
          <w:lang w:eastAsia="zh-CN"/>
        </w:rPr>
        <w:t>西区公务服务中心</w:t>
      </w:r>
      <w:r>
        <w:rPr>
          <w:rFonts w:hint="eastAsia" w:ascii="仿宋_GB2312" w:hAnsi="仿宋_GB2312" w:eastAsia="仿宋_GB2312" w:cs="仿宋_GB2312"/>
          <w:color w:val="auto"/>
          <w:sz w:val="32"/>
          <w:szCs w:val="32"/>
          <w:highlight w:val="none"/>
          <w:lang w:eastAsia="zh-CN"/>
        </w:rPr>
        <w:t>部门整体（含部门预算项目）</w:t>
      </w:r>
      <w:r>
        <w:rPr>
          <w:rFonts w:hint="eastAsia" w:ascii="仿宋_GB2312" w:hAnsi="仿宋_GB2312" w:eastAsia="仿宋_GB2312" w:cs="仿宋_GB2312"/>
          <w:color w:val="auto"/>
          <w:sz w:val="32"/>
          <w:szCs w:val="32"/>
          <w:highlight w:val="none"/>
          <w:lang w:val="en-US" w:eastAsia="zh-CN"/>
        </w:rPr>
        <w:t>绩效自评报告</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接待协调费</w:t>
      </w:r>
      <w:r>
        <w:rPr>
          <w:rFonts w:hint="eastAsia" w:ascii="仿宋_GB2312" w:hAnsi="仿宋_GB2312" w:eastAsia="仿宋_GB2312" w:cs="仿宋_GB2312"/>
          <w:color w:val="auto"/>
          <w:sz w:val="32"/>
          <w:szCs w:val="32"/>
          <w:highlight w:val="none"/>
          <w:lang w:eastAsia="zh-CN"/>
        </w:rPr>
        <w:t>专项预算项目</w:t>
      </w:r>
      <w:r>
        <w:rPr>
          <w:rFonts w:hint="eastAsia" w:ascii="仿宋_GB2312" w:hAnsi="仿宋_GB2312" w:eastAsia="仿宋_GB2312" w:cs="仿宋_GB2312"/>
          <w:color w:val="auto"/>
          <w:sz w:val="32"/>
          <w:szCs w:val="32"/>
          <w:highlight w:val="none"/>
          <w:lang w:val="en-US" w:eastAsia="zh-CN"/>
        </w:rPr>
        <w:t>绩效自评报告，其中，</w:t>
      </w:r>
      <w:r>
        <w:rPr>
          <w:rFonts w:hint="eastAsia" w:ascii="仿宋_GB2312" w:eastAsia="仿宋_GB2312"/>
          <w:color w:val="auto"/>
          <w:sz w:val="32"/>
          <w:szCs w:val="32"/>
          <w:highlight w:val="none"/>
          <w:lang w:eastAsia="zh-CN"/>
        </w:rPr>
        <w:t>西区公务服务中心</w:t>
      </w:r>
      <w:r>
        <w:rPr>
          <w:rFonts w:hint="eastAsia" w:ascii="仿宋_GB2312" w:hAnsi="仿宋_GB2312" w:eastAsia="仿宋_GB2312" w:cs="仿宋_GB2312"/>
          <w:color w:val="auto"/>
          <w:sz w:val="32"/>
          <w:szCs w:val="32"/>
          <w:highlight w:val="none"/>
          <w:lang w:val="en-US" w:eastAsia="zh-CN"/>
        </w:rPr>
        <w:t>部门整体</w:t>
      </w:r>
      <w:r>
        <w:rPr>
          <w:rFonts w:hint="eastAsia" w:ascii="仿宋_GB2312" w:hAnsi="仿宋_GB2312" w:eastAsia="仿宋_GB2312" w:cs="仿宋_GB2312"/>
          <w:color w:val="auto"/>
          <w:sz w:val="32"/>
          <w:szCs w:val="32"/>
          <w:highlight w:val="none"/>
          <w:lang w:eastAsia="zh-CN"/>
        </w:rPr>
        <w:t>（含部门预算项目）</w:t>
      </w:r>
      <w:r>
        <w:rPr>
          <w:rFonts w:hint="eastAsia" w:ascii="仿宋_GB2312" w:hAnsi="仿宋_GB2312" w:eastAsia="仿宋_GB2312" w:cs="仿宋_GB2312"/>
          <w:color w:val="auto"/>
          <w:sz w:val="32"/>
          <w:szCs w:val="32"/>
          <w:highlight w:val="none"/>
          <w:lang w:val="en-US" w:eastAsia="zh-CN"/>
        </w:rPr>
        <w:t>绩效自评得分为97分，绩效自评综述：我中心根据确定的年度绩效管理目标制定具体实施计划，明确内部业务分工，落实承办人员及其工作责任，明确时序进度和目标要求，落实工作措施，总结汇集工作成果，并记录实施过程。通过自评,财政部门能够清晰完整地了解我办在预决算执行过程的问题，自评结果准确反映了我办在执行预算支出绩效总体较。绩效自评报告详见附件。</w:t>
      </w:r>
    </w:p>
    <w:p w14:paraId="130B691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02B6688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7F1FAC7B">
      <w:pPr>
        <w:numPr>
          <w:ilvl w:val="0"/>
          <w:numId w:val="0"/>
        </w:numPr>
        <w:spacing w:line="600" w:lineRule="exact"/>
        <w:jc w:val="center"/>
        <w:outlineLvl w:val="0"/>
        <w:rPr>
          <w:rFonts w:hint="eastAsia" w:ascii="Times New Roman" w:hAnsi="Times New Roman" w:eastAsia="黑体"/>
          <w:color w:val="auto"/>
          <w:sz w:val="44"/>
          <w:szCs w:val="44"/>
          <w:highlight w:val="none"/>
        </w:rPr>
      </w:pPr>
      <w:bookmarkStart w:id="45" w:name="_Toc15377225"/>
      <w:bookmarkStart w:id="46" w:name="_Toc15396613"/>
    </w:p>
    <w:p w14:paraId="3C0960F8">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7AB96A31">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58D88045">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319450D5">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03E291C1">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1CA9BCFC">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64BB6C0C">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29DFB72B">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38BC978E">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2257D33A">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3AF5E1FC">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510B4E8C">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57780EA7">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73995B4D">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27A9756F">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16BAFDE6">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1414EA13">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6220C040">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33A3CE75">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21F9C1D5">
      <w:pPr>
        <w:numPr>
          <w:ilvl w:val="0"/>
          <w:numId w:val="0"/>
        </w:numPr>
        <w:spacing w:line="600" w:lineRule="exact"/>
        <w:jc w:val="center"/>
        <w:outlineLvl w:val="0"/>
        <w:rPr>
          <w:rFonts w:hint="eastAsia" w:ascii="Times New Roman" w:hAnsi="Times New Roman" w:eastAsia="黑体"/>
          <w:color w:val="auto"/>
          <w:sz w:val="44"/>
          <w:szCs w:val="44"/>
          <w:highlight w:val="none"/>
        </w:rPr>
      </w:pPr>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三</w:t>
      </w:r>
      <w:r>
        <w:rPr>
          <w:rFonts w:hint="eastAsia" w:ascii="Times New Roman" w:hAnsi="Times New Roman" w:eastAsia="黑体"/>
          <w:color w:val="auto"/>
          <w:sz w:val="44"/>
          <w:szCs w:val="44"/>
          <w:highlight w:val="none"/>
        </w:rPr>
        <w:t>部分</w:t>
      </w:r>
      <w:r>
        <w:rPr>
          <w:rFonts w:hint="eastAsia" w:ascii="Times New Roman" w:hAnsi="Times New Roman" w:eastAsia="黑体"/>
          <w:color w:val="auto"/>
          <w:sz w:val="44"/>
          <w:szCs w:val="44"/>
          <w:highlight w:val="none"/>
          <w:lang w:val="en-US" w:eastAsia="zh-CN"/>
        </w:rPr>
        <w:t xml:space="preserve"> </w:t>
      </w:r>
      <w:r>
        <w:rPr>
          <w:rFonts w:hint="eastAsia"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名词解释</w:t>
      </w:r>
      <w:bookmarkEnd w:id="45"/>
      <w:bookmarkEnd w:id="46"/>
    </w:p>
    <w:p w14:paraId="2E0510F5">
      <w:pPr>
        <w:spacing w:line="600" w:lineRule="exact"/>
        <w:jc w:val="left"/>
        <w:rPr>
          <w:rFonts w:ascii="Times New Roman" w:hAnsi="Times New Roman"/>
          <w:b/>
          <w:color w:val="auto"/>
          <w:sz w:val="44"/>
          <w:szCs w:val="44"/>
          <w:highlight w:val="none"/>
        </w:rPr>
      </w:pPr>
    </w:p>
    <w:p w14:paraId="238A5A7C">
      <w:pPr>
        <w:pStyle w:val="26"/>
        <w:spacing w:line="560" w:lineRule="exact"/>
        <w:ind w:firstLine="640" w:firstLineChars="200"/>
        <w:rPr>
          <w:rFonts w:hAnsi="仿宋"/>
          <w:color w:val="auto"/>
          <w:sz w:val="32"/>
          <w:szCs w:val="32"/>
        </w:rPr>
      </w:pPr>
      <w:r>
        <w:rPr>
          <w:rFonts w:hAnsi="仿宋"/>
          <w:color w:val="auto"/>
          <w:sz w:val="32"/>
          <w:szCs w:val="32"/>
        </w:rPr>
        <w:t>1.</w:t>
      </w:r>
      <w:r>
        <w:rPr>
          <w:rFonts w:hint="eastAsia" w:hAnsi="仿宋"/>
          <w:color w:val="auto"/>
          <w:sz w:val="32"/>
          <w:szCs w:val="32"/>
        </w:rPr>
        <w:t>财政拨款收入：指单位从同级财政部门取得的财政预算资金。</w:t>
      </w:r>
    </w:p>
    <w:p w14:paraId="44CEEDB0">
      <w:pPr>
        <w:pStyle w:val="26"/>
        <w:spacing w:line="560" w:lineRule="exact"/>
        <w:ind w:firstLine="640" w:firstLineChars="200"/>
        <w:rPr>
          <w:rFonts w:hAnsi="仿宋"/>
          <w:color w:val="auto"/>
          <w:sz w:val="32"/>
          <w:szCs w:val="32"/>
        </w:rPr>
      </w:pPr>
      <w:r>
        <w:rPr>
          <w:rFonts w:hAnsi="仿宋"/>
          <w:color w:val="auto"/>
          <w:sz w:val="32"/>
          <w:szCs w:val="32"/>
        </w:rPr>
        <w:t>2.</w:t>
      </w:r>
      <w:r>
        <w:rPr>
          <w:rFonts w:hint="eastAsia" w:hAnsi="仿宋"/>
          <w:color w:val="auto"/>
          <w:sz w:val="32"/>
          <w:szCs w:val="32"/>
        </w:rPr>
        <w:t>事业收入：指事业单位开展专业业务活动及辅助活动取得的收入。</w:t>
      </w:r>
    </w:p>
    <w:p w14:paraId="3441C5B4">
      <w:pPr>
        <w:pStyle w:val="26"/>
        <w:spacing w:line="560" w:lineRule="exact"/>
        <w:ind w:firstLine="640" w:firstLineChars="200"/>
        <w:rPr>
          <w:rFonts w:hAnsi="仿宋"/>
          <w:color w:val="auto"/>
          <w:sz w:val="32"/>
          <w:szCs w:val="32"/>
        </w:rPr>
      </w:pPr>
      <w:r>
        <w:rPr>
          <w:rFonts w:hAnsi="仿宋"/>
          <w:color w:val="auto"/>
          <w:sz w:val="32"/>
          <w:szCs w:val="32"/>
        </w:rPr>
        <w:t>3.</w:t>
      </w:r>
      <w:r>
        <w:rPr>
          <w:rFonts w:hint="eastAsia" w:hAnsi="仿宋"/>
          <w:color w:val="auto"/>
          <w:sz w:val="32"/>
          <w:szCs w:val="32"/>
        </w:rPr>
        <w:t>经营收入：指事业单位在专业业务活动及其辅助活动之外开展非独立核算经营活动取得的收入。</w:t>
      </w:r>
    </w:p>
    <w:p w14:paraId="5AB679E0">
      <w:pPr>
        <w:pStyle w:val="26"/>
        <w:spacing w:line="560" w:lineRule="exact"/>
        <w:ind w:firstLine="640" w:firstLineChars="200"/>
        <w:rPr>
          <w:rFonts w:hAnsi="仿宋"/>
          <w:color w:val="auto"/>
          <w:sz w:val="32"/>
          <w:szCs w:val="32"/>
        </w:rPr>
      </w:pPr>
      <w:r>
        <w:rPr>
          <w:rFonts w:hAnsi="仿宋"/>
          <w:color w:val="auto"/>
          <w:sz w:val="32"/>
          <w:szCs w:val="32"/>
        </w:rPr>
        <w:t>4.</w:t>
      </w:r>
      <w:r>
        <w:rPr>
          <w:rFonts w:hint="eastAsia" w:hAnsi="仿宋"/>
          <w:color w:val="auto"/>
          <w:sz w:val="32"/>
          <w:szCs w:val="32"/>
        </w:rPr>
        <w:t>其他收入：指单位取得的除上述收入以外的各项收入。</w:t>
      </w:r>
    </w:p>
    <w:p w14:paraId="2F4233DD">
      <w:pPr>
        <w:pStyle w:val="26"/>
        <w:spacing w:line="560" w:lineRule="exact"/>
        <w:ind w:firstLine="640" w:firstLineChars="200"/>
        <w:rPr>
          <w:rFonts w:hAnsi="仿宋"/>
          <w:color w:val="auto"/>
          <w:sz w:val="32"/>
          <w:szCs w:val="32"/>
        </w:rPr>
      </w:pPr>
      <w:r>
        <w:rPr>
          <w:rFonts w:hAnsi="仿宋"/>
          <w:color w:val="auto"/>
          <w:sz w:val="32"/>
          <w:szCs w:val="32"/>
        </w:rPr>
        <w:t>5.</w:t>
      </w:r>
      <w:r>
        <w:rPr>
          <w:rFonts w:hint="eastAsia" w:hAnsi="仿宋"/>
          <w:color w:val="auto"/>
          <w:sz w:val="32"/>
          <w:szCs w:val="32"/>
        </w:rPr>
        <w:t>使用非财政拨款结余：指事业单位使用以前年度积累的非财政拨款结余弥补当年收支差额的金额。</w:t>
      </w:r>
    </w:p>
    <w:p w14:paraId="078191BF">
      <w:pPr>
        <w:pStyle w:val="26"/>
        <w:spacing w:line="560" w:lineRule="exact"/>
        <w:ind w:firstLine="640" w:firstLineChars="200"/>
        <w:rPr>
          <w:rFonts w:hAnsi="仿宋"/>
          <w:color w:val="auto"/>
          <w:sz w:val="32"/>
          <w:szCs w:val="32"/>
        </w:rPr>
      </w:pPr>
      <w:r>
        <w:rPr>
          <w:rFonts w:hAnsi="仿宋"/>
          <w:color w:val="auto"/>
          <w:sz w:val="32"/>
          <w:szCs w:val="32"/>
        </w:rPr>
        <w:t>6.</w:t>
      </w:r>
      <w:r>
        <w:rPr>
          <w:rFonts w:hint="eastAsia" w:hAnsi="仿宋"/>
          <w:color w:val="auto"/>
          <w:sz w:val="32"/>
          <w:szCs w:val="32"/>
        </w:rPr>
        <w:t>年初结转和结余：指以前年度尚未完成、结转到本年按有关规定继续使用的资金。</w:t>
      </w:r>
    </w:p>
    <w:p w14:paraId="731C8F60">
      <w:pPr>
        <w:pStyle w:val="26"/>
        <w:spacing w:line="560" w:lineRule="exact"/>
        <w:ind w:firstLine="640" w:firstLineChars="200"/>
        <w:rPr>
          <w:rFonts w:hAnsi="仿宋"/>
          <w:color w:val="auto"/>
          <w:sz w:val="32"/>
          <w:szCs w:val="32"/>
        </w:rPr>
      </w:pPr>
      <w:r>
        <w:rPr>
          <w:rFonts w:hAnsi="仿宋"/>
          <w:color w:val="auto"/>
          <w:sz w:val="32"/>
          <w:szCs w:val="32"/>
        </w:rPr>
        <w:t>7.</w:t>
      </w:r>
      <w:r>
        <w:rPr>
          <w:rFonts w:hint="eastAsia" w:hAnsi="仿宋"/>
          <w:color w:val="auto"/>
          <w:sz w:val="32"/>
          <w:szCs w:val="32"/>
        </w:rPr>
        <w:t>结余分配：指事业单位按照会计制度规定缴纳的所得税、提取的专用结余以及转入非财政拨款结余的金额等。</w:t>
      </w:r>
    </w:p>
    <w:p w14:paraId="7A093AD5">
      <w:pPr>
        <w:pStyle w:val="26"/>
        <w:spacing w:line="560" w:lineRule="exact"/>
        <w:ind w:firstLine="640" w:firstLineChars="200"/>
        <w:rPr>
          <w:rFonts w:hAnsi="仿宋"/>
          <w:color w:val="auto"/>
          <w:sz w:val="32"/>
          <w:szCs w:val="32"/>
        </w:rPr>
      </w:pPr>
      <w:r>
        <w:rPr>
          <w:rFonts w:hAnsi="仿宋"/>
          <w:color w:val="auto"/>
          <w:sz w:val="32"/>
          <w:szCs w:val="32"/>
        </w:rPr>
        <w:t>8</w:t>
      </w:r>
      <w:r>
        <w:rPr>
          <w:rFonts w:hint="eastAsia" w:hAnsi="仿宋"/>
          <w:color w:val="auto"/>
          <w:sz w:val="32"/>
          <w:szCs w:val="32"/>
        </w:rPr>
        <w:t>.年末结转和结余：指单位按有关规定结转到下年或以后年度继续使用的资金。</w:t>
      </w:r>
    </w:p>
    <w:p w14:paraId="2A7DFEA9">
      <w:pPr>
        <w:ind w:firstLine="640" w:firstLineChars="200"/>
        <w:rPr>
          <w:rFonts w:ascii="仿宋" w:hAnsi="仿宋" w:eastAsia="仿宋"/>
          <w:sz w:val="32"/>
          <w:szCs w:val="32"/>
        </w:rPr>
      </w:pPr>
      <w:r>
        <w:rPr>
          <w:rFonts w:ascii="仿宋" w:hAnsi="仿宋" w:eastAsia="仿宋"/>
          <w:sz w:val="32"/>
          <w:szCs w:val="32"/>
        </w:rPr>
        <w:t>9.</w:t>
      </w:r>
      <w:r>
        <w:rPr>
          <w:rFonts w:hint="eastAsia" w:ascii="仿宋" w:hAnsi="仿宋" w:eastAsia="仿宋" w:cs="仿宋"/>
          <w:kern w:val="0"/>
          <w:sz w:val="32"/>
          <w:szCs w:val="32"/>
        </w:rPr>
        <w:t>一般公共服务支出（类）政府办公厅（室）及相关机构事务（款）事业运行（项）：反映事业单位的基本支出，不包括行政单位（包括实行公务员管理的事业单位）后勤服务中心、医务室等附属事业单位。</w:t>
      </w:r>
    </w:p>
    <w:p w14:paraId="34DDEAB9">
      <w:pPr>
        <w:ind w:firstLine="640" w:firstLineChars="200"/>
        <w:rPr>
          <w:rFonts w:ascii="仿宋" w:hAnsi="仿宋" w:eastAsia="仿宋"/>
          <w:sz w:val="32"/>
          <w:szCs w:val="32"/>
        </w:rPr>
      </w:pPr>
      <w:r>
        <w:rPr>
          <w:rFonts w:ascii="仿宋" w:hAnsi="仿宋" w:eastAsia="仿宋"/>
          <w:sz w:val="32"/>
          <w:szCs w:val="32"/>
        </w:rPr>
        <w:t>10.</w:t>
      </w:r>
      <w:r>
        <w:rPr>
          <w:rFonts w:hint="eastAsia" w:ascii="仿宋" w:hAnsi="仿宋" w:eastAsia="仿宋"/>
          <w:sz w:val="32"/>
          <w:szCs w:val="32"/>
        </w:rPr>
        <w:t>社会保障和就业支出（类）行政事业单位养老支出（款）机关事业单位基本养老保险缴费支出（项）：指机关事业单位实施养老保险制度有单位缴纳的基本养老保险费支出。</w:t>
      </w:r>
    </w:p>
    <w:p w14:paraId="79F9D9CC">
      <w:pPr>
        <w:ind w:firstLine="640" w:firstLineChars="200"/>
        <w:rPr>
          <w:rFonts w:ascii="仿宋" w:hAnsi="仿宋" w:eastAsia="仿宋"/>
          <w:sz w:val="32"/>
          <w:szCs w:val="32"/>
        </w:rPr>
      </w:pPr>
      <w:r>
        <w:rPr>
          <w:rFonts w:ascii="仿宋" w:hAnsi="仿宋" w:eastAsia="仿宋"/>
          <w:sz w:val="32"/>
          <w:szCs w:val="32"/>
        </w:rPr>
        <w:t>11.</w:t>
      </w:r>
      <w:r>
        <w:rPr>
          <w:rFonts w:hint="eastAsia" w:ascii="仿宋" w:hAnsi="仿宋" w:eastAsia="仿宋"/>
          <w:sz w:val="32"/>
          <w:szCs w:val="32"/>
        </w:rPr>
        <w:t>卫生健康支出支出（类）行政事业单位医疗支出（款）事业单位医疗（项）：反映财政部门安排的事业单位基本医疗保险缴费经费，未参加医疗保险的事业单位的公费医疗经费，按国家规定享受离休人员待遇的医疗经费。</w:t>
      </w:r>
    </w:p>
    <w:p w14:paraId="693935EF">
      <w:pPr>
        <w:ind w:firstLine="640" w:firstLineChars="200"/>
        <w:rPr>
          <w:rFonts w:ascii="仿宋" w:hAnsi="仿宋" w:eastAsia="仿宋"/>
          <w:sz w:val="32"/>
          <w:szCs w:val="32"/>
        </w:rPr>
      </w:pPr>
      <w:r>
        <w:rPr>
          <w:rFonts w:ascii="仿宋" w:hAnsi="仿宋" w:eastAsia="仿宋"/>
          <w:sz w:val="32"/>
          <w:szCs w:val="32"/>
        </w:rPr>
        <w:t>12.</w:t>
      </w:r>
      <w:r>
        <w:rPr>
          <w:rFonts w:hint="eastAsia" w:ascii="仿宋" w:hAnsi="仿宋" w:eastAsia="仿宋"/>
          <w:sz w:val="32"/>
          <w:szCs w:val="32"/>
        </w:rPr>
        <w:t>卫生健康支出支出（类）行政事业单位医疗支出（款）其他行政事业单位医疗支出（项）：反映除上述项目以外的其他用于行政事业单位医疗方面的支出。</w:t>
      </w:r>
    </w:p>
    <w:p w14:paraId="699664BA">
      <w:pPr>
        <w:ind w:firstLine="640" w:firstLineChars="200"/>
        <w:rPr>
          <w:rFonts w:ascii="仿宋" w:hAnsi="仿宋" w:eastAsia="仿宋"/>
          <w:sz w:val="32"/>
          <w:szCs w:val="32"/>
        </w:rPr>
      </w:pPr>
      <w:r>
        <w:rPr>
          <w:rFonts w:ascii="仿宋" w:hAnsi="仿宋" w:eastAsia="仿宋"/>
          <w:sz w:val="32"/>
          <w:szCs w:val="32"/>
        </w:rPr>
        <w:t>13.</w:t>
      </w:r>
      <w:r>
        <w:rPr>
          <w:rFonts w:hint="eastAsia" w:ascii="仿宋" w:hAnsi="仿宋" w:eastAsia="仿宋" w:cs="仿宋"/>
          <w:color w:val="000000"/>
          <w:kern w:val="0"/>
          <w:sz w:val="32"/>
          <w:szCs w:val="32"/>
        </w:rPr>
        <w:t>城乡社区支出(类)国有土地使用权出让收入安排的支出(款)土地开发支出(项):反映新疆生产建设兵团和地方政府用于前期土地开发性支出以及与前期土地开发相关的费用等支出</w:t>
      </w:r>
      <w:r>
        <w:rPr>
          <w:rFonts w:hint="eastAsia" w:ascii="仿宋" w:hAnsi="仿宋" w:eastAsia="仿宋"/>
          <w:sz w:val="32"/>
          <w:szCs w:val="32"/>
        </w:rPr>
        <w:t>。</w:t>
      </w:r>
    </w:p>
    <w:p w14:paraId="0D48EB28">
      <w:pPr>
        <w:autoSpaceDE w:val="0"/>
        <w:autoSpaceDN w:val="0"/>
        <w:adjustRightInd w:val="0"/>
        <w:spacing w:line="353" w:lineRule="auto"/>
        <w:jc w:val="left"/>
        <w:rPr>
          <w:rFonts w:ascii="仿宋" w:hAnsi="仿宋" w:eastAsia="仿宋"/>
          <w:sz w:val="32"/>
          <w:szCs w:val="32"/>
        </w:rPr>
      </w:pPr>
      <w:r>
        <w:rPr>
          <w:rFonts w:hint="eastAsia" w:ascii="仿宋" w:hAnsi="仿宋" w:eastAsia="仿宋"/>
          <w:sz w:val="32"/>
          <w:szCs w:val="32"/>
        </w:rPr>
        <w:t xml:space="preserve">    </w:t>
      </w:r>
      <w:r>
        <w:rPr>
          <w:rFonts w:ascii="仿宋" w:hAnsi="仿宋" w:eastAsia="仿宋"/>
          <w:sz w:val="32"/>
          <w:szCs w:val="32"/>
        </w:rPr>
        <w:t>14.</w:t>
      </w:r>
      <w:r>
        <w:rPr>
          <w:rFonts w:hint="eastAsia" w:ascii="仿宋" w:hAnsi="仿宋" w:eastAsia="仿宋"/>
          <w:sz w:val="32"/>
          <w:szCs w:val="32"/>
        </w:rPr>
        <w:t>住房保障支出（类）住房改革支出（款）住房公积金（项）：指行政事业单位按人力资源和社会保障部、财政部规定的基本工资和津贴补贴以及规定比例为职工缴纳的住房公积金。</w:t>
      </w:r>
    </w:p>
    <w:p w14:paraId="6A23D8ED">
      <w:pPr>
        <w:ind w:firstLine="640" w:firstLineChars="200"/>
        <w:rPr>
          <w:rFonts w:ascii="仿宋" w:hAnsi="仿宋" w:eastAsia="仿宋"/>
          <w:sz w:val="32"/>
          <w:szCs w:val="32"/>
        </w:rPr>
      </w:pPr>
      <w:r>
        <w:rPr>
          <w:rFonts w:hint="eastAsia" w:ascii="仿宋" w:hAnsi="仿宋" w:eastAsia="仿宋"/>
          <w:sz w:val="32"/>
          <w:szCs w:val="32"/>
        </w:rPr>
        <w:t>15</w:t>
      </w:r>
      <w:r>
        <w:rPr>
          <w:rFonts w:ascii="仿宋" w:hAnsi="仿宋" w:eastAsia="仿宋"/>
          <w:sz w:val="32"/>
          <w:szCs w:val="32"/>
        </w:rPr>
        <w:t>.</w:t>
      </w:r>
      <w:r>
        <w:rPr>
          <w:rFonts w:hint="eastAsia" w:ascii="仿宋" w:hAnsi="仿宋" w:eastAsia="仿宋"/>
          <w:sz w:val="32"/>
          <w:szCs w:val="32"/>
        </w:rPr>
        <w:t>基本支出：指为保障机构正常运转、完成日常工作任务而发生的人员支出和公用支出。</w:t>
      </w:r>
    </w:p>
    <w:p w14:paraId="6A5E95B4">
      <w:pPr>
        <w:ind w:firstLine="640" w:firstLineChars="200"/>
        <w:rPr>
          <w:rFonts w:ascii="仿宋" w:hAnsi="仿宋" w:eastAsia="仿宋"/>
          <w:sz w:val="32"/>
          <w:szCs w:val="32"/>
        </w:rPr>
      </w:pPr>
      <w:r>
        <w:rPr>
          <w:rFonts w:hint="eastAsia" w:ascii="仿宋" w:hAnsi="仿宋" w:eastAsia="仿宋"/>
          <w:sz w:val="32"/>
          <w:szCs w:val="32"/>
        </w:rPr>
        <w:t>16</w:t>
      </w:r>
      <w:r>
        <w:rPr>
          <w:rFonts w:ascii="仿宋" w:hAnsi="仿宋" w:eastAsia="仿宋"/>
          <w:sz w:val="32"/>
          <w:szCs w:val="32"/>
        </w:rPr>
        <w:t>.</w:t>
      </w:r>
      <w:r>
        <w:rPr>
          <w:rFonts w:hint="eastAsia" w:ascii="仿宋" w:hAnsi="仿宋" w:eastAsia="仿宋"/>
          <w:sz w:val="32"/>
          <w:szCs w:val="32"/>
        </w:rPr>
        <w:t>项目支出：指在基本支出之外为完成特定行政任务和事业发展目标所发生的支出。</w:t>
      </w:r>
    </w:p>
    <w:p w14:paraId="173258FC">
      <w:pPr>
        <w:ind w:firstLine="640" w:firstLineChars="200"/>
        <w:rPr>
          <w:rFonts w:ascii="仿宋" w:hAnsi="仿宋" w:eastAsia="仿宋"/>
          <w:sz w:val="32"/>
          <w:szCs w:val="32"/>
        </w:rPr>
      </w:pPr>
      <w:r>
        <w:rPr>
          <w:rFonts w:hint="eastAsia" w:ascii="仿宋" w:hAnsi="仿宋" w:eastAsia="仿宋"/>
          <w:sz w:val="32"/>
          <w:szCs w:val="32"/>
        </w:rPr>
        <w:t>17</w:t>
      </w:r>
      <w:r>
        <w:rPr>
          <w:rFonts w:ascii="仿宋" w:hAnsi="仿宋" w:eastAsia="仿宋"/>
          <w:sz w:val="32"/>
          <w:szCs w:val="32"/>
        </w:rPr>
        <w:t>.</w:t>
      </w:r>
      <w:r>
        <w:rPr>
          <w:rFonts w:hint="eastAsia" w:ascii="仿宋" w:hAnsi="仿宋" w:eastAsia="仿宋"/>
          <w:sz w:val="32"/>
          <w:szCs w:val="32"/>
        </w:rPr>
        <w:t>经营支出：指事业单位在专业业务活动及其辅助活动之外开展非独立核算经营活动发生的支出。</w:t>
      </w:r>
    </w:p>
    <w:p w14:paraId="790BF38D">
      <w:pPr>
        <w:pStyle w:val="26"/>
        <w:spacing w:line="560" w:lineRule="exact"/>
        <w:ind w:firstLine="640" w:firstLineChars="200"/>
        <w:rPr>
          <w:rFonts w:hAnsi="仿宋"/>
          <w:color w:val="auto"/>
          <w:sz w:val="32"/>
          <w:szCs w:val="32"/>
        </w:rPr>
      </w:pPr>
      <w:r>
        <w:rPr>
          <w:rFonts w:hint="eastAsia" w:hAnsi="仿宋"/>
          <w:color w:val="auto"/>
          <w:sz w:val="32"/>
          <w:szCs w:val="32"/>
        </w:rPr>
        <w:t>18</w:t>
      </w:r>
      <w:r>
        <w:rPr>
          <w:rFonts w:hAnsi="仿宋"/>
          <w:color w:val="auto"/>
          <w:sz w:val="32"/>
          <w:szCs w:val="32"/>
        </w:rPr>
        <w:t>.</w:t>
      </w:r>
      <w:r>
        <w:rPr>
          <w:rFonts w:hint="eastAsia" w:hAnsi="仿宋"/>
          <w:color w:val="auto"/>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1E2CD1A7">
      <w:pPr>
        <w:spacing w:line="600" w:lineRule="exact"/>
        <w:ind w:firstLine="640"/>
        <w:rPr>
          <w:rFonts w:hint="eastAsia" w:ascii="仿宋" w:hAnsi="仿宋" w:eastAsia="仿宋" w:cs="仿宋"/>
          <w:color w:val="auto"/>
          <w:kern w:val="0"/>
          <w:sz w:val="32"/>
          <w:szCs w:val="32"/>
          <w:lang w:val="en-US" w:eastAsia="zh-CN" w:bidi="ar-SA"/>
        </w:rPr>
      </w:pPr>
      <w:r>
        <w:rPr>
          <w:rFonts w:hint="eastAsia" w:ascii="仿宋" w:hAnsi="仿宋" w:eastAsia="仿宋" w:cs="仿宋"/>
          <w:color w:val="auto"/>
          <w:kern w:val="0"/>
          <w:sz w:val="32"/>
          <w:szCs w:val="32"/>
          <w:lang w:val="en-US" w:eastAsia="zh-CN" w:bidi="ar-SA"/>
        </w:rPr>
        <w:t>19.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1045B66B">
      <w:pPr>
        <w:spacing w:line="600" w:lineRule="exact"/>
        <w:rPr>
          <w:rFonts w:hint="eastAsia" w:ascii="Times New Roman" w:hAnsi="Times New Roman" w:eastAsia="仿宋_GB2312" w:cs="仿宋_GB2312"/>
          <w:b/>
          <w:bCs/>
          <w:color w:val="auto"/>
          <w:kern w:val="2"/>
          <w:sz w:val="32"/>
          <w:szCs w:val="32"/>
          <w:highlight w:val="none"/>
          <w:lang w:val="en-US" w:eastAsia="zh-CN" w:bidi="ar-SA"/>
        </w:rPr>
      </w:pPr>
    </w:p>
    <w:p w14:paraId="7DC7B39F">
      <w:pPr>
        <w:spacing w:line="600" w:lineRule="exact"/>
        <w:jc w:val="center"/>
        <w:rPr>
          <w:rStyle w:val="28"/>
          <w:rFonts w:hint="eastAsia" w:ascii="Times New Roman" w:hAnsi="Times New Roman" w:eastAsia="黑体"/>
          <w:b w:val="0"/>
          <w:color w:val="auto"/>
          <w:highlight w:val="none"/>
          <w:lang w:eastAsia="zh-CN"/>
        </w:rPr>
      </w:pPr>
      <w:bookmarkStart w:id="47" w:name="_Toc15377226"/>
      <w:r>
        <w:rPr>
          <w:rFonts w:hint="eastAsia" w:ascii="Times New Roman" w:hAnsi="Times New Roman" w:eastAsia="仿宋_GB2312" w:cs="仿宋_GB2312"/>
          <w:color w:val="auto"/>
          <w:kern w:val="2"/>
          <w:sz w:val="32"/>
          <w:szCs w:val="32"/>
          <w:highlight w:val="none"/>
          <w:lang w:val="en-US" w:eastAsia="zh-CN" w:bidi="ar-SA"/>
        </w:rPr>
        <w:br w:type="page"/>
      </w:r>
      <w:bookmarkStart w:id="48" w:name="_Toc15396614"/>
      <w:r>
        <w:rPr>
          <w:rFonts w:hint="eastAsia" w:ascii="Times New Roman" w:hAnsi="Times New Roman" w:eastAsia="黑体"/>
          <w:color w:val="auto"/>
          <w:sz w:val="44"/>
          <w:szCs w:val="44"/>
          <w:highlight w:val="none"/>
        </w:rPr>
        <w:t>第四部分</w:t>
      </w:r>
      <w:r>
        <w:rPr>
          <w:rFonts w:hint="eastAsia" w:ascii="Times New Roman" w:hAnsi="Times New Roman"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 xml:space="preserve"> 附件</w:t>
      </w:r>
      <w:bookmarkEnd w:id="48"/>
    </w:p>
    <w:p w14:paraId="10ED5536">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黑体"/>
          <w:color w:val="FF0000"/>
          <w:sz w:val="32"/>
          <w:szCs w:val="32"/>
          <w:highlight w:val="none"/>
        </w:rPr>
      </w:pPr>
    </w:p>
    <w:p w14:paraId="6CF7F3B2">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方正小标宋简体"/>
          <w:color w:val="auto"/>
          <w:sz w:val="44"/>
          <w:szCs w:val="44"/>
          <w:highlight w:val="none"/>
          <w:lang w:val="en-US" w:eastAsia="zh-CN"/>
        </w:rPr>
      </w:pPr>
      <w:r>
        <w:rPr>
          <w:rFonts w:hint="eastAsia" w:ascii="Times New Roman" w:hAnsi="Times New Roman" w:eastAsia="黑体" w:cs="黑体"/>
          <w:color w:val="auto"/>
          <w:sz w:val="32"/>
          <w:szCs w:val="32"/>
          <w:highlight w:val="none"/>
        </w:rPr>
        <w:t>附件</w:t>
      </w:r>
      <w:r>
        <w:rPr>
          <w:rFonts w:hint="eastAsia" w:ascii="Times New Roman" w:hAnsi="Times New Roman" w:eastAsia="黑体" w:cs="黑体"/>
          <w:color w:val="auto"/>
          <w:sz w:val="32"/>
          <w:szCs w:val="32"/>
          <w:highlight w:val="none"/>
          <w:lang w:val="en-US" w:eastAsia="zh-CN"/>
        </w:rPr>
        <w:t>1</w:t>
      </w:r>
    </w:p>
    <w:p w14:paraId="583EE0E2">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p>
    <w:p w14:paraId="51B96FCC">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r>
        <w:rPr>
          <w:rFonts w:hint="eastAsia" w:eastAsia="方正小标宋简体" w:cs="Times New Roman"/>
          <w:b w:val="0"/>
          <w:bCs/>
          <w:sz w:val="44"/>
          <w:szCs w:val="44"/>
          <w:highlight w:val="none"/>
          <w:shd w:val="clear" w:color="auto" w:fill="FFFFFF"/>
          <w:lang w:eastAsia="zh-CN"/>
        </w:rPr>
        <w:t>单位</w:t>
      </w:r>
      <w:r>
        <w:rPr>
          <w:rFonts w:hint="default" w:ascii="Times New Roman" w:hAnsi="Times New Roman" w:eastAsia="方正小标宋简体" w:cs="Times New Roman"/>
          <w:b w:val="0"/>
          <w:bCs/>
          <w:sz w:val="44"/>
          <w:szCs w:val="44"/>
          <w:highlight w:val="none"/>
          <w:shd w:val="clear" w:color="auto" w:fill="FFFFFF"/>
          <w:lang w:eastAsia="zh-CN"/>
        </w:rPr>
        <w:t>预算</w:t>
      </w:r>
      <w:r>
        <w:rPr>
          <w:rFonts w:hint="default" w:ascii="Times New Roman" w:hAnsi="Times New Roman" w:eastAsia="方正小标宋简体" w:cs="Times New Roman"/>
          <w:b w:val="0"/>
          <w:bCs/>
          <w:sz w:val="44"/>
          <w:szCs w:val="44"/>
          <w:highlight w:val="none"/>
          <w:shd w:val="clear" w:color="auto" w:fill="FFFFFF"/>
        </w:rPr>
        <w:t>绩效</w:t>
      </w:r>
      <w:r>
        <w:rPr>
          <w:rFonts w:hint="eastAsia" w:ascii="Times New Roman" w:hAnsi="Times New Roman" w:eastAsia="方正小标宋简体" w:cs="Times New Roman"/>
          <w:b w:val="0"/>
          <w:bCs/>
          <w:sz w:val="44"/>
          <w:szCs w:val="44"/>
          <w:highlight w:val="none"/>
          <w:shd w:val="clear" w:color="auto" w:fill="FFFFFF"/>
          <w:lang w:eastAsia="zh-CN"/>
        </w:rPr>
        <w:t>评价</w:t>
      </w:r>
      <w:r>
        <w:rPr>
          <w:rFonts w:hint="default" w:ascii="Times New Roman" w:hAnsi="Times New Roman" w:eastAsia="方正小标宋简体" w:cs="Times New Roman"/>
          <w:b w:val="0"/>
          <w:bCs/>
          <w:sz w:val="44"/>
          <w:szCs w:val="44"/>
          <w:highlight w:val="none"/>
          <w:shd w:val="clear" w:color="auto" w:fill="FFFFFF"/>
        </w:rPr>
        <w:t>报告</w:t>
      </w:r>
    </w:p>
    <w:p w14:paraId="3C8F27B9">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仿宋_GB2312" w:cs="Times New Roman"/>
          <w:sz w:val="32"/>
          <w:szCs w:val="32"/>
          <w:highlight w:val="none"/>
          <w:shd w:val="clear" w:color="auto" w:fill="FFFFFF"/>
        </w:rPr>
      </w:pPr>
      <w:r>
        <w:rPr>
          <w:rFonts w:hint="default" w:ascii="Times New Roman" w:hAnsi="Times New Roman" w:eastAsia="仿宋_GB2312" w:cs="Times New Roman"/>
          <w:sz w:val="32"/>
          <w:szCs w:val="32"/>
          <w:highlight w:val="none"/>
          <w:shd w:val="clear" w:color="auto" w:fill="FFFFFF"/>
        </w:rPr>
        <w:t>（报告范围包括机关和下属单位）</w:t>
      </w:r>
    </w:p>
    <w:p w14:paraId="3EAC70A7">
      <w:pPr>
        <w:keepNext w:val="0"/>
        <w:keepLines w:val="0"/>
        <w:pageBreakBefore w:val="0"/>
        <w:widowControl/>
        <w:kinsoku/>
        <w:wordWrap/>
        <w:overflowPunct/>
        <w:topLinePunct w:val="0"/>
        <w:autoSpaceDE/>
        <w:autoSpaceDN/>
        <w:bidi w:val="0"/>
        <w:adjustRightInd w:val="0"/>
        <w:snapToGrid w:val="0"/>
        <w:spacing w:line="578" w:lineRule="exact"/>
        <w:ind w:firstLine="480" w:firstLineChars="200"/>
        <w:contextualSpacing/>
        <w:jc w:val="left"/>
        <w:textAlignment w:val="auto"/>
        <w:outlineLvl w:val="9"/>
        <w:rPr>
          <w:rFonts w:hint="default" w:ascii="Times New Roman" w:hAnsi="Times New Roman" w:eastAsia="黑体" w:cs="Times New Roman"/>
          <w:color w:val="000000"/>
          <w:kern w:val="0"/>
          <w:sz w:val="24"/>
          <w:szCs w:val="32"/>
          <w:highlight w:val="none"/>
          <w:shd w:val="clear" w:color="auto" w:fill="FFFFFF"/>
        </w:rPr>
      </w:pPr>
    </w:p>
    <w:p w14:paraId="77B88C6C">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rPr>
      </w:pPr>
      <w:r>
        <w:rPr>
          <w:rFonts w:hint="eastAsia" w:ascii="Times New Roman" w:hAnsi="Times New Roman" w:eastAsia="黑体" w:cs="Times New Roman"/>
          <w:color w:val="000000"/>
          <w:kern w:val="0"/>
          <w:sz w:val="32"/>
          <w:szCs w:val="32"/>
          <w:highlight w:val="none"/>
          <w:shd w:val="clear" w:color="auto" w:fill="FFFFFF"/>
          <w:lang w:val="zh-CN"/>
        </w:rPr>
        <w:t>一、</w:t>
      </w:r>
      <w:r>
        <w:rPr>
          <w:rFonts w:hint="eastAsia" w:eastAsia="黑体" w:cs="Times New Roman"/>
          <w:color w:val="000000"/>
          <w:kern w:val="0"/>
          <w:sz w:val="32"/>
          <w:szCs w:val="32"/>
          <w:highlight w:val="none"/>
          <w:shd w:val="clear" w:color="auto" w:fill="FFFFFF"/>
          <w:lang w:val="zh-CN"/>
        </w:rPr>
        <w:t>单位</w:t>
      </w:r>
      <w:r>
        <w:rPr>
          <w:rFonts w:hint="default" w:ascii="Times New Roman" w:hAnsi="Times New Roman" w:eastAsia="黑体" w:cs="Times New Roman"/>
          <w:color w:val="000000"/>
          <w:kern w:val="0"/>
          <w:sz w:val="32"/>
          <w:szCs w:val="32"/>
          <w:highlight w:val="none"/>
          <w:shd w:val="clear" w:color="auto" w:fill="FFFFFF"/>
          <w:lang w:val="zh-CN"/>
        </w:rPr>
        <w:t>（单位）基本情况</w:t>
      </w:r>
    </w:p>
    <w:p w14:paraId="4FB58A27">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cs="Times New Roman"/>
          <w:szCs w:val="32"/>
        </w:rPr>
      </w:pPr>
      <w:r>
        <w:rPr>
          <w:rFonts w:hint="eastAsia" w:ascii="Times New Roman" w:hAnsi="Times New Roman" w:eastAsia="楷体_GB2312" w:cs="楷体_GB2312"/>
          <w:b/>
          <w:color w:val="auto"/>
          <w:sz w:val="32"/>
          <w:szCs w:val="32"/>
          <w:highlight w:val="none"/>
          <w:lang w:val="zh-CN"/>
        </w:rPr>
        <w:t>（一）</w:t>
      </w:r>
      <w:r>
        <w:rPr>
          <w:rFonts w:hint="default" w:ascii="Times New Roman" w:hAnsi="Times New Roman" w:eastAsia="楷体_GB2312" w:cs="楷体_GB2312"/>
          <w:b/>
          <w:color w:val="auto"/>
          <w:sz w:val="32"/>
          <w:szCs w:val="32"/>
          <w:highlight w:val="none"/>
          <w:lang w:val="zh-CN"/>
        </w:rPr>
        <w:t>机构组成。</w:t>
      </w:r>
    </w:p>
    <w:p w14:paraId="27A7427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lang w:val="zh-CN" w:eastAsia="zh-CN"/>
        </w:rPr>
        <w:t>西区公务服务中心无内设机构。</w:t>
      </w:r>
    </w:p>
    <w:p w14:paraId="101AC5C3">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楷体_GB2312" w:cs="Times New Roman"/>
          <w:b/>
          <w:bCs/>
          <w:color w:val="000000"/>
          <w:kern w:val="0"/>
          <w:szCs w:val="32"/>
          <w:highlight w:val="none"/>
          <w:shd w:val="clear" w:color="auto" w:fill="FFFFFF"/>
          <w:lang w:val="zh-CN"/>
        </w:rPr>
      </w:pPr>
      <w:r>
        <w:rPr>
          <w:rFonts w:hint="default" w:ascii="Times New Roman" w:hAnsi="Times New Roman" w:eastAsia="楷体_GB2312" w:cs="楷体_GB2312"/>
          <w:b/>
          <w:color w:val="auto"/>
          <w:sz w:val="32"/>
          <w:szCs w:val="32"/>
          <w:highlight w:val="none"/>
          <w:lang w:val="zh-CN"/>
        </w:rPr>
        <w:t>（二）机构职能</w:t>
      </w:r>
      <w:r>
        <w:rPr>
          <w:rFonts w:hint="eastAsia" w:ascii="Times New Roman" w:hAnsi="Times New Roman" w:eastAsia="楷体_GB2312" w:cs="楷体_GB2312"/>
          <w:b/>
          <w:color w:val="auto"/>
          <w:sz w:val="32"/>
          <w:szCs w:val="32"/>
          <w:highlight w:val="none"/>
          <w:lang w:val="zh-CN"/>
        </w:rPr>
        <w:t>。</w:t>
      </w:r>
    </w:p>
    <w:p w14:paraId="19C6A73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zh-CN" w:eastAsia="zh-CN"/>
        </w:rPr>
        <w:t>西区公务服务中心的主要职能：</w:t>
      </w:r>
      <w:r>
        <w:rPr>
          <w:rFonts w:hint="default" w:ascii="Times New Roman" w:hAnsi="Times New Roman" w:eastAsia="仿宋_GB2312" w:cs="Times New Roman"/>
          <w:sz w:val="32"/>
          <w:szCs w:val="32"/>
          <w:lang w:val="en-US" w:eastAsia="zh-CN"/>
        </w:rPr>
        <w:t>承办区委、区政府领导有关公务服务工作的批示和决定，以及区委、区政府及有关部门转由公务服务中心办理的事项；完成区委、区人大、区政府、区政协四大班子及友邻市、县（区）来西区考察工作的公务服务工作；负责区内公务服务的组织、协调、指导、检查、督促，对区属各部门、各乡镇公务服务工作进行业务指导；协助落实在西区召开的省级及市内大型会议及各项大型重要活动的公务服务工作；负责安排到西区进行投资、洽谈业务等大型活动的服务工作</w:t>
      </w:r>
      <w:r>
        <w:rPr>
          <w:rFonts w:hint="eastAsia" w:ascii="Times New Roman" w:hAnsi="Times New Roman" w:eastAsia="仿宋_GB2312" w:cs="Times New Roman"/>
          <w:sz w:val="32"/>
          <w:szCs w:val="32"/>
          <w:lang w:val="en-US" w:eastAsia="zh-CN"/>
        </w:rPr>
        <w:t>。</w:t>
      </w:r>
    </w:p>
    <w:p w14:paraId="04E06D4F">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cs="Times New Roman"/>
          <w:szCs w:val="32"/>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三</w:t>
      </w:r>
      <w:r>
        <w:rPr>
          <w:rFonts w:hint="default" w:ascii="Times New Roman" w:hAnsi="Times New Roman" w:eastAsia="楷体_GB2312" w:cs="Times New Roman"/>
          <w:b/>
          <w:bCs/>
          <w:color w:val="000000"/>
          <w:kern w:val="0"/>
          <w:sz w:val="32"/>
          <w:szCs w:val="32"/>
          <w:highlight w:val="none"/>
          <w:shd w:val="clear" w:color="auto" w:fill="FFFFFF"/>
          <w:lang w:val="zh-CN"/>
        </w:rPr>
        <w:t>）人员概况</w:t>
      </w:r>
      <w:r>
        <w:rPr>
          <w:rFonts w:hint="eastAsia" w:ascii="Times New Roman" w:hAnsi="Times New Roman" w:eastAsia="楷体_GB2312" w:cs="Times New Roman"/>
          <w:b/>
          <w:bCs/>
          <w:color w:val="000000"/>
          <w:kern w:val="0"/>
          <w:sz w:val="32"/>
          <w:szCs w:val="32"/>
          <w:highlight w:val="none"/>
          <w:shd w:val="clear" w:color="auto" w:fill="FFFFFF"/>
          <w:lang w:val="zh-CN"/>
        </w:rPr>
        <w:t>。</w:t>
      </w:r>
    </w:p>
    <w:p w14:paraId="5626E4E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en-US" w:eastAsia="zh-CN"/>
        </w:rPr>
        <w:t>截至202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年末，</w:t>
      </w:r>
      <w:r>
        <w:rPr>
          <w:rFonts w:hint="eastAsia" w:ascii="Times New Roman" w:hAnsi="Times New Roman" w:eastAsia="仿宋_GB2312" w:cs="Times New Roman"/>
          <w:sz w:val="32"/>
          <w:szCs w:val="32"/>
          <w:lang w:val="en-US" w:eastAsia="zh-CN"/>
        </w:rPr>
        <w:t>西区公务服务中心在职事业编制数4人，实有人数4人。临聘人员编制数3人，实有人数2人。</w:t>
      </w:r>
    </w:p>
    <w:p w14:paraId="716C11E2">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eastAsia="zh-CN"/>
        </w:rPr>
      </w:pPr>
      <w:r>
        <w:rPr>
          <w:rFonts w:hint="default" w:ascii="Times New Roman" w:hAnsi="Times New Roman" w:eastAsia="黑体" w:cs="Times New Roman"/>
          <w:color w:val="000000"/>
          <w:kern w:val="0"/>
          <w:sz w:val="32"/>
          <w:szCs w:val="32"/>
          <w:highlight w:val="none"/>
          <w:shd w:val="clear" w:color="auto" w:fill="FFFFFF"/>
          <w:lang w:val="zh-CN" w:eastAsia="zh-CN"/>
        </w:rPr>
        <w:t>二、</w:t>
      </w:r>
      <w:r>
        <w:rPr>
          <w:rFonts w:hint="eastAsia" w:eastAsia="黑体" w:cs="Times New Roman"/>
          <w:color w:val="000000"/>
          <w:kern w:val="0"/>
          <w:sz w:val="32"/>
          <w:szCs w:val="32"/>
          <w:highlight w:val="none"/>
          <w:shd w:val="clear" w:color="auto" w:fill="FFFFFF"/>
          <w:lang w:val="zh-CN" w:eastAsia="zh-CN"/>
        </w:rPr>
        <w:t>单位</w:t>
      </w:r>
      <w:r>
        <w:rPr>
          <w:rFonts w:hint="default" w:ascii="Times New Roman" w:hAnsi="Times New Roman" w:eastAsia="黑体" w:cs="Times New Roman"/>
          <w:color w:val="000000"/>
          <w:kern w:val="0"/>
          <w:sz w:val="32"/>
          <w:szCs w:val="32"/>
          <w:highlight w:val="none"/>
          <w:shd w:val="clear" w:color="auto" w:fill="FFFFFF"/>
          <w:lang w:val="zh-CN" w:eastAsia="zh-CN"/>
        </w:rPr>
        <w:t>资金收支情况</w:t>
      </w:r>
    </w:p>
    <w:p w14:paraId="304A15B5">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楷体_GB2312" w:cs="Times New Roman"/>
          <w:b/>
          <w:bCs/>
          <w:color w:val="000000"/>
          <w:kern w:val="0"/>
          <w:szCs w:val="32"/>
          <w:highlight w:val="none"/>
          <w:shd w:val="clear" w:color="auto" w:fill="FFFFFF"/>
          <w:lang w:val="en-US"/>
        </w:rPr>
      </w:pPr>
      <w:r>
        <w:rPr>
          <w:rFonts w:hint="default" w:ascii="Times New Roman" w:hAnsi="Times New Roman" w:eastAsia="楷体_GB2312" w:cs="Times New Roman"/>
          <w:b/>
          <w:bCs/>
          <w:color w:val="000000"/>
          <w:kern w:val="0"/>
          <w:sz w:val="32"/>
          <w:szCs w:val="32"/>
          <w:highlight w:val="none"/>
          <w:shd w:val="clear" w:color="auto" w:fill="FFFFFF"/>
          <w:lang w:val="zh-CN"/>
        </w:rPr>
        <w:t>（一）</w:t>
      </w:r>
      <w:r>
        <w:rPr>
          <w:rFonts w:hint="eastAsia" w:ascii="Times New Roman" w:hAnsi="Times New Roman" w:eastAsia="楷体_GB2312" w:cs="Times New Roman"/>
          <w:b/>
          <w:bCs/>
          <w:color w:val="000000"/>
          <w:kern w:val="0"/>
          <w:sz w:val="32"/>
          <w:szCs w:val="32"/>
          <w:highlight w:val="none"/>
          <w:shd w:val="clear" w:color="auto" w:fill="FFFFFF"/>
          <w:lang w:val="zh-CN"/>
        </w:rPr>
        <w:t>收入情况</w:t>
      </w:r>
      <w:r>
        <w:rPr>
          <w:rFonts w:hint="default" w:ascii="Times New Roman" w:hAnsi="Times New Roman" w:eastAsia="楷体_GB2312" w:cs="Times New Roman"/>
          <w:b/>
          <w:bCs/>
          <w:color w:val="000000"/>
          <w:kern w:val="0"/>
          <w:sz w:val="32"/>
          <w:szCs w:val="32"/>
          <w:highlight w:val="none"/>
          <w:shd w:val="clear" w:color="auto" w:fill="FFFFFF"/>
          <w:lang w:val="zh-CN"/>
        </w:rPr>
        <w:t>。</w:t>
      </w:r>
    </w:p>
    <w:p w14:paraId="40868D05">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西区公务服务中心</w:t>
      </w:r>
      <w:r>
        <w:rPr>
          <w:rFonts w:hint="eastAsia" w:ascii="Times New Roman" w:hAnsi="Times New Roman" w:eastAsia="仿宋_GB2312" w:cs="仿宋_GB2312"/>
          <w:color w:val="auto"/>
          <w:kern w:val="2"/>
          <w:sz w:val="32"/>
          <w:szCs w:val="32"/>
          <w:highlight w:val="none"/>
          <w:lang w:val="zh-CN" w:eastAsia="zh-CN" w:bidi="ar-SA"/>
        </w:rPr>
        <w:t>202</w:t>
      </w:r>
      <w:r>
        <w:rPr>
          <w:rFonts w:hint="eastAsia" w:ascii="Times New Roman" w:hAnsi="Times New Roman" w:eastAsia="仿宋_GB2312" w:cs="仿宋_GB2312"/>
          <w:color w:val="auto"/>
          <w:kern w:val="2"/>
          <w:sz w:val="32"/>
          <w:szCs w:val="32"/>
          <w:highlight w:val="none"/>
          <w:lang w:val="en-US" w:eastAsia="zh-CN" w:bidi="ar-SA"/>
        </w:rPr>
        <w:t>4</w:t>
      </w:r>
      <w:r>
        <w:rPr>
          <w:rFonts w:hint="eastAsia" w:ascii="Times New Roman" w:hAnsi="Times New Roman" w:eastAsia="仿宋_GB2312" w:cs="仿宋_GB2312"/>
          <w:color w:val="auto"/>
          <w:kern w:val="2"/>
          <w:sz w:val="32"/>
          <w:szCs w:val="32"/>
          <w:highlight w:val="none"/>
          <w:lang w:val="zh-CN" w:eastAsia="zh-CN" w:bidi="ar-SA"/>
        </w:rPr>
        <w:t>年全年预算收入</w:t>
      </w:r>
      <w:r>
        <w:rPr>
          <w:rFonts w:hint="eastAsia" w:ascii="Times New Roman" w:hAnsi="Times New Roman" w:eastAsia="仿宋_GB2312" w:cs="仿宋_GB2312"/>
          <w:color w:val="auto"/>
          <w:kern w:val="2"/>
          <w:sz w:val="32"/>
          <w:szCs w:val="32"/>
          <w:highlight w:val="none"/>
          <w:lang w:val="en-US" w:eastAsia="zh-CN" w:bidi="ar-SA"/>
        </w:rPr>
        <w:t>108.27</w:t>
      </w:r>
      <w:r>
        <w:rPr>
          <w:rFonts w:hint="eastAsia" w:ascii="Times New Roman" w:hAnsi="Times New Roman" w:eastAsia="仿宋_GB2312" w:cs="仿宋_GB2312"/>
          <w:color w:val="auto"/>
          <w:kern w:val="2"/>
          <w:sz w:val="32"/>
          <w:szCs w:val="32"/>
          <w:highlight w:val="none"/>
          <w:lang w:val="zh-CN" w:eastAsia="zh-CN" w:bidi="ar-SA"/>
        </w:rPr>
        <w:t>万元，其中：一般公共预算拨款收入</w:t>
      </w:r>
      <w:r>
        <w:rPr>
          <w:rFonts w:hint="eastAsia" w:ascii="Times New Roman" w:hAnsi="Times New Roman" w:eastAsia="仿宋_GB2312" w:cs="仿宋_GB2312"/>
          <w:color w:val="auto"/>
          <w:kern w:val="2"/>
          <w:sz w:val="32"/>
          <w:szCs w:val="32"/>
          <w:highlight w:val="none"/>
          <w:lang w:val="en-US" w:eastAsia="zh-CN" w:bidi="ar-SA"/>
        </w:rPr>
        <w:t>105.74</w:t>
      </w:r>
      <w:r>
        <w:rPr>
          <w:rFonts w:hint="eastAsia" w:ascii="Times New Roman" w:hAnsi="Times New Roman" w:eastAsia="仿宋_GB2312" w:cs="仿宋_GB2312"/>
          <w:color w:val="auto"/>
          <w:kern w:val="2"/>
          <w:sz w:val="32"/>
          <w:szCs w:val="32"/>
          <w:highlight w:val="none"/>
          <w:lang w:val="zh-CN" w:eastAsia="zh-CN" w:bidi="ar-SA"/>
        </w:rPr>
        <w:t>万元，占总收入</w:t>
      </w:r>
      <w:r>
        <w:rPr>
          <w:rFonts w:hint="eastAsia" w:ascii="Times New Roman" w:hAnsi="Times New Roman" w:eastAsia="仿宋_GB2312" w:cs="仿宋_GB2312"/>
          <w:color w:val="auto"/>
          <w:kern w:val="2"/>
          <w:sz w:val="32"/>
          <w:szCs w:val="32"/>
          <w:highlight w:val="none"/>
          <w:lang w:val="en-US" w:eastAsia="zh-CN" w:bidi="ar-SA"/>
        </w:rPr>
        <w:t>97.66</w:t>
      </w:r>
      <w:r>
        <w:rPr>
          <w:rFonts w:hint="eastAsia" w:ascii="Times New Roman" w:hAnsi="Times New Roman" w:eastAsia="仿宋_GB2312" w:cs="仿宋_GB2312"/>
          <w:color w:val="auto"/>
          <w:kern w:val="2"/>
          <w:sz w:val="32"/>
          <w:szCs w:val="32"/>
          <w:highlight w:val="none"/>
          <w:lang w:val="zh-CN" w:eastAsia="zh-CN" w:bidi="ar-SA"/>
        </w:rPr>
        <w:t>%；政府性基金预算拨款支出</w:t>
      </w:r>
      <w:r>
        <w:rPr>
          <w:rFonts w:hint="eastAsia" w:ascii="Times New Roman" w:hAnsi="Times New Roman" w:eastAsia="仿宋_GB2312" w:cs="仿宋_GB2312"/>
          <w:color w:val="auto"/>
          <w:kern w:val="2"/>
          <w:sz w:val="32"/>
          <w:szCs w:val="32"/>
          <w:highlight w:val="none"/>
          <w:lang w:val="en-US" w:eastAsia="zh-CN" w:bidi="ar-SA"/>
        </w:rPr>
        <w:t>2.53</w:t>
      </w:r>
      <w:r>
        <w:rPr>
          <w:rFonts w:hint="eastAsia" w:ascii="Times New Roman" w:hAnsi="Times New Roman" w:eastAsia="仿宋_GB2312" w:cs="仿宋_GB2312"/>
          <w:color w:val="auto"/>
          <w:kern w:val="2"/>
          <w:sz w:val="32"/>
          <w:szCs w:val="32"/>
          <w:highlight w:val="none"/>
          <w:lang w:val="zh-CN" w:eastAsia="zh-CN" w:bidi="ar-SA"/>
        </w:rPr>
        <w:t>万元，占总收入</w:t>
      </w:r>
      <w:r>
        <w:rPr>
          <w:rFonts w:hint="eastAsia" w:ascii="Times New Roman" w:hAnsi="Times New Roman" w:eastAsia="仿宋_GB2312" w:cs="仿宋_GB2312"/>
          <w:color w:val="auto"/>
          <w:kern w:val="2"/>
          <w:sz w:val="32"/>
          <w:szCs w:val="32"/>
          <w:highlight w:val="none"/>
          <w:lang w:val="en-US" w:eastAsia="zh-CN" w:bidi="ar-SA"/>
        </w:rPr>
        <w:t>2.34</w:t>
      </w:r>
      <w:r>
        <w:rPr>
          <w:rFonts w:hint="eastAsia" w:ascii="Times New Roman" w:hAnsi="Times New Roman" w:eastAsia="仿宋_GB2312" w:cs="仿宋_GB2312"/>
          <w:color w:val="auto"/>
          <w:kern w:val="2"/>
          <w:sz w:val="32"/>
          <w:szCs w:val="32"/>
          <w:highlight w:val="none"/>
          <w:lang w:val="zh-CN" w:eastAsia="zh-CN" w:bidi="ar-SA"/>
        </w:rPr>
        <w:t>%</w:t>
      </w:r>
      <w:r>
        <w:rPr>
          <w:rFonts w:hint="default" w:ascii="Times New Roman" w:hAnsi="Times New Roman" w:eastAsia="仿宋_GB2312" w:cs="仿宋_GB2312"/>
          <w:color w:val="auto"/>
          <w:kern w:val="2"/>
          <w:sz w:val="32"/>
          <w:szCs w:val="32"/>
          <w:highlight w:val="none"/>
          <w:lang w:val="zh-CN" w:eastAsia="zh-CN" w:bidi="ar-SA"/>
        </w:rPr>
        <w:t>。</w:t>
      </w:r>
    </w:p>
    <w:p w14:paraId="5732928D">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cs="Times New Roman"/>
          <w:szCs w:val="32"/>
          <w:lang w:val="zh-CN"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二</w:t>
      </w: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支出情况</w:t>
      </w:r>
      <w:r>
        <w:rPr>
          <w:rFonts w:hint="default" w:ascii="Times New Roman" w:hAnsi="Times New Roman" w:eastAsia="楷体_GB2312" w:cs="Times New Roman"/>
          <w:b/>
          <w:bCs/>
          <w:color w:val="000000"/>
          <w:kern w:val="0"/>
          <w:sz w:val="32"/>
          <w:szCs w:val="32"/>
          <w:highlight w:val="none"/>
          <w:shd w:val="clear" w:color="auto" w:fill="FFFFFF"/>
          <w:lang w:val="zh-CN"/>
        </w:rPr>
        <w:t>。</w:t>
      </w:r>
    </w:p>
    <w:p w14:paraId="6DE7D2D0">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zh-CN" w:eastAsia="zh-CN" w:bidi="ar-SA"/>
        </w:rPr>
        <w:t>202</w:t>
      </w:r>
      <w:r>
        <w:rPr>
          <w:rFonts w:hint="eastAsia" w:ascii="Times New Roman" w:hAnsi="Times New Roman" w:eastAsia="仿宋_GB2312" w:cs="仿宋_GB2312"/>
          <w:color w:val="auto"/>
          <w:kern w:val="2"/>
          <w:sz w:val="32"/>
          <w:szCs w:val="32"/>
          <w:highlight w:val="none"/>
          <w:lang w:val="en-US" w:eastAsia="zh-CN" w:bidi="ar-SA"/>
        </w:rPr>
        <w:t>4</w:t>
      </w:r>
      <w:r>
        <w:rPr>
          <w:rFonts w:hint="eastAsia" w:ascii="Times New Roman" w:hAnsi="Times New Roman" w:eastAsia="仿宋_GB2312" w:cs="仿宋_GB2312"/>
          <w:color w:val="auto"/>
          <w:kern w:val="2"/>
          <w:sz w:val="32"/>
          <w:szCs w:val="32"/>
          <w:highlight w:val="none"/>
          <w:lang w:val="zh-CN" w:eastAsia="zh-CN" w:bidi="ar-SA"/>
        </w:rPr>
        <w:t>年财政资金支出</w:t>
      </w:r>
      <w:r>
        <w:rPr>
          <w:rFonts w:hint="eastAsia" w:ascii="Times New Roman" w:hAnsi="Times New Roman" w:eastAsia="仿宋_GB2312" w:cs="仿宋_GB2312"/>
          <w:color w:val="auto"/>
          <w:kern w:val="2"/>
          <w:sz w:val="32"/>
          <w:szCs w:val="32"/>
          <w:highlight w:val="none"/>
          <w:lang w:val="en-US" w:eastAsia="zh-CN" w:bidi="ar-SA"/>
        </w:rPr>
        <w:t>108.27</w:t>
      </w:r>
      <w:r>
        <w:rPr>
          <w:rFonts w:hint="eastAsia" w:ascii="Times New Roman" w:hAnsi="Times New Roman" w:eastAsia="仿宋_GB2312" w:cs="仿宋_GB2312"/>
          <w:color w:val="auto"/>
          <w:kern w:val="2"/>
          <w:sz w:val="32"/>
          <w:szCs w:val="32"/>
          <w:highlight w:val="none"/>
          <w:lang w:val="zh-CN" w:eastAsia="zh-CN" w:bidi="ar-SA"/>
        </w:rPr>
        <w:t>万元，其中：基本支出</w:t>
      </w:r>
      <w:r>
        <w:rPr>
          <w:rFonts w:hint="eastAsia" w:ascii="Times New Roman" w:hAnsi="Times New Roman" w:eastAsia="仿宋_GB2312" w:cs="仿宋_GB2312"/>
          <w:color w:val="auto"/>
          <w:kern w:val="2"/>
          <w:sz w:val="32"/>
          <w:szCs w:val="32"/>
          <w:highlight w:val="none"/>
          <w:lang w:val="en-US" w:eastAsia="zh-CN" w:bidi="ar-SA"/>
        </w:rPr>
        <w:t>105.74</w:t>
      </w:r>
      <w:r>
        <w:rPr>
          <w:rFonts w:hint="eastAsia" w:ascii="Times New Roman" w:hAnsi="Times New Roman" w:eastAsia="仿宋_GB2312" w:cs="仿宋_GB2312"/>
          <w:color w:val="auto"/>
          <w:kern w:val="2"/>
          <w:sz w:val="32"/>
          <w:szCs w:val="32"/>
          <w:highlight w:val="none"/>
          <w:lang w:val="zh-CN" w:eastAsia="zh-CN" w:bidi="ar-SA"/>
        </w:rPr>
        <w:t>万元，其中：人员经费</w:t>
      </w:r>
      <w:r>
        <w:rPr>
          <w:rFonts w:hint="eastAsia" w:ascii="Times New Roman" w:hAnsi="Times New Roman" w:eastAsia="仿宋_GB2312" w:cs="仿宋_GB2312"/>
          <w:color w:val="auto"/>
          <w:kern w:val="2"/>
          <w:sz w:val="32"/>
          <w:szCs w:val="32"/>
          <w:highlight w:val="none"/>
          <w:lang w:val="en-US" w:eastAsia="zh-CN" w:bidi="ar-SA"/>
        </w:rPr>
        <w:t>74.07</w:t>
      </w:r>
      <w:r>
        <w:rPr>
          <w:rFonts w:hint="eastAsia" w:ascii="Times New Roman" w:hAnsi="Times New Roman" w:eastAsia="仿宋_GB2312" w:cs="仿宋_GB2312"/>
          <w:color w:val="auto"/>
          <w:kern w:val="2"/>
          <w:sz w:val="32"/>
          <w:szCs w:val="32"/>
          <w:highlight w:val="none"/>
          <w:lang w:val="zh-CN" w:eastAsia="zh-CN" w:bidi="ar-SA"/>
        </w:rPr>
        <w:t>万元，公用经费</w:t>
      </w:r>
      <w:r>
        <w:rPr>
          <w:rFonts w:hint="eastAsia" w:ascii="Times New Roman" w:hAnsi="Times New Roman" w:eastAsia="仿宋_GB2312" w:cs="仿宋_GB2312"/>
          <w:color w:val="auto"/>
          <w:kern w:val="2"/>
          <w:sz w:val="32"/>
          <w:szCs w:val="32"/>
          <w:highlight w:val="none"/>
          <w:lang w:val="en-US" w:eastAsia="zh-CN" w:bidi="ar-SA"/>
        </w:rPr>
        <w:t>31.67</w:t>
      </w:r>
      <w:r>
        <w:rPr>
          <w:rFonts w:hint="eastAsia" w:ascii="Times New Roman" w:hAnsi="Times New Roman" w:eastAsia="仿宋_GB2312" w:cs="仿宋_GB2312"/>
          <w:color w:val="auto"/>
          <w:kern w:val="2"/>
          <w:sz w:val="32"/>
          <w:szCs w:val="32"/>
          <w:highlight w:val="none"/>
          <w:lang w:val="zh-CN" w:eastAsia="zh-CN" w:bidi="ar-SA"/>
        </w:rPr>
        <w:t>万元；项目经费支出</w:t>
      </w:r>
      <w:r>
        <w:rPr>
          <w:rFonts w:hint="eastAsia" w:ascii="Times New Roman" w:hAnsi="Times New Roman" w:eastAsia="仿宋_GB2312" w:cs="仿宋_GB2312"/>
          <w:color w:val="auto"/>
          <w:kern w:val="2"/>
          <w:sz w:val="32"/>
          <w:szCs w:val="32"/>
          <w:highlight w:val="none"/>
          <w:lang w:val="en-US" w:eastAsia="zh-CN" w:bidi="ar-SA"/>
        </w:rPr>
        <w:t>2.53</w:t>
      </w:r>
      <w:r>
        <w:rPr>
          <w:rFonts w:hint="eastAsia" w:ascii="Times New Roman" w:hAnsi="Times New Roman" w:eastAsia="仿宋_GB2312" w:cs="仿宋_GB2312"/>
          <w:color w:val="auto"/>
          <w:kern w:val="2"/>
          <w:sz w:val="32"/>
          <w:szCs w:val="32"/>
          <w:highlight w:val="none"/>
          <w:lang w:val="zh-CN" w:eastAsia="zh-CN" w:bidi="ar-SA"/>
        </w:rPr>
        <w:t>万元。</w:t>
      </w:r>
    </w:p>
    <w:p w14:paraId="1F31EB39">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仿宋_GB2312" w:cs="Times New Roman"/>
          <w:b w:val="0"/>
          <w:bCs w:val="0"/>
          <w:color w:val="000000"/>
          <w:kern w:val="0"/>
          <w:szCs w:val="32"/>
          <w:highlight w:val="none"/>
          <w:shd w:val="clear" w:color="auto" w:fill="FFFFFF"/>
          <w:lang w:val="zh-CN"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三</w:t>
      </w:r>
      <w:r>
        <w:rPr>
          <w:rFonts w:hint="default" w:ascii="Times New Roman" w:hAnsi="Times New Roman" w:eastAsia="楷体_GB2312" w:cs="Times New Roman"/>
          <w:b/>
          <w:bCs/>
          <w:color w:val="000000"/>
          <w:kern w:val="0"/>
          <w:sz w:val="32"/>
          <w:szCs w:val="32"/>
          <w:highlight w:val="none"/>
          <w:shd w:val="clear" w:color="auto" w:fill="FFFFFF"/>
          <w:lang w:val="zh-CN"/>
        </w:rPr>
        <w:t>）结余分配和结转结余情况</w:t>
      </w:r>
      <w:r>
        <w:rPr>
          <w:rFonts w:hint="eastAsia" w:ascii="Times New Roman" w:hAnsi="Times New Roman" w:eastAsia="楷体_GB2312" w:cs="Times New Roman"/>
          <w:b/>
          <w:bCs/>
          <w:color w:val="000000"/>
          <w:kern w:val="0"/>
          <w:sz w:val="32"/>
          <w:szCs w:val="32"/>
          <w:highlight w:val="none"/>
          <w:shd w:val="clear" w:color="auto" w:fill="FFFFFF"/>
          <w:lang w:val="zh-CN" w:eastAsia="zh-CN"/>
        </w:rPr>
        <w:t>。</w:t>
      </w:r>
    </w:p>
    <w:p w14:paraId="6EDD6527">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西区公务服务中心</w:t>
      </w:r>
      <w:r>
        <w:rPr>
          <w:rFonts w:hint="default" w:ascii="Times New Roman" w:hAnsi="Times New Roman" w:eastAsia="仿宋_GB2312" w:cs="仿宋_GB2312"/>
          <w:color w:val="auto"/>
          <w:kern w:val="2"/>
          <w:sz w:val="32"/>
          <w:szCs w:val="32"/>
          <w:highlight w:val="none"/>
          <w:lang w:val="zh-CN" w:eastAsia="zh-CN" w:bidi="ar-SA"/>
        </w:rPr>
        <w:t>202</w:t>
      </w:r>
      <w:r>
        <w:rPr>
          <w:rFonts w:hint="eastAsia" w:ascii="Times New Roman" w:hAnsi="Times New Roman" w:eastAsia="仿宋_GB2312" w:cs="仿宋_GB2312"/>
          <w:color w:val="auto"/>
          <w:kern w:val="2"/>
          <w:sz w:val="32"/>
          <w:szCs w:val="32"/>
          <w:highlight w:val="none"/>
          <w:lang w:val="zh-CN" w:eastAsia="zh-CN" w:bidi="ar-SA"/>
        </w:rPr>
        <w:t>4</w:t>
      </w:r>
      <w:r>
        <w:rPr>
          <w:rFonts w:hint="default" w:ascii="Times New Roman" w:hAnsi="Times New Roman" w:eastAsia="仿宋_GB2312" w:cs="仿宋_GB2312"/>
          <w:color w:val="auto"/>
          <w:kern w:val="2"/>
          <w:sz w:val="32"/>
          <w:szCs w:val="32"/>
          <w:highlight w:val="none"/>
          <w:lang w:val="zh-CN" w:eastAsia="zh-CN" w:bidi="ar-SA"/>
        </w:rPr>
        <w:t>年决算报表</w:t>
      </w:r>
      <w:r>
        <w:rPr>
          <w:rFonts w:hint="eastAsia" w:ascii="Times New Roman" w:hAnsi="Times New Roman" w:eastAsia="仿宋_GB2312" w:cs="仿宋_GB2312"/>
          <w:color w:val="auto"/>
          <w:kern w:val="2"/>
          <w:sz w:val="32"/>
          <w:szCs w:val="32"/>
          <w:highlight w:val="none"/>
          <w:lang w:val="zh-CN" w:eastAsia="zh-CN" w:bidi="ar-SA"/>
        </w:rPr>
        <w:t>无</w:t>
      </w:r>
      <w:r>
        <w:rPr>
          <w:rFonts w:hint="default" w:ascii="Times New Roman" w:hAnsi="Times New Roman" w:eastAsia="仿宋_GB2312" w:cs="仿宋_GB2312"/>
          <w:color w:val="auto"/>
          <w:kern w:val="2"/>
          <w:sz w:val="32"/>
          <w:szCs w:val="32"/>
          <w:highlight w:val="none"/>
          <w:lang w:val="zh-CN" w:eastAsia="zh-CN" w:bidi="ar-SA"/>
        </w:rPr>
        <w:t>结转结余</w:t>
      </w:r>
      <w:r>
        <w:rPr>
          <w:rFonts w:hint="eastAsia" w:ascii="Times New Roman" w:hAnsi="Times New Roman" w:eastAsia="仿宋_GB2312" w:cs="仿宋_GB2312"/>
          <w:color w:val="auto"/>
          <w:kern w:val="2"/>
          <w:sz w:val="32"/>
          <w:szCs w:val="32"/>
          <w:highlight w:val="none"/>
          <w:lang w:val="zh-CN" w:eastAsia="zh-CN" w:bidi="ar-SA"/>
        </w:rPr>
        <w:t>。</w:t>
      </w:r>
    </w:p>
    <w:p w14:paraId="25F1204A">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eastAsia="zh-CN"/>
        </w:rPr>
      </w:pPr>
      <w:r>
        <w:rPr>
          <w:rFonts w:hint="default" w:ascii="Times New Roman" w:hAnsi="Times New Roman" w:eastAsia="黑体" w:cs="Times New Roman"/>
          <w:color w:val="000000"/>
          <w:kern w:val="0"/>
          <w:sz w:val="32"/>
          <w:szCs w:val="32"/>
          <w:highlight w:val="none"/>
          <w:shd w:val="clear" w:color="auto" w:fill="FFFFFF"/>
          <w:lang w:val="zh-CN" w:eastAsia="zh-CN"/>
        </w:rPr>
        <w:t>三、</w:t>
      </w:r>
      <w:r>
        <w:rPr>
          <w:rFonts w:hint="eastAsia" w:eastAsia="黑体" w:cs="Times New Roman"/>
          <w:color w:val="000000"/>
          <w:kern w:val="0"/>
          <w:sz w:val="32"/>
          <w:szCs w:val="32"/>
          <w:highlight w:val="none"/>
          <w:shd w:val="clear" w:color="auto" w:fill="FFFFFF"/>
          <w:lang w:val="zh-CN" w:eastAsia="zh-CN"/>
        </w:rPr>
        <w:t>单位</w:t>
      </w:r>
      <w:r>
        <w:rPr>
          <w:rFonts w:hint="default" w:ascii="Times New Roman" w:hAnsi="Times New Roman" w:eastAsia="黑体" w:cs="Times New Roman"/>
          <w:color w:val="000000"/>
          <w:kern w:val="0"/>
          <w:sz w:val="32"/>
          <w:szCs w:val="32"/>
          <w:highlight w:val="none"/>
          <w:shd w:val="clear" w:color="auto" w:fill="FFFFFF"/>
          <w:lang w:val="zh-CN" w:eastAsia="zh-CN"/>
        </w:rPr>
        <w:t>预算绩效分析</w:t>
      </w:r>
    </w:p>
    <w:p w14:paraId="68A17D40">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仿宋_GB2312" w:cs="仿宋_GB2312"/>
          <w:color w:val="auto"/>
          <w:kern w:val="2"/>
          <w:sz w:val="32"/>
          <w:szCs w:val="32"/>
          <w:highlight w:val="none"/>
          <w:lang w:val="zh-CN" w:eastAsia="zh-CN" w:bidi="ar-SA"/>
        </w:rPr>
      </w:pPr>
      <w:r>
        <w:rPr>
          <w:rFonts w:hint="default" w:ascii="Times New Roman" w:hAnsi="Times New Roman" w:eastAsia="楷体_GB2312" w:cs="Times New Roman"/>
          <w:b/>
          <w:bCs/>
          <w:color w:val="000000"/>
          <w:kern w:val="0"/>
          <w:sz w:val="32"/>
          <w:szCs w:val="32"/>
          <w:highlight w:val="none"/>
          <w:shd w:val="clear" w:color="auto" w:fill="FFFFFF"/>
          <w:lang w:val="zh-CN"/>
        </w:rPr>
        <w:t>（一）</w:t>
      </w:r>
      <w:r>
        <w:rPr>
          <w:rFonts w:hint="eastAsia" w:eastAsia="楷体_GB2312" w:cs="Times New Roman"/>
          <w:b/>
          <w:bCs/>
          <w:color w:val="000000"/>
          <w:kern w:val="0"/>
          <w:sz w:val="32"/>
          <w:szCs w:val="32"/>
          <w:highlight w:val="none"/>
          <w:shd w:val="clear" w:color="auto" w:fill="FFFFFF"/>
          <w:lang w:val="zh-CN"/>
        </w:rPr>
        <w:t>单位</w:t>
      </w:r>
      <w:r>
        <w:rPr>
          <w:rFonts w:hint="eastAsia" w:ascii="Times New Roman" w:hAnsi="Times New Roman" w:eastAsia="楷体_GB2312" w:cs="Times New Roman"/>
          <w:b/>
          <w:bCs/>
          <w:color w:val="000000"/>
          <w:kern w:val="0"/>
          <w:sz w:val="32"/>
          <w:szCs w:val="32"/>
          <w:highlight w:val="none"/>
          <w:shd w:val="clear" w:color="auto" w:fill="FFFFFF"/>
          <w:lang w:val="zh-CN"/>
        </w:rPr>
        <w:t>预算</w:t>
      </w:r>
      <w:r>
        <w:rPr>
          <w:rFonts w:hint="default" w:ascii="Times New Roman" w:hAnsi="Times New Roman" w:eastAsia="楷体_GB2312" w:cs="Times New Roman"/>
          <w:b/>
          <w:bCs/>
          <w:color w:val="000000"/>
          <w:kern w:val="0"/>
          <w:sz w:val="32"/>
          <w:szCs w:val="32"/>
          <w:highlight w:val="none"/>
          <w:shd w:val="clear" w:color="auto" w:fill="FFFFFF"/>
          <w:lang w:val="zh-CN"/>
        </w:rPr>
        <w:t>总体绩效分析。</w:t>
      </w:r>
      <w:r>
        <w:rPr>
          <w:rFonts w:hint="default" w:ascii="Times New Roman" w:hAnsi="Times New Roman" w:eastAsia="仿宋_GB2312" w:cs="仿宋_GB2312"/>
          <w:color w:val="auto"/>
          <w:kern w:val="2"/>
          <w:sz w:val="32"/>
          <w:szCs w:val="32"/>
          <w:highlight w:val="none"/>
          <w:lang w:val="zh-CN" w:eastAsia="zh-CN" w:bidi="ar-SA"/>
        </w:rPr>
        <w:t>根据</w:t>
      </w:r>
      <w:r>
        <w:rPr>
          <w:rFonts w:hint="eastAsia" w:eastAsia="仿宋_GB2312" w:cs="仿宋_GB2312"/>
          <w:color w:val="auto"/>
          <w:kern w:val="2"/>
          <w:sz w:val="32"/>
          <w:szCs w:val="32"/>
          <w:highlight w:val="none"/>
          <w:lang w:val="zh-CN" w:eastAsia="zh-CN" w:bidi="ar-SA"/>
        </w:rPr>
        <w:t>单位</w:t>
      </w:r>
      <w:r>
        <w:rPr>
          <w:rFonts w:hint="default" w:ascii="Times New Roman" w:hAnsi="Times New Roman" w:eastAsia="仿宋_GB2312" w:cs="仿宋_GB2312"/>
          <w:color w:val="auto"/>
          <w:kern w:val="2"/>
          <w:sz w:val="32"/>
          <w:szCs w:val="32"/>
          <w:highlight w:val="none"/>
          <w:lang w:val="zh-CN" w:eastAsia="zh-CN" w:bidi="ar-SA"/>
        </w:rPr>
        <w:t>预算绩效评价指标体系</w:t>
      </w:r>
      <w:r>
        <w:rPr>
          <w:rFonts w:hint="eastAsia" w:ascii="Times New Roman" w:hAnsi="Times New Roman" w:eastAsia="仿宋_GB2312" w:cs="仿宋_GB2312"/>
          <w:color w:val="auto"/>
          <w:kern w:val="2"/>
          <w:sz w:val="32"/>
          <w:szCs w:val="32"/>
          <w:highlight w:val="none"/>
          <w:lang w:val="zh-CN" w:eastAsia="zh-CN" w:bidi="ar-SA"/>
        </w:rPr>
        <w:t>“</w:t>
      </w:r>
      <w:r>
        <w:rPr>
          <w:rFonts w:hint="default" w:ascii="Times New Roman" w:hAnsi="Times New Roman" w:eastAsia="仿宋_GB2312" w:cs="仿宋_GB2312"/>
          <w:color w:val="auto"/>
          <w:kern w:val="2"/>
          <w:sz w:val="32"/>
          <w:szCs w:val="32"/>
          <w:highlight w:val="none"/>
          <w:lang w:val="zh-CN" w:eastAsia="zh-CN" w:bidi="ar-SA"/>
        </w:rPr>
        <w:t>总体绩效</w:t>
      </w:r>
      <w:r>
        <w:rPr>
          <w:rFonts w:hint="eastAsia" w:ascii="Times New Roman" w:hAnsi="Times New Roman" w:eastAsia="仿宋_GB2312" w:cs="仿宋_GB2312"/>
          <w:color w:val="auto"/>
          <w:kern w:val="2"/>
          <w:sz w:val="32"/>
          <w:szCs w:val="32"/>
          <w:highlight w:val="none"/>
          <w:lang w:val="zh-CN" w:eastAsia="zh-CN" w:bidi="ar-SA"/>
        </w:rPr>
        <w:t>”</w:t>
      </w:r>
      <w:r>
        <w:rPr>
          <w:rFonts w:hint="default" w:ascii="Times New Roman" w:hAnsi="Times New Roman" w:eastAsia="仿宋_GB2312" w:cs="仿宋_GB2312"/>
          <w:color w:val="auto"/>
          <w:kern w:val="2"/>
          <w:sz w:val="32"/>
          <w:szCs w:val="32"/>
          <w:highlight w:val="none"/>
          <w:lang w:val="zh-CN" w:eastAsia="zh-CN" w:bidi="ar-SA"/>
        </w:rPr>
        <w:t>涉及</w:t>
      </w:r>
      <w:r>
        <w:rPr>
          <w:rFonts w:hint="eastAsia" w:ascii="Times New Roman" w:hAnsi="Times New Roman" w:eastAsia="仿宋_GB2312" w:cs="仿宋_GB2312"/>
          <w:color w:val="auto"/>
          <w:kern w:val="2"/>
          <w:sz w:val="32"/>
          <w:szCs w:val="32"/>
          <w:highlight w:val="none"/>
          <w:lang w:val="zh-CN" w:eastAsia="zh-CN" w:bidi="ar-SA"/>
        </w:rPr>
        <w:t>二、三级</w:t>
      </w:r>
      <w:r>
        <w:rPr>
          <w:rFonts w:hint="default" w:ascii="Times New Roman" w:hAnsi="Times New Roman" w:eastAsia="仿宋_GB2312" w:cs="仿宋_GB2312"/>
          <w:color w:val="auto"/>
          <w:kern w:val="2"/>
          <w:sz w:val="32"/>
          <w:szCs w:val="32"/>
          <w:highlight w:val="none"/>
          <w:lang w:val="zh-CN" w:eastAsia="zh-CN" w:bidi="ar-SA"/>
        </w:rPr>
        <w:t>指标进行</w:t>
      </w:r>
      <w:r>
        <w:rPr>
          <w:rFonts w:hint="eastAsia" w:ascii="Times New Roman" w:hAnsi="Times New Roman" w:eastAsia="仿宋_GB2312" w:cs="仿宋_GB2312"/>
          <w:color w:val="auto"/>
          <w:kern w:val="2"/>
          <w:sz w:val="32"/>
          <w:szCs w:val="32"/>
          <w:highlight w:val="none"/>
          <w:lang w:val="zh-CN" w:eastAsia="zh-CN" w:bidi="ar-SA"/>
        </w:rPr>
        <w:t>逐项</w:t>
      </w:r>
      <w:r>
        <w:rPr>
          <w:rFonts w:hint="default" w:ascii="Times New Roman" w:hAnsi="Times New Roman" w:eastAsia="仿宋_GB2312" w:cs="仿宋_GB2312"/>
          <w:color w:val="auto"/>
          <w:kern w:val="2"/>
          <w:sz w:val="32"/>
          <w:szCs w:val="32"/>
          <w:highlight w:val="none"/>
          <w:lang w:val="zh-CN" w:eastAsia="zh-CN" w:bidi="ar-SA"/>
        </w:rPr>
        <w:t>绩效分析</w:t>
      </w:r>
      <w:r>
        <w:rPr>
          <w:rFonts w:hint="eastAsia" w:ascii="Times New Roman" w:hAnsi="Times New Roman" w:eastAsia="仿宋_GB2312" w:cs="仿宋_GB2312"/>
          <w:color w:val="auto"/>
          <w:kern w:val="2"/>
          <w:sz w:val="32"/>
          <w:szCs w:val="32"/>
          <w:highlight w:val="none"/>
          <w:lang w:val="zh-CN" w:eastAsia="zh-CN" w:bidi="ar-SA"/>
        </w:rPr>
        <w:t>并评分</w:t>
      </w:r>
      <w:r>
        <w:rPr>
          <w:rFonts w:hint="default" w:ascii="Times New Roman" w:hAnsi="Times New Roman" w:eastAsia="仿宋_GB2312" w:cs="仿宋_GB2312"/>
          <w:color w:val="auto"/>
          <w:kern w:val="2"/>
          <w:sz w:val="32"/>
          <w:szCs w:val="32"/>
          <w:highlight w:val="none"/>
          <w:lang w:val="zh-CN" w:eastAsia="zh-CN" w:bidi="ar-SA"/>
        </w:rPr>
        <w:t>，依次包括履职效能、预算管理、财务管理、资产管理、采购管理等情况。</w:t>
      </w:r>
    </w:p>
    <w:p w14:paraId="4EC3DB45">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zh-CN" w:eastAsia="zh-CN" w:bidi="ar-SA"/>
        </w:rPr>
        <w:t>履职效能。</w:t>
      </w:r>
      <w:r>
        <w:rPr>
          <w:rFonts w:hint="eastAsia" w:eastAsia="仿宋_GB2312" w:cs="仿宋_GB2312"/>
          <w:color w:val="auto"/>
          <w:kern w:val="2"/>
          <w:sz w:val="32"/>
          <w:szCs w:val="32"/>
          <w:highlight w:val="none"/>
          <w:lang w:val="zh-CN" w:eastAsia="zh-CN" w:bidi="ar-SA"/>
        </w:rPr>
        <w:t>单位</w:t>
      </w:r>
      <w:r>
        <w:rPr>
          <w:rFonts w:hint="eastAsia" w:ascii="Times New Roman" w:hAnsi="Times New Roman" w:eastAsia="仿宋_GB2312" w:cs="仿宋_GB2312"/>
          <w:color w:val="auto"/>
          <w:kern w:val="2"/>
          <w:sz w:val="32"/>
          <w:szCs w:val="32"/>
          <w:highlight w:val="none"/>
          <w:lang w:val="zh-CN" w:eastAsia="zh-CN" w:bidi="ar-SA"/>
        </w:rPr>
        <w:t>整体绩效目标中选定3-5个核心职能目标，对职能目标完成效果情况绩效分析。</w:t>
      </w:r>
    </w:p>
    <w:p w14:paraId="310A5167">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zh-CN" w:eastAsia="zh-CN" w:bidi="ar-SA"/>
        </w:rPr>
        <w:t>（</w:t>
      </w:r>
      <w:r>
        <w:rPr>
          <w:rFonts w:hint="eastAsia" w:ascii="Times New Roman" w:hAnsi="Times New Roman"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zh-CN" w:eastAsia="zh-CN" w:bidi="ar-SA"/>
        </w:rPr>
        <w:t>）强化理论武装，锻造忠诚政治品格。区公务服务中心始终坚持把学习作为谋划工作、提升能力、推动落实的重要途径，把理论学习与中心工作相结合、集中学习与自主学习相结合，通过支部学习、干部职工会、研讨交流等方式，深入学习习近平新时代中国特色社会主义思想、党的二十大精神、习近平总书记来川视察重要指示精神，以省委十二届五次全会、市委十一届七次全会精神为遵循，以区委十一届五次全会精神为工作要求，围绕“一区一城”战略目标开展接待工作，将指示精神融会贯通，运用至接待工作中。扎实开展党纪学习教育，结合市委“大抓落实年”、干部作风建设专项行动等，教育引导全体职工增强纪律意识、提高工作修养、增强业务效率。及时跟进中央、省市区政策文件、工作部署，教育引导全体干部职工对岗位基本职能、基本法规制度程序、工作基本面了然于胸。始终把旗帜鲜明讲政治摆在首要位置，不断增强 “四个意识”、坚定“四个自信”、做到“两个维护”，不折不扣坚决落实中央、省市区委决策部署，切实把对党忠诚融入接待工作全方位、全流程。</w:t>
      </w:r>
    </w:p>
    <w:p w14:paraId="6BCFC32C">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zh-CN" w:eastAsia="zh-CN" w:bidi="ar-SA"/>
        </w:rPr>
        <w:t>（</w:t>
      </w:r>
      <w:r>
        <w:rPr>
          <w:rFonts w:hint="eastAsia" w:ascii="Times New Roman" w:hAnsi="Times New Roman" w:eastAsia="仿宋_GB2312" w:cs="仿宋_GB2312"/>
          <w:color w:val="auto"/>
          <w:kern w:val="2"/>
          <w:sz w:val="32"/>
          <w:szCs w:val="32"/>
          <w:highlight w:val="none"/>
          <w:lang w:val="en-US" w:eastAsia="zh-CN" w:bidi="ar-SA"/>
        </w:rPr>
        <w:t>2</w:t>
      </w:r>
      <w:r>
        <w:rPr>
          <w:rFonts w:hint="eastAsia" w:ascii="Times New Roman" w:hAnsi="Times New Roman" w:eastAsia="仿宋_GB2312" w:cs="仿宋_GB2312"/>
          <w:color w:val="auto"/>
          <w:kern w:val="2"/>
          <w:sz w:val="32"/>
          <w:szCs w:val="32"/>
          <w:highlight w:val="none"/>
          <w:lang w:val="zh-CN" w:eastAsia="zh-CN" w:bidi="ar-SA"/>
        </w:rPr>
        <w:t>）强化制度落实，着力提升接待质量。持续规范制度落实。采取“线上+线下”学习方式，持续学习公务接待、商务接待有关规定、接待礼仪、民风地俗等相关业务知识，着力提升服务质量和水平。规范接待流程，严格按照《攀枝花市西区党政机关国内公务接待管理实施办法》《关于进一步规范商务接待工作有关事项的通知》执行审批程序，贯彻落实《全省公务活动用餐（车）费用“扫码支付”专项工作方案》，在加强公务接待费用列支的管理和监督工作上，始终实行统一领导、统一管理、统一标准、统一报批的“四统一”程序，制定印发《攀枝花市西区公务服务中心“三重一大”决策实施细则》，一切接待照章办事，规范管理接待工作的各项内容和环节，不断提高公务接待节约化、精细化、规范化水平。严把接待细节，严格按照来宾活动日程，遵循接待工作流程，精心制定接待方案，妥善处理接待细节，在服务态度上热情真诚，在服务方式上讲求实效，努力做到高标准、严要求。始终把“过紧日子”思想贯穿在接待工作的全过程，在接待安排方面，坚持“宁可再加菜、保证不剩菜”的接待原则，严控用餐标准、严控陪餐人数，控制公务接待费支出，依据财务内控手册严格履行经费审核审批程序，从严把控陪同人数，坚决杜绝超范围、超标准、超规格接待，确保各项刚性规定落到实处，坚决杜绝“舌尖上的浪费”。在公务车管理方面，加强车辆使用、车辆维修、保养、清洗等方面审批，经费由财务人员审核报单位领导批准后支付，进一步加强了对公务用车的规范使用管理。截至</w:t>
      </w:r>
      <w:r>
        <w:rPr>
          <w:rFonts w:hint="eastAsia" w:ascii="Times New Roman" w:hAnsi="Times New Roman" w:eastAsia="仿宋_GB2312" w:cs="仿宋_GB2312"/>
          <w:color w:val="auto"/>
          <w:kern w:val="2"/>
          <w:sz w:val="32"/>
          <w:szCs w:val="32"/>
          <w:highlight w:val="none"/>
          <w:lang w:val="en-US" w:eastAsia="zh-CN" w:bidi="ar-SA"/>
        </w:rPr>
        <w:t>11月25日</w:t>
      </w:r>
      <w:r>
        <w:rPr>
          <w:rFonts w:hint="eastAsia" w:ascii="Times New Roman" w:hAnsi="Times New Roman" w:eastAsia="仿宋_GB2312" w:cs="仿宋_GB2312"/>
          <w:color w:val="auto"/>
          <w:kern w:val="2"/>
          <w:sz w:val="32"/>
          <w:szCs w:val="32"/>
          <w:highlight w:val="none"/>
          <w:lang w:val="zh-CN" w:eastAsia="zh-CN" w:bidi="ar-SA"/>
        </w:rPr>
        <w:t>，我单位独立接待各级领导及来宾</w:t>
      </w:r>
      <w:r>
        <w:rPr>
          <w:rFonts w:hint="eastAsia" w:ascii="Times New Roman" w:hAnsi="Times New Roman" w:eastAsia="仿宋_GB2312" w:cs="仿宋_GB2312"/>
          <w:color w:val="auto"/>
          <w:kern w:val="2"/>
          <w:sz w:val="32"/>
          <w:szCs w:val="32"/>
          <w:highlight w:val="none"/>
          <w:lang w:val="en-US" w:eastAsia="zh-CN" w:bidi="ar-SA"/>
        </w:rPr>
        <w:t>84</w:t>
      </w:r>
      <w:r>
        <w:rPr>
          <w:rFonts w:hint="eastAsia" w:ascii="Times New Roman" w:hAnsi="Times New Roman" w:eastAsia="仿宋_GB2312" w:cs="仿宋_GB2312"/>
          <w:color w:val="auto"/>
          <w:kern w:val="2"/>
          <w:sz w:val="32"/>
          <w:szCs w:val="32"/>
          <w:highlight w:val="none"/>
          <w:lang w:val="zh-CN" w:eastAsia="zh-CN" w:bidi="ar-SA"/>
        </w:rPr>
        <w:t>批</w:t>
      </w:r>
      <w:r>
        <w:rPr>
          <w:rFonts w:hint="eastAsia" w:ascii="Times New Roman" w:hAnsi="Times New Roman" w:eastAsia="仿宋_GB2312" w:cs="仿宋_GB2312"/>
          <w:color w:val="auto"/>
          <w:kern w:val="2"/>
          <w:sz w:val="32"/>
          <w:szCs w:val="32"/>
          <w:highlight w:val="none"/>
          <w:lang w:val="en-US" w:eastAsia="zh-CN" w:bidi="ar-SA"/>
        </w:rPr>
        <w:t>84</w:t>
      </w:r>
      <w:r>
        <w:rPr>
          <w:rFonts w:hint="eastAsia" w:ascii="Times New Roman" w:hAnsi="Times New Roman" w:eastAsia="仿宋_GB2312" w:cs="仿宋_GB2312"/>
          <w:color w:val="auto"/>
          <w:kern w:val="2"/>
          <w:sz w:val="32"/>
          <w:szCs w:val="32"/>
          <w:highlight w:val="none"/>
          <w:lang w:val="zh-CN" w:eastAsia="zh-CN" w:bidi="ar-SA"/>
        </w:rPr>
        <w:t>次。其中，公务接待</w:t>
      </w:r>
      <w:r>
        <w:rPr>
          <w:rFonts w:hint="eastAsia" w:ascii="Times New Roman" w:hAnsi="Times New Roman" w:eastAsia="仿宋_GB2312" w:cs="仿宋_GB2312"/>
          <w:color w:val="auto"/>
          <w:kern w:val="2"/>
          <w:sz w:val="32"/>
          <w:szCs w:val="32"/>
          <w:highlight w:val="none"/>
          <w:lang w:val="en-US" w:eastAsia="zh-CN" w:bidi="ar-SA"/>
        </w:rPr>
        <w:t>39</w:t>
      </w:r>
      <w:r>
        <w:rPr>
          <w:rFonts w:hint="eastAsia" w:ascii="Times New Roman" w:hAnsi="Times New Roman" w:eastAsia="仿宋_GB2312" w:cs="仿宋_GB2312"/>
          <w:color w:val="auto"/>
          <w:kern w:val="2"/>
          <w:sz w:val="32"/>
          <w:szCs w:val="32"/>
          <w:highlight w:val="none"/>
          <w:lang w:val="zh-CN" w:eastAsia="zh-CN" w:bidi="ar-SA"/>
        </w:rPr>
        <w:t>批</w:t>
      </w:r>
      <w:r>
        <w:rPr>
          <w:rFonts w:hint="eastAsia" w:ascii="Times New Roman" w:hAnsi="Times New Roman" w:eastAsia="仿宋_GB2312" w:cs="仿宋_GB2312"/>
          <w:color w:val="auto"/>
          <w:kern w:val="2"/>
          <w:sz w:val="32"/>
          <w:szCs w:val="32"/>
          <w:highlight w:val="none"/>
          <w:lang w:val="en-US" w:eastAsia="zh-CN" w:bidi="ar-SA"/>
        </w:rPr>
        <w:t>39</w:t>
      </w:r>
      <w:r>
        <w:rPr>
          <w:rFonts w:hint="eastAsia" w:ascii="Times New Roman" w:hAnsi="Times New Roman" w:eastAsia="仿宋_GB2312" w:cs="仿宋_GB2312"/>
          <w:color w:val="auto"/>
          <w:kern w:val="2"/>
          <w:sz w:val="32"/>
          <w:szCs w:val="32"/>
          <w:highlight w:val="none"/>
          <w:lang w:val="zh-CN" w:eastAsia="zh-CN" w:bidi="ar-SA"/>
        </w:rPr>
        <w:t>次，商务接待</w:t>
      </w:r>
      <w:r>
        <w:rPr>
          <w:rFonts w:hint="eastAsia" w:ascii="Times New Roman" w:hAnsi="Times New Roman" w:eastAsia="仿宋_GB2312" w:cs="仿宋_GB2312"/>
          <w:color w:val="auto"/>
          <w:kern w:val="2"/>
          <w:sz w:val="32"/>
          <w:szCs w:val="32"/>
          <w:highlight w:val="none"/>
          <w:lang w:val="en-US" w:eastAsia="zh-CN" w:bidi="ar-SA"/>
        </w:rPr>
        <w:t>45</w:t>
      </w:r>
      <w:r>
        <w:rPr>
          <w:rFonts w:hint="eastAsia" w:ascii="Times New Roman" w:hAnsi="Times New Roman" w:eastAsia="仿宋_GB2312" w:cs="仿宋_GB2312"/>
          <w:color w:val="auto"/>
          <w:kern w:val="2"/>
          <w:sz w:val="32"/>
          <w:szCs w:val="32"/>
          <w:highlight w:val="none"/>
          <w:lang w:val="zh-CN" w:eastAsia="zh-CN" w:bidi="ar-SA"/>
        </w:rPr>
        <w:t>批</w:t>
      </w:r>
      <w:r>
        <w:rPr>
          <w:rFonts w:hint="eastAsia" w:ascii="Times New Roman" w:hAnsi="Times New Roman" w:eastAsia="仿宋_GB2312" w:cs="仿宋_GB2312"/>
          <w:color w:val="auto"/>
          <w:kern w:val="2"/>
          <w:sz w:val="32"/>
          <w:szCs w:val="32"/>
          <w:highlight w:val="none"/>
          <w:lang w:val="en-US" w:eastAsia="zh-CN" w:bidi="ar-SA"/>
        </w:rPr>
        <w:t>45</w:t>
      </w:r>
      <w:r>
        <w:rPr>
          <w:rFonts w:hint="eastAsia" w:ascii="Times New Roman" w:hAnsi="Times New Roman" w:eastAsia="仿宋_GB2312" w:cs="仿宋_GB2312"/>
          <w:color w:val="auto"/>
          <w:kern w:val="2"/>
          <w:sz w:val="32"/>
          <w:szCs w:val="32"/>
          <w:highlight w:val="none"/>
          <w:lang w:val="zh-CN" w:eastAsia="zh-CN" w:bidi="ar-SA"/>
        </w:rPr>
        <w:t>次。指导区级部门接待及配合完成重要招商引资接待</w:t>
      </w:r>
      <w:r>
        <w:rPr>
          <w:rFonts w:hint="eastAsia" w:ascii="Times New Roman" w:hAnsi="Times New Roman" w:eastAsia="仿宋_GB2312" w:cs="仿宋_GB2312"/>
          <w:color w:val="auto"/>
          <w:kern w:val="2"/>
          <w:sz w:val="32"/>
          <w:szCs w:val="32"/>
          <w:highlight w:val="none"/>
          <w:lang w:val="en-US" w:eastAsia="zh-CN" w:bidi="ar-SA"/>
        </w:rPr>
        <w:t>31</w:t>
      </w:r>
      <w:r>
        <w:rPr>
          <w:rFonts w:hint="eastAsia" w:ascii="Times New Roman" w:hAnsi="Times New Roman" w:eastAsia="仿宋_GB2312" w:cs="仿宋_GB2312"/>
          <w:color w:val="auto"/>
          <w:kern w:val="2"/>
          <w:sz w:val="32"/>
          <w:szCs w:val="32"/>
          <w:highlight w:val="none"/>
          <w:lang w:val="zh-CN" w:eastAsia="zh-CN" w:bidi="ar-SA"/>
        </w:rPr>
        <w:t>次。配合完成攀枝花2024年水墨金沙“沙滩音乐啤酒活动周”活动、第</w:t>
      </w:r>
      <w:r>
        <w:rPr>
          <w:rFonts w:hint="eastAsia" w:ascii="Times New Roman" w:hAnsi="Times New Roman" w:eastAsia="仿宋_GB2312" w:cs="仿宋_GB2312"/>
          <w:color w:val="auto"/>
          <w:kern w:val="2"/>
          <w:sz w:val="32"/>
          <w:szCs w:val="32"/>
          <w:highlight w:val="none"/>
          <w:lang w:val="en-US" w:eastAsia="zh-CN" w:bidi="ar-SA"/>
        </w:rPr>
        <w:t>37届四川省“晚霞杯”桥牌赛暨2024年四川省社区桥牌赛、“牢记嘱托，同心奋进”读书分享会。</w:t>
      </w:r>
    </w:p>
    <w:p w14:paraId="78405216">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zh-CN" w:eastAsia="zh-CN" w:bidi="ar-SA"/>
        </w:rPr>
        <w:t>（</w:t>
      </w:r>
      <w:r>
        <w:rPr>
          <w:rFonts w:hint="eastAsia" w:ascii="Times New Roman" w:hAnsi="Times New Roman" w:eastAsia="仿宋_GB2312" w:cs="仿宋_GB2312"/>
          <w:color w:val="auto"/>
          <w:kern w:val="2"/>
          <w:sz w:val="32"/>
          <w:szCs w:val="32"/>
          <w:highlight w:val="none"/>
          <w:lang w:val="en-US" w:eastAsia="zh-CN" w:bidi="ar-SA"/>
        </w:rPr>
        <w:t>3</w:t>
      </w:r>
      <w:r>
        <w:rPr>
          <w:rFonts w:hint="eastAsia" w:ascii="Times New Roman" w:hAnsi="Times New Roman" w:eastAsia="仿宋_GB2312" w:cs="仿宋_GB2312"/>
          <w:color w:val="auto"/>
          <w:kern w:val="2"/>
          <w:sz w:val="32"/>
          <w:szCs w:val="32"/>
          <w:highlight w:val="none"/>
          <w:lang w:val="zh-CN" w:eastAsia="zh-CN" w:bidi="ar-SA"/>
        </w:rPr>
        <w:t>）强化队伍建设，锤炼过硬能力本领。我中心始终把提高人员素质作为提升接待质量的重要抓手，把干部能力素质提升与中心工作紧密结合，积极参与职工运动会、迎新登山等活动，先后选派</w:t>
      </w:r>
      <w:r>
        <w:rPr>
          <w:rFonts w:hint="eastAsia" w:ascii="Times New Roman" w:hAnsi="Times New Roman" w:eastAsia="仿宋_GB2312" w:cs="仿宋_GB2312"/>
          <w:color w:val="auto"/>
          <w:kern w:val="2"/>
          <w:sz w:val="32"/>
          <w:szCs w:val="32"/>
          <w:highlight w:val="none"/>
          <w:lang w:val="en-US" w:eastAsia="zh-CN" w:bidi="ar-SA"/>
        </w:rPr>
        <w:t>1人参加全省公务服务工作培训会，</w:t>
      </w:r>
      <w:r>
        <w:rPr>
          <w:rFonts w:hint="eastAsia" w:ascii="Times New Roman" w:hAnsi="Times New Roman" w:eastAsia="仿宋_GB2312" w:cs="仿宋_GB2312"/>
          <w:color w:val="auto"/>
          <w:kern w:val="2"/>
          <w:sz w:val="32"/>
          <w:szCs w:val="32"/>
          <w:highlight w:val="none"/>
          <w:lang w:val="zh-CN" w:eastAsia="zh-CN" w:bidi="ar-SA"/>
        </w:rPr>
        <w:t>2人参加全省办公室人员综合能力提升专题培训班，进一步提升我中心人员履职能力；强化接待人员能力提升，对工作人员和接待员多次进行岗位培训，提高服务质量和水平，受到了客人及领导广泛好评。坚持在接待中总结、在学习中改进，对每周接待工作及时进行复盘分析，总结得失、分享经营、弥补短板，有针对性地进行点评和交流学习，帮助干部锻炼提高、独当一面，着力打造一支高素质专业化接待队伍。从严加强干部作风建设，定期召开干部职工廉政谈话及节前廉政谈话，传达上级有关廉政建设的要求和文件精神，学习《中国共产党纪律处分条例》《习近平总书记在二十中央纪委三次全会上发表重要讲话精神》《攀枝花市西区“有事找纪检”工作方案》等有关文件，把“四个意识”、“四个自信”、“两个维护”体现在日常工作中，锻造一支“忠诚、干净、担当”“善学善思、善做善成”的接待工作队伍。充分利用各类违规违纪行为通报和观看警示教育片等方式落实廉政教育，以典型反面案例为例，引以为戒，严于律己，增强干部职工廉洁自律意识，筑牢拒腐防变的思想篱笆。</w:t>
      </w:r>
    </w:p>
    <w:p w14:paraId="20C97CDE">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2.</w:t>
      </w:r>
      <w:r>
        <w:rPr>
          <w:rFonts w:hint="default" w:ascii="Times New Roman" w:hAnsi="Times New Roman" w:eastAsia="仿宋_GB2312" w:cs="仿宋_GB2312"/>
          <w:color w:val="auto"/>
          <w:kern w:val="2"/>
          <w:sz w:val="32"/>
          <w:szCs w:val="32"/>
          <w:highlight w:val="none"/>
          <w:lang w:val="zh-CN" w:eastAsia="zh-CN" w:bidi="ar-SA"/>
        </w:rPr>
        <w:t>预算管理</w:t>
      </w:r>
      <w:r>
        <w:rPr>
          <w:rFonts w:hint="eastAsia" w:ascii="Times New Roman" w:hAnsi="Times New Roman" w:eastAsia="仿宋_GB2312" w:cs="仿宋_GB2312"/>
          <w:color w:val="auto"/>
          <w:kern w:val="2"/>
          <w:sz w:val="32"/>
          <w:szCs w:val="32"/>
          <w:highlight w:val="none"/>
          <w:lang w:val="zh-CN" w:eastAsia="zh-CN" w:bidi="ar-SA"/>
        </w:rPr>
        <w:t>。围绕预算编制质量、单位收入统筹、支出执行进度、预算年终结余、严控一般性支出</w:t>
      </w:r>
      <w:r>
        <w:rPr>
          <w:rFonts w:hint="default" w:ascii="Times New Roman" w:hAnsi="Times New Roman" w:eastAsia="仿宋_GB2312" w:cs="仿宋_GB2312"/>
          <w:color w:val="auto"/>
          <w:kern w:val="2"/>
          <w:sz w:val="32"/>
          <w:szCs w:val="32"/>
          <w:highlight w:val="none"/>
          <w:lang w:val="zh-CN" w:eastAsia="zh-CN" w:bidi="ar-SA"/>
        </w:rPr>
        <w:t>进行绩效分析</w:t>
      </w:r>
      <w:r>
        <w:rPr>
          <w:rFonts w:hint="eastAsia" w:ascii="Times New Roman" w:hAnsi="Times New Roman" w:eastAsia="仿宋_GB2312" w:cs="仿宋_GB2312"/>
          <w:color w:val="auto"/>
          <w:kern w:val="2"/>
          <w:sz w:val="32"/>
          <w:szCs w:val="32"/>
          <w:highlight w:val="none"/>
          <w:lang w:val="zh-CN" w:eastAsia="zh-CN" w:bidi="ar-SA"/>
        </w:rPr>
        <w:t>。</w:t>
      </w:r>
    </w:p>
    <w:p w14:paraId="0F8F1775">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西区公务服务中心严格按照西区财政局预算编制通知和有关要求，按时按质完成报送决算编制等工作，并按时提交部门预算编制草案，不存在应编、未编、错误列编，西区财政局根据预算编制草案，进行审核，批复2024年部门预算收入162.47万元，其中：工资福利支出73.06万元、日常公用支出81.41万元、项目支出8万元。</w:t>
      </w:r>
    </w:p>
    <w:p w14:paraId="5146A02B">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3.</w:t>
      </w:r>
      <w:r>
        <w:rPr>
          <w:rFonts w:hint="default" w:ascii="Times New Roman" w:hAnsi="Times New Roman" w:eastAsia="仿宋_GB2312" w:cs="仿宋_GB2312"/>
          <w:color w:val="auto"/>
          <w:kern w:val="2"/>
          <w:sz w:val="32"/>
          <w:szCs w:val="32"/>
          <w:highlight w:val="none"/>
          <w:lang w:val="zh-CN" w:eastAsia="zh-CN" w:bidi="ar-SA"/>
        </w:rPr>
        <w:t>财务管理</w:t>
      </w:r>
      <w:r>
        <w:rPr>
          <w:rFonts w:hint="eastAsia" w:ascii="Times New Roman" w:hAnsi="Times New Roman" w:eastAsia="仿宋_GB2312" w:cs="仿宋_GB2312"/>
          <w:color w:val="auto"/>
          <w:kern w:val="2"/>
          <w:sz w:val="32"/>
          <w:szCs w:val="32"/>
          <w:highlight w:val="none"/>
          <w:lang w:val="zh-CN" w:eastAsia="zh-CN" w:bidi="ar-SA"/>
        </w:rPr>
        <w:t>。围绕财务管理制度、财务岗位设置、资金使用规范</w:t>
      </w:r>
      <w:r>
        <w:rPr>
          <w:rFonts w:hint="default" w:ascii="Times New Roman" w:hAnsi="Times New Roman" w:eastAsia="仿宋_GB2312" w:cs="仿宋_GB2312"/>
          <w:color w:val="auto"/>
          <w:kern w:val="2"/>
          <w:sz w:val="32"/>
          <w:szCs w:val="32"/>
          <w:highlight w:val="none"/>
          <w:lang w:val="zh-CN" w:eastAsia="zh-CN" w:bidi="ar-SA"/>
        </w:rPr>
        <w:t>进行绩效分析</w:t>
      </w:r>
      <w:r>
        <w:rPr>
          <w:rFonts w:hint="eastAsia" w:ascii="Times New Roman" w:hAnsi="Times New Roman" w:eastAsia="仿宋_GB2312" w:cs="仿宋_GB2312"/>
          <w:color w:val="auto"/>
          <w:kern w:val="2"/>
          <w:sz w:val="32"/>
          <w:szCs w:val="32"/>
          <w:highlight w:val="none"/>
          <w:lang w:val="zh-CN" w:eastAsia="zh-CN" w:bidi="ar-SA"/>
        </w:rPr>
        <w:t>。</w:t>
      </w:r>
    </w:p>
    <w:p w14:paraId="529C3E28">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仿宋_GB2312" w:cs="仿宋_GB2312"/>
          <w:color w:val="auto"/>
          <w:kern w:val="2"/>
          <w:sz w:val="32"/>
          <w:szCs w:val="32"/>
          <w:highlight w:val="none"/>
          <w:lang w:val="zh-CN" w:eastAsia="zh-CN" w:bidi="ar-SA"/>
        </w:rPr>
        <w:t>建立健全了财务管理制度，涵盖预算管理、收支管理、资产管理等方面，制度执行严格，确保财务工作有章可循；财务岗位设置科学分工，明确岗位权责，做到不相容岗位相互分离，避免兼岗带来的风险；资金使用规范上，严格把控资金审批流程，确保每一笔资金都按照规定用途、标准和程序使用，杜绝挪用、滥用等违规行为，保障财务工作有序进行，维护财务安全与规范</w:t>
      </w:r>
      <w:r>
        <w:rPr>
          <w:rFonts w:hint="eastAsia" w:ascii="Times New Roman" w:hAnsi="Times New Roman" w:eastAsia="仿宋_GB2312" w:cs="仿宋_GB2312"/>
          <w:color w:val="auto"/>
          <w:kern w:val="2"/>
          <w:sz w:val="32"/>
          <w:szCs w:val="32"/>
          <w:highlight w:val="none"/>
          <w:lang w:val="zh-CN" w:eastAsia="zh-CN" w:bidi="ar-SA"/>
        </w:rPr>
        <w:t>。</w:t>
      </w:r>
    </w:p>
    <w:p w14:paraId="7E90A0BB">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4.</w:t>
      </w:r>
      <w:r>
        <w:rPr>
          <w:rFonts w:hint="default" w:ascii="Times New Roman" w:hAnsi="Times New Roman" w:eastAsia="仿宋_GB2312" w:cs="仿宋_GB2312"/>
          <w:color w:val="auto"/>
          <w:kern w:val="2"/>
          <w:sz w:val="32"/>
          <w:szCs w:val="32"/>
          <w:highlight w:val="none"/>
          <w:lang w:val="zh-CN" w:eastAsia="zh-CN" w:bidi="ar-SA"/>
        </w:rPr>
        <w:t>资产管理</w:t>
      </w:r>
      <w:r>
        <w:rPr>
          <w:rFonts w:hint="eastAsia" w:ascii="Times New Roman" w:hAnsi="Times New Roman" w:eastAsia="仿宋_GB2312" w:cs="仿宋_GB2312"/>
          <w:color w:val="auto"/>
          <w:kern w:val="2"/>
          <w:sz w:val="32"/>
          <w:szCs w:val="32"/>
          <w:highlight w:val="none"/>
          <w:lang w:val="zh-CN" w:eastAsia="zh-CN" w:bidi="ar-SA"/>
        </w:rPr>
        <w:t>。围绕人均资产变化率、资产利用率、资产盘活率</w:t>
      </w:r>
      <w:r>
        <w:rPr>
          <w:rFonts w:hint="default" w:ascii="Times New Roman" w:hAnsi="Times New Roman" w:eastAsia="仿宋_GB2312" w:cs="仿宋_GB2312"/>
          <w:color w:val="auto"/>
          <w:kern w:val="2"/>
          <w:sz w:val="32"/>
          <w:szCs w:val="32"/>
          <w:highlight w:val="none"/>
          <w:lang w:val="zh-CN" w:eastAsia="zh-CN" w:bidi="ar-SA"/>
        </w:rPr>
        <w:t>进行绩效分析</w:t>
      </w:r>
      <w:r>
        <w:rPr>
          <w:rFonts w:hint="eastAsia" w:ascii="Times New Roman" w:hAnsi="Times New Roman" w:eastAsia="仿宋_GB2312" w:cs="仿宋_GB2312"/>
          <w:color w:val="auto"/>
          <w:kern w:val="2"/>
          <w:sz w:val="32"/>
          <w:szCs w:val="32"/>
          <w:highlight w:val="none"/>
          <w:lang w:val="zh-CN" w:eastAsia="zh-CN" w:bidi="ar-SA"/>
        </w:rPr>
        <w:t>。</w:t>
      </w:r>
    </w:p>
    <w:p w14:paraId="3EAE2555">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仿宋_GB2312" w:cs="仿宋_GB2312"/>
          <w:color w:val="auto"/>
          <w:kern w:val="2"/>
          <w:sz w:val="32"/>
          <w:szCs w:val="32"/>
          <w:highlight w:val="none"/>
          <w:lang w:val="zh-CN" w:eastAsia="zh-CN" w:bidi="ar-SA"/>
        </w:rPr>
        <w:t>高度重视闲置资产管理，建立动态清查机制，定期梳理闲置资产明细，通过内部调剂、共享使用等方式，将闲置设备、办公用品等调配至需求科室。同时，在资产系统内对固定资产及状态及时进行更新，优化资源配置，显著提升资产利用率，有效避免资源浪费，为机关高效运转提供有力保障</w:t>
      </w:r>
      <w:r>
        <w:rPr>
          <w:rFonts w:hint="eastAsia" w:ascii="Times New Roman" w:hAnsi="Times New Roman" w:eastAsia="仿宋_GB2312" w:cs="仿宋_GB2312"/>
          <w:color w:val="auto"/>
          <w:kern w:val="2"/>
          <w:sz w:val="32"/>
          <w:szCs w:val="32"/>
          <w:highlight w:val="none"/>
          <w:lang w:val="zh-CN" w:eastAsia="zh-CN" w:bidi="ar-SA"/>
        </w:rPr>
        <w:t>。</w:t>
      </w:r>
    </w:p>
    <w:p w14:paraId="72903A5E">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5.</w:t>
      </w:r>
      <w:r>
        <w:rPr>
          <w:rFonts w:hint="default" w:ascii="Times New Roman" w:hAnsi="Times New Roman" w:eastAsia="仿宋_GB2312" w:cs="仿宋_GB2312"/>
          <w:color w:val="auto"/>
          <w:kern w:val="2"/>
          <w:sz w:val="32"/>
          <w:szCs w:val="32"/>
          <w:highlight w:val="none"/>
          <w:lang w:val="zh-CN" w:eastAsia="zh-CN" w:bidi="ar-SA"/>
        </w:rPr>
        <w:t>采购管理</w:t>
      </w:r>
      <w:r>
        <w:rPr>
          <w:rFonts w:hint="eastAsia" w:ascii="Times New Roman" w:hAnsi="Times New Roman" w:eastAsia="仿宋_GB2312" w:cs="仿宋_GB2312"/>
          <w:color w:val="auto"/>
          <w:kern w:val="2"/>
          <w:sz w:val="32"/>
          <w:szCs w:val="32"/>
          <w:highlight w:val="none"/>
          <w:lang w:val="zh-CN" w:eastAsia="zh-CN" w:bidi="ar-SA"/>
        </w:rPr>
        <w:t>。围绕支持中小企业发展、采购执行率</w:t>
      </w:r>
      <w:r>
        <w:rPr>
          <w:rFonts w:hint="default" w:ascii="Times New Roman" w:hAnsi="Times New Roman" w:eastAsia="仿宋_GB2312" w:cs="仿宋_GB2312"/>
          <w:color w:val="auto"/>
          <w:kern w:val="2"/>
          <w:sz w:val="32"/>
          <w:szCs w:val="32"/>
          <w:highlight w:val="none"/>
          <w:lang w:val="zh-CN" w:eastAsia="zh-CN" w:bidi="ar-SA"/>
        </w:rPr>
        <w:t>进行绩效分析</w:t>
      </w:r>
      <w:r>
        <w:rPr>
          <w:rFonts w:hint="eastAsia" w:ascii="Times New Roman" w:hAnsi="Times New Roman" w:eastAsia="仿宋_GB2312" w:cs="仿宋_GB2312"/>
          <w:color w:val="auto"/>
          <w:kern w:val="2"/>
          <w:sz w:val="32"/>
          <w:szCs w:val="32"/>
          <w:highlight w:val="none"/>
          <w:lang w:val="zh-CN" w:eastAsia="zh-CN" w:bidi="ar-SA"/>
        </w:rPr>
        <w:t>。</w:t>
      </w:r>
    </w:p>
    <w:p w14:paraId="5B59DAE2">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outlineLvl w:val="9"/>
        <w:rPr>
          <w:rFonts w:hint="default" w:ascii="Times New Roman" w:hAnsi="Times New Roman" w:eastAsia="仿宋_GB2312" w:cs="仿宋_GB2312"/>
          <w:color w:val="auto"/>
          <w:kern w:val="2"/>
          <w:sz w:val="32"/>
          <w:szCs w:val="32"/>
          <w:highlight w:val="none"/>
          <w:lang w:val="zh-CN" w:eastAsia="zh-CN" w:bidi="ar-SA"/>
        </w:rPr>
      </w:pPr>
      <w:r>
        <w:rPr>
          <w:rFonts w:hint="default" w:ascii="Times New Roman" w:hAnsi="Times New Roman" w:eastAsia="仿宋_GB2312" w:cs="仿宋_GB2312"/>
          <w:color w:val="auto"/>
          <w:kern w:val="2"/>
          <w:sz w:val="32"/>
          <w:szCs w:val="32"/>
          <w:highlight w:val="none"/>
          <w:lang w:val="zh-CN" w:eastAsia="zh-CN" w:bidi="ar-SA"/>
        </w:rPr>
        <w:t>严格按照采购管理文件要求执行，采购前精准预算编制，结合实际需求科学规划；采购中坚持公开透明，严格执行采购程序；采购后加强验收与监督，确保物资质量达标，同时强化档案管理，保障采购全程留痕、规范有</w:t>
      </w:r>
      <w:r>
        <w:rPr>
          <w:rFonts w:hint="eastAsia" w:ascii="Times New Roman" w:hAnsi="Times New Roman" w:eastAsia="仿宋_GB2312" w:cs="仿宋_GB2312"/>
          <w:color w:val="auto"/>
          <w:kern w:val="2"/>
          <w:sz w:val="32"/>
          <w:szCs w:val="32"/>
          <w:highlight w:val="none"/>
          <w:lang w:val="zh-CN" w:eastAsia="zh-CN" w:bidi="ar-SA"/>
        </w:rPr>
        <w:t>序。</w:t>
      </w:r>
    </w:p>
    <w:p w14:paraId="39E47616">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3" w:firstLineChars="200"/>
        <w:contextualSpacing/>
        <w:jc w:val="both"/>
        <w:textAlignment w:val="auto"/>
        <w:outlineLvl w:val="9"/>
        <w:rPr>
          <w:rFonts w:hint="default"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楷体_GB2312" w:cs="Times New Roman"/>
          <w:b/>
          <w:bCs/>
          <w:color w:val="000000"/>
          <w:kern w:val="0"/>
          <w:sz w:val="32"/>
          <w:szCs w:val="32"/>
          <w:highlight w:val="none"/>
          <w:shd w:val="clear" w:color="auto" w:fill="FFFFFF"/>
          <w:lang w:val="zh-CN"/>
        </w:rPr>
        <w:t>（二）</w:t>
      </w:r>
      <w:r>
        <w:rPr>
          <w:rFonts w:hint="eastAsia" w:eastAsia="楷体_GB2312" w:cs="Times New Roman"/>
          <w:b/>
          <w:bCs/>
          <w:color w:val="000000"/>
          <w:kern w:val="0"/>
          <w:sz w:val="32"/>
          <w:szCs w:val="32"/>
          <w:highlight w:val="none"/>
          <w:shd w:val="clear" w:color="auto" w:fill="FFFFFF"/>
          <w:lang w:val="zh-CN"/>
        </w:rPr>
        <w:t>单位</w:t>
      </w:r>
      <w:r>
        <w:rPr>
          <w:rFonts w:hint="default" w:ascii="Times New Roman" w:hAnsi="Times New Roman" w:eastAsia="楷体_GB2312" w:cs="Times New Roman"/>
          <w:b/>
          <w:bCs/>
          <w:color w:val="000000"/>
          <w:kern w:val="0"/>
          <w:sz w:val="32"/>
          <w:szCs w:val="32"/>
          <w:highlight w:val="none"/>
          <w:shd w:val="clear" w:color="auto" w:fill="FFFFFF"/>
          <w:lang w:val="zh-CN"/>
        </w:rPr>
        <w:t>预算项目绩效分析。</w:t>
      </w:r>
      <w:r>
        <w:rPr>
          <w:rFonts w:hint="eastAsia" w:ascii="Times New Roman" w:hAnsi="Times New Roman" w:eastAsia="仿宋_GB2312" w:cs="仿宋_GB2312"/>
          <w:color w:val="auto"/>
          <w:kern w:val="2"/>
          <w:sz w:val="32"/>
          <w:szCs w:val="32"/>
          <w:highlight w:val="none"/>
          <w:lang w:val="zh-CN" w:eastAsia="zh-CN" w:bidi="ar-SA"/>
        </w:rPr>
        <w:t>填报以下数据，并</w:t>
      </w:r>
      <w:r>
        <w:rPr>
          <w:rFonts w:hint="default" w:ascii="Times New Roman" w:hAnsi="Times New Roman" w:eastAsia="仿宋_GB2312" w:cs="仿宋_GB2312"/>
          <w:color w:val="auto"/>
          <w:kern w:val="2"/>
          <w:sz w:val="32"/>
          <w:szCs w:val="32"/>
          <w:highlight w:val="none"/>
          <w:lang w:val="zh-CN" w:eastAsia="zh-CN" w:bidi="ar-SA"/>
        </w:rPr>
        <w:t>根据</w:t>
      </w:r>
      <w:r>
        <w:rPr>
          <w:rFonts w:hint="eastAsia" w:eastAsia="仿宋_GB2312" w:cs="仿宋_GB2312"/>
          <w:color w:val="auto"/>
          <w:kern w:val="2"/>
          <w:sz w:val="32"/>
          <w:szCs w:val="32"/>
          <w:highlight w:val="none"/>
          <w:lang w:val="zh-CN" w:eastAsia="zh-CN" w:bidi="ar-SA"/>
        </w:rPr>
        <w:t>单位</w:t>
      </w:r>
      <w:r>
        <w:rPr>
          <w:rFonts w:hint="default" w:ascii="Times New Roman" w:hAnsi="Times New Roman" w:eastAsia="仿宋_GB2312" w:cs="仿宋_GB2312"/>
          <w:color w:val="auto"/>
          <w:kern w:val="2"/>
          <w:sz w:val="32"/>
          <w:szCs w:val="32"/>
          <w:highlight w:val="none"/>
          <w:lang w:val="zh-CN" w:eastAsia="zh-CN" w:bidi="ar-SA"/>
        </w:rPr>
        <w:t>预算绩效评价指标体系</w:t>
      </w:r>
      <w:r>
        <w:rPr>
          <w:rFonts w:hint="eastAsia" w:ascii="Times New Roman" w:hAnsi="Times New Roman" w:eastAsia="仿宋_GB2312" w:cs="仿宋_GB2312"/>
          <w:color w:val="auto"/>
          <w:kern w:val="2"/>
          <w:sz w:val="32"/>
          <w:szCs w:val="32"/>
          <w:highlight w:val="none"/>
          <w:lang w:val="zh-CN" w:eastAsia="zh-CN" w:bidi="ar-SA"/>
        </w:rPr>
        <w:t>“</w:t>
      </w:r>
      <w:r>
        <w:rPr>
          <w:rFonts w:hint="default" w:ascii="Times New Roman" w:hAnsi="Times New Roman" w:eastAsia="仿宋_GB2312" w:cs="仿宋_GB2312"/>
          <w:color w:val="auto"/>
          <w:kern w:val="2"/>
          <w:sz w:val="32"/>
          <w:szCs w:val="32"/>
          <w:highlight w:val="none"/>
          <w:lang w:val="zh-CN" w:eastAsia="zh-CN" w:bidi="ar-SA"/>
        </w:rPr>
        <w:t>项目绩效</w:t>
      </w:r>
      <w:r>
        <w:rPr>
          <w:rFonts w:hint="eastAsia" w:ascii="Times New Roman" w:hAnsi="Times New Roman" w:eastAsia="仿宋_GB2312" w:cs="仿宋_GB2312"/>
          <w:color w:val="auto"/>
          <w:kern w:val="2"/>
          <w:sz w:val="32"/>
          <w:szCs w:val="32"/>
          <w:highlight w:val="none"/>
          <w:lang w:val="zh-CN" w:eastAsia="zh-CN" w:bidi="ar-SA"/>
        </w:rPr>
        <w:t>”</w:t>
      </w:r>
      <w:r>
        <w:rPr>
          <w:rFonts w:hint="default" w:ascii="Times New Roman" w:hAnsi="Times New Roman" w:eastAsia="仿宋_GB2312" w:cs="仿宋_GB2312"/>
          <w:color w:val="auto"/>
          <w:kern w:val="2"/>
          <w:sz w:val="32"/>
          <w:szCs w:val="32"/>
          <w:highlight w:val="none"/>
          <w:lang w:val="zh-CN" w:eastAsia="zh-CN" w:bidi="ar-SA"/>
        </w:rPr>
        <w:t>涉及</w:t>
      </w:r>
      <w:r>
        <w:rPr>
          <w:rFonts w:hint="eastAsia" w:ascii="Times New Roman" w:hAnsi="Times New Roman" w:eastAsia="仿宋_GB2312" w:cs="仿宋_GB2312"/>
          <w:color w:val="auto"/>
          <w:kern w:val="2"/>
          <w:sz w:val="32"/>
          <w:szCs w:val="32"/>
          <w:highlight w:val="none"/>
          <w:lang w:val="zh-CN" w:eastAsia="zh-CN" w:bidi="ar-SA"/>
        </w:rPr>
        <w:t>二、三级</w:t>
      </w:r>
      <w:r>
        <w:rPr>
          <w:rFonts w:hint="default" w:ascii="Times New Roman" w:hAnsi="Times New Roman" w:eastAsia="仿宋_GB2312" w:cs="仿宋_GB2312"/>
          <w:color w:val="auto"/>
          <w:kern w:val="2"/>
          <w:sz w:val="32"/>
          <w:szCs w:val="32"/>
          <w:highlight w:val="none"/>
          <w:lang w:val="zh-CN" w:eastAsia="zh-CN" w:bidi="ar-SA"/>
        </w:rPr>
        <w:t>指标进行</w:t>
      </w:r>
      <w:r>
        <w:rPr>
          <w:rFonts w:hint="eastAsia" w:ascii="Times New Roman" w:hAnsi="Times New Roman" w:eastAsia="仿宋_GB2312" w:cs="仿宋_GB2312"/>
          <w:color w:val="auto"/>
          <w:kern w:val="2"/>
          <w:sz w:val="32"/>
          <w:szCs w:val="32"/>
          <w:highlight w:val="none"/>
          <w:lang w:val="zh-CN" w:eastAsia="zh-CN" w:bidi="ar-SA"/>
        </w:rPr>
        <w:t>逐项</w:t>
      </w:r>
      <w:r>
        <w:rPr>
          <w:rFonts w:hint="default" w:ascii="Times New Roman" w:hAnsi="Times New Roman" w:eastAsia="仿宋_GB2312" w:cs="仿宋_GB2312"/>
          <w:color w:val="auto"/>
          <w:kern w:val="2"/>
          <w:sz w:val="32"/>
          <w:szCs w:val="32"/>
          <w:highlight w:val="none"/>
          <w:lang w:val="zh-CN" w:eastAsia="zh-CN" w:bidi="ar-SA"/>
        </w:rPr>
        <w:t>绩效分析</w:t>
      </w:r>
      <w:r>
        <w:rPr>
          <w:rFonts w:hint="eastAsia" w:ascii="Times New Roman" w:hAnsi="Times New Roman" w:eastAsia="仿宋_GB2312" w:cs="仿宋_GB2312"/>
          <w:color w:val="auto"/>
          <w:kern w:val="2"/>
          <w:sz w:val="32"/>
          <w:szCs w:val="32"/>
          <w:highlight w:val="none"/>
          <w:lang w:val="zh-CN" w:eastAsia="zh-CN" w:bidi="ar-SA"/>
        </w:rPr>
        <w:t>并评分</w:t>
      </w:r>
      <w:r>
        <w:rPr>
          <w:rFonts w:hint="default" w:ascii="Times New Roman" w:hAnsi="Times New Roman" w:eastAsia="仿宋_GB2312" w:cs="仿宋_GB2312"/>
          <w:color w:val="auto"/>
          <w:kern w:val="2"/>
          <w:sz w:val="32"/>
          <w:szCs w:val="32"/>
          <w:highlight w:val="none"/>
          <w:lang w:val="zh-CN" w:eastAsia="zh-CN" w:bidi="ar-SA"/>
        </w:rPr>
        <w:t>，依次包括项目</w:t>
      </w:r>
      <w:r>
        <w:rPr>
          <w:rFonts w:hint="default" w:ascii="Times New Roman" w:hAnsi="Times New Roman" w:eastAsia="仿宋_GB2312" w:cs="仿宋_GB2312"/>
          <w:color w:val="auto"/>
          <w:kern w:val="2"/>
          <w:sz w:val="32"/>
          <w:szCs w:val="32"/>
          <w:highlight w:val="none"/>
          <w:lang w:val="en-US" w:eastAsia="zh-CN" w:bidi="ar-SA"/>
        </w:rPr>
        <w:t>决策、项目执行、目标实现等情况</w:t>
      </w:r>
      <w:r>
        <w:rPr>
          <w:rFonts w:hint="eastAsia" w:ascii="Times New Roman" w:hAnsi="Times New Roman" w:eastAsia="仿宋_GB2312" w:cs="仿宋_GB2312"/>
          <w:color w:val="auto"/>
          <w:kern w:val="2"/>
          <w:sz w:val="32"/>
          <w:szCs w:val="32"/>
          <w:highlight w:val="none"/>
          <w:lang w:val="en-US" w:eastAsia="zh-CN" w:bidi="ar-SA"/>
        </w:rPr>
        <w:t>。</w:t>
      </w:r>
    </w:p>
    <w:p w14:paraId="69F06849">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zh-CN" w:eastAsia="zh-CN" w:bidi="ar-SA"/>
        </w:rPr>
        <w:t>常年项目绩效分析。该类项目总数</w:t>
      </w:r>
      <w:r>
        <w:rPr>
          <w:rFonts w:hint="eastAsia" w:ascii="Times New Roman" w:hAnsi="Times New Roman"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zh-CN" w:eastAsia="zh-CN" w:bidi="ar-SA"/>
        </w:rPr>
        <w:t>个，涉及预算总金额</w:t>
      </w:r>
      <w:r>
        <w:rPr>
          <w:rFonts w:hint="eastAsia" w:ascii="Times New Roman" w:hAnsi="Times New Roman" w:eastAsia="仿宋_GB2312" w:cs="仿宋_GB2312"/>
          <w:color w:val="auto"/>
          <w:kern w:val="2"/>
          <w:sz w:val="32"/>
          <w:szCs w:val="32"/>
          <w:highlight w:val="none"/>
          <w:lang w:val="en-US" w:eastAsia="zh-CN" w:bidi="ar-SA"/>
        </w:rPr>
        <w:t>2.53</w:t>
      </w:r>
      <w:r>
        <w:rPr>
          <w:rFonts w:hint="eastAsia" w:ascii="Times New Roman" w:hAnsi="Times New Roman" w:eastAsia="仿宋_GB2312" w:cs="仿宋_GB2312"/>
          <w:color w:val="auto"/>
          <w:kern w:val="2"/>
          <w:sz w:val="32"/>
          <w:szCs w:val="32"/>
          <w:highlight w:val="none"/>
          <w:lang w:val="zh-CN" w:eastAsia="zh-CN" w:bidi="ar-SA"/>
        </w:rPr>
        <w:t>万元，1—12月预算执行总体进度为</w:t>
      </w:r>
      <w:r>
        <w:rPr>
          <w:rFonts w:hint="eastAsia" w:ascii="Times New Roman" w:hAnsi="Times New Roman"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zh-CN" w:eastAsia="zh-CN" w:bidi="ar-SA"/>
        </w:rPr>
        <w:t>%，其中：预算结余率大于10%的项目共计</w:t>
      </w:r>
      <w:r>
        <w:rPr>
          <w:rFonts w:hint="eastAsia" w:ascii="Times New Roman" w:hAnsi="Times New Roman"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zh-CN" w:eastAsia="zh-CN" w:bidi="ar-SA"/>
        </w:rPr>
        <w:t>个。</w:t>
      </w:r>
    </w:p>
    <w:p w14:paraId="34B832C6">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outlineLvl w:val="9"/>
        <w:rPr>
          <w:rFonts w:hint="default"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zh-CN" w:eastAsia="zh-CN" w:bidi="ar-SA"/>
        </w:rPr>
        <w:t>阶段（含一次性）项目绩效分析。该类项目总数</w:t>
      </w:r>
      <w:r>
        <w:rPr>
          <w:rFonts w:hint="eastAsia" w:ascii="Times New Roman" w:hAnsi="Times New Roman"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zh-CN" w:eastAsia="zh-CN" w:bidi="ar-SA"/>
        </w:rPr>
        <w:t>个，涉及预算总金额</w:t>
      </w:r>
      <w:r>
        <w:rPr>
          <w:rFonts w:hint="eastAsia" w:ascii="Times New Roman" w:hAnsi="Times New Roman" w:eastAsia="仿宋_GB2312" w:cs="仿宋_GB2312"/>
          <w:color w:val="auto"/>
          <w:kern w:val="2"/>
          <w:sz w:val="32"/>
          <w:szCs w:val="32"/>
          <w:highlight w:val="none"/>
          <w:lang w:val="en-US" w:eastAsia="zh-CN" w:bidi="ar-SA"/>
        </w:rPr>
        <w:t>2.53</w:t>
      </w:r>
      <w:r>
        <w:rPr>
          <w:rFonts w:hint="eastAsia" w:ascii="Times New Roman" w:hAnsi="Times New Roman" w:eastAsia="仿宋_GB2312" w:cs="仿宋_GB2312"/>
          <w:color w:val="auto"/>
          <w:kern w:val="2"/>
          <w:sz w:val="32"/>
          <w:szCs w:val="32"/>
          <w:highlight w:val="none"/>
          <w:lang w:val="zh-CN" w:eastAsia="zh-CN" w:bidi="ar-SA"/>
        </w:rPr>
        <w:t>万元，1—12月预算执行总体进度为</w:t>
      </w:r>
      <w:r>
        <w:rPr>
          <w:rFonts w:hint="eastAsia" w:ascii="Times New Roman" w:hAnsi="Times New Roman"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zh-CN" w:eastAsia="zh-CN" w:bidi="ar-SA"/>
        </w:rPr>
        <w:t>%，其中：预算结余率大于10%的项目共计</w:t>
      </w:r>
      <w:r>
        <w:rPr>
          <w:rFonts w:hint="eastAsia" w:ascii="Times New Roman" w:hAnsi="Times New Roman"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zh-CN" w:eastAsia="zh-CN" w:bidi="ar-SA"/>
        </w:rPr>
        <w:t>个</w:t>
      </w:r>
      <w:r>
        <w:rPr>
          <w:rFonts w:hint="default" w:ascii="Times New Roman" w:hAnsi="Times New Roman" w:eastAsia="仿宋_GB2312" w:cs="仿宋_GB2312"/>
          <w:color w:val="auto"/>
          <w:kern w:val="2"/>
          <w:sz w:val="32"/>
          <w:szCs w:val="32"/>
          <w:highlight w:val="none"/>
          <w:lang w:val="zh-CN" w:eastAsia="zh-CN" w:bidi="ar-SA"/>
        </w:rPr>
        <w:t>。</w:t>
      </w:r>
    </w:p>
    <w:p w14:paraId="2A188D2D">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zh-CN" w:eastAsia="zh-CN" w:bidi="ar-SA"/>
        </w:rPr>
        <w:t>项目决策。围绕决策程序、目标设置、项目入库</w:t>
      </w:r>
      <w:r>
        <w:rPr>
          <w:rFonts w:hint="default" w:ascii="Times New Roman" w:hAnsi="Times New Roman" w:eastAsia="仿宋_GB2312" w:cs="仿宋_GB2312"/>
          <w:color w:val="auto"/>
          <w:kern w:val="2"/>
          <w:sz w:val="32"/>
          <w:szCs w:val="32"/>
          <w:highlight w:val="none"/>
          <w:lang w:val="zh-CN" w:eastAsia="zh-CN" w:bidi="ar-SA"/>
        </w:rPr>
        <w:t>进行绩效分析</w:t>
      </w:r>
      <w:r>
        <w:rPr>
          <w:rFonts w:hint="eastAsia" w:ascii="Times New Roman" w:hAnsi="Times New Roman" w:eastAsia="仿宋_GB2312" w:cs="仿宋_GB2312"/>
          <w:color w:val="auto"/>
          <w:kern w:val="2"/>
          <w:sz w:val="32"/>
          <w:szCs w:val="32"/>
          <w:highlight w:val="none"/>
          <w:lang w:val="zh-CN" w:eastAsia="zh-CN" w:bidi="ar-SA"/>
        </w:rPr>
        <w:t>。</w:t>
      </w:r>
    </w:p>
    <w:p w14:paraId="360F7CB7">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zh-CN" w:eastAsia="zh-CN" w:bidi="ar-SA"/>
        </w:rPr>
        <w:t>以202</w:t>
      </w:r>
      <w:r>
        <w:rPr>
          <w:rFonts w:hint="eastAsia" w:ascii="Times New Roman" w:hAnsi="Times New Roman" w:eastAsia="仿宋_GB2312" w:cs="仿宋_GB2312"/>
          <w:color w:val="auto"/>
          <w:kern w:val="2"/>
          <w:sz w:val="32"/>
          <w:szCs w:val="32"/>
          <w:highlight w:val="none"/>
          <w:lang w:val="en-US" w:eastAsia="zh-CN" w:bidi="ar-SA"/>
        </w:rPr>
        <w:t>4</w:t>
      </w:r>
      <w:r>
        <w:rPr>
          <w:rFonts w:hint="eastAsia" w:ascii="Times New Roman" w:hAnsi="Times New Roman" w:eastAsia="仿宋_GB2312" w:cs="仿宋_GB2312"/>
          <w:color w:val="auto"/>
          <w:kern w:val="2"/>
          <w:sz w:val="32"/>
          <w:szCs w:val="32"/>
          <w:highlight w:val="none"/>
          <w:lang w:val="zh-CN" w:eastAsia="zh-CN" w:bidi="ar-SA"/>
        </w:rPr>
        <w:t>工作安排为参考，以202</w:t>
      </w:r>
      <w:r>
        <w:rPr>
          <w:rFonts w:hint="eastAsia" w:ascii="Times New Roman" w:hAnsi="Times New Roman" w:eastAsia="仿宋_GB2312" w:cs="仿宋_GB2312"/>
          <w:color w:val="auto"/>
          <w:kern w:val="2"/>
          <w:sz w:val="32"/>
          <w:szCs w:val="32"/>
          <w:highlight w:val="none"/>
          <w:lang w:val="en-US" w:eastAsia="zh-CN" w:bidi="ar-SA"/>
        </w:rPr>
        <w:t>4</w:t>
      </w:r>
      <w:r>
        <w:rPr>
          <w:rFonts w:hint="eastAsia" w:ascii="Times New Roman" w:hAnsi="Times New Roman" w:eastAsia="仿宋_GB2312" w:cs="仿宋_GB2312"/>
          <w:color w:val="auto"/>
          <w:kern w:val="2"/>
          <w:sz w:val="32"/>
          <w:szCs w:val="32"/>
          <w:highlight w:val="none"/>
          <w:lang w:val="zh-CN" w:eastAsia="zh-CN" w:bidi="ar-SA"/>
        </w:rPr>
        <w:t>年工作计划为依据，预算安排共计</w:t>
      </w:r>
      <w:r>
        <w:rPr>
          <w:rFonts w:hint="eastAsia" w:ascii="Times New Roman" w:hAnsi="Times New Roman" w:eastAsia="仿宋_GB2312" w:cs="仿宋_GB2312"/>
          <w:color w:val="auto"/>
          <w:kern w:val="2"/>
          <w:sz w:val="32"/>
          <w:szCs w:val="32"/>
          <w:highlight w:val="none"/>
          <w:lang w:val="en-US" w:eastAsia="zh-CN" w:bidi="ar-SA"/>
        </w:rPr>
        <w:t>108.27</w:t>
      </w:r>
      <w:r>
        <w:rPr>
          <w:rFonts w:hint="eastAsia" w:ascii="Times New Roman" w:hAnsi="Times New Roman" w:eastAsia="仿宋_GB2312" w:cs="仿宋_GB2312"/>
          <w:color w:val="auto"/>
          <w:kern w:val="2"/>
          <w:sz w:val="32"/>
          <w:szCs w:val="32"/>
          <w:highlight w:val="none"/>
          <w:lang w:val="zh-CN" w:eastAsia="zh-CN" w:bidi="ar-SA"/>
        </w:rPr>
        <w:t>万元，以不断提高服务对象满意度，及时发现工作存在的问题，提升工人服务质量，提高政策知晓率。投入成本与预期产出及效果相匹配，成本测算依据充分。同时在支出过程中，严格履行政府采购程序，合理控制成本，确保资金投入与支出比例合理。当年实际支出</w:t>
      </w:r>
      <w:r>
        <w:rPr>
          <w:rFonts w:hint="eastAsia" w:ascii="Times New Roman" w:hAnsi="Times New Roman" w:eastAsia="仿宋_GB2312" w:cs="仿宋_GB2312"/>
          <w:color w:val="auto"/>
          <w:kern w:val="2"/>
          <w:sz w:val="32"/>
          <w:szCs w:val="32"/>
          <w:highlight w:val="none"/>
          <w:lang w:val="en-US" w:eastAsia="zh-CN" w:bidi="ar-SA"/>
        </w:rPr>
        <w:t>108.27</w:t>
      </w:r>
      <w:r>
        <w:rPr>
          <w:rFonts w:hint="eastAsia" w:ascii="Times New Roman" w:hAnsi="Times New Roman" w:eastAsia="仿宋_GB2312" w:cs="仿宋_GB2312"/>
          <w:color w:val="auto"/>
          <w:kern w:val="2"/>
          <w:sz w:val="32"/>
          <w:szCs w:val="32"/>
          <w:highlight w:val="none"/>
          <w:lang w:val="zh-CN" w:eastAsia="zh-CN" w:bidi="ar-SA"/>
        </w:rPr>
        <w:t>万元，执行率</w:t>
      </w:r>
      <w:r>
        <w:rPr>
          <w:rFonts w:hint="eastAsia" w:ascii="Times New Roman" w:hAnsi="Times New Roman"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zh-CN" w:eastAsia="zh-CN" w:bidi="ar-SA"/>
        </w:rPr>
        <w:t>%。</w:t>
      </w:r>
    </w:p>
    <w:p w14:paraId="5EF8EC3A">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2.项目执行</w:t>
      </w:r>
      <w:r>
        <w:rPr>
          <w:rFonts w:hint="eastAsia" w:ascii="Times New Roman" w:hAnsi="Times New Roman" w:eastAsia="仿宋_GB2312" w:cs="仿宋_GB2312"/>
          <w:color w:val="auto"/>
          <w:kern w:val="2"/>
          <w:sz w:val="32"/>
          <w:szCs w:val="32"/>
          <w:highlight w:val="none"/>
          <w:lang w:val="zh-CN" w:eastAsia="zh-CN" w:bidi="ar-SA"/>
        </w:rPr>
        <w:t>。围绕资金执行同向、项目调整、执行结果</w:t>
      </w:r>
      <w:r>
        <w:rPr>
          <w:rFonts w:hint="default" w:ascii="Times New Roman" w:hAnsi="Times New Roman" w:eastAsia="仿宋_GB2312" w:cs="仿宋_GB2312"/>
          <w:color w:val="auto"/>
          <w:kern w:val="2"/>
          <w:sz w:val="32"/>
          <w:szCs w:val="32"/>
          <w:highlight w:val="none"/>
          <w:lang w:val="zh-CN" w:eastAsia="zh-CN" w:bidi="ar-SA"/>
        </w:rPr>
        <w:t>进行绩效分析</w:t>
      </w:r>
      <w:r>
        <w:rPr>
          <w:rFonts w:hint="eastAsia" w:ascii="Times New Roman" w:hAnsi="Times New Roman" w:eastAsia="仿宋_GB2312" w:cs="仿宋_GB2312"/>
          <w:color w:val="auto"/>
          <w:kern w:val="2"/>
          <w:sz w:val="32"/>
          <w:szCs w:val="32"/>
          <w:highlight w:val="none"/>
          <w:lang w:val="zh-CN" w:eastAsia="zh-CN" w:bidi="ar-SA"/>
        </w:rPr>
        <w:t>。</w:t>
      </w:r>
    </w:p>
    <w:p w14:paraId="3A12757D">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zh-CN" w:eastAsia="zh-CN"/>
        </w:rPr>
        <w:t>项目实施期限主为202</w:t>
      </w:r>
      <w:r>
        <w:rPr>
          <w:rFonts w:hint="eastAsia" w:ascii="Times New Roman" w:hAnsi="Times New Roman" w:eastAsia="仿宋_GB2312" w:cs="Times New Roman"/>
          <w:sz w:val="32"/>
          <w:szCs w:val="32"/>
          <w:highlight w:val="none"/>
          <w:lang w:val="en-US" w:eastAsia="zh-CN"/>
        </w:rPr>
        <w:t>4</w:t>
      </w:r>
      <w:r>
        <w:rPr>
          <w:rFonts w:hint="eastAsia" w:ascii="Times New Roman" w:hAnsi="Times New Roman" w:eastAsia="仿宋_GB2312" w:cs="Times New Roman"/>
          <w:sz w:val="32"/>
          <w:szCs w:val="32"/>
          <w:highlight w:val="none"/>
          <w:lang w:val="zh-CN" w:eastAsia="zh-CN"/>
        </w:rPr>
        <w:t>年1月至12月，由</w:t>
      </w:r>
      <w:r>
        <w:rPr>
          <w:rFonts w:hint="eastAsia" w:ascii="Times New Roman" w:hAnsi="Times New Roman" w:eastAsia="仿宋_GB2312" w:cs="Times New Roman"/>
          <w:sz w:val="32"/>
          <w:szCs w:val="32"/>
          <w:highlight w:val="none"/>
          <w:lang w:val="en-US" w:eastAsia="zh-CN"/>
        </w:rPr>
        <w:t>西区公务服务中心</w:t>
      </w:r>
      <w:r>
        <w:rPr>
          <w:rFonts w:hint="eastAsia" w:ascii="Times New Roman" w:hAnsi="Times New Roman" w:eastAsia="仿宋_GB2312" w:cs="Times New Roman"/>
          <w:sz w:val="32"/>
          <w:szCs w:val="32"/>
          <w:highlight w:val="none"/>
          <w:lang w:val="zh-CN" w:eastAsia="zh-CN"/>
        </w:rPr>
        <w:t>申报，西区财政局审核批复，主要用于保障</w:t>
      </w:r>
      <w:r>
        <w:rPr>
          <w:rFonts w:hint="eastAsia" w:ascii="Times New Roman" w:hAnsi="Times New Roman" w:eastAsia="仿宋_GB2312" w:cs="Times New Roman"/>
          <w:sz w:val="32"/>
          <w:szCs w:val="32"/>
          <w:highlight w:val="none"/>
          <w:lang w:val="en-US" w:eastAsia="zh-CN"/>
        </w:rPr>
        <w:t>接待协调</w:t>
      </w:r>
      <w:r>
        <w:rPr>
          <w:rFonts w:hint="eastAsia" w:ascii="Times New Roman" w:hAnsi="Times New Roman" w:eastAsia="仿宋_GB2312" w:cs="Times New Roman"/>
          <w:sz w:val="32"/>
          <w:szCs w:val="32"/>
          <w:highlight w:val="none"/>
          <w:lang w:val="zh-CN" w:eastAsia="zh-CN"/>
        </w:rPr>
        <w:t>工作开展，加强项目实施过程中的监督审核，建立健全财政专项资金的公开机制、评审机制、跟踪检查机制，确保财政资金安全高效使用。</w:t>
      </w:r>
    </w:p>
    <w:p w14:paraId="73C850FB">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3.</w:t>
      </w:r>
      <w:r>
        <w:rPr>
          <w:rFonts w:hint="eastAsia" w:ascii="Times New Roman" w:hAnsi="Times New Roman" w:eastAsia="仿宋_GB2312" w:cs="仿宋_GB2312"/>
          <w:color w:val="auto"/>
          <w:kern w:val="2"/>
          <w:sz w:val="32"/>
          <w:szCs w:val="32"/>
          <w:highlight w:val="none"/>
          <w:lang w:val="zh-CN" w:eastAsia="zh-CN" w:bidi="ar-SA"/>
        </w:rPr>
        <w:t>目标实现。围绕目标完成、目标偏离、实现效果</w:t>
      </w:r>
      <w:r>
        <w:rPr>
          <w:rFonts w:hint="default" w:ascii="Times New Roman" w:hAnsi="Times New Roman" w:eastAsia="仿宋_GB2312" w:cs="仿宋_GB2312"/>
          <w:color w:val="auto"/>
          <w:kern w:val="2"/>
          <w:sz w:val="32"/>
          <w:szCs w:val="32"/>
          <w:highlight w:val="none"/>
          <w:lang w:val="zh-CN" w:eastAsia="zh-CN" w:bidi="ar-SA"/>
        </w:rPr>
        <w:t>进行绩效分析</w:t>
      </w:r>
      <w:r>
        <w:rPr>
          <w:rFonts w:hint="eastAsia" w:ascii="Times New Roman" w:hAnsi="Times New Roman" w:eastAsia="仿宋_GB2312" w:cs="仿宋_GB2312"/>
          <w:color w:val="auto"/>
          <w:kern w:val="2"/>
          <w:sz w:val="32"/>
          <w:szCs w:val="32"/>
          <w:highlight w:val="none"/>
          <w:lang w:val="zh-CN" w:eastAsia="zh-CN" w:bidi="ar-SA"/>
        </w:rPr>
        <w:t>。</w:t>
      </w:r>
    </w:p>
    <w:p w14:paraId="49ADEB33">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hint="default" w:ascii="Times New Roman" w:hAnsi="Times New Roman" w:eastAsia="仿宋_GB2312" w:cs="Times New Roman"/>
          <w:sz w:val="32"/>
          <w:szCs w:val="32"/>
          <w:highlight w:val="none"/>
          <w:u w:val="none"/>
          <w:lang w:val="en-US" w:eastAsia="zh-CN" w:bidi="ar"/>
        </w:rPr>
      </w:pPr>
      <w:r>
        <w:rPr>
          <w:rFonts w:hint="eastAsia" w:ascii="Times New Roman" w:hAnsi="Times New Roman" w:eastAsia="仿宋_GB2312" w:cs="Times New Roman"/>
          <w:sz w:val="32"/>
          <w:szCs w:val="32"/>
          <w:highlight w:val="none"/>
          <w:u w:val="none"/>
          <w:lang w:val="en-US" w:eastAsia="zh-CN" w:bidi="ar"/>
        </w:rPr>
        <w:t>2024年西区公务服务中心</w:t>
      </w:r>
      <w:r>
        <w:rPr>
          <w:rFonts w:hint="eastAsia" w:ascii="Times New Roman" w:hAnsi="Times New Roman" w:eastAsia="仿宋_GB2312" w:cs="Times New Roman"/>
          <w:sz w:val="32"/>
          <w:szCs w:val="32"/>
          <w:highlight w:val="none"/>
          <w:u w:val="none"/>
          <w:lang w:val="zh-CN" w:eastAsia="zh-CN" w:bidi="ar"/>
        </w:rPr>
        <w:t>预算资金</w:t>
      </w:r>
      <w:r>
        <w:rPr>
          <w:rFonts w:hint="eastAsia" w:ascii="Times New Roman" w:hAnsi="Times New Roman" w:eastAsia="仿宋_GB2312" w:cs="Times New Roman"/>
          <w:sz w:val="32"/>
          <w:szCs w:val="32"/>
          <w:highlight w:val="none"/>
          <w:u w:val="none"/>
          <w:lang w:val="en-US" w:eastAsia="zh-CN" w:bidi="ar"/>
        </w:rPr>
        <w:t>108.27</w:t>
      </w:r>
      <w:r>
        <w:rPr>
          <w:rFonts w:hint="eastAsia" w:ascii="Times New Roman" w:hAnsi="Times New Roman" w:eastAsia="仿宋_GB2312" w:cs="Times New Roman"/>
          <w:sz w:val="32"/>
          <w:szCs w:val="32"/>
          <w:highlight w:val="none"/>
          <w:u w:val="none"/>
          <w:lang w:val="zh-CN" w:eastAsia="zh-CN" w:bidi="ar"/>
        </w:rPr>
        <w:t>万元由区财政局纳入一体化管理平台统一管理，专款专用，资金拨付执行审批程序，使用规范，入账手续齐全。</w:t>
      </w:r>
    </w:p>
    <w:p w14:paraId="553DD5A4">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Times New Roman"/>
          <w:sz w:val="32"/>
          <w:szCs w:val="32"/>
          <w:u w:val="none"/>
          <w:lang w:val="en-US" w:eastAsia="zh-CN" w:bidi="ar"/>
        </w:rPr>
      </w:pPr>
      <w:r>
        <w:rPr>
          <w:rFonts w:hint="eastAsia" w:ascii="Times New Roman" w:hAnsi="Times New Roman" w:eastAsia="仿宋_GB2312" w:cs="Times New Roman"/>
          <w:sz w:val="32"/>
          <w:szCs w:val="32"/>
          <w:u w:val="none"/>
          <w:lang w:val="en-US" w:eastAsia="zh-CN" w:bidi="ar"/>
        </w:rPr>
        <w:t>（1）项目的经济效益分析。</w:t>
      </w:r>
    </w:p>
    <w:p w14:paraId="134E92DE">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Times New Roman"/>
          <w:sz w:val="32"/>
          <w:szCs w:val="32"/>
          <w:u w:val="none"/>
          <w:lang w:val="en-US" w:eastAsia="zh-CN" w:bidi="ar"/>
        </w:rPr>
      </w:pPr>
      <w:r>
        <w:rPr>
          <w:rFonts w:hint="eastAsia" w:ascii="Times New Roman" w:hAnsi="Times New Roman" w:eastAsia="仿宋_GB2312" w:cs="Times New Roman"/>
          <w:sz w:val="32"/>
          <w:szCs w:val="32"/>
          <w:u w:val="none"/>
          <w:lang w:val="en-US" w:eastAsia="zh-CN" w:bidi="ar"/>
        </w:rPr>
        <w:t>专项工作经费的预算符合国家财经法规和财务管理制度以及有关资金管理办法的规定，资金的拨付报帐有完整的审批程序和手续，资金使用符合项目预算批复，项目开展不超预算成本。严格执行项目管理制度，同时财务人员定期或不定期对资金使用、管理情况进行自查和检查，做到财务会计资料信息真实、及时、完整，资金的拨付有完整的审批程序和手续，各项制度执行落实较好，资金使用较为安全规范。项目开展控制在预算范围内。</w:t>
      </w:r>
    </w:p>
    <w:p w14:paraId="06AE5EBF">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Times New Roman"/>
          <w:sz w:val="32"/>
          <w:szCs w:val="32"/>
          <w:u w:val="none"/>
          <w:lang w:val="en-US" w:eastAsia="zh-CN" w:bidi="ar"/>
        </w:rPr>
      </w:pPr>
      <w:r>
        <w:rPr>
          <w:rFonts w:hint="eastAsia" w:ascii="Times New Roman" w:hAnsi="Times New Roman" w:eastAsia="仿宋_GB2312" w:cs="Times New Roman"/>
          <w:sz w:val="32"/>
          <w:szCs w:val="32"/>
          <w:u w:val="none"/>
          <w:lang w:val="en-US" w:eastAsia="zh-CN" w:bidi="ar"/>
        </w:rPr>
        <w:t>（2）项目的社会效益分析。</w:t>
      </w:r>
    </w:p>
    <w:p w14:paraId="1AF7CDEA">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Times New Roman"/>
          <w:sz w:val="32"/>
          <w:szCs w:val="32"/>
          <w:u w:val="none"/>
          <w:lang w:val="en-US" w:eastAsia="zh-CN" w:bidi="ar"/>
        </w:rPr>
      </w:pPr>
      <w:r>
        <w:rPr>
          <w:rFonts w:hint="eastAsia" w:ascii="Times New Roman" w:hAnsi="Times New Roman" w:eastAsia="仿宋_GB2312" w:cs="Times New Roman"/>
          <w:sz w:val="32"/>
          <w:szCs w:val="32"/>
          <w:u w:val="none"/>
          <w:lang w:val="en-US" w:eastAsia="zh-CN" w:bidi="ar"/>
        </w:rPr>
        <w:t>促进地方经济发展、促进社会进步、带动就业、提高人民生活水平，顺利完成工作任务，达到预期目标。</w:t>
      </w:r>
    </w:p>
    <w:p w14:paraId="2D301CF2">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Times New Roman"/>
          <w:sz w:val="32"/>
          <w:szCs w:val="32"/>
          <w:u w:val="none"/>
          <w:lang w:val="en-US" w:eastAsia="zh-CN" w:bidi="ar"/>
        </w:rPr>
      </w:pPr>
      <w:r>
        <w:rPr>
          <w:rFonts w:hint="eastAsia" w:ascii="Times New Roman" w:hAnsi="Times New Roman" w:eastAsia="仿宋_GB2312" w:cs="Times New Roman"/>
          <w:sz w:val="32"/>
          <w:szCs w:val="32"/>
          <w:u w:val="none"/>
          <w:lang w:val="en-US" w:eastAsia="zh-CN" w:bidi="ar"/>
        </w:rPr>
        <w:t>（3）项目的可持续性分析。</w:t>
      </w:r>
    </w:p>
    <w:p w14:paraId="48AEB05F">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Times New Roman"/>
          <w:sz w:val="32"/>
          <w:szCs w:val="32"/>
          <w:u w:val="none"/>
          <w:lang w:val="en-US" w:eastAsia="zh-CN" w:bidi="ar"/>
        </w:rPr>
      </w:pPr>
      <w:r>
        <w:rPr>
          <w:rFonts w:hint="eastAsia" w:ascii="Times New Roman" w:hAnsi="Times New Roman" w:eastAsia="仿宋_GB2312" w:cs="Times New Roman"/>
          <w:sz w:val="32"/>
          <w:szCs w:val="32"/>
          <w:u w:val="none"/>
          <w:lang w:val="en-US" w:eastAsia="zh-CN" w:bidi="ar"/>
        </w:rPr>
        <w:t>2024年度较好地完成了年初制定的工作目标任务，各个项目有序开展，整体支出平稳，较好地实现了社会效益和可持续效益目标。</w:t>
      </w:r>
    </w:p>
    <w:p w14:paraId="6BEF0371">
      <w:pPr>
        <w:keepNext w:val="0"/>
        <w:keepLines w:val="0"/>
        <w:pageBreakBefore w:val="0"/>
        <w:widowControl w:val="0"/>
        <w:kinsoku/>
        <w:wordWrap/>
        <w:overflowPunct/>
        <w:topLinePunct w:val="0"/>
        <w:autoSpaceDE/>
        <w:autoSpaceDN/>
        <w:bidi w:val="0"/>
        <w:snapToGrid w:val="0"/>
        <w:spacing w:line="600" w:lineRule="exact"/>
        <w:ind w:firstLine="643" w:firstLineChars="200"/>
        <w:textAlignment w:val="auto"/>
        <w:rPr>
          <w:rFonts w:hint="default" w:ascii="Times New Roman" w:hAnsi="Times New Roman" w:eastAsia="仿宋_GB2312" w:cs="Times New Roman"/>
          <w:sz w:val="32"/>
          <w:szCs w:val="32"/>
          <w:highlight w:val="none"/>
          <w:u w:val="none"/>
          <w:lang w:bidi="ar"/>
        </w:rPr>
      </w:pPr>
      <w:r>
        <w:rPr>
          <w:rFonts w:hint="default" w:ascii="Times New Roman" w:hAnsi="Times New Roman" w:eastAsia="楷体_GB2312" w:cs="Times New Roman"/>
          <w:b/>
          <w:bCs/>
          <w:color w:val="000000"/>
          <w:kern w:val="0"/>
          <w:sz w:val="32"/>
          <w:szCs w:val="32"/>
          <w:highlight w:val="none"/>
          <w:shd w:val="clear" w:color="auto" w:fill="FFFFFF"/>
          <w:lang w:val="zh-CN" w:eastAsia="zh-CN"/>
        </w:rPr>
        <w:t>（</w:t>
      </w:r>
      <w:r>
        <w:rPr>
          <w:rFonts w:hint="eastAsia" w:eastAsia="楷体_GB2312" w:cs="Times New Roman"/>
          <w:b/>
          <w:bCs/>
          <w:color w:val="000000"/>
          <w:kern w:val="0"/>
          <w:sz w:val="32"/>
          <w:szCs w:val="32"/>
          <w:highlight w:val="none"/>
          <w:shd w:val="clear" w:color="auto" w:fill="FFFFFF"/>
          <w:lang w:val="en-US" w:eastAsia="zh-CN"/>
        </w:rPr>
        <w:t>三</w:t>
      </w:r>
      <w:r>
        <w:rPr>
          <w:rFonts w:hint="default" w:ascii="Times New Roman" w:hAnsi="Times New Roman" w:eastAsia="楷体_GB2312" w:cs="Times New Roman"/>
          <w:b/>
          <w:bCs/>
          <w:color w:val="000000"/>
          <w:kern w:val="0"/>
          <w:sz w:val="32"/>
          <w:szCs w:val="32"/>
          <w:highlight w:val="none"/>
          <w:shd w:val="clear" w:color="auto" w:fill="FFFFFF"/>
          <w:lang w:val="zh-CN" w:eastAsia="zh-CN"/>
        </w:rPr>
        <w:t>）绩效结果应用情况</w:t>
      </w:r>
      <w:r>
        <w:rPr>
          <w:rFonts w:hint="eastAsia" w:ascii="Times New Roman" w:hAnsi="Times New Roman" w:eastAsia="楷体_GB2312" w:cs="Times New Roman"/>
          <w:b/>
          <w:bCs/>
          <w:color w:val="000000"/>
          <w:kern w:val="0"/>
          <w:sz w:val="32"/>
          <w:szCs w:val="32"/>
          <w:highlight w:val="none"/>
          <w:shd w:val="clear" w:color="auto" w:fill="FFFFFF"/>
          <w:lang w:val="zh-CN" w:eastAsia="zh-CN"/>
        </w:rPr>
        <w:t>。</w:t>
      </w:r>
      <w:r>
        <w:rPr>
          <w:rFonts w:hint="eastAsia" w:ascii="Times New Roman" w:hAnsi="Times New Roman" w:eastAsia="仿宋_GB2312" w:cs="Times New Roman"/>
          <w:sz w:val="32"/>
          <w:szCs w:val="32"/>
          <w:highlight w:val="none"/>
          <w:u w:val="none"/>
          <w:lang w:val="zh-CN" w:eastAsia="zh-CN" w:bidi="ar"/>
        </w:rPr>
        <w:t>围绕内部应用情况、</w:t>
      </w:r>
      <w:r>
        <w:rPr>
          <w:rFonts w:hint="default" w:ascii="Times New Roman" w:hAnsi="Times New Roman" w:eastAsia="仿宋_GB2312" w:cs="Times New Roman"/>
          <w:sz w:val="32"/>
          <w:szCs w:val="32"/>
          <w:highlight w:val="none"/>
          <w:u w:val="none"/>
          <w:lang w:val="zh-CN" w:eastAsia="zh-CN" w:bidi="ar"/>
        </w:rPr>
        <w:t>信息公开情况</w:t>
      </w:r>
      <w:r>
        <w:rPr>
          <w:rFonts w:hint="eastAsia" w:ascii="Times New Roman" w:hAnsi="Times New Roman" w:eastAsia="仿宋_GB2312" w:cs="Times New Roman"/>
          <w:sz w:val="32"/>
          <w:szCs w:val="32"/>
          <w:highlight w:val="none"/>
          <w:u w:val="none"/>
          <w:lang w:val="zh-CN" w:eastAsia="zh-CN" w:bidi="ar"/>
        </w:rPr>
        <w:t>、</w:t>
      </w:r>
      <w:r>
        <w:rPr>
          <w:rFonts w:hint="default" w:ascii="Times New Roman" w:hAnsi="Times New Roman" w:eastAsia="仿宋_GB2312" w:cs="Times New Roman"/>
          <w:sz w:val="32"/>
          <w:szCs w:val="32"/>
          <w:highlight w:val="none"/>
          <w:u w:val="none"/>
          <w:lang w:val="zh-CN" w:eastAsia="zh-CN" w:bidi="ar"/>
        </w:rPr>
        <w:t>整改反馈情况</w:t>
      </w:r>
      <w:r>
        <w:rPr>
          <w:rFonts w:hint="eastAsia" w:ascii="Times New Roman" w:hAnsi="Times New Roman" w:eastAsia="仿宋_GB2312" w:cs="Times New Roman"/>
          <w:sz w:val="32"/>
          <w:szCs w:val="32"/>
          <w:highlight w:val="none"/>
          <w:u w:val="none"/>
          <w:lang w:val="zh-CN" w:eastAsia="zh-CN" w:bidi="ar"/>
        </w:rPr>
        <w:t>进行分析。</w:t>
      </w:r>
    </w:p>
    <w:p w14:paraId="2FAA59D3">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Times New Roman"/>
          <w:sz w:val="32"/>
          <w:szCs w:val="32"/>
          <w:u w:val="none"/>
          <w:lang w:val="zh-CN" w:eastAsia="zh-CN" w:bidi="ar"/>
        </w:rPr>
      </w:pPr>
      <w:r>
        <w:rPr>
          <w:rFonts w:hint="eastAsia" w:ascii="Times New Roman" w:hAnsi="Times New Roman" w:eastAsia="仿宋_GB2312" w:cs="Times New Roman"/>
          <w:sz w:val="32"/>
          <w:szCs w:val="32"/>
          <w:u w:val="none"/>
          <w:lang w:val="zh-CN" w:eastAsia="zh-CN" w:bidi="ar"/>
        </w:rPr>
        <w:t>本单位所有开支均按照财管管理制度执行，资金的使用严格把关，机关的日常工作运行基本得到保障。绩效评价对全年工作目标起到积极的促进作用。强调部门目标的层层分解与传递以明确岗位职责提高执行力，为明年的工作开展及实施奠定坚实的基础。我单位将绩效自评结果运用到下一年工作的统筹安排、项目资金划拨及按照工作任务的重要性来明确资金使用上，以提高工作效率保质保量完成区委区政府交办的各项工作任务。在绩效自评工作完成后将结果放在攀枝花市西区人民政府网站政务公开栏目中公开公示。</w:t>
      </w:r>
    </w:p>
    <w:p w14:paraId="6C92041A">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rPr>
      </w:pPr>
      <w:r>
        <w:rPr>
          <w:rFonts w:hint="default" w:ascii="Times New Roman" w:hAnsi="Times New Roman" w:eastAsia="黑体" w:cs="Times New Roman"/>
          <w:color w:val="000000"/>
          <w:kern w:val="0"/>
          <w:sz w:val="32"/>
          <w:szCs w:val="32"/>
          <w:highlight w:val="none"/>
          <w:shd w:val="clear" w:color="auto" w:fill="FFFFFF"/>
          <w:lang w:val="zh-CN" w:eastAsia="zh-CN"/>
        </w:rPr>
        <w:t>四、</w:t>
      </w:r>
      <w:r>
        <w:rPr>
          <w:rFonts w:hint="default" w:ascii="Times New Roman" w:hAnsi="Times New Roman" w:eastAsia="黑体" w:cs="Times New Roman"/>
          <w:color w:val="000000"/>
          <w:kern w:val="0"/>
          <w:sz w:val="32"/>
          <w:szCs w:val="32"/>
          <w:highlight w:val="none"/>
          <w:shd w:val="clear" w:color="auto" w:fill="FFFFFF"/>
          <w:lang w:val="zh-CN"/>
        </w:rPr>
        <w:t>评价结论及建议</w:t>
      </w:r>
    </w:p>
    <w:p w14:paraId="3595873B">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仿宋_GB2312" w:cs="Times New Roman"/>
          <w:sz w:val="32"/>
          <w:szCs w:val="32"/>
          <w:u w:val="none"/>
          <w:lang w:val="en-US" w:eastAsia="zh-CN" w:bidi="ar"/>
        </w:rPr>
      </w:pPr>
      <w:r>
        <w:rPr>
          <w:rFonts w:hint="default" w:ascii="Times New Roman" w:hAnsi="Times New Roman" w:eastAsia="楷体_GB2312" w:cs="Times New Roman"/>
          <w:b/>
          <w:bCs/>
          <w:color w:val="000000"/>
          <w:kern w:val="0"/>
          <w:sz w:val="32"/>
          <w:szCs w:val="32"/>
          <w:highlight w:val="none"/>
          <w:shd w:val="clear" w:color="auto" w:fill="FFFFFF"/>
          <w:lang w:val="zh-CN"/>
        </w:rPr>
        <w:t>（一）评价结论。</w:t>
      </w:r>
      <w:r>
        <w:rPr>
          <w:rFonts w:hint="eastAsia" w:ascii="Times New Roman" w:hAnsi="Times New Roman" w:eastAsia="仿宋_GB2312" w:cs="Times New Roman"/>
          <w:sz w:val="32"/>
          <w:szCs w:val="32"/>
          <w:u w:val="none"/>
          <w:lang w:val="en-US" w:eastAsia="zh-CN" w:bidi="ar"/>
        </w:rPr>
        <w:t>简要阐述</w:t>
      </w:r>
      <w:r>
        <w:rPr>
          <w:rFonts w:hint="eastAsia" w:eastAsia="仿宋_GB2312" w:cs="Times New Roman"/>
          <w:sz w:val="32"/>
          <w:szCs w:val="32"/>
          <w:u w:val="none"/>
          <w:lang w:val="en-US" w:eastAsia="zh-CN" w:bidi="ar"/>
        </w:rPr>
        <w:t>单位</w:t>
      </w:r>
      <w:r>
        <w:rPr>
          <w:rFonts w:hint="eastAsia" w:ascii="Times New Roman" w:hAnsi="Times New Roman" w:eastAsia="仿宋_GB2312" w:cs="Times New Roman"/>
          <w:sz w:val="32"/>
          <w:szCs w:val="32"/>
          <w:u w:val="none"/>
          <w:lang w:val="en-US" w:eastAsia="zh-CN" w:bidi="ar"/>
        </w:rPr>
        <w:t>预算绩效自评总体结论，其中必须包含自评得分。</w:t>
      </w:r>
    </w:p>
    <w:p w14:paraId="492C1F61">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Times New Roman"/>
          <w:sz w:val="32"/>
          <w:szCs w:val="32"/>
          <w:u w:val="none"/>
          <w:lang w:val="zh-CN" w:eastAsia="zh-CN" w:bidi="ar"/>
        </w:rPr>
      </w:pPr>
      <w:r>
        <w:rPr>
          <w:rFonts w:hint="eastAsia" w:ascii="Times New Roman" w:hAnsi="Times New Roman" w:eastAsia="仿宋_GB2312" w:cs="Times New Roman"/>
          <w:sz w:val="32"/>
          <w:szCs w:val="32"/>
          <w:u w:val="none"/>
          <w:lang w:val="en-US" w:eastAsia="zh-CN" w:bidi="ar"/>
        </w:rPr>
        <w:t>2024年西区公务服务中心整体支出绩效自评较科学准确，真实地反映了本单位财政收支情况，较好完成年初绩效目标任务，自评优秀。评价得分97分,其中总体绩效62分，项目绩效35分。</w:t>
      </w:r>
    </w:p>
    <w:p w14:paraId="5AAF6A4E">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Times New Roman" w:hAnsi="Times New Roman" w:eastAsia="仿宋_GB2312" w:cs="Times New Roman"/>
          <w:sz w:val="32"/>
          <w:szCs w:val="32"/>
          <w:u w:val="none"/>
          <w:lang w:val="en-US" w:eastAsia="zh-CN" w:bidi="ar"/>
        </w:rPr>
      </w:pPr>
      <w:r>
        <w:rPr>
          <w:rFonts w:hint="default" w:ascii="Times New Roman" w:hAnsi="Times New Roman" w:eastAsia="楷体_GB2312" w:cs="Times New Roman"/>
          <w:b/>
          <w:bCs/>
          <w:color w:val="000000"/>
          <w:kern w:val="0"/>
          <w:sz w:val="32"/>
          <w:szCs w:val="32"/>
          <w:highlight w:val="none"/>
          <w:shd w:val="clear" w:color="auto" w:fill="FFFFFF"/>
          <w:lang w:val="zh-CN"/>
        </w:rPr>
        <w:t>（二）存在问题。</w:t>
      </w:r>
      <w:r>
        <w:rPr>
          <w:rFonts w:hint="eastAsia" w:ascii="Times New Roman" w:hAnsi="Times New Roman" w:eastAsia="仿宋_GB2312" w:cs="Times New Roman"/>
          <w:sz w:val="32"/>
          <w:szCs w:val="32"/>
          <w:u w:val="none"/>
          <w:lang w:val="en-US" w:eastAsia="zh-CN" w:bidi="ar"/>
        </w:rPr>
        <w:t>简要阐述</w:t>
      </w:r>
      <w:r>
        <w:rPr>
          <w:rFonts w:hint="eastAsia" w:eastAsia="仿宋_GB2312" w:cs="Times New Roman"/>
          <w:sz w:val="32"/>
          <w:szCs w:val="32"/>
          <w:u w:val="none"/>
          <w:lang w:val="en-US" w:eastAsia="zh-CN" w:bidi="ar"/>
        </w:rPr>
        <w:t>单位</w:t>
      </w:r>
      <w:r>
        <w:rPr>
          <w:rFonts w:hint="eastAsia" w:ascii="Times New Roman" w:hAnsi="Times New Roman" w:eastAsia="仿宋_GB2312" w:cs="Times New Roman"/>
          <w:sz w:val="32"/>
          <w:szCs w:val="32"/>
          <w:u w:val="none"/>
          <w:lang w:val="en-US" w:eastAsia="zh-CN" w:bidi="ar"/>
        </w:rPr>
        <w:t>预算绩效自评发现的主要问题。</w:t>
      </w:r>
    </w:p>
    <w:p w14:paraId="3DD32C5D">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Times New Roman"/>
          <w:sz w:val="32"/>
          <w:szCs w:val="32"/>
          <w:u w:val="none"/>
          <w:lang w:val="zh-CN" w:eastAsia="zh-CN" w:bidi="ar"/>
        </w:rPr>
      </w:pPr>
      <w:r>
        <w:rPr>
          <w:rFonts w:hint="default" w:ascii="Times New Roman" w:hAnsi="Times New Roman" w:eastAsia="仿宋_GB2312" w:cs="Times New Roman"/>
          <w:sz w:val="32"/>
          <w:szCs w:val="32"/>
          <w:u w:val="none"/>
          <w:lang w:val="en-US" w:eastAsia="zh-CN" w:bidi="ar"/>
        </w:rPr>
        <w:t>一是在资金安排和使用上仍有不可预见性：如在预算执行中，有时会因临时新增重要的工作任务或者人员增加发生新的费用，而年初预算时很难精确测算相关支出，导致预算执行中需要追加经费；二是因为个别专项工作需按照上级部门安排部署开展，本年度无法完成，导致项目资金结转下年</w:t>
      </w:r>
      <w:r>
        <w:rPr>
          <w:rFonts w:hint="eastAsia" w:ascii="Times New Roman" w:hAnsi="Times New Roman" w:eastAsia="仿宋_GB2312" w:cs="Times New Roman"/>
          <w:sz w:val="32"/>
          <w:szCs w:val="32"/>
          <w:u w:val="none"/>
          <w:lang w:val="en-US" w:eastAsia="zh-CN" w:bidi="ar"/>
        </w:rPr>
        <w:t>。</w:t>
      </w:r>
    </w:p>
    <w:p w14:paraId="39D66E75">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Times New Roman" w:hAnsi="Times New Roman" w:eastAsia="仿宋_GB2312" w:cs="Times New Roman"/>
          <w:sz w:val="32"/>
          <w:szCs w:val="32"/>
          <w:u w:val="none"/>
          <w:lang w:val="en" w:eastAsia="zh-CN" w:bidi="ar"/>
        </w:rPr>
      </w:pPr>
      <w:r>
        <w:rPr>
          <w:rFonts w:hint="default" w:ascii="Times New Roman" w:hAnsi="Times New Roman" w:eastAsia="楷体_GB2312" w:cs="Times New Roman"/>
          <w:b/>
          <w:bCs/>
          <w:color w:val="000000"/>
          <w:kern w:val="0"/>
          <w:sz w:val="32"/>
          <w:szCs w:val="32"/>
          <w:highlight w:val="none"/>
          <w:shd w:val="clear" w:color="auto" w:fill="FFFFFF"/>
          <w:lang w:val="zh-CN" w:eastAsia="zh-CN"/>
        </w:rPr>
        <w:t>（三）改进建议。</w:t>
      </w:r>
      <w:r>
        <w:rPr>
          <w:rFonts w:hint="eastAsia" w:ascii="Times New Roman" w:hAnsi="Times New Roman" w:eastAsia="仿宋_GB2312" w:cs="Times New Roman"/>
          <w:sz w:val="32"/>
          <w:szCs w:val="32"/>
          <w:u w:val="none"/>
          <w:lang w:val="en-US" w:eastAsia="zh-CN" w:bidi="ar"/>
        </w:rPr>
        <w:t>简要阐述</w:t>
      </w:r>
      <w:bookmarkStart w:id="49" w:name="_Hlk110546638"/>
      <w:r>
        <w:rPr>
          <w:rFonts w:hint="eastAsia" w:ascii="Times New Roman" w:hAnsi="Times New Roman" w:eastAsia="仿宋_GB2312" w:cs="Times New Roman"/>
          <w:sz w:val="32"/>
          <w:szCs w:val="32"/>
          <w:u w:val="none"/>
          <w:lang w:val="en" w:eastAsia="zh-CN" w:bidi="ar"/>
        </w:rPr>
        <w:t>预算安排、完善政策、改进管理等方面的</w:t>
      </w:r>
      <w:r>
        <w:rPr>
          <w:rFonts w:hint="eastAsia" w:ascii="Times New Roman" w:hAnsi="Times New Roman" w:eastAsia="仿宋_GB2312" w:cs="Times New Roman"/>
          <w:sz w:val="32"/>
          <w:szCs w:val="32"/>
          <w:u w:val="none"/>
          <w:lang w:val="en-US" w:eastAsia="zh-CN" w:bidi="ar"/>
        </w:rPr>
        <w:t>措施</w:t>
      </w:r>
      <w:r>
        <w:rPr>
          <w:rFonts w:hint="eastAsia" w:ascii="Times New Roman" w:hAnsi="Times New Roman" w:eastAsia="仿宋_GB2312" w:cs="Times New Roman"/>
          <w:sz w:val="32"/>
          <w:szCs w:val="32"/>
          <w:u w:val="none"/>
          <w:lang w:val="en" w:eastAsia="zh-CN" w:bidi="ar"/>
        </w:rPr>
        <w:t>建议，其中</w:t>
      </w:r>
      <w:r>
        <w:rPr>
          <w:rFonts w:hint="eastAsia" w:ascii="Times New Roman" w:hAnsi="Times New Roman" w:eastAsia="仿宋_GB2312" w:cs="Times New Roman"/>
          <w:sz w:val="32"/>
          <w:szCs w:val="32"/>
          <w:u w:val="none"/>
          <w:lang w:val="en-US" w:eastAsia="zh-CN" w:bidi="ar"/>
        </w:rPr>
        <w:t>必须对应评价发现的主要问题一一提出措施建议。</w:t>
      </w:r>
    </w:p>
    <w:bookmarkEnd w:id="49"/>
    <w:p w14:paraId="7F9997AE">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进一步完善和加强单位内部财务管理制度，加强预算编制的精准性及预算项目的可实施性，加强资金使用动态管理，确保资金使用效益最大化。</w:t>
      </w:r>
    </w:p>
    <w:p w14:paraId="126AA8CD">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r>
        <w:rPr>
          <w:rFonts w:hint="eastAsia" w:ascii="Times New Roman" w:hAnsi="Times New Roman" w:eastAsia="仿宋_GB2312" w:cs="Times New Roman"/>
          <w:kern w:val="2"/>
          <w:sz w:val="32"/>
          <w:szCs w:val="32"/>
          <w:u w:val="none"/>
          <w:lang w:val="zh-CN" w:eastAsia="zh-CN" w:bidi="ar"/>
        </w:rPr>
        <w:t>附表：</w:t>
      </w:r>
      <w:r>
        <w:rPr>
          <w:rFonts w:hint="eastAsia" w:ascii="Times New Roman" w:eastAsia="仿宋_GB2312" w:cs="Times New Roman"/>
          <w:kern w:val="2"/>
          <w:sz w:val="32"/>
          <w:szCs w:val="32"/>
          <w:u w:val="none"/>
          <w:lang w:val="en-US" w:eastAsia="zh-CN" w:bidi="ar"/>
        </w:rPr>
        <w:t>单位</w:t>
      </w:r>
      <w:r>
        <w:rPr>
          <w:rFonts w:hint="eastAsia" w:ascii="Times New Roman" w:hAnsi="Times New Roman" w:eastAsia="仿宋_GB2312" w:cs="Times New Roman"/>
          <w:kern w:val="2"/>
          <w:sz w:val="32"/>
          <w:szCs w:val="32"/>
          <w:u w:val="none"/>
          <w:lang w:val="en-US" w:eastAsia="zh-CN" w:bidi="ar"/>
        </w:rPr>
        <w:t>预算项目支出绩效自评表（2024年度）</w:t>
      </w:r>
    </w:p>
    <w:p w14:paraId="7188EDD4">
      <w:pPr>
        <w:pStyle w:val="7"/>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sz w:val="32"/>
          <w:szCs w:val="32"/>
          <w:highlight w:val="yellow"/>
          <w:lang w:val="zh-CN" w:eastAsia="zh-CN"/>
        </w:rPr>
      </w:pPr>
    </w:p>
    <w:p w14:paraId="787EECF6">
      <w:pPr>
        <w:pStyle w:val="5"/>
        <w:rPr>
          <w:rFonts w:hint="eastAsia" w:ascii="Times New Roman" w:hAnsi="Times New Roman" w:cs="宋体"/>
          <w:color w:val="FF0000"/>
          <w:kern w:val="0"/>
          <w:sz w:val="32"/>
          <w:szCs w:val="32"/>
          <w:highlight w:val="yellow"/>
          <w:shd w:val="clear" w:color="auto" w:fill="FFFFFF"/>
          <w:lang w:val="zh-CN"/>
        </w:rPr>
      </w:pPr>
    </w:p>
    <w:p w14:paraId="24A99293">
      <w:pPr>
        <w:widowControl/>
        <w:jc w:val="center"/>
        <w:rPr>
          <w:rFonts w:hint="eastAsia" w:ascii="Times New Roman" w:hAnsi="Times New Roman" w:eastAsia="黑体"/>
          <w:color w:val="auto"/>
          <w:sz w:val="44"/>
          <w:szCs w:val="44"/>
          <w:highlight w:val="none"/>
        </w:rPr>
      </w:pPr>
      <w:bookmarkStart w:id="50" w:name="_Toc15396618"/>
    </w:p>
    <w:p w14:paraId="6E65864F">
      <w:pPr>
        <w:widowControl/>
        <w:jc w:val="center"/>
        <w:rPr>
          <w:rFonts w:hint="eastAsia" w:ascii="Times New Roman" w:hAnsi="Times New Roman" w:eastAsia="黑体"/>
          <w:color w:val="auto"/>
          <w:sz w:val="44"/>
          <w:szCs w:val="44"/>
          <w:highlight w:val="none"/>
        </w:rPr>
      </w:pPr>
    </w:p>
    <w:p w14:paraId="6B7992D6">
      <w:pPr>
        <w:widowControl/>
        <w:jc w:val="center"/>
        <w:rPr>
          <w:rFonts w:hint="eastAsia" w:ascii="Times New Roman" w:hAnsi="Times New Roman" w:eastAsia="黑体"/>
          <w:color w:val="auto"/>
          <w:sz w:val="44"/>
          <w:szCs w:val="44"/>
          <w:highlight w:val="none"/>
        </w:rPr>
      </w:pPr>
    </w:p>
    <w:p w14:paraId="49357A9E">
      <w:pPr>
        <w:widowControl/>
        <w:jc w:val="center"/>
        <w:rPr>
          <w:rFonts w:hint="eastAsia" w:ascii="Times New Roman" w:hAnsi="Times New Roman" w:eastAsia="黑体"/>
          <w:color w:val="auto"/>
          <w:sz w:val="44"/>
          <w:szCs w:val="44"/>
          <w:highlight w:val="none"/>
        </w:rPr>
      </w:pPr>
    </w:p>
    <w:p w14:paraId="5C616E28">
      <w:pPr>
        <w:widowControl/>
        <w:jc w:val="center"/>
        <w:rPr>
          <w:rFonts w:hint="eastAsia" w:ascii="Times New Roman" w:hAnsi="Times New Roman" w:eastAsia="黑体"/>
          <w:color w:val="auto"/>
          <w:sz w:val="44"/>
          <w:szCs w:val="44"/>
          <w:highlight w:val="none"/>
        </w:rPr>
      </w:pPr>
    </w:p>
    <w:p w14:paraId="077148D5">
      <w:pPr>
        <w:widowControl/>
        <w:jc w:val="center"/>
        <w:rPr>
          <w:rFonts w:hint="eastAsia" w:ascii="Times New Roman" w:hAnsi="Times New Roman" w:eastAsia="黑体"/>
          <w:color w:val="auto"/>
          <w:sz w:val="44"/>
          <w:szCs w:val="44"/>
          <w:highlight w:val="none"/>
        </w:rPr>
      </w:pPr>
    </w:p>
    <w:p w14:paraId="255A7F21">
      <w:pPr>
        <w:widowControl/>
        <w:jc w:val="center"/>
        <w:rPr>
          <w:rFonts w:hint="eastAsia" w:ascii="Times New Roman" w:hAnsi="Times New Roman" w:eastAsia="黑体"/>
          <w:color w:val="auto"/>
          <w:sz w:val="44"/>
          <w:szCs w:val="44"/>
          <w:highlight w:val="none"/>
        </w:rPr>
      </w:pPr>
    </w:p>
    <w:p w14:paraId="76742AE9">
      <w:pPr>
        <w:widowControl/>
        <w:jc w:val="center"/>
        <w:rPr>
          <w:rFonts w:hint="eastAsia" w:ascii="Times New Roman" w:hAnsi="Times New Roman" w:eastAsia="黑体"/>
          <w:color w:val="auto"/>
          <w:sz w:val="44"/>
          <w:szCs w:val="44"/>
          <w:highlight w:val="none"/>
        </w:rPr>
      </w:pPr>
    </w:p>
    <w:p w14:paraId="35D99135">
      <w:pPr>
        <w:widowControl/>
        <w:jc w:val="center"/>
        <w:rPr>
          <w:rFonts w:hint="eastAsia" w:ascii="Times New Roman" w:hAnsi="Times New Roman" w:eastAsia="黑体"/>
          <w:color w:val="auto"/>
          <w:sz w:val="44"/>
          <w:szCs w:val="44"/>
          <w:highlight w:val="none"/>
        </w:rPr>
      </w:pPr>
    </w:p>
    <w:p w14:paraId="12DA0945">
      <w:pPr>
        <w:widowControl/>
        <w:jc w:val="center"/>
        <w:rPr>
          <w:rFonts w:hint="eastAsia" w:ascii="Times New Roman" w:hAnsi="Times New Roman" w:eastAsia="黑体"/>
          <w:color w:val="auto"/>
          <w:sz w:val="44"/>
          <w:szCs w:val="44"/>
          <w:highlight w:val="none"/>
        </w:rPr>
      </w:pPr>
    </w:p>
    <w:p w14:paraId="64D44E76">
      <w:pPr>
        <w:widowControl/>
        <w:jc w:val="center"/>
        <w:rPr>
          <w:rFonts w:hint="eastAsia" w:ascii="Times New Roman" w:hAnsi="Times New Roman" w:eastAsia="黑体"/>
          <w:color w:val="auto"/>
          <w:sz w:val="44"/>
          <w:szCs w:val="44"/>
          <w:highlight w:val="none"/>
        </w:rPr>
      </w:pPr>
    </w:p>
    <w:p w14:paraId="58DA33A7">
      <w:pPr>
        <w:widowControl/>
        <w:jc w:val="center"/>
        <w:rPr>
          <w:rFonts w:hint="eastAsia" w:ascii="Times New Roman" w:hAnsi="Times New Roman" w:eastAsia="黑体"/>
          <w:color w:val="auto"/>
          <w:sz w:val="44"/>
          <w:szCs w:val="44"/>
          <w:highlight w:val="none"/>
        </w:rPr>
      </w:pPr>
    </w:p>
    <w:p w14:paraId="55EBABEC">
      <w:pPr>
        <w:widowControl/>
        <w:jc w:val="center"/>
        <w:rPr>
          <w:rFonts w:hint="eastAsia" w:ascii="Times New Roman" w:hAnsi="Times New Roman" w:eastAsia="黑体"/>
          <w:color w:val="auto"/>
          <w:sz w:val="44"/>
          <w:szCs w:val="44"/>
          <w:highlight w:val="none"/>
        </w:rPr>
      </w:pPr>
    </w:p>
    <w:p w14:paraId="117643D4">
      <w:pPr>
        <w:widowControl/>
        <w:jc w:val="center"/>
        <w:rPr>
          <w:rFonts w:hint="eastAsia" w:ascii="Times New Roman" w:hAnsi="Times New Roman" w:eastAsia="仿宋"/>
          <w:b w:val="0"/>
          <w:color w:val="auto"/>
          <w:highlight w:val="none"/>
        </w:rPr>
      </w:pPr>
      <w:r>
        <w:rPr>
          <w:rFonts w:hint="eastAsia" w:ascii="Times New Roman" w:hAnsi="Times New Roman" w:eastAsia="黑体"/>
          <w:color w:val="auto"/>
          <w:sz w:val="44"/>
          <w:szCs w:val="44"/>
          <w:highlight w:val="none"/>
        </w:rPr>
        <w:t>第</w:t>
      </w:r>
      <w:r>
        <w:rPr>
          <w:rStyle w:val="28"/>
          <w:rFonts w:hint="eastAsia" w:ascii="Times New Roman" w:hAnsi="Times New Roman" w:eastAsia="黑体"/>
          <w:b w:val="0"/>
          <w:color w:val="auto"/>
          <w:highlight w:val="none"/>
        </w:rPr>
        <w:t>五部分 附表</w:t>
      </w:r>
      <w:bookmarkEnd w:id="47"/>
      <w:bookmarkEnd w:id="50"/>
      <w:bookmarkStart w:id="51" w:name="_Toc15396619"/>
    </w:p>
    <w:p w14:paraId="1FB0465C">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14:paraId="2CF62457">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bookmarkEnd w:id="51"/>
    </w:p>
    <w:p w14:paraId="643F8AE3">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2" w:name="_Toc15396620"/>
      <w:r>
        <w:rPr>
          <w:rFonts w:hint="eastAsia" w:ascii="Times New Roman" w:hAnsi="Times New Roman" w:eastAsia="仿宋_GB2312" w:cs="仿宋_GB2312"/>
          <w:color w:val="auto"/>
          <w:sz w:val="32"/>
          <w:szCs w:val="32"/>
          <w:highlight w:val="none"/>
        </w:rPr>
        <w:t>二、收入决算表</w:t>
      </w:r>
      <w:bookmarkEnd w:id="52"/>
    </w:p>
    <w:p w14:paraId="303A5C05">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3" w:name="_Toc15396621"/>
      <w:r>
        <w:rPr>
          <w:rFonts w:hint="eastAsia" w:ascii="Times New Roman" w:hAnsi="Times New Roman" w:eastAsia="仿宋_GB2312" w:cs="仿宋_GB2312"/>
          <w:color w:val="auto"/>
          <w:sz w:val="32"/>
          <w:szCs w:val="32"/>
          <w:highlight w:val="none"/>
        </w:rPr>
        <w:t>三、支出决算表</w:t>
      </w:r>
      <w:bookmarkEnd w:id="53"/>
    </w:p>
    <w:p w14:paraId="7FD15F51">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4" w:name="_Toc15396622"/>
      <w:r>
        <w:rPr>
          <w:rFonts w:hint="eastAsia" w:ascii="Times New Roman" w:hAnsi="Times New Roman" w:eastAsia="仿宋_GB2312" w:cs="仿宋_GB2312"/>
          <w:color w:val="auto"/>
          <w:sz w:val="32"/>
          <w:szCs w:val="32"/>
          <w:highlight w:val="none"/>
        </w:rPr>
        <w:t>四、财政拨款收入支出决算总表</w:t>
      </w:r>
      <w:bookmarkEnd w:id="54"/>
    </w:p>
    <w:p w14:paraId="62675CB0">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5" w:name="_Toc15396623"/>
      <w:r>
        <w:rPr>
          <w:rFonts w:hint="eastAsia" w:ascii="Times New Roman" w:hAnsi="Times New Roman" w:eastAsia="仿宋_GB2312" w:cs="仿宋_GB2312"/>
          <w:color w:val="auto"/>
          <w:sz w:val="32"/>
          <w:szCs w:val="32"/>
          <w:highlight w:val="none"/>
        </w:rPr>
        <w:t>五、财政拨款支出决算明细表</w:t>
      </w:r>
      <w:bookmarkEnd w:id="55"/>
      <w:bookmarkStart w:id="56" w:name="_Toc15396624"/>
    </w:p>
    <w:p w14:paraId="63585EBE">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bookmarkEnd w:id="56"/>
    </w:p>
    <w:p w14:paraId="4BC0FCE9">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7" w:name="_Toc15396625"/>
      <w:r>
        <w:rPr>
          <w:rFonts w:hint="eastAsia" w:ascii="Times New Roman" w:hAnsi="Times New Roman" w:eastAsia="仿宋_GB2312" w:cs="仿宋_GB2312"/>
          <w:color w:val="auto"/>
          <w:sz w:val="32"/>
          <w:szCs w:val="32"/>
          <w:highlight w:val="none"/>
        </w:rPr>
        <w:t>七、一般公共预算财政拨款支出决算明细表</w:t>
      </w:r>
      <w:bookmarkEnd w:id="57"/>
    </w:p>
    <w:p w14:paraId="785629E8">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8" w:name="_Toc15396626"/>
      <w:r>
        <w:rPr>
          <w:rFonts w:hint="eastAsia" w:ascii="Times New Roman" w:hAnsi="Times New Roman" w:eastAsia="仿宋_GB2312" w:cs="仿宋_GB2312"/>
          <w:color w:val="auto"/>
          <w:sz w:val="32"/>
          <w:szCs w:val="32"/>
          <w:highlight w:val="none"/>
        </w:rPr>
        <w:t>八、一般公共预算财政拨款基本支出决算表</w:t>
      </w:r>
      <w:bookmarkEnd w:id="58"/>
    </w:p>
    <w:p w14:paraId="048FD504">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9" w:name="_Toc15396627"/>
      <w:r>
        <w:rPr>
          <w:rFonts w:hint="eastAsia" w:ascii="Times New Roman" w:hAnsi="Times New Roman" w:eastAsia="仿宋_GB2312" w:cs="仿宋_GB2312"/>
          <w:color w:val="auto"/>
          <w:sz w:val="32"/>
          <w:szCs w:val="32"/>
          <w:highlight w:val="none"/>
        </w:rPr>
        <w:t>九、一般公共预算财政拨款项目支出决算表</w:t>
      </w:r>
      <w:bookmarkEnd w:id="59"/>
    </w:p>
    <w:p w14:paraId="62DBD8B6">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0" w:name="_Toc15396628"/>
      <w:r>
        <w:rPr>
          <w:rFonts w:hint="eastAsia" w:ascii="Times New Roman" w:hAnsi="Times New Roman" w:eastAsia="仿宋_GB2312" w:cs="仿宋_GB2312"/>
          <w:color w:val="auto"/>
          <w:sz w:val="32"/>
          <w:szCs w:val="32"/>
          <w:highlight w:val="none"/>
        </w:rPr>
        <w:t>十、</w:t>
      </w:r>
      <w:bookmarkEnd w:id="60"/>
      <w:r>
        <w:rPr>
          <w:rFonts w:hint="eastAsia" w:ascii="Times New Roman" w:hAnsi="Times New Roman" w:eastAsia="仿宋_GB2312" w:cs="仿宋_GB2312"/>
          <w:color w:val="auto"/>
          <w:sz w:val="32"/>
          <w:szCs w:val="32"/>
          <w:highlight w:val="none"/>
        </w:rPr>
        <w:t>政府性基金预算财政拨款收入支出决算表</w:t>
      </w:r>
    </w:p>
    <w:p w14:paraId="21535E49">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1" w:name="_Toc15396629"/>
      <w:r>
        <w:rPr>
          <w:rFonts w:hint="eastAsia" w:ascii="Times New Roman" w:hAnsi="Times New Roman" w:eastAsia="仿宋_GB2312" w:cs="仿宋_GB2312"/>
          <w:color w:val="auto"/>
          <w:sz w:val="32"/>
          <w:szCs w:val="32"/>
          <w:highlight w:val="none"/>
        </w:rPr>
        <w:t>十一、</w:t>
      </w:r>
      <w:bookmarkEnd w:id="61"/>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p>
    <w:p w14:paraId="1D6AD568">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2" w:name="_Toc15396630"/>
      <w:r>
        <w:rPr>
          <w:rFonts w:hint="eastAsia" w:ascii="Times New Roman" w:hAnsi="Times New Roman" w:eastAsia="仿宋_GB2312" w:cs="仿宋_GB2312"/>
          <w:color w:val="auto"/>
          <w:sz w:val="32"/>
          <w:szCs w:val="32"/>
          <w:highlight w:val="none"/>
        </w:rPr>
        <w:t>十二、</w:t>
      </w:r>
      <w:bookmarkEnd w:id="62"/>
      <w:r>
        <w:rPr>
          <w:rFonts w:hint="eastAsia" w:ascii="Times New Roman" w:hAnsi="Times New Roman" w:eastAsia="仿宋_GB2312" w:cs="仿宋_GB2312"/>
          <w:color w:val="auto"/>
          <w:sz w:val="32"/>
          <w:szCs w:val="32"/>
          <w:highlight w:val="none"/>
          <w:lang w:eastAsia="zh-CN"/>
        </w:rPr>
        <w:t>国有资本经营预算财政拨款支出决算表</w:t>
      </w:r>
    </w:p>
    <w:p w14:paraId="74268E16">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eastAsia="zh-CN"/>
        </w:rPr>
      </w:pPr>
      <w:bookmarkStart w:id="63" w:name="_Toc15396631"/>
      <w:r>
        <w:rPr>
          <w:rFonts w:hint="eastAsia" w:ascii="Times New Roman" w:hAnsi="Times New Roman" w:eastAsia="仿宋_GB2312" w:cs="仿宋_GB2312"/>
          <w:color w:val="auto"/>
          <w:sz w:val="32"/>
          <w:szCs w:val="32"/>
          <w:highlight w:val="none"/>
        </w:rPr>
        <w:t>十三、</w:t>
      </w:r>
      <w:bookmarkEnd w:id="63"/>
      <w:r>
        <w:rPr>
          <w:rFonts w:hint="eastAsia" w:ascii="Times New Roman" w:hAnsi="Times New Roman" w:eastAsia="仿宋_GB2312" w:cs="仿宋_GB2312"/>
          <w:color w:val="auto"/>
          <w:sz w:val="32"/>
          <w:szCs w:val="32"/>
          <w:highlight w:val="none"/>
          <w:lang w:eastAsia="zh-CN"/>
        </w:rPr>
        <w:t>财政拨款“三公”经费支出决算表</w:t>
      </w:r>
    </w:p>
    <w:p w14:paraId="65427C36">
      <w:pPr>
        <w:rPr>
          <w:rFonts w:hint="eastAsia" w:ascii="Times New Roman" w:hAnsi="Times New Roman"/>
          <w:lang w:eastAsia="zh-CN"/>
        </w:rPr>
      </w:pPr>
    </w:p>
    <w:sectPr>
      <w:footerReference r:id="rId7" w:type="first"/>
      <w:footerReference r:id="rId6" w:type="default"/>
      <w:pgSz w:w="11906" w:h="16838"/>
      <w:pgMar w:top="1440" w:right="1800" w:bottom="1440" w:left="1800" w:header="851" w:footer="99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032D5D">
    <w:pPr>
      <w:pStyle w:val="1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73D59B">
                          <w:pPr>
                            <w:pStyle w:val="10"/>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D73D59B">
                    <w:pPr>
                      <w:pStyle w:val="10"/>
                    </w:pPr>
                    <w:r>
                      <w:fldChar w:fldCharType="begin"/>
                    </w:r>
                    <w:r>
                      <w:instrText xml:space="preserve"> PAGE  \* MERGEFORMAT </w:instrText>
                    </w:r>
                    <w:r>
                      <w:fldChar w:fldCharType="separate"/>
                    </w:r>
                    <w:r>
                      <w:t>- 2 -</w:t>
                    </w:r>
                    <w:r>
                      <w:fldChar w:fldCharType="end"/>
                    </w:r>
                  </w:p>
                </w:txbxContent>
              </v:textbox>
            </v:shape>
          </w:pict>
        </mc:Fallback>
      </mc:AlternateContent>
    </w:r>
  </w:p>
  <w:p w14:paraId="6AB4111F">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6A5019">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03FCE5">
                          <w:pPr>
                            <w:pStyle w:val="10"/>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303FCE5">
                    <w:pPr>
                      <w:pStyle w:val="10"/>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A7316B">
    <w:pPr>
      <w:pStyle w:val="1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12940C">
                          <w:pPr>
                            <w:pStyle w:val="10"/>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F12940C">
                    <w:pPr>
                      <w:pStyle w:val="10"/>
                    </w:pPr>
                    <w:r>
                      <w:fldChar w:fldCharType="begin"/>
                    </w:r>
                    <w:r>
                      <w:instrText xml:space="preserve"> PAGE  \* MERGEFORMAT </w:instrText>
                    </w:r>
                    <w:r>
                      <w:fldChar w:fldCharType="separate"/>
                    </w:r>
                    <w:r>
                      <w:t>- 2 -</w:t>
                    </w:r>
                    <w:r>
                      <w:fldChar w:fldCharType="end"/>
                    </w:r>
                  </w:p>
                </w:txbxContent>
              </v:textbox>
            </v:shape>
          </w:pict>
        </mc:Fallback>
      </mc:AlternateContent>
    </w:r>
  </w:p>
  <w:p w14:paraId="7B8ED13D">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5195D8">
    <w:pPr>
      <w:pStyle w:val="1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054723">
                          <w:pPr>
                            <w:pStyle w:val="10"/>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D054723">
                    <w:pPr>
                      <w:pStyle w:val="10"/>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29C7C8">
    <w:pPr>
      <w:pStyle w:val="11"/>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EBE30"/>
    <w:rsid w:val="04916F1E"/>
    <w:rsid w:val="061E35DE"/>
    <w:rsid w:val="066E0107"/>
    <w:rsid w:val="07996F6E"/>
    <w:rsid w:val="07DFD8BA"/>
    <w:rsid w:val="09867E8F"/>
    <w:rsid w:val="0A2032A3"/>
    <w:rsid w:val="0CA8290A"/>
    <w:rsid w:val="0D35B1ED"/>
    <w:rsid w:val="0E254B6B"/>
    <w:rsid w:val="0F98263C"/>
    <w:rsid w:val="101860EC"/>
    <w:rsid w:val="101F47CC"/>
    <w:rsid w:val="10C055FF"/>
    <w:rsid w:val="11694EBD"/>
    <w:rsid w:val="11772AA4"/>
    <w:rsid w:val="118107EC"/>
    <w:rsid w:val="12E24EE2"/>
    <w:rsid w:val="13D50BC4"/>
    <w:rsid w:val="14B17F78"/>
    <w:rsid w:val="165E0673"/>
    <w:rsid w:val="16B831D5"/>
    <w:rsid w:val="16BB723D"/>
    <w:rsid w:val="17E50567"/>
    <w:rsid w:val="186504BB"/>
    <w:rsid w:val="19A445FC"/>
    <w:rsid w:val="1ACB0933"/>
    <w:rsid w:val="1BE8440E"/>
    <w:rsid w:val="1D155CEE"/>
    <w:rsid w:val="1D1638FE"/>
    <w:rsid w:val="1D982FFC"/>
    <w:rsid w:val="1E312DEB"/>
    <w:rsid w:val="1E740ACF"/>
    <w:rsid w:val="1FF35744"/>
    <w:rsid w:val="1FF6BC77"/>
    <w:rsid w:val="2186353C"/>
    <w:rsid w:val="23860B96"/>
    <w:rsid w:val="240371BF"/>
    <w:rsid w:val="241521C3"/>
    <w:rsid w:val="244F3473"/>
    <w:rsid w:val="24C97D99"/>
    <w:rsid w:val="25A718F0"/>
    <w:rsid w:val="25BB59F6"/>
    <w:rsid w:val="260F557C"/>
    <w:rsid w:val="26970054"/>
    <w:rsid w:val="281408E2"/>
    <w:rsid w:val="29FD04D3"/>
    <w:rsid w:val="2BFF7BC6"/>
    <w:rsid w:val="2C8A61B5"/>
    <w:rsid w:val="2DF04E50"/>
    <w:rsid w:val="2E586DFA"/>
    <w:rsid w:val="2F040D46"/>
    <w:rsid w:val="2F6B035B"/>
    <w:rsid w:val="2FAE5751"/>
    <w:rsid w:val="2FB1A395"/>
    <w:rsid w:val="2FD9A7D8"/>
    <w:rsid w:val="2FDBF714"/>
    <w:rsid w:val="30AB6865"/>
    <w:rsid w:val="319F7F4E"/>
    <w:rsid w:val="32BD1EF1"/>
    <w:rsid w:val="3304709D"/>
    <w:rsid w:val="33A773CB"/>
    <w:rsid w:val="349D6851"/>
    <w:rsid w:val="36AA5135"/>
    <w:rsid w:val="36BE0DA7"/>
    <w:rsid w:val="376B6AA6"/>
    <w:rsid w:val="376D39B2"/>
    <w:rsid w:val="37E16F03"/>
    <w:rsid w:val="37F53A3B"/>
    <w:rsid w:val="382C58C0"/>
    <w:rsid w:val="389B6C89"/>
    <w:rsid w:val="38D469F0"/>
    <w:rsid w:val="39627CCD"/>
    <w:rsid w:val="397BAF1F"/>
    <w:rsid w:val="3AB79AF3"/>
    <w:rsid w:val="3AE834C0"/>
    <w:rsid w:val="3B7EF35A"/>
    <w:rsid w:val="3B9FDB6C"/>
    <w:rsid w:val="3BF5BC2F"/>
    <w:rsid w:val="3CEBA265"/>
    <w:rsid w:val="3D98207C"/>
    <w:rsid w:val="3DEE7CF3"/>
    <w:rsid w:val="3E740A63"/>
    <w:rsid w:val="3E78745D"/>
    <w:rsid w:val="3EE17838"/>
    <w:rsid w:val="3F55381A"/>
    <w:rsid w:val="3F7F7599"/>
    <w:rsid w:val="3FF4CAE0"/>
    <w:rsid w:val="3FF7B227"/>
    <w:rsid w:val="42ED60C6"/>
    <w:rsid w:val="44E268DA"/>
    <w:rsid w:val="450D13D7"/>
    <w:rsid w:val="45506656"/>
    <w:rsid w:val="486A6C7A"/>
    <w:rsid w:val="4A627F82"/>
    <w:rsid w:val="4B0E749A"/>
    <w:rsid w:val="4B2477C4"/>
    <w:rsid w:val="4B4F25DA"/>
    <w:rsid w:val="4BE068DB"/>
    <w:rsid w:val="4D577224"/>
    <w:rsid w:val="4DBF1CEB"/>
    <w:rsid w:val="4DF0007C"/>
    <w:rsid w:val="4EAB630A"/>
    <w:rsid w:val="4ECE2238"/>
    <w:rsid w:val="4F833267"/>
    <w:rsid w:val="4FE9BD67"/>
    <w:rsid w:val="4FFB052F"/>
    <w:rsid w:val="537E6D0A"/>
    <w:rsid w:val="53F74C96"/>
    <w:rsid w:val="55170BA8"/>
    <w:rsid w:val="553218C9"/>
    <w:rsid w:val="567E1AA5"/>
    <w:rsid w:val="56E47B74"/>
    <w:rsid w:val="57175D52"/>
    <w:rsid w:val="57825B52"/>
    <w:rsid w:val="57BD3DD4"/>
    <w:rsid w:val="5AF92295"/>
    <w:rsid w:val="5B250254"/>
    <w:rsid w:val="5BDD79E6"/>
    <w:rsid w:val="5BF561CA"/>
    <w:rsid w:val="5BFF5DFC"/>
    <w:rsid w:val="5CD71FC4"/>
    <w:rsid w:val="5D1F11B5"/>
    <w:rsid w:val="5D695134"/>
    <w:rsid w:val="5DAE1B18"/>
    <w:rsid w:val="5DE7D9E5"/>
    <w:rsid w:val="5ECEC941"/>
    <w:rsid w:val="5FBF9FF3"/>
    <w:rsid w:val="5FCD4E2C"/>
    <w:rsid w:val="5FEF394A"/>
    <w:rsid w:val="5FF67715"/>
    <w:rsid w:val="62BF3928"/>
    <w:rsid w:val="63B3701E"/>
    <w:rsid w:val="647F5392"/>
    <w:rsid w:val="65E66580"/>
    <w:rsid w:val="664B1D71"/>
    <w:rsid w:val="664B4E8E"/>
    <w:rsid w:val="67277B67"/>
    <w:rsid w:val="67AA3209"/>
    <w:rsid w:val="698D0931"/>
    <w:rsid w:val="6A7FE5F3"/>
    <w:rsid w:val="6B053271"/>
    <w:rsid w:val="6BDD78B3"/>
    <w:rsid w:val="6C4A05C8"/>
    <w:rsid w:val="6C8742B8"/>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92E7C"/>
    <w:rsid w:val="72233669"/>
    <w:rsid w:val="72734D90"/>
    <w:rsid w:val="73160E6D"/>
    <w:rsid w:val="7332FE48"/>
    <w:rsid w:val="73AB61DA"/>
    <w:rsid w:val="73AD73D5"/>
    <w:rsid w:val="73B6EB34"/>
    <w:rsid w:val="73FA497D"/>
    <w:rsid w:val="744731E5"/>
    <w:rsid w:val="74BBD01D"/>
    <w:rsid w:val="74ED5379"/>
    <w:rsid w:val="75DEEEC2"/>
    <w:rsid w:val="75E32345"/>
    <w:rsid w:val="76E3355F"/>
    <w:rsid w:val="76FF5125"/>
    <w:rsid w:val="776F6FFA"/>
    <w:rsid w:val="778769C8"/>
    <w:rsid w:val="77A75DCA"/>
    <w:rsid w:val="77DC22F5"/>
    <w:rsid w:val="783E271A"/>
    <w:rsid w:val="78616DE9"/>
    <w:rsid w:val="78E875D7"/>
    <w:rsid w:val="79086DAD"/>
    <w:rsid w:val="79D7FD79"/>
    <w:rsid w:val="79EE5BA4"/>
    <w:rsid w:val="7A894339"/>
    <w:rsid w:val="7AD284E8"/>
    <w:rsid w:val="7AFF7572"/>
    <w:rsid w:val="7B6C7DFB"/>
    <w:rsid w:val="7BBFBED0"/>
    <w:rsid w:val="7BC3E394"/>
    <w:rsid w:val="7C1F3737"/>
    <w:rsid w:val="7CBFC87B"/>
    <w:rsid w:val="7CFE0F48"/>
    <w:rsid w:val="7D272ABC"/>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2">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6">
    <w:name w:val="Default Paragraph Font"/>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5"/>
    <w:qFormat/>
    <w:uiPriority w:val="99"/>
    <w:pPr>
      <w:spacing w:beforeLines="30"/>
    </w:pPr>
    <w:rPr>
      <w:rFonts w:ascii="仿宋_GB2312" w:eastAsia="仿宋_GB2312"/>
      <w:kern w:val="0"/>
      <w:sz w:val="30"/>
    </w:rPr>
  </w:style>
  <w:style w:type="paragraph" w:styleId="6">
    <w:name w:val="Body Text Indent"/>
    <w:basedOn w:val="1"/>
    <w:next w:val="7"/>
    <w:qFormat/>
    <w:uiPriority w:val="0"/>
    <w:pPr>
      <w:spacing w:after="120"/>
      <w:ind w:leftChars="200"/>
    </w:pPr>
    <w:rPr>
      <w:rFonts w:ascii="仿宋_GB2312"/>
      <w:szCs w:val="32"/>
    </w:rPr>
  </w:style>
  <w:style w:type="paragraph" w:styleId="7">
    <w:name w:val="Body Text First Indent 2"/>
    <w:basedOn w:val="6"/>
    <w:unhideWhenUsed/>
    <w:qFormat/>
    <w:uiPriority w:val="99"/>
    <w:pPr>
      <w:ind w:firstLine="420" w:firstLineChars="200"/>
    </w:p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1"/>
    <w:semiHidden/>
    <w:unhideWhenUsed/>
    <w:qFormat/>
    <w:uiPriority w:val="99"/>
    <w:rPr>
      <w:sz w:val="18"/>
      <w:szCs w:val="18"/>
    </w:rPr>
  </w:style>
  <w:style w:type="paragraph" w:styleId="10">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footnote text"/>
    <w:basedOn w:val="1"/>
    <w:next w:val="7"/>
    <w:semiHidden/>
    <w:qFormat/>
    <w:uiPriority w:val="0"/>
    <w:pPr>
      <w:snapToGrid w:val="0"/>
      <w:jc w:val="left"/>
    </w:pPr>
    <w:rPr>
      <w:sz w:val="18"/>
      <w:szCs w:val="18"/>
    </w:rPr>
  </w:style>
  <w:style w:type="paragraph" w:styleId="14">
    <w:name w:val="toc 2"/>
    <w:basedOn w:val="1"/>
    <w:next w:val="1"/>
    <w:unhideWhenUsed/>
    <w:qFormat/>
    <w:uiPriority w:val="39"/>
    <w:pPr>
      <w:tabs>
        <w:tab w:val="right" w:leader="dot" w:pos="8296"/>
      </w:tabs>
      <w:ind w:left="420" w:left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paragraph" w:customStyle="1" w:styleId="19">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0">
    <w:name w:val="Header Char"/>
    <w:basedOn w:val="16"/>
    <w:semiHidden/>
    <w:qFormat/>
    <w:uiPriority w:val="99"/>
    <w:rPr>
      <w:rFonts w:ascii="Times New Roman" w:hAnsi="Times New Roman"/>
      <w:sz w:val="18"/>
      <w:szCs w:val="18"/>
    </w:rPr>
  </w:style>
  <w:style w:type="character" w:customStyle="1" w:styleId="21">
    <w:name w:val="页眉 Char"/>
    <w:link w:val="11"/>
    <w:semiHidden/>
    <w:qFormat/>
    <w:locked/>
    <w:uiPriority w:val="99"/>
    <w:rPr>
      <w:sz w:val="18"/>
    </w:rPr>
  </w:style>
  <w:style w:type="character" w:customStyle="1" w:styleId="22">
    <w:name w:val="Footer Char"/>
    <w:basedOn w:val="16"/>
    <w:semiHidden/>
    <w:qFormat/>
    <w:uiPriority w:val="99"/>
    <w:rPr>
      <w:rFonts w:ascii="Times New Roman" w:hAnsi="Times New Roman"/>
      <w:sz w:val="18"/>
      <w:szCs w:val="18"/>
    </w:rPr>
  </w:style>
  <w:style w:type="character" w:customStyle="1" w:styleId="23">
    <w:name w:val="页脚 Char"/>
    <w:link w:val="10"/>
    <w:qFormat/>
    <w:locked/>
    <w:uiPriority w:val="99"/>
    <w:rPr>
      <w:sz w:val="18"/>
    </w:rPr>
  </w:style>
  <w:style w:type="character" w:customStyle="1" w:styleId="24">
    <w:name w:val="Body Text Char"/>
    <w:basedOn w:val="16"/>
    <w:semiHidden/>
    <w:qFormat/>
    <w:uiPriority w:val="99"/>
    <w:rPr>
      <w:rFonts w:ascii="Times New Roman" w:hAnsi="Times New Roman"/>
      <w:szCs w:val="24"/>
    </w:rPr>
  </w:style>
  <w:style w:type="character" w:customStyle="1" w:styleId="25">
    <w:name w:val="正文文本 Char"/>
    <w:link w:val="5"/>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Char"/>
    <w:basedOn w:val="16"/>
    <w:link w:val="3"/>
    <w:qFormat/>
    <w:uiPriority w:val="9"/>
    <w:rPr>
      <w:rFonts w:ascii="Times New Roman" w:hAnsi="Times New Roman"/>
      <w:b/>
      <w:bCs/>
      <w:kern w:val="44"/>
      <w:sz w:val="44"/>
      <w:szCs w:val="44"/>
    </w:rPr>
  </w:style>
  <w:style w:type="character" w:customStyle="1" w:styleId="29">
    <w:name w:val="标题 2 Char"/>
    <w:basedOn w:val="16"/>
    <w:link w:val="4"/>
    <w:qFormat/>
    <w:uiPriority w:val="9"/>
    <w:rPr>
      <w:rFonts w:asciiTheme="majorHAnsi" w:hAnsiTheme="majorHAnsi" w:eastAsiaTheme="majorEastAsia" w:cstheme="majorBidi"/>
      <w:b/>
      <w:bCs/>
      <w:kern w:val="2"/>
      <w:sz w:val="32"/>
      <w:szCs w:val="32"/>
    </w:rPr>
  </w:style>
  <w:style w:type="paragraph" w:customStyle="1" w:styleId="30">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Char"/>
    <w:basedOn w:val="16"/>
    <w:link w:val="9"/>
    <w:semiHidden/>
    <w:qFormat/>
    <w:uiPriority w:val="99"/>
    <w:rPr>
      <w:rFonts w:ascii="Times New Roman" w:hAnsi="Times New Roman"/>
      <w:kern w:val="2"/>
      <w:sz w:val="18"/>
      <w:szCs w:val="18"/>
    </w:rPr>
  </w:style>
  <w:style w:type="character" w:customStyle="1" w:styleId="32">
    <w:name w:val="标题 3 Char"/>
    <w:basedOn w:val="16"/>
    <w:link w:val="2"/>
    <w:qFormat/>
    <w:uiPriority w:val="9"/>
    <w:rPr>
      <w:rFonts w:ascii="Times New Roman" w:hAnsi="Times New Roman"/>
      <w:b/>
      <w:bCs/>
      <w:kern w:val="2"/>
      <w:sz w:val="32"/>
      <w:szCs w:val="32"/>
    </w:rPr>
  </w:style>
  <w:style w:type="paragraph" w:customStyle="1" w:styleId="33">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四号正文"/>
    <w:basedOn w:val="1"/>
    <w:qFormat/>
    <w:uiPriority w:val="0"/>
    <w:pPr>
      <w:spacing w:line="360" w:lineRule="auto"/>
    </w:pPr>
    <w:rPr>
      <w:rFonts w:ascii="??" w:hAnsi="??" w:eastAsia="宋体"/>
      <w:color w:val="000000"/>
      <w:kern w:val="0"/>
      <w:sz w:val="28"/>
      <w:szCs w:val="21"/>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28</Pages>
  <Words>9719</Words>
  <Characters>11218</Characters>
  <Lines>61</Lines>
  <Paragraphs>17</Paragraphs>
  <TotalTime>3</TotalTime>
  <ScaleCrop>false</ScaleCrop>
  <LinksUpToDate>false</LinksUpToDate>
  <CharactersWithSpaces>11241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玥凝</cp:lastModifiedBy>
  <cp:lastPrinted>2025-08-06T17:34:00Z</cp:lastPrinted>
  <dcterms:modified xsi:type="dcterms:W3CDTF">2025-10-28T07:45:39Z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04787F2533EB45DC91BCDE4AB213247F</vt:lpwstr>
  </property>
  <property fmtid="{D5CDD505-2E9C-101B-9397-08002B2CF9AE}" pid="4" name="KSOTemplateDocerSaveRecord">
    <vt:lpwstr>eyJoZGlkIjoiMmY2YmUxZjk2NzRmYTg5MDQ2ZDU3YTM2YzM2MGI4ZDIiLCJ1c2VySWQiOiI1NzIwNzc5ODAifQ==</vt:lpwstr>
  </property>
</Properties>
</file>