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6F3A4E">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77425"/>
      <w:bookmarkStart w:id="1" w:name="_Toc15378441"/>
      <w:bookmarkStart w:id="2" w:name="_Toc15306267"/>
      <w:bookmarkStart w:id="3" w:name="_Toc15396597"/>
      <w:bookmarkStart w:id="4" w:name="_Toc15396475"/>
      <w:bookmarkStart w:id="5" w:name="_Toc15377193"/>
    </w:p>
    <w:p w14:paraId="6712F8D3">
      <w:pPr>
        <w:pStyle w:val="2"/>
        <w:rPr>
          <w:rFonts w:hint="eastAsia" w:ascii="Times New Roman" w:hAnsi="Times New Roman" w:eastAsia="方正小标宋简体" w:cs="Times New Roman"/>
          <w:color w:val="auto"/>
          <w:kern w:val="2"/>
          <w:sz w:val="72"/>
          <w:szCs w:val="72"/>
          <w:highlight w:val="none"/>
          <w:lang w:val="en-US" w:eastAsia="zh-CN" w:bidi="ar-SA"/>
        </w:rPr>
      </w:pPr>
    </w:p>
    <w:p w14:paraId="15757BBC">
      <w:pPr>
        <w:pStyle w:val="2"/>
        <w:rPr>
          <w:rFonts w:hint="eastAsia" w:ascii="Times New Roman" w:hAnsi="Times New Roman" w:eastAsia="方正小标宋简体" w:cs="Times New Roman"/>
          <w:color w:val="auto"/>
          <w:kern w:val="2"/>
          <w:sz w:val="72"/>
          <w:szCs w:val="72"/>
          <w:highlight w:val="none"/>
          <w:lang w:val="en-US" w:eastAsia="zh-CN" w:bidi="ar-SA"/>
        </w:rPr>
      </w:pPr>
    </w:p>
    <w:p w14:paraId="6C84FCB9">
      <w:pPr>
        <w:pStyle w:val="2"/>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方正小标宋简体" w:hAnsi="宋体" w:eastAsia="方正小标宋简体" w:cs="Times New Roman"/>
          <w:color w:val="auto"/>
          <w:kern w:val="2"/>
          <w:sz w:val="44"/>
          <w:szCs w:val="44"/>
          <w:highlight w:val="none"/>
          <w:lang w:val="en-US" w:eastAsia="zh-CN" w:bidi="ar-SA"/>
        </w:rPr>
        <w:t>攀枝花市西区</w:t>
      </w:r>
    </w:p>
    <w:p w14:paraId="597701C2">
      <w:pPr>
        <w:pStyle w:val="2"/>
        <w:jc w:val="center"/>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hint="eastAsia" w:ascii="方正小标宋简体" w:hAnsi="宋体" w:eastAsia="方正小标宋简体" w:cs="Times New Roman"/>
          <w:color w:val="auto"/>
          <w:kern w:val="2"/>
          <w:sz w:val="44"/>
          <w:szCs w:val="44"/>
          <w:highlight w:val="none"/>
          <w:lang w:val="en-US" w:eastAsia="zh-CN" w:bidi="ar-SA"/>
        </w:rPr>
        <w:t>退役军人事务局部门决算</w:t>
      </w:r>
      <w:r>
        <w:rPr>
          <w:rFonts w:hint="eastAsia" w:ascii="Times New Roman" w:hAnsi="Times New Roman" w:eastAsia="方正小标宋简体" w:cs="Times New Roman"/>
          <w:color w:val="auto"/>
          <w:kern w:val="2"/>
          <w:sz w:val="44"/>
          <w:szCs w:val="44"/>
          <w:highlight w:val="none"/>
          <w:lang w:val="en-US" w:eastAsia="zh-CN" w:bidi="ar-SA"/>
        </w:rPr>
        <w:t>公开文字说明</w:t>
      </w:r>
    </w:p>
    <w:bookmarkEnd w:id="0"/>
    <w:bookmarkEnd w:id="1"/>
    <w:bookmarkEnd w:id="2"/>
    <w:bookmarkEnd w:id="3"/>
    <w:bookmarkEnd w:id="4"/>
    <w:bookmarkEnd w:id="5"/>
    <w:p w14:paraId="23ECB3C2">
      <w:pPr>
        <w:pStyle w:val="15"/>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center"/>
        <w:textAlignment w:val="auto"/>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4E7EA460">
      <w:pPr>
        <w:widowControl/>
        <w:jc w:val="center"/>
        <w:rPr>
          <w:rFonts w:ascii="Times New Roman" w:hAnsi="Times New Roman" w:eastAsia="黑体" w:cstheme="minorBidi"/>
          <w:color w:val="auto"/>
          <w:sz w:val="28"/>
          <w:szCs w:val="28"/>
          <w:highlight w:val="none"/>
        </w:rPr>
      </w:pPr>
    </w:p>
    <w:p w14:paraId="10778226">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27</w:t>
      </w:r>
      <w:r>
        <w:rPr>
          <w:rFonts w:hint="eastAsia" w:ascii="Times New Roman" w:hAnsi="Times New Roman" w:eastAsia="仿宋_GB2312" w:cs="仿宋_GB2312"/>
          <w:color w:val="auto"/>
          <w:sz w:val="32"/>
          <w:szCs w:val="32"/>
          <w:highlight w:val="none"/>
        </w:rPr>
        <w:t>日</w:t>
      </w:r>
    </w:p>
    <w:p w14:paraId="48F1BDA2">
      <w:pPr>
        <w:rPr>
          <w:rFonts w:ascii="Times New Roman" w:hAnsi="Times New Roman"/>
          <w:color w:val="auto"/>
          <w:highlight w:val="none"/>
        </w:rPr>
      </w:pPr>
    </w:p>
    <w:p w14:paraId="7F643F0F">
      <w:pPr>
        <w:pStyle w:val="13"/>
        <w:adjustRightInd w:val="0"/>
        <w:snapToGrid w:val="0"/>
        <w:spacing w:before="0" w:line="440" w:lineRule="exact"/>
        <w:jc w:val="left"/>
        <w:rPr>
          <w:rFonts w:cs="Times New Roman"/>
          <w:color w:val="auto"/>
          <w:sz w:val="24"/>
          <w:szCs w:val="24"/>
          <w:highlight w:val="none"/>
        </w:rPr>
      </w:pPr>
      <w:bookmarkStart w:id="6" w:name="_Toc15377196"/>
      <w:bookmarkStart w:id="7" w:name="_Toc15396599"/>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部门</w:t>
      </w:r>
      <w:r>
        <w:rPr>
          <w:rFonts w:hint="eastAsia"/>
          <w:color w:val="auto"/>
          <w:sz w:val="24"/>
          <w:highlight w:val="none"/>
        </w:rPr>
        <w:t>概况</w:t>
      </w:r>
    </w:p>
    <w:p w14:paraId="05E621F7">
      <w:pPr>
        <w:pStyle w:val="15"/>
        <w:adjustRightInd w:val="0"/>
        <w:snapToGrid w:val="0"/>
        <w:spacing w:line="440" w:lineRule="exact"/>
        <w:jc w:val="left"/>
        <w:rPr>
          <w:rFonts w:hint="default" w:ascii="仿宋" w:hAnsi="仿宋" w:eastAsia="仿宋"/>
          <w:color w:val="auto"/>
          <w:sz w:val="24"/>
          <w:highlight w:val="none"/>
          <w:lang w:val="en-US"/>
        </w:rPr>
      </w:pPr>
      <w:r>
        <w:rPr>
          <w:rFonts w:hint="eastAsia"/>
          <w:color w:val="auto"/>
          <w:sz w:val="24"/>
          <w:highlight w:val="none"/>
        </w:rPr>
        <w:t>一、</w:t>
      </w:r>
      <w:r>
        <w:rPr>
          <w:rFonts w:hint="eastAsia"/>
          <w:color w:val="auto"/>
          <w:sz w:val="24"/>
          <w:highlight w:val="none"/>
          <w:lang w:eastAsia="zh-CN"/>
        </w:rPr>
        <w:t>主要职责</w:t>
      </w:r>
      <w:r>
        <w:rPr>
          <w:rFonts w:hint="eastAsia"/>
          <w:color w:val="auto"/>
          <w:sz w:val="24"/>
          <w:highlight w:val="none"/>
          <w:lang w:val="en-US" w:eastAsia="zh-CN"/>
        </w:rPr>
        <w:t>................................................................................................3</w:t>
      </w:r>
    </w:p>
    <w:p w14:paraId="191AECF7">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二、机构设置</w:t>
      </w:r>
      <w:r>
        <w:rPr>
          <w:rFonts w:hint="eastAsia"/>
          <w:color w:val="auto"/>
          <w:sz w:val="24"/>
          <w:highlight w:val="none"/>
          <w:lang w:val="en-US" w:eastAsia="zh-CN"/>
        </w:rPr>
        <w:t>................................................................................................3</w:t>
      </w:r>
    </w:p>
    <w:p w14:paraId="4850FAE2">
      <w:pPr>
        <w:pStyle w:val="13"/>
        <w:adjustRightInd w:val="0"/>
        <w:snapToGrid w:val="0"/>
        <w:spacing w:before="0" w:line="440" w:lineRule="exact"/>
        <w:jc w:val="left"/>
        <w:rPr>
          <w:rFonts w:hint="default" w:eastAsia="仿宋"/>
          <w:color w:val="auto"/>
          <w:sz w:val="24"/>
          <w:szCs w:val="24"/>
          <w:highlight w:val="none"/>
          <w:lang w:val="en-US" w:eastAsia="zh-CN"/>
        </w:rPr>
      </w:pPr>
      <w:r>
        <w:rPr>
          <w:rFonts w:hint="eastAsia"/>
          <w:color w:val="auto"/>
          <w:sz w:val="24"/>
          <w:highlight w:val="none"/>
        </w:rPr>
        <w:t>第二部分</w:t>
      </w:r>
      <w:r>
        <w:rPr>
          <w:rFonts w:hint="eastAsia"/>
          <w:color w:val="auto"/>
          <w:sz w:val="24"/>
          <w:highlight w:val="none"/>
          <w:lang w:val="en-US" w:eastAsia="zh-CN"/>
        </w:rPr>
        <w:t xml:space="preserve"> 2024年度单位</w:t>
      </w:r>
      <w:r>
        <w:rPr>
          <w:rFonts w:hint="eastAsia"/>
          <w:color w:val="auto"/>
          <w:sz w:val="24"/>
          <w:highlight w:val="none"/>
        </w:rPr>
        <w:t>决算情况说明</w:t>
      </w:r>
    </w:p>
    <w:p w14:paraId="4C55C3C9">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................................................................4</w:t>
      </w:r>
    </w:p>
    <w:p w14:paraId="248C311A">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val="en-US" w:eastAsia="zh-CN"/>
        </w:rPr>
        <w:t>................................................................................4</w:t>
      </w:r>
    </w:p>
    <w:p w14:paraId="6D0C5589">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val="en-US" w:eastAsia="zh-CN"/>
        </w:rPr>
        <w:t>................................................................................5</w:t>
      </w:r>
    </w:p>
    <w:p w14:paraId="27224B77">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val="en-US" w:eastAsia="zh-CN"/>
        </w:rPr>
        <w:t>................................................5</w:t>
      </w:r>
    </w:p>
    <w:p w14:paraId="525049FA">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val="en-US" w:eastAsia="zh-CN"/>
        </w:rPr>
        <w:t>........................................6</w:t>
      </w:r>
    </w:p>
    <w:p w14:paraId="62E8125F">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val="en-US" w:eastAsia="zh-CN"/>
        </w:rPr>
        <w:t>................................9</w:t>
      </w:r>
    </w:p>
    <w:p w14:paraId="17B4FD68">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olor w:val="auto"/>
          <w:sz w:val="24"/>
          <w:highlight w:val="none"/>
          <w:lang w:val="en-US" w:eastAsia="zh-CN"/>
        </w:rPr>
        <w:t>........................................9</w:t>
      </w:r>
    </w:p>
    <w:p w14:paraId="15A71FF8">
      <w:pPr>
        <w:pStyle w:val="15"/>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val="en-US" w:eastAsia="zh-CN"/>
        </w:rPr>
        <w:t>...................................................11</w:t>
      </w:r>
    </w:p>
    <w:p w14:paraId="2BC76C44">
      <w:pPr>
        <w:pStyle w:val="15"/>
        <w:adjustRightInd w:val="0"/>
        <w:snapToGrid w:val="0"/>
        <w:spacing w:line="440" w:lineRule="exact"/>
        <w:ind w:leftChars="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九、</w:t>
      </w:r>
      <w:r>
        <w:rPr>
          <w:rFonts w:hint="eastAsia" w:ascii="宋体" w:hAnsi="宋体" w:eastAsia="宋体" w:cs="宋体"/>
          <w:color w:val="auto"/>
          <w:sz w:val="24"/>
          <w:highlight w:val="none"/>
          <w:lang w:eastAsia="zh-CN"/>
        </w:rPr>
        <w:t>国</w:t>
      </w:r>
      <w:r>
        <w:rPr>
          <w:rFonts w:hint="eastAsia" w:ascii="宋体" w:hAnsi="宋体" w:eastAsia="宋体" w:cs="宋体"/>
          <w:color w:val="auto"/>
          <w:sz w:val="24"/>
          <w:highlight w:val="none"/>
        </w:rPr>
        <w:t>有资本经营预算支出决算情况说明</w:t>
      </w:r>
      <w:r>
        <w:rPr>
          <w:rFonts w:hint="eastAsia" w:ascii="宋体" w:hAnsi="宋体" w:cs="宋体"/>
          <w:color w:val="auto"/>
          <w:sz w:val="24"/>
          <w:highlight w:val="none"/>
          <w:lang w:val="en-US" w:eastAsia="zh-CN"/>
        </w:rPr>
        <w:t>........................11</w:t>
      </w:r>
    </w:p>
    <w:p w14:paraId="56E61C1F">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default" w:ascii="宋体" w:hAnsi="宋体" w:eastAsia="宋体" w:cs="宋体"/>
          <w:color w:val="auto"/>
          <w:sz w:val="24"/>
          <w:highlight w:val="none"/>
          <w:lang w:val="en-US" w:eastAsia="zh-CN"/>
        </w:rPr>
      </w:pPr>
      <w:r>
        <w:rPr>
          <w:rStyle w:val="19"/>
          <w:rFonts w:hint="eastAsia" w:ascii="宋体" w:hAnsi="宋体" w:eastAsia="宋体" w:cs="宋体"/>
          <w:color w:val="auto"/>
          <w:sz w:val="24"/>
          <w:highlight w:val="none"/>
          <w:u w:val="none"/>
          <w:lang w:eastAsia="zh-CN"/>
        </w:rPr>
        <w:t>十</w:t>
      </w:r>
      <w:r>
        <w:rPr>
          <w:rStyle w:val="19"/>
          <w:rFonts w:hint="eastAsia" w:ascii="宋体" w:hAnsi="宋体" w:eastAsia="宋体" w:cs="宋体"/>
          <w:color w:val="auto"/>
          <w:sz w:val="24"/>
          <w:highlight w:val="none"/>
          <w:u w:val="none"/>
        </w:rPr>
        <w:t>、</w:t>
      </w:r>
      <w:r>
        <w:rPr>
          <w:rFonts w:hint="eastAsia" w:ascii="宋体" w:hAnsi="宋体" w:eastAsia="宋体" w:cs="宋体"/>
          <w:color w:val="auto"/>
          <w:sz w:val="24"/>
          <w:highlight w:val="none"/>
        </w:rPr>
        <w:t>其他重要事项的情况说明</w:t>
      </w:r>
      <w:r>
        <w:rPr>
          <w:rFonts w:hint="eastAsia" w:ascii="宋体" w:hAnsi="宋体" w:eastAsia="宋体" w:cs="宋体"/>
          <w:color w:val="auto"/>
          <w:sz w:val="24"/>
          <w:highlight w:val="none"/>
        </w:rPr>
        <w:tab/>
      </w:r>
      <w:r>
        <w:rPr>
          <w:rFonts w:hint="eastAsia" w:ascii="宋体" w:hAnsi="宋体" w:cs="宋体"/>
          <w:color w:val="auto"/>
          <w:sz w:val="24"/>
          <w:highlight w:val="none"/>
          <w:lang w:val="en-US" w:eastAsia="zh-CN"/>
        </w:rPr>
        <w:t>................................11</w:t>
      </w:r>
    </w:p>
    <w:p w14:paraId="3BE2B2EE">
      <w:pPr>
        <w:pStyle w:val="13"/>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..............................................14</w:t>
      </w:r>
    </w:p>
    <w:p w14:paraId="0133BF74">
      <w:pPr>
        <w:pStyle w:val="13"/>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..................................................19</w:t>
      </w:r>
    </w:p>
    <w:p w14:paraId="26D00147">
      <w:pPr>
        <w:pStyle w:val="13"/>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..................................................20</w:t>
      </w:r>
    </w:p>
    <w:p w14:paraId="31E378DB">
      <w:pPr>
        <w:pStyle w:val="15"/>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14:paraId="06768AF6">
      <w:pPr>
        <w:pStyle w:val="15"/>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14:paraId="2D71C6B2">
      <w:pPr>
        <w:pStyle w:val="15"/>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14:paraId="6F6F7BAF">
      <w:pPr>
        <w:pStyle w:val="15"/>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14:paraId="4C2EA689">
      <w:pPr>
        <w:pStyle w:val="15"/>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14:paraId="4657889D">
      <w:pPr>
        <w:pStyle w:val="15"/>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14:paraId="5BACF5A9">
      <w:pPr>
        <w:pStyle w:val="15"/>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14:paraId="6CF8F0DE">
      <w:pPr>
        <w:pStyle w:val="15"/>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14:paraId="4F605C83">
      <w:pPr>
        <w:pStyle w:val="15"/>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14:paraId="5AE357C6">
      <w:pPr>
        <w:pStyle w:val="15"/>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14:paraId="5483D05C">
      <w:pPr>
        <w:pStyle w:val="15"/>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14:paraId="1DC053C1">
      <w:pPr>
        <w:pStyle w:val="15"/>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14:paraId="09F87A73">
      <w:pPr>
        <w:pStyle w:val="15"/>
        <w:adjustRightInd w:val="0"/>
        <w:snapToGrid w:val="0"/>
        <w:spacing w:line="440" w:lineRule="exact"/>
        <w:jc w:val="left"/>
        <w:rPr>
          <w:rFonts w:hint="eastAsia" w:ascii="宋体" w:hAnsi="宋体" w:eastAsia="宋体" w:cs="宋体"/>
          <w:color w:val="auto"/>
          <w:sz w:val="24"/>
          <w:highlight w:val="none"/>
          <w:lang w:val="en-US" w:eastAsia="zh-CN"/>
        </w:rPr>
      </w:pPr>
      <w:r>
        <w:rPr>
          <w:rFonts w:hint="eastAsia"/>
          <w:color w:val="auto"/>
          <w:sz w:val="24"/>
          <w:highlight w:val="none"/>
        </w:rPr>
        <w:t>十三、财政拨款“三公”经费支出决算表</w:t>
      </w:r>
    </w:p>
    <w:p w14:paraId="3B87BF34">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r>
        <w:rPr>
          <w:rFonts w:hint="eastAsia" w:ascii="Times New Roman" w:hAnsi="Times New Roman" w:eastAsia="仿宋_GB2312" w:cs="仿宋_GB2312"/>
          <w:b/>
          <w:color w:val="auto"/>
          <w:sz w:val="32"/>
          <w:szCs w:val="32"/>
          <w:highlight w:val="none"/>
        </w:rPr>
        <w:br w:type="page"/>
      </w:r>
    </w:p>
    <w:p w14:paraId="6CBEEC9A">
      <w:pPr>
        <w:pStyle w:val="4"/>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8"/>
          <w:rFonts w:hint="eastAsia" w:ascii="Times New Roman" w:hAnsi="Times New Roman" w:eastAsia="方正小标宋简体" w:cs="方正小标宋简体"/>
          <w:b w:val="0"/>
          <w:bCs w:val="0"/>
          <w:color w:val="auto"/>
          <w:highlight w:val="none"/>
        </w:rPr>
        <w:t>部门概况</w:t>
      </w:r>
      <w:bookmarkEnd w:id="6"/>
      <w:bookmarkEnd w:id="7"/>
    </w:p>
    <w:p w14:paraId="7C426E5C">
      <w:pPr>
        <w:widowControl/>
        <w:jc w:val="left"/>
        <w:rPr>
          <w:rFonts w:ascii="Times New Roman" w:hAnsi="Times New Roman" w:eastAsia="黑体"/>
          <w:color w:val="auto"/>
          <w:sz w:val="32"/>
          <w:szCs w:val="32"/>
          <w:highlight w:val="none"/>
        </w:rPr>
      </w:pPr>
    </w:p>
    <w:p w14:paraId="2F267753">
      <w:pPr>
        <w:pStyle w:val="5"/>
        <w:rPr>
          <w:rStyle w:val="29"/>
          <w:rFonts w:hint="eastAsia" w:ascii="Times New Roman" w:hAnsi="Times New Roman" w:eastAsia="黑体"/>
          <w:b w:val="0"/>
          <w:bCs w:val="0"/>
          <w:color w:val="auto"/>
          <w:highlight w:val="none"/>
          <w:lang w:eastAsia="zh-CN"/>
        </w:rPr>
      </w:pPr>
      <w:bookmarkStart w:id="8" w:name="_Toc15377197"/>
      <w:bookmarkStart w:id="9" w:name="_Toc15396600"/>
      <w:r>
        <w:rPr>
          <w:rFonts w:hint="eastAsia" w:ascii="Times New Roman" w:hAnsi="Times New Roman" w:eastAsia="黑体"/>
          <w:b w:val="0"/>
          <w:color w:val="auto"/>
          <w:highlight w:val="none"/>
        </w:rPr>
        <w:t>一、</w:t>
      </w:r>
      <w:bookmarkEnd w:id="8"/>
      <w:bookmarkEnd w:id="9"/>
      <w:r>
        <w:rPr>
          <w:rFonts w:hint="eastAsia" w:ascii="Times New Roman" w:hAnsi="Times New Roman" w:eastAsia="黑体"/>
          <w:b w:val="0"/>
          <w:color w:val="auto"/>
          <w:highlight w:val="none"/>
          <w:lang w:eastAsia="zh-CN"/>
        </w:rPr>
        <w:t>部门职责</w:t>
      </w:r>
    </w:p>
    <w:p w14:paraId="3D8ACE75">
      <w:pPr>
        <w:pStyle w:val="5"/>
        <w:ind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bookmarkStart w:id="10" w:name="_Toc15377200"/>
      <w:bookmarkStart w:id="11" w:name="_Toc15396601"/>
      <w:r>
        <w:rPr>
          <w:rFonts w:hint="eastAsia" w:ascii="仿宋_GB2312" w:hAnsi="仿宋_GB2312" w:eastAsia="仿宋_GB2312" w:cs="仿宋_GB2312"/>
          <w:b w:val="0"/>
          <w:bCs w:val="0"/>
          <w:color w:val="auto"/>
          <w:kern w:val="2"/>
          <w:sz w:val="32"/>
          <w:szCs w:val="32"/>
          <w:highlight w:val="none"/>
          <w:lang w:val="en-US" w:eastAsia="zh-CN" w:bidi="ar-SA"/>
        </w:rPr>
        <w:t>维护军人军属合法权益，加强退役军人服务保障体系建设，建立健全集中统一、职责清晰的退役军人管理保障体制。</w:t>
      </w:r>
    </w:p>
    <w:p w14:paraId="7D78346C">
      <w:pPr>
        <w:pStyle w:val="5"/>
        <w:rPr>
          <w:rStyle w:val="29"/>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0"/>
      <w:bookmarkEnd w:id="11"/>
    </w:p>
    <w:p w14:paraId="3C919606">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攀枝花市西区退役军人事务局</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w:t>
      </w:r>
    </w:p>
    <w:p w14:paraId="28E187F6">
      <w:pPr>
        <w:pStyle w:val="2"/>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sz w:val="32"/>
          <w:szCs w:val="32"/>
        </w:rPr>
        <w:t>攀枝花市西区退役军人事务局</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p>
    <w:p w14:paraId="49BA253A">
      <w:pPr>
        <w:pStyle w:val="2"/>
        <w:numPr>
          <w:ilvl w:val="0"/>
          <w:numId w:val="0"/>
        </w:numPr>
        <w:adjustRightInd w:val="0"/>
        <w:snapToGrid w:val="0"/>
        <w:spacing w:before="93" w:line="600" w:lineRule="exact"/>
        <w:ind w:left="672" w:leftChars="0"/>
        <w:outlineLvl w:val="2"/>
        <w:rPr>
          <w:rFonts w:hint="default" w:ascii="Times New Roman" w:hAnsi="Times New Roman" w:eastAsia="仿宋_GB2312" w:cs="仿宋_GB2312"/>
          <w:color w:val="auto"/>
          <w:sz w:val="32"/>
          <w:szCs w:val="32"/>
          <w:highlight w:val="none"/>
          <w:lang w:val="en-US" w:eastAsia="zh-CN"/>
        </w:rPr>
      </w:pPr>
      <w:r>
        <w:rPr>
          <w:rFonts w:hint="eastAsia" w:ascii="Times New Roman" w:cs="仿宋_GB2312"/>
          <w:color w:val="auto"/>
          <w:sz w:val="32"/>
          <w:szCs w:val="32"/>
          <w:highlight w:val="none"/>
          <w:lang w:val="en-US" w:eastAsia="zh-CN"/>
        </w:rPr>
        <w:t>1.</w:t>
      </w:r>
      <w:r>
        <w:rPr>
          <w:rFonts w:hint="eastAsia" w:ascii="仿宋" w:hAnsi="仿宋" w:eastAsia="仿宋" w:cs="Times New Roman"/>
          <w:kern w:val="2"/>
          <w:sz w:val="32"/>
          <w:szCs w:val="32"/>
          <w:lang w:val="en-US" w:eastAsia="zh-CN" w:bidi="ar-SA"/>
        </w:rPr>
        <w:t>攀枝花市西区退役军人服务中心</w:t>
      </w:r>
    </w:p>
    <w:p w14:paraId="70999552">
      <w:pPr>
        <w:pStyle w:val="2"/>
        <w:numPr>
          <w:ilvl w:val="0"/>
          <w:numId w:val="0"/>
        </w:numPr>
        <w:adjustRightInd w:val="0"/>
        <w:snapToGrid w:val="0"/>
        <w:spacing w:before="93" w:line="600" w:lineRule="exact"/>
        <w:outlineLvl w:val="2"/>
        <w:rPr>
          <w:rFonts w:hint="eastAsia" w:ascii="Times New Roman" w:hAnsi="Times New Roman" w:eastAsia="仿宋_GB2312" w:cs="仿宋_GB2312"/>
          <w:color w:val="auto"/>
          <w:sz w:val="32"/>
          <w:szCs w:val="32"/>
          <w:highlight w:val="none"/>
        </w:rPr>
      </w:pPr>
    </w:p>
    <w:p w14:paraId="1D2635F8">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561564D8">
      <w:pPr>
        <w:pStyle w:val="4"/>
        <w:jc w:val="center"/>
        <w:rPr>
          <w:rFonts w:hint="eastAsia" w:ascii="Times New Roman" w:hAnsi="Times New Roman" w:eastAsia="方正小标宋简体" w:cs="方正小标宋简体"/>
          <w:b w:val="0"/>
          <w:color w:val="auto"/>
          <w:highlight w:val="none"/>
        </w:rPr>
      </w:pPr>
      <w:bookmarkStart w:id="12" w:name="_Toc15396602"/>
      <w:bookmarkStart w:id="13"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2"/>
      <w:bookmarkEnd w:id="13"/>
    </w:p>
    <w:p w14:paraId="1A877287">
      <w:pPr>
        <w:rPr>
          <w:rFonts w:ascii="Times New Roman" w:hAnsi="Times New Roman"/>
          <w:color w:val="auto"/>
          <w:highlight w:val="none"/>
        </w:rPr>
      </w:pPr>
    </w:p>
    <w:p w14:paraId="267A184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4" w:name="_Toc15377205"/>
      <w:bookmarkStart w:id="15"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4"/>
      <w:bookmarkEnd w:id="15"/>
    </w:p>
    <w:p w14:paraId="60A2BA8D">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1118.34</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157.22</w:t>
      </w:r>
      <w:r>
        <w:rPr>
          <w:rFonts w:hint="eastAsia" w:ascii="Times New Roman" w:hAnsi="Times New Roman" w:eastAsia="仿宋_GB2312" w:cs="仿宋_GB2312"/>
          <w:color w:val="auto"/>
          <w:sz w:val="32"/>
          <w:szCs w:val="32"/>
          <w:highlight w:val="none"/>
        </w:rPr>
        <w:t>万元，</w:t>
      </w:r>
      <w:r>
        <w:rPr>
          <w:rFonts w:hint="eastAsia" w:eastAsia="仿宋_GB2312" w:cs="仿宋_GB2312"/>
          <w:color w:val="auto"/>
          <w:sz w:val="32"/>
          <w:szCs w:val="32"/>
          <w:highlight w:val="none"/>
          <w:lang w:val="en-US" w:eastAsia="zh-CN"/>
        </w:rPr>
        <w:t>14.06</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项目经费增加。</w:t>
      </w:r>
    </w:p>
    <w:p w14:paraId="5CA238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53E16A07">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仿宋_GB2312" w:cs="仿宋_GB2312"/>
          <w:color w:val="auto"/>
          <w:sz w:val="32"/>
          <w:szCs w:val="32"/>
          <w:highlight w:val="none"/>
        </w:rPr>
      </w:pPr>
      <w:r>
        <w:drawing>
          <wp:inline distT="0" distB="0" distL="114300" distR="114300">
            <wp:extent cx="4410075" cy="2752725"/>
            <wp:effectExtent l="0" t="0" r="9525"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stretch>
                      <a:fillRect/>
                    </a:stretch>
                  </pic:blipFill>
                  <pic:spPr>
                    <a:xfrm>
                      <a:off x="0" y="0"/>
                      <a:ext cx="4410075" cy="2752725"/>
                    </a:xfrm>
                    <a:prstGeom prst="rect">
                      <a:avLst/>
                    </a:prstGeom>
                    <a:noFill/>
                    <a:ln>
                      <a:noFill/>
                    </a:ln>
                  </pic:spPr>
                </pic:pic>
              </a:graphicData>
            </a:graphic>
          </wp:inline>
        </w:drawing>
      </w:r>
    </w:p>
    <w:p w14:paraId="598E252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6" w:name="_Toc15377206"/>
      <w:bookmarkStart w:id="17" w:name="_Toc15396604"/>
      <w:r>
        <w:rPr>
          <w:rFonts w:hint="eastAsia" w:ascii="Times New Roman" w:hAnsi="Times New Roman" w:eastAsia="黑体"/>
          <w:color w:val="auto"/>
          <w:sz w:val="32"/>
          <w:szCs w:val="32"/>
          <w:highlight w:val="none"/>
          <w:lang w:eastAsia="zh-CN"/>
        </w:rPr>
        <w:t>二、收入决算情况说明</w:t>
      </w:r>
      <w:bookmarkEnd w:id="16"/>
      <w:bookmarkEnd w:id="17"/>
    </w:p>
    <w:p w14:paraId="631B75B5">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1059.8万元，其中：一般公共预算财政拨款收入1050.33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99.1</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9.47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0.89%</w:t>
      </w:r>
      <w:r>
        <w:rPr>
          <w:rFonts w:hint="eastAsia" w:ascii="仿宋_GB2312" w:hAnsi="仿宋_GB2312" w:eastAsia="仿宋_GB2312" w:cs="仿宋_GB2312"/>
          <w:color w:val="auto"/>
          <w:sz w:val="32"/>
          <w:szCs w:val="32"/>
          <w:highlight w:val="none"/>
          <w:lang w:eastAsia="zh-CN"/>
        </w:rPr>
        <w:t>。</w:t>
      </w:r>
    </w:p>
    <w:p w14:paraId="4F450A33">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74EB7A90">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4657725" cy="2619375"/>
            <wp:effectExtent l="0" t="0" r="9525" b="952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0"/>
                    <a:stretch>
                      <a:fillRect/>
                    </a:stretch>
                  </pic:blipFill>
                  <pic:spPr>
                    <a:xfrm>
                      <a:off x="0" y="0"/>
                      <a:ext cx="4657725" cy="2619375"/>
                    </a:xfrm>
                    <a:prstGeom prst="rect">
                      <a:avLst/>
                    </a:prstGeom>
                    <a:noFill/>
                    <a:ln>
                      <a:noFill/>
                    </a:ln>
                  </pic:spPr>
                </pic:pic>
              </a:graphicData>
            </a:graphic>
          </wp:inline>
        </w:drawing>
      </w:r>
    </w:p>
    <w:p w14:paraId="0C72AE5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8" w:name="_Toc15396605"/>
      <w:bookmarkStart w:id="19"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18"/>
      <w:bookmarkEnd w:id="19"/>
    </w:p>
    <w:p w14:paraId="768057E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1118.34</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202.67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18.12</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915.67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81.87</w:t>
      </w:r>
      <w:r>
        <w:rPr>
          <w:rFonts w:hint="eastAsia" w:ascii="仿宋_GB2312" w:hAnsi="仿宋_GB2312" w:eastAsia="仿宋_GB2312" w:cs="仿宋_GB2312"/>
          <w:color w:val="auto"/>
          <w:sz w:val="32"/>
          <w:szCs w:val="32"/>
          <w:highlight w:val="none"/>
          <w:lang w:eastAsia="zh-CN"/>
        </w:rPr>
        <w:t>%。</w:t>
      </w:r>
    </w:p>
    <w:p w14:paraId="5305DB6B">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5DEAD5CA">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3657600" cy="2733675"/>
            <wp:effectExtent l="0" t="0" r="0" b="952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1"/>
                    <a:stretch>
                      <a:fillRect/>
                    </a:stretch>
                  </pic:blipFill>
                  <pic:spPr>
                    <a:xfrm>
                      <a:off x="0" y="0"/>
                      <a:ext cx="3657600" cy="2733675"/>
                    </a:xfrm>
                    <a:prstGeom prst="rect">
                      <a:avLst/>
                    </a:prstGeom>
                    <a:noFill/>
                    <a:ln>
                      <a:noFill/>
                    </a:ln>
                  </pic:spPr>
                </pic:pic>
              </a:graphicData>
            </a:graphic>
          </wp:inline>
        </w:drawing>
      </w:r>
    </w:p>
    <w:p w14:paraId="11D65CED">
      <w:pPr>
        <w:spacing w:line="600" w:lineRule="exact"/>
        <w:ind w:firstLine="640" w:firstLineChars="200"/>
        <w:outlineLvl w:val="1"/>
        <w:rPr>
          <w:rStyle w:val="29"/>
          <w:rFonts w:ascii="Times New Roman" w:hAnsi="Times New Roman" w:eastAsia="黑体"/>
          <w:b w:val="0"/>
          <w:color w:val="auto"/>
          <w:highlight w:val="none"/>
        </w:rPr>
      </w:pPr>
      <w:bookmarkStart w:id="20" w:name="_Toc15396606"/>
      <w:bookmarkStart w:id="21" w:name="_Toc15377208"/>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0"/>
      <w:bookmarkEnd w:id="21"/>
    </w:p>
    <w:p w14:paraId="55C3D11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1118.34</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w:t>
      </w:r>
      <w:r>
        <w:rPr>
          <w:rFonts w:hint="eastAsia" w:ascii="Times New Roman" w:hAnsi="Times New Roman" w:eastAsia="仿宋_GB2312" w:cs="仿宋_GB2312"/>
          <w:color w:val="auto"/>
          <w:sz w:val="32"/>
          <w:szCs w:val="32"/>
          <w:highlight w:val="none"/>
        </w:rPr>
        <w:t>各增加</w:t>
      </w:r>
      <w:r>
        <w:rPr>
          <w:rFonts w:hint="eastAsia" w:eastAsia="仿宋_GB2312" w:cs="仿宋_GB2312"/>
          <w:color w:val="auto"/>
          <w:sz w:val="32"/>
          <w:szCs w:val="32"/>
          <w:highlight w:val="none"/>
          <w:lang w:val="en-US" w:eastAsia="zh-CN"/>
        </w:rPr>
        <w:t>157.22</w:t>
      </w:r>
      <w:r>
        <w:rPr>
          <w:rFonts w:hint="eastAsia" w:ascii="Times New Roman" w:hAnsi="Times New Roman" w:eastAsia="仿宋_GB2312" w:cs="仿宋_GB2312"/>
          <w:color w:val="auto"/>
          <w:sz w:val="32"/>
          <w:szCs w:val="32"/>
          <w:highlight w:val="none"/>
        </w:rPr>
        <w:t>万元，</w:t>
      </w:r>
      <w:r>
        <w:rPr>
          <w:rFonts w:hint="eastAsia" w:eastAsia="仿宋_GB2312" w:cs="仿宋_GB2312"/>
          <w:color w:val="auto"/>
          <w:sz w:val="32"/>
          <w:szCs w:val="32"/>
          <w:highlight w:val="none"/>
          <w:lang w:val="en-US" w:eastAsia="zh-CN"/>
        </w:rPr>
        <w:t>14.06</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项目经费增加。</w:t>
      </w:r>
    </w:p>
    <w:p w14:paraId="05E6F110">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14E1FF43">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514850" cy="2724150"/>
            <wp:effectExtent l="0" t="0" r="0" b="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2"/>
                    <a:stretch>
                      <a:fillRect/>
                    </a:stretch>
                  </pic:blipFill>
                  <pic:spPr>
                    <a:xfrm>
                      <a:off x="0" y="0"/>
                      <a:ext cx="4514850" cy="2724150"/>
                    </a:xfrm>
                    <a:prstGeom prst="rect">
                      <a:avLst/>
                    </a:prstGeom>
                    <a:noFill/>
                    <a:ln>
                      <a:noFill/>
                    </a:ln>
                  </pic:spPr>
                </pic:pic>
              </a:graphicData>
            </a:graphic>
          </wp:inline>
        </w:drawing>
      </w:r>
    </w:p>
    <w:p w14:paraId="7849ED5C">
      <w:pPr>
        <w:spacing w:line="600" w:lineRule="exact"/>
        <w:ind w:firstLine="640" w:firstLineChars="200"/>
        <w:outlineLvl w:val="1"/>
        <w:rPr>
          <w:rStyle w:val="29"/>
          <w:rFonts w:ascii="Times New Roman" w:hAnsi="Times New Roman" w:eastAsia="黑体"/>
          <w:b w:val="0"/>
          <w:color w:val="auto"/>
          <w:highlight w:val="none"/>
        </w:rPr>
      </w:pPr>
      <w:bookmarkStart w:id="22" w:name="_Toc15396607"/>
      <w:bookmarkStart w:id="23"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2"/>
      <w:bookmarkEnd w:id="23"/>
    </w:p>
    <w:p w14:paraId="1238B9B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4"/>
    </w:p>
    <w:p w14:paraId="09F509A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1100.87</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98.43</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%。与2023年度相比，一般公共预算财政拨款支出增加153.55万元，增长13.95%。主要变动原因是项目经费增加。</w:t>
      </w:r>
    </w:p>
    <w:p w14:paraId="78D3030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619C1337">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105910" cy="2480945"/>
            <wp:effectExtent l="0" t="0" r="8890" b="1460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3"/>
                    <a:stretch>
                      <a:fillRect/>
                    </a:stretch>
                  </pic:blipFill>
                  <pic:spPr>
                    <a:xfrm>
                      <a:off x="0" y="0"/>
                      <a:ext cx="4105910" cy="2480945"/>
                    </a:xfrm>
                    <a:prstGeom prst="rect">
                      <a:avLst/>
                    </a:prstGeom>
                    <a:noFill/>
                    <a:ln>
                      <a:noFill/>
                    </a:ln>
                  </pic:spPr>
                </pic:pic>
              </a:graphicData>
            </a:graphic>
          </wp:inline>
        </w:drawing>
      </w:r>
    </w:p>
    <w:p w14:paraId="2971207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5"/>
    </w:p>
    <w:p w14:paraId="4C93CFBC">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1100.87</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1056.77</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95.99</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28.25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2.57</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15.85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1.44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39DBCC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6345DE91">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400550" cy="2638425"/>
            <wp:effectExtent l="0" t="0" r="0" b="952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4"/>
                    <a:stretch>
                      <a:fillRect/>
                    </a:stretch>
                  </pic:blipFill>
                  <pic:spPr>
                    <a:xfrm>
                      <a:off x="0" y="0"/>
                      <a:ext cx="4400550" cy="2638425"/>
                    </a:xfrm>
                    <a:prstGeom prst="rect">
                      <a:avLst/>
                    </a:prstGeom>
                    <a:noFill/>
                    <a:ln>
                      <a:noFill/>
                    </a:ln>
                  </pic:spPr>
                </pic:pic>
              </a:graphicData>
            </a:graphic>
          </wp:inline>
        </w:drawing>
      </w:r>
    </w:p>
    <w:p w14:paraId="1A9109D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6"/>
    </w:p>
    <w:p w14:paraId="42E628D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7" w:name="_Toc15377213"/>
      <w:bookmarkStart w:id="28" w:name="_Toc15377444"/>
      <w:bookmarkStart w:id="29"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1100.87</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7"/>
      <w:bookmarkEnd w:id="28"/>
      <w:bookmarkEnd w:id="29"/>
    </w:p>
    <w:p w14:paraId="64316AF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18.83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382EDDB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2.社会保障和就业支出（类）抚恤（款）义务兵优待（项）: 支出决算为</w:t>
      </w:r>
      <w:r>
        <w:rPr>
          <w:rFonts w:hint="eastAsia" w:eastAsia="仿宋_GB2312" w:cs="仿宋_GB2312"/>
          <w:color w:val="auto"/>
          <w:kern w:val="2"/>
          <w:sz w:val="32"/>
          <w:szCs w:val="32"/>
          <w:highlight w:val="none"/>
          <w:lang w:val="en-US" w:eastAsia="zh-CN" w:bidi="ar-SA"/>
        </w:rPr>
        <w:t>116.64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54F5659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3.社会保障和就业支出（类）抚恤（款）其他优抚支出（项）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518.9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84E514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4.社会保障和就业支出（类）退役安置（款）退役士兵安置（项）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100.15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B6D663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5.社会保障和就业支出（类）退役安置（款）退役士兵管理教育（项）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17.39</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5DBFBD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6.社会保障和就业支出（类）退役安置（款）军队转业干部安置（项）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18.34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3CA42E1">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社会保障和就业支出（类）退役安置（款）其他退役安置支出（项）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支出决算30.11万元，完成预算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A49921D">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社会保障和就业支出（类）退役军人管理事务（款）行政运行（项）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支出决算80.87万元，完成预算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72B93D2">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社会保障和就业支出（类）退役军人管理事务（款）拥军优属（项）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支出决算58.56万元，完成预算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5FEAE64C">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en-US" w:eastAsia="zh-CN" w:bidi="ar-SA"/>
        </w:rPr>
        <w:t>社会保障和就业支出（类）退役军人管理事务（款）事业运行（项）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支出决算70.14万元，完成预算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34377798">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社会保障和就业支出（类）退役军人管理事务（款）其他退役军人事务管理支出（项）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支出决算26.84万元，完成预算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3CEC3C81">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支出决算5.21万元，完成预算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953B4C8">
      <w:pPr>
        <w:spacing w:line="600" w:lineRule="exact"/>
        <w:ind w:firstLine="640" w:firstLineChars="20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卫生健康支出（类）行政事业单位医疗（款）事业单位医疗（项）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支出决算5.5万元，完成预算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1F1EB50">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卫生健康支出（类）行政事业单位医疗（款）公务员医疗补助（项）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支出决算3.45万元，完成预算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0F69BDF">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卫生健康支出（类）行政事业单位医疗（款）其他行政事业单位医疗支出（项）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支出决算2.82万元，完成预算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6A5FF15">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卫生健康支出（类）优抚对象医疗（款）优抚对象医疗补助（项）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支出决算11.26万元，完成预算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66096895">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支出决算15.85万元，完成预算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3363F674">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38304368">
      <w:pPr>
        <w:tabs>
          <w:tab w:val="right" w:pos="8306"/>
        </w:tabs>
        <w:spacing w:line="600" w:lineRule="exact"/>
        <w:ind w:firstLine="640"/>
        <w:outlineLvl w:val="1"/>
        <w:rPr>
          <w:rStyle w:val="29"/>
          <w:rFonts w:ascii="Times New Roman" w:hAnsi="Times New Roman"/>
          <w:color w:val="auto"/>
          <w:highlight w:val="none"/>
        </w:rPr>
      </w:pPr>
      <w:bookmarkStart w:id="30" w:name="_Toc15396608"/>
      <w:bookmarkStart w:id="31"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0"/>
      <w:bookmarkEnd w:id="31"/>
      <w:r>
        <w:rPr>
          <w:rStyle w:val="29"/>
          <w:rFonts w:ascii="Times New Roman" w:hAnsi="Times New Roman" w:eastAsia="黑体"/>
          <w:b w:val="0"/>
          <w:color w:val="auto"/>
          <w:highlight w:val="none"/>
        </w:rPr>
        <w:tab/>
      </w:r>
    </w:p>
    <w:p w14:paraId="7853B5D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202.67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607401C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192.42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元，主要包括：基本工资、津贴补贴、奖金、绩效工资、机关事业单位基本养老保险缴费、其他社会保障缴费、其他工资福利支出、住房公积金等。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10.25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元，主要包括：办公费、差旅费、工会经费、福利费、其他交通费、其他商品和服务支出等。</w:t>
      </w:r>
    </w:p>
    <w:p w14:paraId="3B827ED2">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06432BD3">
      <w:pPr>
        <w:spacing w:line="600" w:lineRule="exact"/>
        <w:ind w:firstLine="640"/>
        <w:outlineLvl w:val="1"/>
        <w:rPr>
          <w:rStyle w:val="29"/>
          <w:rFonts w:ascii="Times New Roman" w:hAnsi="Times New Roman" w:eastAsia="黑体"/>
          <w:b w:val="0"/>
          <w:color w:val="auto"/>
          <w:highlight w:val="none"/>
        </w:rPr>
      </w:pPr>
      <w:bookmarkStart w:id="32" w:name="_Toc15396609"/>
      <w:bookmarkStart w:id="33" w:name="_Toc15377215"/>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2"/>
      <w:bookmarkEnd w:id="33"/>
    </w:p>
    <w:p w14:paraId="62B22CC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4"/>
    </w:p>
    <w:p w14:paraId="2C173857">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_GB2312" w:eastAsia="仿宋_GB2312"/>
          <w:color w:val="auto"/>
          <w:sz w:val="32"/>
          <w:szCs w:val="32"/>
          <w:highlight w:val="none"/>
          <w:lang w:eastAsia="zh-CN"/>
        </w:rPr>
        <w:t>与202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度持平</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主要原因是</w:t>
      </w:r>
      <w:r>
        <w:rPr>
          <w:rFonts w:hint="eastAsia" w:ascii="仿宋" w:hAnsi="仿宋" w:eastAsia="仿宋"/>
          <w:color w:val="auto"/>
          <w:sz w:val="32"/>
          <w:szCs w:val="32"/>
          <w:highlight w:val="none"/>
          <w:lang w:eastAsia="zh-CN"/>
        </w:rPr>
        <w:t>无三公经费支出。</w:t>
      </w:r>
    </w:p>
    <w:p w14:paraId="3C2B9DB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5"/>
    </w:p>
    <w:p w14:paraId="37BB9FFE">
      <w:pPr>
        <w:spacing w:line="600" w:lineRule="exact"/>
        <w:ind w:firstLine="640"/>
        <w:rPr>
          <w:rFonts w:ascii="仿宋_GB2312" w:eastAsia="仿宋_GB2312"/>
          <w:b/>
          <w:color w:val="auto"/>
          <w:sz w:val="32"/>
          <w:szCs w:val="32"/>
          <w:highlight w:val="none"/>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168561B7">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w:t>
      </w:r>
      <w:r>
        <w:rPr>
          <w:rFonts w:hint="eastAsia" w:ascii="仿宋_GB2312" w:eastAsia="仿宋_GB2312"/>
          <w:color w:val="auto"/>
          <w:sz w:val="32"/>
          <w:szCs w:val="32"/>
          <w:highlight w:val="none"/>
          <w:lang w:eastAsia="zh-CN"/>
        </w:rPr>
        <w:t>与202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度持平</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未支出因公出国（境）经费支出</w:t>
      </w:r>
      <w:r>
        <w:rPr>
          <w:rFonts w:hint="eastAsia" w:ascii="仿宋_GB2312" w:eastAsia="仿宋_GB2312"/>
          <w:color w:val="auto"/>
          <w:sz w:val="32"/>
          <w:szCs w:val="32"/>
          <w:highlight w:val="none"/>
        </w:rPr>
        <w:t>。</w:t>
      </w:r>
    </w:p>
    <w:p w14:paraId="24383437">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rPr>
        <w:t>开支内容包括：</w:t>
      </w:r>
      <w:r>
        <w:rPr>
          <w:rFonts w:hint="eastAsia" w:ascii="仿宋_GB2312" w:eastAsia="仿宋_GB2312"/>
          <w:color w:val="auto"/>
          <w:sz w:val="32"/>
          <w:szCs w:val="32"/>
          <w:highlight w:val="none"/>
          <w:lang w:eastAsia="zh-CN"/>
        </w:rPr>
        <w:t>无</w:t>
      </w:r>
      <w:r>
        <w:rPr>
          <w:rFonts w:hint="eastAsia" w:ascii="仿宋_GB2312" w:eastAsia="仿宋_GB2312"/>
          <w:color w:val="auto"/>
          <w:sz w:val="32"/>
          <w:szCs w:val="32"/>
          <w:highlight w:val="none"/>
        </w:rPr>
        <w:t>。</w:t>
      </w:r>
    </w:p>
    <w:p w14:paraId="49BD3100">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与202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度持平</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本单位无车辆</w:t>
      </w:r>
      <w:r>
        <w:rPr>
          <w:rFonts w:hint="eastAsia" w:ascii="仿宋_GB2312" w:eastAsia="仿宋_GB2312"/>
          <w:color w:val="auto"/>
          <w:sz w:val="32"/>
          <w:szCs w:val="32"/>
          <w:highlight w:val="none"/>
        </w:rPr>
        <w:t>。</w:t>
      </w:r>
    </w:p>
    <w:p w14:paraId="316867CC">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31日</w:t>
      </w:r>
      <w:r>
        <w:rPr>
          <w:rFonts w:hint="eastAsia" w:ascii="仿宋_GB2312" w:eastAsia="仿宋_GB2312"/>
          <w:color w:val="auto"/>
          <w:sz w:val="32"/>
          <w:szCs w:val="32"/>
          <w:highlight w:val="none"/>
        </w:rPr>
        <w:t>，单位共有公务用车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0171F4B9">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6A0312E4">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w:t>
      </w:r>
      <w:r>
        <w:rPr>
          <w:rFonts w:hint="eastAsia" w:ascii="仿宋_GB2312" w:eastAsia="仿宋_GB2312"/>
          <w:color w:val="auto"/>
          <w:sz w:val="32"/>
          <w:szCs w:val="32"/>
          <w:highlight w:val="none"/>
          <w:lang w:eastAsia="zh-CN"/>
        </w:rPr>
        <w:t>与202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度持平</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无公务接待费支出</w:t>
      </w:r>
      <w:r>
        <w:rPr>
          <w:rFonts w:hint="eastAsia" w:ascii="仿宋_GB2312" w:eastAsia="仿宋_GB2312"/>
          <w:color w:val="auto"/>
          <w:sz w:val="32"/>
          <w:szCs w:val="32"/>
          <w:highlight w:val="none"/>
        </w:rPr>
        <w:t>。其中：</w:t>
      </w:r>
    </w:p>
    <w:p w14:paraId="466FB5AB">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p>
    <w:p w14:paraId="6FF540F2">
      <w:pPr>
        <w:spacing w:line="600" w:lineRule="exact"/>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p>
    <w:p w14:paraId="66338C5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6" w:name="_Toc15377218"/>
      <w:bookmarkStart w:id="37" w:name="_Toc15396610"/>
    </w:p>
    <w:p w14:paraId="77E39027">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36"/>
      <w:bookmarkEnd w:id="37"/>
    </w:p>
    <w:p w14:paraId="779C8FC8">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17.47</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1.56</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3.67</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21</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项目经费增加。</w:t>
      </w:r>
    </w:p>
    <w:p w14:paraId="758A36E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5A7ABFD">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38" w:name="_Toc15396611"/>
      <w:bookmarkStart w:id="39"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38"/>
      <w:bookmarkEnd w:id="39"/>
    </w:p>
    <w:p w14:paraId="1EB7E15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14:paraId="6392787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B9B7E6B">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0" w:name="_Toc15396612"/>
      <w:bookmarkStart w:id="41" w:name="_Toc15377221"/>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0"/>
      <w:bookmarkEnd w:id="41"/>
    </w:p>
    <w:p w14:paraId="6610142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2"/>
      <w:r>
        <w:rPr>
          <w:rFonts w:hint="eastAsia" w:ascii="Times New Roman" w:hAnsi="Times New Roman" w:eastAsia="楷体_GB2312" w:cs="楷体_GB2312"/>
          <w:b/>
          <w:color w:val="auto"/>
          <w:sz w:val="32"/>
          <w:szCs w:val="32"/>
          <w:highlight w:val="none"/>
        </w:rPr>
        <w:t>（一）机关运行经费支出情况</w:t>
      </w:r>
      <w:bookmarkEnd w:id="42"/>
    </w:p>
    <w:p w14:paraId="4E74EA7B">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攀枝花市西区退役军人事务局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10.25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0.54</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5.27</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本年度差旅费增加。</w:t>
      </w:r>
    </w:p>
    <w:p w14:paraId="4405FDA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1EAEF9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23"/>
      <w:r>
        <w:rPr>
          <w:rFonts w:hint="eastAsia" w:ascii="Times New Roman" w:hAnsi="Times New Roman" w:eastAsia="楷体_GB2312" w:cs="楷体_GB2312"/>
          <w:b/>
          <w:color w:val="auto"/>
          <w:sz w:val="32"/>
          <w:szCs w:val="32"/>
          <w:highlight w:val="none"/>
        </w:rPr>
        <w:t>（二）政府采购支出情况</w:t>
      </w:r>
      <w:bookmarkEnd w:id="43"/>
    </w:p>
    <w:p w14:paraId="5026D65A">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攀枝花市西区退役军人事务局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649C8DD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DFC0CD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24"/>
      <w:r>
        <w:rPr>
          <w:rFonts w:hint="eastAsia" w:ascii="Times New Roman" w:hAnsi="Times New Roman" w:eastAsia="楷体_GB2312" w:cs="楷体_GB2312"/>
          <w:b/>
          <w:color w:val="auto"/>
          <w:sz w:val="32"/>
          <w:szCs w:val="32"/>
          <w:highlight w:val="none"/>
        </w:rPr>
        <w:t>（三）国有资产占有使用情况</w:t>
      </w:r>
      <w:bookmarkEnd w:id="44"/>
    </w:p>
    <w:p w14:paraId="6E9DFB4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攀枝花市西区退役军人事务局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3896E79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458412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3F36C2D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本部门</w:t>
      </w:r>
      <w:r>
        <w:rPr>
          <w:rFonts w:hint="eastAsia" w:ascii="Times New Roman" w:hAnsi="Times New Roman" w:eastAsia="仿宋_GB2312" w:cs="仿宋_GB2312"/>
          <w:color w:val="auto"/>
          <w:kern w:val="2"/>
          <w:sz w:val="32"/>
          <w:szCs w:val="32"/>
          <w:highlight w:val="none"/>
          <w:lang w:val="en-US" w:eastAsia="zh-CN" w:bidi="ar-SA"/>
        </w:rPr>
        <w:t>在2024年度预算编制阶段，组织对双拥经费</w:t>
      </w:r>
      <w:r>
        <w:rPr>
          <w:rFonts w:hint="eastAsia" w:eastAsia="仿宋_GB2312" w:cs="仿宋_GB2312"/>
          <w:color w:val="auto"/>
          <w:kern w:val="2"/>
          <w:sz w:val="32"/>
          <w:szCs w:val="32"/>
          <w:highlight w:val="none"/>
          <w:lang w:val="en-US" w:eastAsia="zh-CN" w:bidi="ar-SA"/>
        </w:rPr>
        <w:t>、退役安置补助</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3A270D5C">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组织对2024年度一般公共预算、政府性基金预算等全面开展绩效自评，形成</w:t>
      </w:r>
      <w:r>
        <w:rPr>
          <w:rFonts w:hint="eastAsia" w:eastAsia="仿宋_GB2312" w:cs="仿宋_GB2312"/>
          <w:color w:val="auto"/>
          <w:kern w:val="2"/>
          <w:sz w:val="32"/>
          <w:szCs w:val="32"/>
          <w:highlight w:val="none"/>
          <w:lang w:val="en-US" w:eastAsia="zh-CN" w:bidi="ar-SA"/>
        </w:rPr>
        <w:t>攀枝花市</w:t>
      </w:r>
      <w:r>
        <w:rPr>
          <w:rFonts w:hint="eastAsia" w:ascii="仿宋_GB2312" w:eastAsia="仿宋_GB2312" w:cs="Times New Roman"/>
          <w:color w:val="auto"/>
          <w:sz w:val="32"/>
          <w:szCs w:val="32"/>
          <w:highlight w:val="none"/>
          <w:lang w:val="en-US" w:eastAsia="zh-CN"/>
        </w:rPr>
        <w:t>西</w:t>
      </w:r>
      <w:bookmarkStart w:id="63" w:name="_GoBack"/>
      <w:bookmarkEnd w:id="63"/>
      <w:r>
        <w:rPr>
          <w:rFonts w:hint="eastAsia" w:ascii="仿宋_GB2312" w:eastAsia="仿宋_GB2312" w:cs="Times New Roman"/>
          <w:color w:val="auto"/>
          <w:sz w:val="32"/>
          <w:szCs w:val="32"/>
          <w:highlight w:val="none"/>
          <w:lang w:val="en-US" w:eastAsia="zh-CN"/>
        </w:rPr>
        <w:t>区退役局</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部门整体（含部门预算项目）绩效自评报告、双拥经费</w:t>
      </w:r>
      <w:r>
        <w:rPr>
          <w:rFonts w:hint="eastAsia" w:eastAsia="仿宋_GB2312" w:cs="仿宋_GB2312"/>
          <w:color w:val="auto"/>
          <w:kern w:val="2"/>
          <w:sz w:val="32"/>
          <w:szCs w:val="32"/>
          <w:highlight w:val="none"/>
          <w:lang w:val="en-US" w:eastAsia="zh-CN" w:bidi="ar-SA"/>
        </w:rPr>
        <w:t>、退役安置补助</w:t>
      </w:r>
      <w:r>
        <w:rPr>
          <w:rFonts w:hint="eastAsia" w:ascii="Times New Roman" w:hAnsi="Times New Roman" w:eastAsia="仿宋_GB2312" w:cs="仿宋_GB2312"/>
          <w:color w:val="auto"/>
          <w:kern w:val="2"/>
          <w:sz w:val="32"/>
          <w:szCs w:val="32"/>
          <w:highlight w:val="none"/>
          <w:lang w:val="en-US" w:eastAsia="zh-CN" w:bidi="ar-SA"/>
        </w:rPr>
        <w:t>等专项预算项目绩效自评报告，其中，</w:t>
      </w:r>
      <w:r>
        <w:rPr>
          <w:rFonts w:hint="eastAsia" w:ascii="仿宋_GB2312" w:eastAsia="仿宋_GB2312" w:cs="Times New Roman"/>
          <w:color w:val="auto"/>
          <w:sz w:val="32"/>
          <w:szCs w:val="32"/>
          <w:highlight w:val="none"/>
          <w:lang w:val="en-US" w:eastAsia="zh-CN"/>
        </w:rPr>
        <w:t>西区退役局</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97</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仿宋_GB2312" w:eastAsia="仿宋_GB2312" w:cs="Times New Roman"/>
          <w:color w:val="auto"/>
          <w:sz w:val="32"/>
          <w:szCs w:val="32"/>
          <w:highlight w:val="none"/>
          <w:lang w:val="en-US" w:eastAsia="zh-CN"/>
        </w:rPr>
        <w:t>我单位项目资金使用做到专款专用，有政府采购项目的，严格按《政府采购法》实施，并加强固定资产管理。2024年度各项经费达到对应的绩效目标，圆满完成各项目规定工作任务；</w:t>
      </w:r>
      <w:r>
        <w:rPr>
          <w:rFonts w:hint="eastAsia" w:ascii="仿宋_GB2312" w:eastAsia="仿宋_GB2312" w:cs="Times New Roman"/>
          <w:b/>
          <w:bCs/>
          <w:color w:val="auto"/>
          <w:sz w:val="32"/>
          <w:szCs w:val="32"/>
          <w:highlight w:val="none"/>
        </w:rPr>
        <w:t>双拥经费</w:t>
      </w:r>
      <w:r>
        <w:rPr>
          <w:rFonts w:hint="eastAsia" w:ascii="仿宋_GB2312" w:eastAsia="仿宋_GB2312" w:cs="Times New Roman"/>
          <w:color w:val="auto"/>
          <w:sz w:val="32"/>
          <w:szCs w:val="32"/>
          <w:highlight w:val="none"/>
          <w:lang w:eastAsia="zh-CN"/>
        </w:rPr>
        <w:t>专项预</w:t>
      </w:r>
      <w:r>
        <w:rPr>
          <w:rFonts w:hint="eastAsia" w:ascii="仿宋_GB2312" w:eastAsia="仿宋_GB2312" w:cs="Times New Roman"/>
          <w:color w:val="auto"/>
          <w:sz w:val="32"/>
          <w:szCs w:val="32"/>
          <w:highlight w:val="none"/>
          <w:lang w:val="en-US" w:eastAsia="zh-CN"/>
        </w:rPr>
        <w:t>算项目绩效自评得分为100分，绩效自评综述：贯彻落实党的群众路线和惠民政策，深入扎实做好拥军优属、拥政爱民工作，不断强化国家军事力量保障，同时为军人创造良好的家庭氛围和后勤保障，有效增强军人荣誉感和责任感，维护社会稳定</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eastAsia="仿宋_GB2312" w:cs="Times New Roman"/>
          <w:b/>
          <w:bCs/>
          <w:color w:val="auto"/>
          <w:sz w:val="32"/>
          <w:szCs w:val="32"/>
          <w:highlight w:val="none"/>
          <w:lang w:val="en-US" w:eastAsia="zh-CN"/>
        </w:rPr>
        <w:t>退役安置补助</w:t>
      </w:r>
      <w:r>
        <w:rPr>
          <w:rFonts w:hint="eastAsia" w:ascii="仿宋_GB2312" w:eastAsia="仿宋_GB2312" w:cs="Times New Roman"/>
          <w:b/>
          <w:bCs/>
          <w:color w:val="auto"/>
          <w:sz w:val="32"/>
          <w:szCs w:val="32"/>
          <w:highlight w:val="none"/>
          <w:lang w:eastAsia="zh-CN"/>
        </w:rPr>
        <w:t>专项</w:t>
      </w:r>
      <w:r>
        <w:rPr>
          <w:rFonts w:hint="eastAsia" w:ascii="仿宋_GB2312" w:eastAsia="仿宋_GB2312" w:cs="Times New Roman"/>
          <w:color w:val="auto"/>
          <w:sz w:val="32"/>
          <w:szCs w:val="32"/>
          <w:highlight w:val="none"/>
          <w:lang w:eastAsia="zh-CN"/>
        </w:rPr>
        <w:t>预</w:t>
      </w:r>
      <w:r>
        <w:rPr>
          <w:rFonts w:hint="eastAsia" w:ascii="仿宋_GB2312" w:eastAsia="仿宋_GB2312" w:cs="Times New Roman"/>
          <w:color w:val="auto"/>
          <w:sz w:val="32"/>
          <w:szCs w:val="32"/>
          <w:highlight w:val="none"/>
          <w:lang w:val="en-US" w:eastAsia="zh-CN"/>
        </w:rPr>
        <w:t>算项目绩效自评得分为100分，绩效自评综述：</w:t>
      </w:r>
      <w:r>
        <w:rPr>
          <w:rFonts w:hint="eastAsia" w:ascii="Times New Roman" w:hAnsi="Times New Roman" w:eastAsia="仿宋_GB2312" w:cs="Times New Roman"/>
          <w:b/>
          <w:bCs/>
          <w:color w:val="000000"/>
          <w:sz w:val="32"/>
          <w:szCs w:val="32"/>
          <w:lang w:val="en-US" w:eastAsia="zh-CN"/>
        </w:rPr>
        <w:t>一是</w:t>
      </w:r>
      <w:r>
        <w:rPr>
          <w:rFonts w:hint="default" w:ascii="Times New Roman" w:hAnsi="Times New Roman" w:eastAsia="仿宋_GB2312" w:cs="Times New Roman"/>
          <w:color w:val="000000"/>
          <w:sz w:val="32"/>
          <w:szCs w:val="32"/>
          <w:lang w:val="en-US" w:eastAsia="zh-CN"/>
        </w:rPr>
        <w:t>积极配合区人武部征兵工作，大力宣传优抚安置政策。动员大学生应征入伍，切实提高兵员素质，</w:t>
      </w:r>
      <w:r>
        <w:rPr>
          <w:rFonts w:hint="eastAsia" w:cs="Times New Roman"/>
          <w:b/>
          <w:bCs/>
          <w:color w:val="000000"/>
          <w:sz w:val="32"/>
          <w:szCs w:val="32"/>
          <w:lang w:val="en-US" w:eastAsia="zh-CN"/>
        </w:rPr>
        <w:t>二是</w:t>
      </w:r>
      <w:r>
        <w:rPr>
          <w:rFonts w:hint="default" w:ascii="Times New Roman" w:hAnsi="Times New Roman" w:eastAsia="仿宋_GB2312" w:cs="Times New Roman"/>
          <w:color w:val="000000"/>
          <w:sz w:val="32"/>
          <w:szCs w:val="32"/>
          <w:lang w:val="en-US" w:eastAsia="zh-CN"/>
        </w:rPr>
        <w:t>严格落实“阳光安置”程序，高质量完成移交安置任务，接收符合政府安排工作条件退役士兵1人。对自主就业退役士兵，严格履行接收程序，逐份审查退役士兵档案并同步开展电子化录入</w:t>
      </w:r>
      <w:r>
        <w:rPr>
          <w:rFonts w:hint="eastAsia" w:ascii="Times New Roman" w:hAnsi="Times New Roman" w:eastAsia="仿宋_GB2312" w:cs="Times New Roman"/>
          <w:color w:val="000000"/>
          <w:sz w:val="32"/>
          <w:szCs w:val="32"/>
          <w:lang w:val="en-US" w:eastAsia="zh-CN"/>
        </w:rPr>
        <w:t>。2024年度共</w:t>
      </w:r>
      <w:r>
        <w:rPr>
          <w:rFonts w:hint="eastAsia" w:cs="Times New Roman"/>
          <w:color w:val="000000"/>
          <w:sz w:val="32"/>
          <w:szCs w:val="32"/>
          <w:lang w:val="en-US" w:eastAsia="zh-CN"/>
        </w:rPr>
        <w:t>发放</w:t>
      </w:r>
      <w:r>
        <w:rPr>
          <w:rFonts w:hint="default" w:ascii="Times New Roman" w:hAnsi="Times New Roman" w:eastAsia="仿宋_GB2312" w:cs="Times New Roman"/>
          <w:color w:val="000000"/>
          <w:sz w:val="32"/>
          <w:szCs w:val="32"/>
          <w:lang w:val="en-US" w:eastAsia="zh-CN"/>
        </w:rPr>
        <w:t>自主就业退役士兵</w:t>
      </w:r>
      <w:r>
        <w:rPr>
          <w:rFonts w:hint="eastAsia" w:cs="Times New Roman"/>
          <w:color w:val="000000"/>
          <w:sz w:val="32"/>
          <w:szCs w:val="32"/>
          <w:lang w:val="en-US" w:eastAsia="zh-CN"/>
        </w:rPr>
        <w:t>一次性地方经济补助</w:t>
      </w:r>
      <w:r>
        <w:rPr>
          <w:rFonts w:hint="default" w:ascii="Times New Roman" w:hAnsi="Times New Roman" w:eastAsia="仿宋_GB2312" w:cs="Times New Roman"/>
          <w:color w:val="000000"/>
          <w:sz w:val="32"/>
          <w:szCs w:val="32"/>
          <w:lang w:val="en-US" w:eastAsia="zh-CN"/>
        </w:rPr>
        <w:t>4</w:t>
      </w:r>
      <w:r>
        <w:rPr>
          <w:rFonts w:hint="eastAsia" w:cs="Times New Roman"/>
          <w:color w:val="000000"/>
          <w:sz w:val="32"/>
          <w:szCs w:val="32"/>
          <w:lang w:val="en-US" w:eastAsia="zh-CN"/>
        </w:rPr>
        <w:t>4</w:t>
      </w:r>
      <w:r>
        <w:rPr>
          <w:rFonts w:hint="default" w:ascii="Times New Roman" w:hAnsi="Times New Roman" w:eastAsia="仿宋_GB2312" w:cs="Times New Roman"/>
          <w:color w:val="000000"/>
          <w:sz w:val="32"/>
          <w:szCs w:val="32"/>
          <w:lang w:val="en-US" w:eastAsia="zh-CN"/>
        </w:rPr>
        <w:t>人</w:t>
      </w:r>
      <w:r>
        <w:rPr>
          <w:rFonts w:hint="eastAsia" w:ascii="仿宋_GB2312" w:eastAsia="仿宋_GB2312" w:cs="Times New Roman"/>
          <w:color w:val="auto"/>
          <w:sz w:val="32"/>
          <w:szCs w:val="32"/>
          <w:highlight w:val="none"/>
          <w:lang w:val="en-US" w:eastAsia="zh-CN"/>
        </w:rPr>
        <w:t>。</w:t>
      </w:r>
      <w:r>
        <w:rPr>
          <w:rFonts w:hint="eastAsia" w:ascii="仿宋_GB2312" w:eastAsia="仿宋_GB2312" w:cs="Times New Roman"/>
          <w:b/>
          <w:bCs/>
          <w:color w:val="auto"/>
          <w:sz w:val="32"/>
          <w:szCs w:val="32"/>
          <w:highlight w:val="none"/>
          <w:lang w:eastAsia="zh-CN"/>
        </w:rPr>
        <w:t>重点优抚对象抚恤和生活补助</w:t>
      </w:r>
      <w:r>
        <w:rPr>
          <w:rFonts w:hint="eastAsia" w:ascii="仿宋_GB2312" w:eastAsia="仿宋_GB2312" w:cs="Times New Roman"/>
          <w:color w:val="auto"/>
          <w:sz w:val="32"/>
          <w:szCs w:val="32"/>
          <w:highlight w:val="none"/>
          <w:lang w:eastAsia="zh-CN"/>
        </w:rPr>
        <w:t>专项预</w:t>
      </w:r>
      <w:r>
        <w:rPr>
          <w:rFonts w:hint="eastAsia" w:ascii="仿宋_GB2312" w:eastAsia="仿宋_GB2312" w:cs="Times New Roman"/>
          <w:color w:val="auto"/>
          <w:sz w:val="32"/>
          <w:szCs w:val="32"/>
          <w:highlight w:val="none"/>
          <w:lang w:val="en-US" w:eastAsia="zh-CN"/>
        </w:rPr>
        <w:t>算项目绩效自评得分为100分，绩效自评综述：</w:t>
      </w:r>
      <w:r>
        <w:rPr>
          <w:rFonts w:hint="default" w:ascii="Times New Roman" w:hAnsi="Times New Roman" w:eastAsia="仿宋_GB2312" w:cs="Times New Roman"/>
          <w:color w:val="000000"/>
          <w:sz w:val="32"/>
          <w:szCs w:val="32"/>
          <w:lang w:val="en-US" w:eastAsia="zh-CN"/>
        </w:rPr>
        <w:t>全面贯彻落实退役军人事务部、财政部统一要求，依托攀枝花市惠民惠农财政补贴“一卡通”发放监管系统、财政预算管理一体化系统全年累计发放优抚对象抚恤和生活补助</w:t>
      </w:r>
      <w:r>
        <w:rPr>
          <w:rFonts w:hint="eastAsia" w:cs="Times New Roman"/>
          <w:color w:val="000000"/>
          <w:sz w:val="32"/>
          <w:szCs w:val="32"/>
          <w:lang w:val="en-US" w:eastAsia="zh-CN"/>
        </w:rPr>
        <w:t>2290</w:t>
      </w:r>
      <w:r>
        <w:rPr>
          <w:rFonts w:hint="default" w:ascii="Times New Roman" w:hAnsi="Times New Roman" w:eastAsia="仿宋_GB2312" w:cs="Times New Roman"/>
          <w:color w:val="000000"/>
          <w:sz w:val="32"/>
          <w:szCs w:val="32"/>
          <w:lang w:val="en-US" w:eastAsia="zh-CN"/>
        </w:rPr>
        <w:t>人次、优抚对象抚恤补助自然增长资金</w:t>
      </w:r>
      <w:r>
        <w:rPr>
          <w:rFonts w:hint="eastAsia" w:cs="Times New Roman"/>
          <w:color w:val="000000"/>
          <w:sz w:val="32"/>
          <w:szCs w:val="32"/>
          <w:lang w:val="en-US" w:eastAsia="zh-CN"/>
        </w:rPr>
        <w:t>83</w:t>
      </w:r>
      <w:r>
        <w:rPr>
          <w:rFonts w:hint="default" w:ascii="Times New Roman" w:hAnsi="Times New Roman" w:eastAsia="仿宋_GB2312" w:cs="Times New Roman"/>
          <w:color w:val="000000"/>
          <w:sz w:val="32"/>
          <w:szCs w:val="32"/>
          <w:lang w:val="en-US" w:eastAsia="zh-CN"/>
        </w:rPr>
        <w:t>人次</w:t>
      </w:r>
      <w:r>
        <w:rPr>
          <w:rFonts w:hint="eastAsia"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为4名一至六级残疾军人发放护理费，为1名一级伤残军人发放生活费</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b/>
          <w:bCs/>
          <w:color w:val="000000"/>
          <w:sz w:val="32"/>
          <w:szCs w:val="32"/>
          <w:lang w:val="en-US" w:eastAsia="zh-CN"/>
        </w:rPr>
        <w:t>优抚对象医疗补助</w:t>
      </w:r>
      <w:r>
        <w:rPr>
          <w:rFonts w:hint="eastAsia" w:ascii="仿宋_GB2312" w:eastAsia="仿宋_GB2312" w:cs="Times New Roman"/>
          <w:color w:val="auto"/>
          <w:sz w:val="32"/>
          <w:szCs w:val="32"/>
          <w:highlight w:val="none"/>
          <w:lang w:eastAsia="zh-CN"/>
        </w:rPr>
        <w:t>预</w:t>
      </w:r>
      <w:r>
        <w:rPr>
          <w:rFonts w:hint="eastAsia" w:ascii="仿宋_GB2312" w:eastAsia="仿宋_GB2312" w:cs="Times New Roman"/>
          <w:color w:val="auto"/>
          <w:sz w:val="32"/>
          <w:szCs w:val="32"/>
          <w:highlight w:val="none"/>
          <w:lang w:val="en-US" w:eastAsia="zh-CN"/>
        </w:rPr>
        <w:t>算项目绩效自评得分为100分，绩效自评综述：</w:t>
      </w:r>
      <w:r>
        <w:rPr>
          <w:rFonts w:hint="eastAsia" w:ascii="Times New Roman" w:hAnsi="Times New Roman" w:eastAsia="仿宋_GB2312" w:cs="仿宋_GB2312"/>
          <w:color w:val="auto"/>
          <w:kern w:val="2"/>
          <w:sz w:val="32"/>
          <w:szCs w:val="32"/>
          <w:highlight w:val="none"/>
          <w:lang w:val="en-US" w:eastAsia="zh-CN" w:bidi="ar-SA"/>
        </w:rPr>
        <w:t>对优抚对象实施医疗补助的一项优待制度，着力解决优抚对象治病难问题，对经济建设、社会稳定提供有力保障。绩效自评报告详见附件。</w:t>
      </w:r>
    </w:p>
    <w:p w14:paraId="742FD09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AC5081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C63F066">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5" w:name="_Toc15377225"/>
      <w:bookmarkStart w:id="46" w:name="_Toc15396613"/>
    </w:p>
    <w:p w14:paraId="6076995A">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668E5F2C">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4D619BE6">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5"/>
      <w:bookmarkEnd w:id="46"/>
    </w:p>
    <w:p w14:paraId="6FB6710B">
      <w:pPr>
        <w:spacing w:line="600" w:lineRule="exact"/>
        <w:jc w:val="left"/>
        <w:rPr>
          <w:rFonts w:ascii="Times New Roman" w:hAnsi="Times New Roman"/>
          <w:b/>
          <w:color w:val="auto"/>
          <w:sz w:val="44"/>
          <w:szCs w:val="44"/>
          <w:highlight w:val="none"/>
        </w:rPr>
      </w:pPr>
    </w:p>
    <w:p w14:paraId="11CE1FBB">
      <w:pPr>
        <w:pStyle w:val="3"/>
        <w:spacing w:line="560" w:lineRule="exact"/>
        <w:ind w:firstLine="640" w:firstLineChars="200"/>
        <w:rPr>
          <w:rFonts w:hAnsi="仿宋"/>
          <w:color w:val="auto"/>
          <w:sz w:val="32"/>
          <w:szCs w:val="32"/>
        </w:rPr>
      </w:pPr>
      <w:r>
        <w:rPr>
          <w:rFonts w:hAnsi="仿宋"/>
          <w:color w:val="auto"/>
          <w:sz w:val="32"/>
          <w:szCs w:val="32"/>
        </w:rPr>
        <w:t>1.</w:t>
      </w:r>
      <w:r>
        <w:rPr>
          <w:rFonts w:hint="eastAsia" w:hAnsi="仿宋"/>
          <w:color w:val="auto"/>
          <w:sz w:val="32"/>
          <w:szCs w:val="32"/>
        </w:rPr>
        <w:t>财政拨款收入：指单位从同级财政部门取得的财政预算资金。</w:t>
      </w:r>
    </w:p>
    <w:p w14:paraId="27979396">
      <w:pPr>
        <w:pStyle w:val="3"/>
        <w:spacing w:line="560" w:lineRule="exact"/>
        <w:ind w:firstLine="640" w:firstLineChars="200"/>
        <w:rPr>
          <w:rFonts w:hAnsi="仿宋"/>
          <w:color w:val="auto"/>
          <w:sz w:val="32"/>
          <w:szCs w:val="32"/>
        </w:rPr>
      </w:pPr>
      <w:r>
        <w:rPr>
          <w:rFonts w:hAnsi="仿宋"/>
          <w:color w:val="auto"/>
          <w:sz w:val="32"/>
          <w:szCs w:val="32"/>
        </w:rPr>
        <w:t>2.</w:t>
      </w:r>
      <w:r>
        <w:rPr>
          <w:rFonts w:hint="eastAsia" w:hAnsi="仿宋"/>
          <w:color w:val="auto"/>
          <w:sz w:val="32"/>
          <w:szCs w:val="32"/>
        </w:rPr>
        <w:t>事业收入：指事业单位开展专业业务活动及辅助活动取得的收入。</w:t>
      </w:r>
    </w:p>
    <w:p w14:paraId="1DD21FDD">
      <w:pPr>
        <w:pStyle w:val="3"/>
        <w:spacing w:line="560" w:lineRule="exact"/>
        <w:ind w:firstLine="640" w:firstLineChars="200"/>
        <w:rPr>
          <w:rFonts w:hAnsi="仿宋"/>
          <w:color w:val="auto"/>
          <w:sz w:val="32"/>
          <w:szCs w:val="32"/>
        </w:rPr>
      </w:pPr>
      <w:r>
        <w:rPr>
          <w:rFonts w:hAnsi="仿宋"/>
          <w:color w:val="auto"/>
          <w:sz w:val="32"/>
          <w:szCs w:val="32"/>
        </w:rPr>
        <w:t>3.</w:t>
      </w:r>
      <w:r>
        <w:rPr>
          <w:rFonts w:hint="eastAsia" w:hAnsi="仿宋"/>
          <w:color w:val="auto"/>
          <w:sz w:val="32"/>
          <w:szCs w:val="32"/>
        </w:rPr>
        <w:t>经营收入：指事业单位在专业业务活动及其辅助活动之外开展非独立核算经营活动取得的收入。</w:t>
      </w:r>
    </w:p>
    <w:p w14:paraId="4BFC4650">
      <w:pPr>
        <w:pStyle w:val="3"/>
        <w:spacing w:line="560" w:lineRule="exact"/>
        <w:ind w:firstLine="640" w:firstLineChars="200"/>
        <w:rPr>
          <w:rFonts w:hAnsi="仿宋"/>
          <w:color w:val="auto"/>
          <w:sz w:val="32"/>
          <w:szCs w:val="32"/>
        </w:rPr>
      </w:pPr>
      <w:r>
        <w:rPr>
          <w:rFonts w:hAnsi="仿宋"/>
          <w:color w:val="auto"/>
          <w:sz w:val="32"/>
          <w:szCs w:val="32"/>
        </w:rPr>
        <w:t>4.</w:t>
      </w:r>
      <w:r>
        <w:rPr>
          <w:rFonts w:hint="eastAsia" w:hAnsi="仿宋"/>
          <w:color w:val="auto"/>
          <w:sz w:val="32"/>
          <w:szCs w:val="32"/>
        </w:rPr>
        <w:t>其他收入：指单位取得的除上述收入以外的各项收入。</w:t>
      </w:r>
    </w:p>
    <w:p w14:paraId="713475A7">
      <w:pPr>
        <w:pStyle w:val="3"/>
        <w:spacing w:line="560" w:lineRule="exact"/>
        <w:ind w:firstLine="640" w:firstLineChars="200"/>
        <w:rPr>
          <w:rFonts w:hAnsi="仿宋"/>
          <w:color w:val="auto"/>
          <w:sz w:val="32"/>
          <w:szCs w:val="32"/>
        </w:rPr>
      </w:pPr>
      <w:r>
        <w:rPr>
          <w:rFonts w:hAnsi="仿宋"/>
          <w:color w:val="auto"/>
          <w:sz w:val="32"/>
          <w:szCs w:val="32"/>
        </w:rPr>
        <w:t>5.</w:t>
      </w:r>
      <w:r>
        <w:rPr>
          <w:rFonts w:hint="eastAsia" w:hAnsi="仿宋"/>
          <w:color w:val="auto"/>
          <w:sz w:val="32"/>
          <w:szCs w:val="32"/>
        </w:rPr>
        <w:t>使用非财政拨款结余：指事业单位使用以前年度积累的非财政拨款结余弥补当年收支差额的金额。</w:t>
      </w:r>
    </w:p>
    <w:p w14:paraId="7A116F1D">
      <w:pPr>
        <w:pStyle w:val="3"/>
        <w:spacing w:line="560" w:lineRule="exact"/>
        <w:ind w:firstLine="640" w:firstLineChars="200"/>
        <w:rPr>
          <w:rFonts w:hAnsi="仿宋"/>
          <w:color w:val="auto"/>
          <w:sz w:val="32"/>
          <w:szCs w:val="32"/>
        </w:rPr>
      </w:pPr>
      <w:r>
        <w:rPr>
          <w:rFonts w:hAnsi="仿宋"/>
          <w:color w:val="auto"/>
          <w:sz w:val="32"/>
          <w:szCs w:val="32"/>
        </w:rPr>
        <w:t>6.</w:t>
      </w:r>
      <w:r>
        <w:rPr>
          <w:rFonts w:hint="eastAsia" w:hAnsi="仿宋"/>
          <w:color w:val="auto"/>
          <w:sz w:val="32"/>
          <w:szCs w:val="32"/>
        </w:rPr>
        <w:t>年初结转和结余：指以前年度尚未完成、结转到本年按有关规定继续使用的资金。</w:t>
      </w:r>
    </w:p>
    <w:p w14:paraId="10EE1EF3">
      <w:pPr>
        <w:pStyle w:val="3"/>
        <w:spacing w:line="560" w:lineRule="exact"/>
        <w:ind w:firstLine="640" w:firstLineChars="200"/>
        <w:rPr>
          <w:rFonts w:hAnsi="仿宋"/>
          <w:color w:val="auto"/>
          <w:sz w:val="32"/>
          <w:szCs w:val="32"/>
        </w:rPr>
      </w:pPr>
      <w:r>
        <w:rPr>
          <w:rFonts w:hAnsi="仿宋"/>
          <w:color w:val="auto"/>
          <w:sz w:val="32"/>
          <w:szCs w:val="32"/>
        </w:rPr>
        <w:t>7.</w:t>
      </w:r>
      <w:r>
        <w:rPr>
          <w:rFonts w:hint="eastAsia" w:hAnsi="仿宋"/>
          <w:color w:val="auto"/>
          <w:sz w:val="32"/>
          <w:szCs w:val="32"/>
        </w:rPr>
        <w:t>结余分配：指事业单位按照会计制度规定缴纳的所得税、提取的专用结余以及转入非财政拨款结余的金额等。</w:t>
      </w:r>
    </w:p>
    <w:p w14:paraId="5EE8C771">
      <w:pPr>
        <w:pStyle w:val="3"/>
        <w:spacing w:line="560" w:lineRule="exact"/>
        <w:ind w:firstLine="640" w:firstLineChars="200"/>
        <w:rPr>
          <w:rFonts w:hAnsi="仿宋"/>
          <w:color w:val="auto"/>
          <w:sz w:val="32"/>
          <w:szCs w:val="32"/>
        </w:rPr>
      </w:pPr>
      <w:r>
        <w:rPr>
          <w:rFonts w:hAnsi="仿宋"/>
          <w:color w:val="auto"/>
          <w:sz w:val="32"/>
          <w:szCs w:val="32"/>
        </w:rPr>
        <w:t>8</w:t>
      </w:r>
      <w:r>
        <w:rPr>
          <w:rFonts w:hint="eastAsia" w:hAnsi="仿宋"/>
          <w:color w:val="auto"/>
          <w:sz w:val="32"/>
          <w:szCs w:val="32"/>
        </w:rPr>
        <w:t>.年末结转和结余：指单位按有关规定结转到下年或以后年度继续使用的资金。</w:t>
      </w:r>
    </w:p>
    <w:p w14:paraId="26636E9A">
      <w:pPr>
        <w:pStyle w:val="3"/>
        <w:spacing w:line="560" w:lineRule="exact"/>
        <w:ind w:firstLine="640" w:firstLineChars="200"/>
        <w:rPr>
          <w:rFonts w:hAnsi="仿宋"/>
          <w:color w:val="auto"/>
          <w:sz w:val="32"/>
          <w:szCs w:val="32"/>
        </w:rPr>
      </w:pPr>
      <w:r>
        <w:rPr>
          <w:rFonts w:hAnsi="仿宋"/>
          <w:color w:val="auto"/>
          <w:sz w:val="32"/>
          <w:szCs w:val="32"/>
        </w:rPr>
        <w:t>9.</w:t>
      </w:r>
      <w:r>
        <w:rPr>
          <w:rFonts w:hint="eastAsia" w:hAnsi="仿宋"/>
          <w:color w:val="auto"/>
          <w:sz w:val="32"/>
          <w:szCs w:val="32"/>
        </w:rPr>
        <w:t>社会保障和就业支出（类）行政事业单位养老支出（款）机关事业单位基本养老保险缴费支出（项）：指机关事业单位实施养老保险制度有单位缴纳的基本养老保险费支出。</w:t>
      </w:r>
    </w:p>
    <w:p w14:paraId="0D8873D5">
      <w:pPr>
        <w:pStyle w:val="3"/>
        <w:spacing w:line="560" w:lineRule="exact"/>
        <w:ind w:firstLine="640" w:firstLineChars="200"/>
        <w:rPr>
          <w:rFonts w:hint="default" w:hAnsi="仿宋" w:eastAsia="仿宋"/>
          <w:color w:val="auto"/>
          <w:sz w:val="32"/>
          <w:szCs w:val="32"/>
          <w:lang w:val="en-US" w:eastAsia="zh-CN"/>
        </w:rPr>
      </w:pPr>
      <w:r>
        <w:rPr>
          <w:rFonts w:hint="eastAsia" w:hAnsi="仿宋"/>
          <w:color w:val="auto"/>
          <w:sz w:val="32"/>
          <w:szCs w:val="32"/>
          <w:lang w:val="en-US" w:eastAsia="zh-CN"/>
        </w:rPr>
        <w:t>10.</w:t>
      </w:r>
      <w:r>
        <w:rPr>
          <w:rFonts w:hint="eastAsia" w:ascii="仿宋" w:hAnsi="仿宋" w:eastAsia="仿宋"/>
          <w:sz w:val="32"/>
          <w:szCs w:val="32"/>
        </w:rPr>
        <w:t>社会保障和就业支出（类）行政事业单位养老支出（款）机关事业单位职业年金缴费支出</w:t>
      </w:r>
      <w:r>
        <w:rPr>
          <w:rFonts w:hint="eastAsia" w:ascii="仿宋" w:hAnsi="仿宋" w:eastAsia="仿宋"/>
          <w:sz w:val="32"/>
          <w:szCs w:val="32"/>
          <w:lang w:eastAsia="zh-CN"/>
        </w:rPr>
        <w:t>（项）</w:t>
      </w:r>
      <w:r>
        <w:rPr>
          <w:rFonts w:hint="eastAsia" w:ascii="仿宋" w:hAnsi="仿宋" w:eastAsia="仿宋"/>
          <w:sz w:val="32"/>
          <w:szCs w:val="32"/>
          <w:lang w:val="en-US" w:eastAsia="zh-CN"/>
        </w:rPr>
        <w:t>:指反映机关事业单位实施养老保险制度由单位实际缴纳的职业年金支出</w:t>
      </w:r>
      <w:r>
        <w:rPr>
          <w:rFonts w:hint="eastAsia" w:hAnsi="仿宋"/>
          <w:sz w:val="32"/>
          <w:szCs w:val="32"/>
          <w:lang w:val="en-US" w:eastAsia="zh-CN"/>
        </w:rPr>
        <w:t>。</w:t>
      </w:r>
    </w:p>
    <w:p w14:paraId="58FDE647">
      <w:pPr>
        <w:pStyle w:val="3"/>
        <w:spacing w:line="560" w:lineRule="exact"/>
        <w:ind w:firstLine="640" w:firstLineChars="200"/>
        <w:rPr>
          <w:rFonts w:hAnsi="仿宋"/>
          <w:color w:val="auto"/>
          <w:sz w:val="32"/>
          <w:szCs w:val="32"/>
        </w:rPr>
      </w:pPr>
      <w:r>
        <w:rPr>
          <w:rFonts w:hAnsi="仿宋"/>
          <w:color w:val="auto"/>
          <w:sz w:val="32"/>
          <w:szCs w:val="32"/>
        </w:rPr>
        <w:t>1</w:t>
      </w:r>
      <w:r>
        <w:rPr>
          <w:rFonts w:hint="eastAsia" w:hAnsi="仿宋"/>
          <w:color w:val="auto"/>
          <w:sz w:val="32"/>
          <w:szCs w:val="32"/>
          <w:lang w:val="en-US" w:eastAsia="zh-CN"/>
        </w:rPr>
        <w:t>1.</w:t>
      </w:r>
      <w:r>
        <w:rPr>
          <w:rFonts w:hAnsi="仿宋"/>
          <w:color w:val="auto"/>
          <w:sz w:val="32"/>
          <w:szCs w:val="32"/>
        </w:rPr>
        <w:t>社会保障和就业（类）抚恤（款）义务兵优待：反映用于义务兵优待方面的支出</w:t>
      </w:r>
      <w:r>
        <w:rPr>
          <w:rFonts w:hint="eastAsia" w:hAnsi="仿宋"/>
          <w:color w:val="auto"/>
          <w:sz w:val="32"/>
          <w:szCs w:val="32"/>
        </w:rPr>
        <w:t>。</w:t>
      </w:r>
    </w:p>
    <w:p w14:paraId="35FF1943">
      <w:pPr>
        <w:pStyle w:val="3"/>
        <w:spacing w:line="560" w:lineRule="exact"/>
        <w:ind w:firstLine="640" w:firstLineChars="200"/>
        <w:rPr>
          <w:rFonts w:hint="eastAsia" w:hAnsi="仿宋"/>
          <w:color w:val="auto"/>
          <w:sz w:val="32"/>
          <w:szCs w:val="32"/>
          <w:lang w:eastAsia="zh-CN"/>
        </w:rPr>
      </w:pPr>
      <w:r>
        <w:rPr>
          <w:rFonts w:hAnsi="仿宋"/>
          <w:color w:val="auto"/>
          <w:sz w:val="32"/>
          <w:szCs w:val="32"/>
        </w:rPr>
        <w:t>1</w:t>
      </w:r>
      <w:r>
        <w:rPr>
          <w:rFonts w:hint="eastAsia" w:hAnsi="仿宋"/>
          <w:color w:val="auto"/>
          <w:sz w:val="32"/>
          <w:szCs w:val="32"/>
          <w:lang w:val="en-US" w:eastAsia="zh-CN"/>
        </w:rPr>
        <w:t>2</w:t>
      </w:r>
      <w:r>
        <w:rPr>
          <w:rFonts w:hAnsi="仿宋"/>
          <w:color w:val="auto"/>
          <w:sz w:val="32"/>
          <w:szCs w:val="32"/>
        </w:rPr>
        <w:t>.社会保障和就业（类）抚恤（款）其他优抚支出：反映除上述项目以外其他用于优抚方面的支出，包括向优抚对象发放的价格临时补贴等支出</w:t>
      </w:r>
      <w:r>
        <w:rPr>
          <w:rFonts w:hint="eastAsia" w:hAnsi="仿宋"/>
          <w:color w:val="auto"/>
          <w:sz w:val="32"/>
          <w:szCs w:val="32"/>
          <w:lang w:eastAsia="zh-CN"/>
        </w:rPr>
        <w:t>。</w:t>
      </w:r>
    </w:p>
    <w:p w14:paraId="0A031707">
      <w:pPr>
        <w:pStyle w:val="3"/>
        <w:spacing w:line="560" w:lineRule="exact"/>
        <w:ind w:firstLine="640" w:firstLineChars="200"/>
        <w:rPr>
          <w:rFonts w:hint="eastAsia" w:hAnsi="仿宋"/>
          <w:color w:val="auto"/>
          <w:sz w:val="32"/>
          <w:szCs w:val="32"/>
          <w:lang w:eastAsia="zh-CN"/>
        </w:rPr>
      </w:pPr>
      <w:r>
        <w:rPr>
          <w:rFonts w:hint="eastAsia" w:hAnsi="仿宋"/>
          <w:color w:val="auto"/>
          <w:sz w:val="32"/>
          <w:szCs w:val="32"/>
          <w:lang w:val="en-US" w:eastAsia="zh-CN"/>
        </w:rPr>
        <w:t>13.</w:t>
      </w:r>
      <w:r>
        <w:rPr>
          <w:rFonts w:hAnsi="仿宋"/>
          <w:color w:val="auto"/>
          <w:sz w:val="32"/>
          <w:szCs w:val="32"/>
        </w:rPr>
        <w:t>社会保障和就业（类）退役安置（款）退役士兵安置（项）：反映按规定用于伤残义务兵的一次性建房补助，对符合条件的退役士兵、置业士官的安置支出</w:t>
      </w:r>
      <w:r>
        <w:rPr>
          <w:rFonts w:hint="eastAsia" w:hAnsi="仿宋"/>
          <w:color w:val="auto"/>
          <w:sz w:val="32"/>
          <w:szCs w:val="32"/>
          <w:lang w:eastAsia="zh-CN"/>
        </w:rPr>
        <w:t>。</w:t>
      </w:r>
    </w:p>
    <w:p w14:paraId="63BDD3B8">
      <w:pPr>
        <w:pStyle w:val="3"/>
        <w:spacing w:line="560" w:lineRule="exact"/>
        <w:ind w:firstLine="640" w:firstLineChars="200"/>
        <w:rPr>
          <w:rFonts w:hAnsi="仿宋"/>
          <w:color w:val="auto"/>
          <w:sz w:val="32"/>
          <w:szCs w:val="32"/>
        </w:rPr>
      </w:pPr>
      <w:r>
        <w:rPr>
          <w:rFonts w:hint="eastAsia" w:hAnsi="仿宋"/>
          <w:color w:val="auto"/>
          <w:sz w:val="32"/>
          <w:szCs w:val="32"/>
          <w:lang w:val="en-US" w:eastAsia="zh-CN"/>
        </w:rPr>
        <w:t>14.</w:t>
      </w:r>
      <w:r>
        <w:rPr>
          <w:rFonts w:hAnsi="仿宋"/>
          <w:color w:val="auto"/>
          <w:sz w:val="32"/>
          <w:szCs w:val="32"/>
        </w:rPr>
        <w:t>社会保障和就业（类）退役安置（款）退役士兵管理教育（项）：反映退役士兵职业教育、转业士官待分配期间管理教育、医疗等支出。</w:t>
      </w:r>
    </w:p>
    <w:p w14:paraId="31ECD031">
      <w:pPr>
        <w:pStyle w:val="3"/>
        <w:spacing w:line="560" w:lineRule="exact"/>
        <w:ind w:firstLine="640" w:firstLineChars="200"/>
        <w:rPr>
          <w:rFonts w:hAnsi="仿宋"/>
          <w:color w:val="auto"/>
          <w:sz w:val="32"/>
          <w:szCs w:val="32"/>
        </w:rPr>
      </w:pPr>
      <w:r>
        <w:rPr>
          <w:rFonts w:hint="eastAsia" w:hAnsi="仿宋"/>
          <w:color w:val="auto"/>
          <w:sz w:val="32"/>
          <w:szCs w:val="32"/>
          <w:lang w:val="en-US" w:eastAsia="zh-CN"/>
        </w:rPr>
        <w:t>15.</w:t>
      </w:r>
      <w:r>
        <w:rPr>
          <w:rFonts w:hAnsi="仿宋"/>
          <w:color w:val="auto"/>
          <w:sz w:val="32"/>
          <w:szCs w:val="32"/>
        </w:rPr>
        <w:t>社会保障和就业（类）退役安置（款）军队转业干部安置（项）：反映军队转业干部教育培训、管理服务、退役金等方面的支出。</w:t>
      </w:r>
    </w:p>
    <w:p w14:paraId="01F524E8">
      <w:pPr>
        <w:pStyle w:val="3"/>
        <w:spacing w:line="560" w:lineRule="exact"/>
        <w:ind w:firstLine="640" w:firstLineChars="200"/>
        <w:rPr>
          <w:rFonts w:hAnsi="仿宋"/>
          <w:color w:val="auto"/>
          <w:sz w:val="32"/>
          <w:szCs w:val="32"/>
        </w:rPr>
      </w:pPr>
      <w:r>
        <w:rPr>
          <w:rFonts w:hint="eastAsia" w:hAnsi="仿宋"/>
          <w:color w:val="auto"/>
          <w:sz w:val="32"/>
          <w:szCs w:val="32"/>
          <w:lang w:val="en-US" w:eastAsia="zh-CN"/>
        </w:rPr>
        <w:t>16.</w:t>
      </w:r>
      <w:r>
        <w:rPr>
          <w:rFonts w:hAnsi="仿宋"/>
          <w:color w:val="auto"/>
          <w:sz w:val="32"/>
          <w:szCs w:val="32"/>
        </w:rPr>
        <w:t>社会保障和就业（类）退役安置（款）其他退役安置支出（项）：反映除上述项目以外其他用于退役安置方面的支出。</w:t>
      </w:r>
    </w:p>
    <w:p w14:paraId="01FEEF32">
      <w:pPr>
        <w:pStyle w:val="3"/>
        <w:spacing w:line="560" w:lineRule="exact"/>
        <w:ind w:firstLine="640" w:firstLineChars="200"/>
        <w:rPr>
          <w:rFonts w:hAnsi="仿宋"/>
          <w:color w:val="auto"/>
          <w:sz w:val="32"/>
          <w:szCs w:val="32"/>
        </w:rPr>
      </w:pPr>
      <w:r>
        <w:rPr>
          <w:rFonts w:hint="eastAsia" w:hAnsi="仿宋"/>
          <w:color w:val="auto"/>
          <w:sz w:val="32"/>
          <w:szCs w:val="32"/>
          <w:lang w:val="en-US" w:eastAsia="zh-CN"/>
        </w:rPr>
        <w:t>17.</w:t>
      </w:r>
      <w:r>
        <w:rPr>
          <w:rFonts w:hAnsi="仿宋"/>
          <w:color w:val="auto"/>
          <w:sz w:val="32"/>
          <w:szCs w:val="32"/>
        </w:rPr>
        <w:t>社会保障和就业（类）退役军人管理事务（款）行政运行（项）：反映行政单位（包括实行公务员管理的事业单位）的基本支出。</w:t>
      </w:r>
    </w:p>
    <w:p w14:paraId="4B24B1D3">
      <w:pPr>
        <w:pStyle w:val="3"/>
        <w:spacing w:line="560" w:lineRule="exact"/>
        <w:ind w:firstLine="640" w:firstLineChars="200"/>
        <w:rPr>
          <w:rFonts w:hAnsi="仿宋"/>
          <w:color w:val="auto"/>
          <w:sz w:val="32"/>
          <w:szCs w:val="32"/>
        </w:rPr>
      </w:pPr>
      <w:r>
        <w:rPr>
          <w:rFonts w:hint="eastAsia" w:hAnsi="仿宋"/>
          <w:color w:val="auto"/>
          <w:sz w:val="32"/>
          <w:szCs w:val="32"/>
          <w:lang w:val="en-US" w:eastAsia="zh-CN"/>
        </w:rPr>
        <w:t>18.</w:t>
      </w:r>
      <w:r>
        <w:rPr>
          <w:rFonts w:hAnsi="仿宋"/>
          <w:color w:val="auto"/>
          <w:sz w:val="32"/>
          <w:szCs w:val="32"/>
        </w:rPr>
        <w:t>社会保障和就业（类）退役军人管理事务（款）拥军优属（项）：反映开展拥军优属活动的支出。</w:t>
      </w:r>
    </w:p>
    <w:p w14:paraId="475817D6">
      <w:pPr>
        <w:pStyle w:val="3"/>
        <w:spacing w:line="560" w:lineRule="exact"/>
        <w:ind w:firstLine="640" w:firstLineChars="200"/>
        <w:rPr>
          <w:rFonts w:hAnsi="仿宋"/>
          <w:color w:val="auto"/>
          <w:sz w:val="32"/>
          <w:szCs w:val="32"/>
        </w:rPr>
      </w:pPr>
      <w:r>
        <w:rPr>
          <w:rFonts w:hint="eastAsia" w:hAnsi="仿宋"/>
          <w:color w:val="auto"/>
          <w:sz w:val="32"/>
          <w:szCs w:val="32"/>
          <w:lang w:val="en-US" w:eastAsia="zh-CN"/>
        </w:rPr>
        <w:t>19.</w:t>
      </w:r>
      <w:r>
        <w:rPr>
          <w:rFonts w:hAnsi="仿宋"/>
          <w:color w:val="auto"/>
          <w:sz w:val="32"/>
          <w:szCs w:val="32"/>
        </w:rPr>
        <w:t>社会保障和就业（类）退役军人管理事务（款）事业运行（项）：反映事业单位的基本支出，不包括行政单位（包括实行公务员管理的事业单位）后勤服务中心、医疗室等附属事业单位。</w:t>
      </w:r>
    </w:p>
    <w:p w14:paraId="3B2FFD9C">
      <w:pPr>
        <w:pStyle w:val="3"/>
        <w:spacing w:line="560" w:lineRule="exact"/>
        <w:ind w:firstLine="640" w:firstLineChars="200"/>
        <w:rPr>
          <w:rFonts w:hAnsi="仿宋"/>
          <w:color w:val="auto"/>
          <w:sz w:val="32"/>
          <w:szCs w:val="32"/>
        </w:rPr>
      </w:pPr>
      <w:r>
        <w:rPr>
          <w:rFonts w:hint="eastAsia" w:hAnsi="仿宋"/>
          <w:color w:val="auto"/>
          <w:sz w:val="32"/>
          <w:szCs w:val="32"/>
          <w:lang w:val="en-US" w:eastAsia="zh-CN"/>
        </w:rPr>
        <w:t>20.</w:t>
      </w:r>
      <w:r>
        <w:rPr>
          <w:rFonts w:hAnsi="仿宋"/>
          <w:color w:val="auto"/>
          <w:sz w:val="32"/>
          <w:szCs w:val="32"/>
        </w:rPr>
        <w:t>社会保障和就业（类）退役军人管理事务（款）其他退役军人事务管理支出（项）：反映除上述项目以外其他用于退役军人事务管理方面的支出。</w:t>
      </w:r>
    </w:p>
    <w:p w14:paraId="63857F09">
      <w:pPr>
        <w:pStyle w:val="3"/>
        <w:spacing w:line="560" w:lineRule="exact"/>
        <w:ind w:firstLine="640" w:firstLineChars="200"/>
        <w:rPr>
          <w:rFonts w:hAnsi="仿宋"/>
          <w:color w:val="auto"/>
          <w:sz w:val="32"/>
          <w:szCs w:val="32"/>
        </w:rPr>
      </w:pPr>
      <w:r>
        <w:rPr>
          <w:rFonts w:hint="eastAsia" w:hAnsi="仿宋"/>
          <w:color w:val="auto"/>
          <w:sz w:val="32"/>
          <w:szCs w:val="32"/>
          <w:lang w:val="en-US" w:eastAsia="zh-CN"/>
        </w:rPr>
        <w:t>21.</w:t>
      </w:r>
      <w:r>
        <w:rPr>
          <w:rFonts w:hint="eastAsia" w:hAnsi="仿宋"/>
          <w:color w:val="auto"/>
          <w:sz w:val="32"/>
          <w:szCs w:val="32"/>
        </w:rPr>
        <w:t>卫生健康支出支出（类）行政事业单位医疗支出（款） 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14:paraId="352BF374">
      <w:pPr>
        <w:pStyle w:val="3"/>
        <w:spacing w:line="560" w:lineRule="exact"/>
        <w:ind w:firstLine="640" w:firstLineChars="200"/>
        <w:rPr>
          <w:rFonts w:hAnsi="仿宋"/>
          <w:color w:val="auto"/>
          <w:sz w:val="32"/>
          <w:szCs w:val="32"/>
        </w:rPr>
      </w:pPr>
      <w:r>
        <w:rPr>
          <w:rFonts w:hint="eastAsia" w:hAnsi="仿宋"/>
          <w:color w:val="auto"/>
          <w:sz w:val="32"/>
          <w:szCs w:val="32"/>
          <w:lang w:val="en-US" w:eastAsia="zh-CN"/>
        </w:rPr>
        <w:t>22</w:t>
      </w:r>
      <w:r>
        <w:rPr>
          <w:rFonts w:hAnsi="仿宋"/>
          <w:color w:val="auto"/>
          <w:sz w:val="32"/>
          <w:szCs w:val="32"/>
        </w:rPr>
        <w:t>.</w:t>
      </w:r>
      <w:r>
        <w:rPr>
          <w:rFonts w:hint="eastAsia" w:hAnsi="仿宋"/>
          <w:color w:val="auto"/>
          <w:sz w:val="32"/>
          <w:szCs w:val="32"/>
        </w:rPr>
        <w:t>卫生健康支出支出（类）行政事业单位医疗支出（款）事业单位医疗（项）：反映财政部门安排的事业单位基本医疗保险缴费经费，未参加医疗保险的事业单位的公费医疗经费，按国家规定享受离休人员待遇的医疗经费。</w:t>
      </w:r>
    </w:p>
    <w:p w14:paraId="52A7530D">
      <w:pPr>
        <w:pStyle w:val="3"/>
        <w:spacing w:line="560" w:lineRule="exact"/>
        <w:ind w:firstLine="640" w:firstLineChars="200"/>
        <w:rPr>
          <w:rFonts w:hAnsi="仿宋"/>
          <w:color w:val="auto"/>
          <w:sz w:val="32"/>
          <w:szCs w:val="32"/>
        </w:rPr>
      </w:pPr>
      <w:r>
        <w:rPr>
          <w:rFonts w:hint="eastAsia" w:hAnsi="仿宋"/>
          <w:color w:val="auto"/>
          <w:sz w:val="32"/>
          <w:szCs w:val="32"/>
          <w:lang w:val="en-US" w:eastAsia="zh-CN"/>
        </w:rPr>
        <w:t>23</w:t>
      </w:r>
      <w:r>
        <w:rPr>
          <w:rFonts w:hAnsi="仿宋"/>
          <w:color w:val="auto"/>
          <w:sz w:val="32"/>
          <w:szCs w:val="32"/>
        </w:rPr>
        <w:t>.</w:t>
      </w:r>
      <w:r>
        <w:rPr>
          <w:rFonts w:hint="eastAsia" w:hAnsi="仿宋"/>
          <w:color w:val="auto"/>
          <w:sz w:val="32"/>
          <w:szCs w:val="32"/>
        </w:rPr>
        <w:t>卫生健康支出支出（类）行政事业单位医疗支出（款）公务员医疗补助：反映财政部门安排的公务员医疗补助经费。</w:t>
      </w:r>
    </w:p>
    <w:p w14:paraId="5AB1AE08">
      <w:pPr>
        <w:pStyle w:val="3"/>
        <w:spacing w:line="560" w:lineRule="exact"/>
        <w:ind w:firstLine="640" w:firstLineChars="200"/>
        <w:rPr>
          <w:rFonts w:hAnsi="仿宋"/>
          <w:color w:val="auto"/>
          <w:sz w:val="32"/>
          <w:szCs w:val="32"/>
        </w:rPr>
      </w:pPr>
      <w:r>
        <w:rPr>
          <w:rFonts w:hint="eastAsia" w:hAnsi="仿宋"/>
          <w:color w:val="auto"/>
          <w:sz w:val="32"/>
          <w:szCs w:val="32"/>
          <w:lang w:val="en-US" w:eastAsia="zh-CN"/>
        </w:rPr>
        <w:t>24</w:t>
      </w:r>
      <w:r>
        <w:rPr>
          <w:rFonts w:hAnsi="仿宋"/>
          <w:color w:val="auto"/>
          <w:sz w:val="32"/>
          <w:szCs w:val="32"/>
        </w:rPr>
        <w:t>.</w:t>
      </w:r>
      <w:r>
        <w:rPr>
          <w:rFonts w:hint="eastAsia" w:hAnsi="仿宋"/>
          <w:color w:val="auto"/>
          <w:sz w:val="32"/>
          <w:szCs w:val="32"/>
        </w:rPr>
        <w:t>卫生健康支出支出（类）行政事业单位医疗支出（款）其他行政事业单位医疗支出（项）：反映除上述项目以外的其他用于行政事业单位医疗方面的支出。</w:t>
      </w:r>
    </w:p>
    <w:p w14:paraId="5822ED14">
      <w:pPr>
        <w:pStyle w:val="3"/>
        <w:spacing w:line="560" w:lineRule="exact"/>
        <w:ind w:firstLine="640" w:firstLineChars="200"/>
        <w:rPr>
          <w:rFonts w:hAnsi="仿宋"/>
          <w:color w:val="auto"/>
          <w:sz w:val="32"/>
          <w:szCs w:val="32"/>
        </w:rPr>
      </w:pPr>
      <w:r>
        <w:rPr>
          <w:rFonts w:hint="eastAsia" w:hAnsi="仿宋"/>
          <w:color w:val="auto"/>
          <w:sz w:val="32"/>
          <w:szCs w:val="32"/>
          <w:lang w:val="en-US" w:eastAsia="zh-CN"/>
        </w:rPr>
        <w:t>25</w:t>
      </w:r>
      <w:r>
        <w:rPr>
          <w:rFonts w:hint="eastAsia" w:hAnsi="仿宋"/>
          <w:color w:val="auto"/>
          <w:sz w:val="32"/>
          <w:szCs w:val="32"/>
        </w:rPr>
        <w:t>.</w:t>
      </w:r>
      <w:r>
        <w:rPr>
          <w:rFonts w:hAnsi="仿宋"/>
          <w:color w:val="auto"/>
          <w:sz w:val="32"/>
          <w:szCs w:val="32"/>
        </w:rPr>
        <w:t>卫生健康支出（类）优抚对象医疗（款）优抚对象医疗补助（项）：反映按规定补助优抚对象的医疗经费</w:t>
      </w:r>
      <w:r>
        <w:rPr>
          <w:rFonts w:hint="eastAsia" w:hAnsi="仿宋"/>
          <w:color w:val="auto"/>
          <w:sz w:val="32"/>
          <w:szCs w:val="32"/>
        </w:rPr>
        <w:t>。</w:t>
      </w:r>
    </w:p>
    <w:p w14:paraId="43F5F886">
      <w:pPr>
        <w:pStyle w:val="3"/>
        <w:spacing w:line="560" w:lineRule="exact"/>
        <w:ind w:firstLine="640" w:firstLineChars="200"/>
        <w:rPr>
          <w:rFonts w:hAnsi="仿宋"/>
          <w:color w:val="auto"/>
          <w:sz w:val="32"/>
          <w:szCs w:val="32"/>
        </w:rPr>
      </w:pPr>
      <w:r>
        <w:rPr>
          <w:rFonts w:hint="eastAsia" w:hAnsi="仿宋"/>
          <w:color w:val="auto"/>
          <w:sz w:val="32"/>
          <w:szCs w:val="32"/>
          <w:lang w:val="en-US" w:eastAsia="zh-CN"/>
        </w:rPr>
        <w:t>26</w:t>
      </w:r>
      <w:r>
        <w:rPr>
          <w:rFonts w:hAnsi="仿宋"/>
          <w:color w:val="auto"/>
          <w:sz w:val="32"/>
          <w:szCs w:val="32"/>
        </w:rPr>
        <w:t>.</w:t>
      </w:r>
      <w:r>
        <w:rPr>
          <w:rFonts w:hint="eastAsia" w:hAnsi="仿宋"/>
          <w:color w:val="auto"/>
          <w:sz w:val="32"/>
          <w:szCs w:val="32"/>
        </w:rPr>
        <w:t>住房保障支出（类）住房改革支出（款）住房公积金（项）：指行政事业单位按人力资源和社会保障部、财政部规定的基本工资和津贴补贴以及规定比例为职工缴纳的住房公积金。</w:t>
      </w:r>
    </w:p>
    <w:p w14:paraId="3D1E47C8">
      <w:pPr>
        <w:pStyle w:val="3"/>
        <w:spacing w:line="560" w:lineRule="exact"/>
        <w:ind w:firstLine="640" w:firstLineChars="200"/>
        <w:rPr>
          <w:rFonts w:hint="eastAsia" w:hAnsi="仿宋" w:eastAsia="仿宋"/>
          <w:color w:val="auto"/>
          <w:sz w:val="32"/>
          <w:szCs w:val="32"/>
          <w:lang w:val="en-US" w:eastAsia="zh-CN"/>
        </w:rPr>
      </w:pPr>
      <w:r>
        <w:rPr>
          <w:rFonts w:hint="eastAsia" w:hAnsi="仿宋"/>
          <w:color w:val="auto"/>
          <w:sz w:val="32"/>
          <w:szCs w:val="32"/>
          <w:lang w:val="en-US" w:eastAsia="zh-CN"/>
        </w:rPr>
        <w:t>27.</w:t>
      </w:r>
      <w:r>
        <w:rPr>
          <w:rFonts w:hint="eastAsia" w:ascii="仿宋" w:hAnsi="仿宋" w:eastAsia="仿宋" w:cs="仿宋"/>
          <w:color w:val="000000"/>
          <w:kern w:val="0"/>
          <w:sz w:val="32"/>
          <w:szCs w:val="32"/>
        </w:rPr>
        <w:t>城乡社区支出(类)国有土地使用权出让收入安排的支出(款)土地开发支出(项):反映新疆生产建设兵团和地方政府用于前期土地开发性支出以及与前期土地开发相关的费用等支出</w:t>
      </w:r>
      <w:r>
        <w:rPr>
          <w:rFonts w:hint="eastAsia" w:hAnsi="仿宋" w:cs="仿宋"/>
          <w:color w:val="000000"/>
          <w:kern w:val="0"/>
          <w:sz w:val="32"/>
          <w:szCs w:val="32"/>
          <w:lang w:eastAsia="zh-CN"/>
        </w:rPr>
        <w:t>。</w:t>
      </w:r>
    </w:p>
    <w:p w14:paraId="1EEDC220">
      <w:pPr>
        <w:pStyle w:val="3"/>
        <w:spacing w:line="560" w:lineRule="exact"/>
        <w:ind w:firstLine="640" w:firstLineChars="200"/>
        <w:rPr>
          <w:rFonts w:hAnsi="仿宋"/>
          <w:color w:val="auto"/>
          <w:sz w:val="32"/>
          <w:szCs w:val="32"/>
        </w:rPr>
      </w:pPr>
      <w:r>
        <w:rPr>
          <w:rFonts w:hAnsi="仿宋"/>
          <w:color w:val="auto"/>
          <w:sz w:val="32"/>
          <w:szCs w:val="32"/>
        </w:rPr>
        <w:t>2</w:t>
      </w:r>
      <w:r>
        <w:rPr>
          <w:rFonts w:hint="eastAsia" w:hAnsi="仿宋"/>
          <w:color w:val="auto"/>
          <w:sz w:val="32"/>
          <w:szCs w:val="32"/>
          <w:lang w:val="en-US" w:eastAsia="zh-CN"/>
        </w:rPr>
        <w:t>8</w:t>
      </w:r>
      <w:r>
        <w:rPr>
          <w:rFonts w:hAnsi="仿宋"/>
          <w:color w:val="auto"/>
          <w:sz w:val="32"/>
          <w:szCs w:val="32"/>
        </w:rPr>
        <w:t>.</w:t>
      </w:r>
      <w:r>
        <w:rPr>
          <w:rFonts w:hint="eastAsia" w:hAnsi="仿宋"/>
          <w:color w:val="auto"/>
          <w:sz w:val="32"/>
          <w:szCs w:val="32"/>
        </w:rPr>
        <w:t>基本支出：指为保障机构正常运转、完成日常工作任务而发生的人员支出和公用支出。</w:t>
      </w:r>
    </w:p>
    <w:p w14:paraId="3E51D42F">
      <w:pPr>
        <w:pStyle w:val="3"/>
        <w:spacing w:line="560" w:lineRule="exact"/>
        <w:ind w:firstLine="640" w:firstLineChars="200"/>
        <w:rPr>
          <w:rFonts w:hAnsi="仿宋"/>
          <w:color w:val="auto"/>
          <w:sz w:val="32"/>
          <w:szCs w:val="32"/>
        </w:rPr>
      </w:pPr>
      <w:r>
        <w:rPr>
          <w:rFonts w:hint="eastAsia" w:hAnsi="仿宋"/>
          <w:color w:val="auto"/>
          <w:sz w:val="32"/>
          <w:szCs w:val="32"/>
          <w:lang w:val="en-US" w:eastAsia="zh-CN"/>
        </w:rPr>
        <w:t>29</w:t>
      </w:r>
      <w:r>
        <w:rPr>
          <w:rFonts w:hAnsi="仿宋"/>
          <w:color w:val="auto"/>
          <w:sz w:val="32"/>
          <w:szCs w:val="32"/>
        </w:rPr>
        <w:t>.</w:t>
      </w:r>
      <w:r>
        <w:rPr>
          <w:rFonts w:hint="eastAsia" w:hAnsi="仿宋"/>
          <w:color w:val="auto"/>
          <w:sz w:val="32"/>
          <w:szCs w:val="32"/>
        </w:rPr>
        <w:t>项目支出：指在基本支出之外为完成特定行政任务和事业发展目标所发生的支出。</w:t>
      </w:r>
    </w:p>
    <w:p w14:paraId="6E1C1EED">
      <w:pPr>
        <w:pStyle w:val="3"/>
        <w:spacing w:line="560" w:lineRule="exact"/>
        <w:ind w:firstLine="640" w:firstLineChars="200"/>
        <w:rPr>
          <w:rFonts w:hAnsi="仿宋"/>
          <w:color w:val="auto"/>
          <w:sz w:val="32"/>
          <w:szCs w:val="32"/>
        </w:rPr>
      </w:pPr>
      <w:r>
        <w:rPr>
          <w:rFonts w:hint="eastAsia" w:hAnsi="仿宋"/>
          <w:color w:val="auto"/>
          <w:sz w:val="32"/>
          <w:szCs w:val="32"/>
          <w:lang w:val="en-US" w:eastAsia="zh-CN"/>
        </w:rPr>
        <w:t>30</w:t>
      </w:r>
      <w:r>
        <w:rPr>
          <w:rFonts w:hAnsi="仿宋"/>
          <w:color w:val="auto"/>
          <w:sz w:val="32"/>
          <w:szCs w:val="32"/>
        </w:rPr>
        <w:t>.</w:t>
      </w:r>
      <w:r>
        <w:rPr>
          <w:rFonts w:hint="eastAsia" w:hAnsi="仿宋"/>
          <w:color w:val="auto"/>
          <w:sz w:val="32"/>
          <w:szCs w:val="32"/>
        </w:rPr>
        <w:t>经营支出：指事业单位在专业业务活动及其辅助活动之外开展非独立核算经营活动发生的支出。</w:t>
      </w:r>
    </w:p>
    <w:p w14:paraId="2925DDFA">
      <w:pPr>
        <w:pStyle w:val="3"/>
        <w:spacing w:line="560" w:lineRule="exact"/>
        <w:ind w:firstLine="640" w:firstLineChars="200"/>
        <w:rPr>
          <w:rFonts w:hAnsi="仿宋"/>
          <w:color w:val="auto"/>
          <w:sz w:val="32"/>
          <w:szCs w:val="32"/>
        </w:rPr>
      </w:pPr>
      <w:r>
        <w:rPr>
          <w:rFonts w:hint="eastAsia" w:hAnsi="仿宋"/>
          <w:color w:val="auto"/>
          <w:sz w:val="32"/>
          <w:szCs w:val="32"/>
          <w:lang w:val="en-US" w:eastAsia="zh-CN"/>
        </w:rPr>
        <w:t>31</w:t>
      </w:r>
      <w:r>
        <w:rPr>
          <w:rFonts w:hAnsi="仿宋"/>
          <w:color w:val="auto"/>
          <w:sz w:val="32"/>
          <w:szCs w:val="32"/>
        </w:rPr>
        <w:t>.</w:t>
      </w:r>
      <w:r>
        <w:rPr>
          <w:rFonts w:hint="eastAsia" w:hAnsi="仿宋"/>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6DCD3F7">
      <w:pPr>
        <w:pStyle w:val="3"/>
        <w:spacing w:line="560" w:lineRule="exact"/>
        <w:ind w:firstLine="640" w:firstLineChars="200"/>
        <w:rPr>
          <w:rFonts w:hAnsi="仿宋"/>
          <w:color w:val="auto"/>
          <w:sz w:val="32"/>
          <w:szCs w:val="32"/>
        </w:rPr>
      </w:pPr>
      <w:r>
        <w:rPr>
          <w:rFonts w:hint="eastAsia" w:hAnsi="仿宋"/>
          <w:color w:val="auto"/>
          <w:sz w:val="32"/>
          <w:szCs w:val="32"/>
          <w:lang w:val="en-US" w:eastAsia="zh-CN"/>
        </w:rPr>
        <w:t>32</w:t>
      </w:r>
      <w:r>
        <w:rPr>
          <w:rFonts w:hAnsi="仿宋"/>
          <w:color w:val="auto"/>
          <w:sz w:val="32"/>
          <w:szCs w:val="32"/>
        </w:rPr>
        <w:t>.</w:t>
      </w:r>
      <w:r>
        <w:rPr>
          <w:rFonts w:hint="eastAsia" w:hAnsi="仿宋"/>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7D322FE">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39442912">
      <w:pPr>
        <w:spacing w:line="600" w:lineRule="exact"/>
        <w:jc w:val="center"/>
        <w:rPr>
          <w:rStyle w:val="28"/>
          <w:rFonts w:hint="eastAsia" w:ascii="Times New Roman" w:hAnsi="Times New Roman" w:eastAsia="黑体"/>
          <w:b w:val="0"/>
          <w:color w:val="auto"/>
          <w:highlight w:val="none"/>
          <w:lang w:eastAsia="zh-CN"/>
        </w:rPr>
      </w:pPr>
      <w:bookmarkStart w:id="47"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48"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8"/>
    </w:p>
    <w:p w14:paraId="4F9683C9">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02A2833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hAnsi="Times New Roman" w:cs="Times New Roman"/>
          <w:color w:val="auto"/>
          <w:sz w:val="32"/>
          <w:szCs w:val="32"/>
          <w:highlight w:val="none"/>
          <w:lang w:val="zh-CN" w:eastAsia="zh-CN"/>
        </w:rPr>
        <w:t>附表：</w:t>
      </w:r>
      <w:r>
        <w:rPr>
          <w:rFonts w:hint="eastAsia" w:hAnsi="Times New Roman" w:cs="Times New Roman"/>
          <w:color w:val="auto"/>
          <w:sz w:val="32"/>
          <w:szCs w:val="32"/>
          <w:highlight w:val="none"/>
          <w:lang w:val="en-US" w:eastAsia="zh-CN"/>
        </w:rPr>
        <w:t>部门预算项目支出绩效自评表（202</w:t>
      </w:r>
      <w:r>
        <w:rPr>
          <w:rFonts w:hint="eastAsia" w:cs="Times New Roman"/>
          <w:color w:val="auto"/>
          <w:sz w:val="32"/>
          <w:szCs w:val="32"/>
          <w:highlight w:val="none"/>
          <w:lang w:val="en-US" w:eastAsia="zh-CN"/>
        </w:rPr>
        <w:t>4</w:t>
      </w:r>
      <w:r>
        <w:rPr>
          <w:rFonts w:hint="eastAsia" w:hAnsi="Times New Roman" w:cs="Times New Roman"/>
          <w:color w:val="auto"/>
          <w:sz w:val="32"/>
          <w:szCs w:val="32"/>
          <w:highlight w:val="none"/>
          <w:lang w:val="en-US" w:eastAsia="zh-CN"/>
        </w:rPr>
        <w:t>年度）</w:t>
      </w:r>
    </w:p>
    <w:p w14:paraId="5178B67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429ECE1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49"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6CF485BD">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47"/>
      <w:bookmarkEnd w:id="49"/>
      <w:bookmarkStart w:id="50" w:name="_Toc15396619"/>
    </w:p>
    <w:p w14:paraId="4E433B6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1A9585E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0"/>
    </w:p>
    <w:p w14:paraId="4504A6D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0"/>
      <w:r>
        <w:rPr>
          <w:rFonts w:hint="eastAsia" w:ascii="Times New Roman" w:hAnsi="Times New Roman" w:eastAsia="仿宋_GB2312" w:cs="仿宋_GB2312"/>
          <w:color w:val="auto"/>
          <w:sz w:val="32"/>
          <w:szCs w:val="32"/>
          <w:highlight w:val="none"/>
        </w:rPr>
        <w:t>二、收入决算表</w:t>
      </w:r>
      <w:bookmarkEnd w:id="51"/>
    </w:p>
    <w:p w14:paraId="7307F27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1"/>
      <w:r>
        <w:rPr>
          <w:rFonts w:hint="eastAsia" w:ascii="Times New Roman" w:hAnsi="Times New Roman" w:eastAsia="仿宋_GB2312" w:cs="仿宋_GB2312"/>
          <w:color w:val="auto"/>
          <w:sz w:val="32"/>
          <w:szCs w:val="32"/>
          <w:highlight w:val="none"/>
        </w:rPr>
        <w:t>三、支出决算表</w:t>
      </w:r>
      <w:bookmarkEnd w:id="52"/>
    </w:p>
    <w:p w14:paraId="57FB9CA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2"/>
      <w:r>
        <w:rPr>
          <w:rFonts w:hint="eastAsia" w:ascii="Times New Roman" w:hAnsi="Times New Roman" w:eastAsia="仿宋_GB2312" w:cs="仿宋_GB2312"/>
          <w:color w:val="auto"/>
          <w:sz w:val="32"/>
          <w:szCs w:val="32"/>
          <w:highlight w:val="none"/>
        </w:rPr>
        <w:t>四、财政拨款收入支出决算总表</w:t>
      </w:r>
      <w:bookmarkEnd w:id="53"/>
    </w:p>
    <w:p w14:paraId="5DF72B4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3"/>
      <w:r>
        <w:rPr>
          <w:rFonts w:hint="eastAsia" w:ascii="Times New Roman" w:hAnsi="Times New Roman" w:eastAsia="仿宋_GB2312" w:cs="仿宋_GB2312"/>
          <w:color w:val="auto"/>
          <w:sz w:val="32"/>
          <w:szCs w:val="32"/>
          <w:highlight w:val="none"/>
        </w:rPr>
        <w:t>五、财政拨款支出决算明细表</w:t>
      </w:r>
      <w:bookmarkEnd w:id="54"/>
      <w:bookmarkStart w:id="55" w:name="_Toc15396624"/>
    </w:p>
    <w:p w14:paraId="2B67A55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5"/>
    </w:p>
    <w:p w14:paraId="59141CF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5"/>
      <w:r>
        <w:rPr>
          <w:rFonts w:hint="eastAsia" w:ascii="Times New Roman" w:hAnsi="Times New Roman" w:eastAsia="仿宋_GB2312" w:cs="仿宋_GB2312"/>
          <w:color w:val="auto"/>
          <w:sz w:val="32"/>
          <w:szCs w:val="32"/>
          <w:highlight w:val="none"/>
        </w:rPr>
        <w:t>七、一般公共预算财政拨款支出决算明细表</w:t>
      </w:r>
      <w:bookmarkEnd w:id="56"/>
    </w:p>
    <w:p w14:paraId="5BFAB41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6"/>
      <w:r>
        <w:rPr>
          <w:rFonts w:hint="eastAsia" w:ascii="Times New Roman" w:hAnsi="Times New Roman" w:eastAsia="仿宋_GB2312" w:cs="仿宋_GB2312"/>
          <w:color w:val="auto"/>
          <w:sz w:val="32"/>
          <w:szCs w:val="32"/>
          <w:highlight w:val="none"/>
        </w:rPr>
        <w:t>八、一般公共预算财政拨款基本支出决算表</w:t>
      </w:r>
      <w:bookmarkEnd w:id="57"/>
    </w:p>
    <w:p w14:paraId="762F378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7"/>
      <w:r>
        <w:rPr>
          <w:rFonts w:hint="eastAsia" w:ascii="Times New Roman" w:hAnsi="Times New Roman" w:eastAsia="仿宋_GB2312" w:cs="仿宋_GB2312"/>
          <w:color w:val="auto"/>
          <w:sz w:val="32"/>
          <w:szCs w:val="32"/>
          <w:highlight w:val="none"/>
        </w:rPr>
        <w:t>九、一般公共预算财政拨款项目支出决算表</w:t>
      </w:r>
      <w:bookmarkEnd w:id="58"/>
    </w:p>
    <w:p w14:paraId="000E882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8"/>
      <w:r>
        <w:rPr>
          <w:rFonts w:hint="eastAsia" w:ascii="Times New Roman" w:hAnsi="Times New Roman" w:eastAsia="仿宋_GB2312" w:cs="仿宋_GB2312"/>
          <w:color w:val="auto"/>
          <w:sz w:val="32"/>
          <w:szCs w:val="32"/>
          <w:highlight w:val="none"/>
        </w:rPr>
        <w:t>十、</w:t>
      </w:r>
      <w:bookmarkEnd w:id="59"/>
      <w:r>
        <w:rPr>
          <w:rFonts w:hint="eastAsia" w:ascii="Times New Roman" w:hAnsi="Times New Roman" w:eastAsia="仿宋_GB2312" w:cs="仿宋_GB2312"/>
          <w:color w:val="auto"/>
          <w:sz w:val="32"/>
          <w:szCs w:val="32"/>
          <w:highlight w:val="none"/>
        </w:rPr>
        <w:t>政府性基金预算财政拨款收入支出决算表</w:t>
      </w:r>
    </w:p>
    <w:p w14:paraId="20C7CDE7">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9"/>
      <w:r>
        <w:rPr>
          <w:rFonts w:hint="eastAsia" w:ascii="Times New Roman" w:hAnsi="Times New Roman" w:eastAsia="仿宋_GB2312" w:cs="仿宋_GB2312"/>
          <w:color w:val="auto"/>
          <w:sz w:val="32"/>
          <w:szCs w:val="32"/>
          <w:highlight w:val="none"/>
        </w:rPr>
        <w:t>十一、</w:t>
      </w:r>
      <w:bookmarkEnd w:id="6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75EED55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30"/>
      <w:r>
        <w:rPr>
          <w:rFonts w:hint="eastAsia" w:ascii="Times New Roman" w:hAnsi="Times New Roman" w:eastAsia="仿宋_GB2312" w:cs="仿宋_GB2312"/>
          <w:color w:val="auto"/>
          <w:sz w:val="32"/>
          <w:szCs w:val="32"/>
          <w:highlight w:val="none"/>
        </w:rPr>
        <w:t>十二、</w:t>
      </w:r>
      <w:bookmarkEnd w:id="61"/>
      <w:r>
        <w:rPr>
          <w:rFonts w:hint="eastAsia" w:ascii="Times New Roman" w:hAnsi="Times New Roman" w:eastAsia="仿宋_GB2312" w:cs="仿宋_GB2312"/>
          <w:color w:val="auto"/>
          <w:sz w:val="32"/>
          <w:szCs w:val="32"/>
          <w:highlight w:val="none"/>
          <w:lang w:eastAsia="zh-CN"/>
        </w:rPr>
        <w:t>国有资本经营预算财政拨款支出决算表</w:t>
      </w:r>
    </w:p>
    <w:p w14:paraId="5940B77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2" w:name="_Toc15396631"/>
      <w:r>
        <w:rPr>
          <w:rFonts w:hint="eastAsia" w:ascii="Times New Roman" w:hAnsi="Times New Roman" w:eastAsia="仿宋_GB2312" w:cs="仿宋_GB2312"/>
          <w:color w:val="auto"/>
          <w:sz w:val="32"/>
          <w:szCs w:val="32"/>
          <w:highlight w:val="none"/>
        </w:rPr>
        <w:t>十三、</w:t>
      </w:r>
      <w:bookmarkEnd w:id="62"/>
      <w:r>
        <w:rPr>
          <w:rFonts w:hint="eastAsia" w:ascii="Times New Roman" w:hAnsi="Times New Roman" w:eastAsia="仿宋_GB2312" w:cs="仿宋_GB2312"/>
          <w:color w:val="auto"/>
          <w:sz w:val="32"/>
          <w:szCs w:val="32"/>
          <w:highlight w:val="none"/>
          <w:lang w:eastAsia="zh-CN"/>
        </w:rPr>
        <w:t>财政拨款“三公”经费支出决算表</w:t>
      </w:r>
    </w:p>
    <w:p w14:paraId="5E2CB7F3">
      <w:pPr>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599AB">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79703B">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79703B">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14:paraId="4B01CBA8">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C2FE1">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4C571">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A74C571">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E350D">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0096F7">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0096F7">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64836E7B">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A4C35">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E0C338">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4E0C338">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C8B55">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CED08A8"/>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05D2F9B"/>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10E6B"/>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6"/>
    <w:qFormat/>
    <w:uiPriority w:val="99"/>
    <w:pPr>
      <w:spacing w:beforeLines="30"/>
    </w:pPr>
    <w:rPr>
      <w:rFonts w:ascii="仿宋_GB2312" w:eastAsia="仿宋_GB2312"/>
      <w:kern w:val="0"/>
      <w:sz w:val="30"/>
    </w:rPr>
  </w:style>
  <w:style w:type="paragraph" w:customStyle="1" w:styleId="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styleId="27">
    <w:name w:val="List Paragraph"/>
    <w:basedOn w:val="1"/>
    <w:qFormat/>
    <w:uiPriority w:val="34"/>
    <w:pPr>
      <w:ind w:firstLine="420" w:firstLineChars="200"/>
    </w:pPr>
  </w:style>
  <w:style w:type="character" w:customStyle="1" w:styleId="28">
    <w:name w:val="标题 1 Char"/>
    <w:basedOn w:val="17"/>
    <w:link w:val="4"/>
    <w:qFormat/>
    <w:uiPriority w:val="9"/>
    <w:rPr>
      <w:rFonts w:ascii="Times New Roman" w:hAnsi="Times New Roman"/>
      <w:b/>
      <w:bCs/>
      <w:kern w:val="44"/>
      <w:sz w:val="44"/>
      <w:szCs w:val="44"/>
    </w:rPr>
  </w:style>
  <w:style w:type="character" w:customStyle="1" w:styleId="29">
    <w:name w:val="标题 2 Char"/>
    <w:basedOn w:val="17"/>
    <w:link w:val="5"/>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6"/>
    <w:qFormat/>
    <w:uiPriority w:val="9"/>
    <w:rPr>
      <w:rFonts w:ascii="Times New Roman" w:hAnsi="Times New Roman"/>
      <w:b/>
      <w:bCs/>
      <w:kern w:val="2"/>
      <w:sz w:val="32"/>
      <w:szCs w:val="32"/>
    </w:r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6428</Words>
  <Characters>7781</Characters>
  <Lines>61</Lines>
  <Paragraphs>17</Paragraphs>
  <TotalTime>4</TotalTime>
  <ScaleCrop>false</ScaleCrop>
  <LinksUpToDate>false</LinksUpToDate>
  <CharactersWithSpaces>7802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汪雪梅</cp:lastModifiedBy>
  <cp:lastPrinted>2025-08-06T17:34:00Z</cp:lastPrinted>
  <dcterms:modified xsi:type="dcterms:W3CDTF">2025-10-27T08:34:17Z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04787F2533EB45DC91BCDE4AB213247F</vt:lpwstr>
  </property>
  <property fmtid="{D5CDD505-2E9C-101B-9397-08002B2CF9AE}" pid="4" name="KSOTemplateDocerSaveRecord">
    <vt:lpwstr>eyJoZGlkIjoiMWIyOGFmNjRjMjlhOWRlZmU0ZGFlOGU2MDllZTg1ZmUiLCJ1c2VySWQiOiIxNjQyMjI5NjQ2In0=</vt:lpwstr>
  </property>
</Properties>
</file>