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DCF8">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7193"/>
      <w:bookmarkStart w:id="3" w:name="_Toc15378441"/>
      <w:bookmarkStart w:id="4" w:name="_Toc15396597"/>
      <w:bookmarkStart w:id="5" w:name="_Toc15306267"/>
    </w:p>
    <w:p w14:paraId="14752125">
      <w:pPr>
        <w:pStyle w:val="6"/>
        <w:rPr>
          <w:rFonts w:hint="eastAsia" w:ascii="Times New Roman" w:hAnsi="Times New Roman" w:eastAsia="方正小标宋简体" w:cs="Times New Roman"/>
          <w:color w:val="auto"/>
          <w:kern w:val="2"/>
          <w:sz w:val="72"/>
          <w:szCs w:val="72"/>
          <w:highlight w:val="none"/>
          <w:lang w:val="en-US" w:eastAsia="zh-CN" w:bidi="ar-SA"/>
        </w:rPr>
      </w:pPr>
    </w:p>
    <w:p w14:paraId="7B465B06">
      <w:pPr>
        <w:pStyle w:val="6"/>
        <w:rPr>
          <w:rFonts w:hint="eastAsia" w:ascii="Times New Roman" w:hAnsi="Times New Roman" w:eastAsia="方正小标宋简体" w:cs="Times New Roman"/>
          <w:color w:val="auto"/>
          <w:kern w:val="2"/>
          <w:sz w:val="72"/>
          <w:szCs w:val="72"/>
          <w:highlight w:val="none"/>
          <w:lang w:val="en-US" w:eastAsia="zh-CN" w:bidi="ar-SA"/>
        </w:rPr>
      </w:pPr>
    </w:p>
    <w:p w14:paraId="69E77166">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攀枝花市西区</w:t>
      </w:r>
    </w:p>
    <w:p w14:paraId="73EC819A">
      <w:pPr>
        <w:pStyle w:val="6"/>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民政局部门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114B6310">
      <w:pPr>
        <w:pStyle w:val="6"/>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76DAE89">
      <w:pPr>
        <w:widowControl/>
        <w:jc w:val="center"/>
        <w:rPr>
          <w:rFonts w:ascii="Times New Roman" w:hAnsi="Times New Roman" w:eastAsia="黑体" w:cstheme="minorBidi"/>
          <w:color w:val="auto"/>
          <w:sz w:val="28"/>
          <w:szCs w:val="28"/>
          <w:highlight w:val="none"/>
        </w:rPr>
      </w:pPr>
    </w:p>
    <w:p w14:paraId="2904D8A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40E21CCA">
      <w:pPr>
        <w:rPr>
          <w:rFonts w:ascii="Times New Roman" w:hAnsi="Times New Roman"/>
          <w:color w:val="auto"/>
          <w:highlight w:val="none"/>
        </w:rPr>
      </w:pPr>
    </w:p>
    <w:p w14:paraId="0CA04152">
      <w:pPr>
        <w:pStyle w:val="13"/>
        <w:adjustRightInd w:val="0"/>
        <w:snapToGrid w:val="0"/>
        <w:spacing w:before="0" w:line="440" w:lineRule="exact"/>
        <w:jc w:val="left"/>
        <w:rPr>
          <w:rFonts w:cs="Times New Roman"/>
          <w:color w:val="auto"/>
          <w:sz w:val="24"/>
          <w:szCs w:val="24"/>
          <w:highlight w:val="none"/>
        </w:rPr>
      </w:pPr>
      <w:bookmarkStart w:id="6" w:name="_Toc15377196"/>
      <w:bookmarkStart w:id="7" w:name="_Toc15396599"/>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79B40D25">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................................................................................................3</w:t>
      </w:r>
    </w:p>
    <w:p w14:paraId="4449EFD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................................................................................................5</w:t>
      </w:r>
    </w:p>
    <w:p w14:paraId="120579AD">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14:paraId="438AE0C1">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...............................................................6</w:t>
      </w:r>
    </w:p>
    <w:p w14:paraId="378FA1EC">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...............................................................................6</w:t>
      </w:r>
    </w:p>
    <w:p w14:paraId="5605AB0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................................................................................7</w:t>
      </w:r>
    </w:p>
    <w:p w14:paraId="66131A80">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................................................7</w:t>
      </w:r>
    </w:p>
    <w:p w14:paraId="66A7406C">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14:paraId="53E26FFB">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...............................12</w:t>
      </w:r>
    </w:p>
    <w:p w14:paraId="2EC285DD">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.......................................12</w:t>
      </w:r>
    </w:p>
    <w:p w14:paraId="71E57495">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...................................................14</w:t>
      </w:r>
    </w:p>
    <w:p w14:paraId="7D477022">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........................15</w:t>
      </w:r>
    </w:p>
    <w:p w14:paraId="05BC174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................................15</w:t>
      </w:r>
    </w:p>
    <w:p w14:paraId="625CAA3B">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..............................................21</w:t>
      </w:r>
    </w:p>
    <w:p w14:paraId="00EA4F55">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..................................................26</w:t>
      </w:r>
    </w:p>
    <w:p w14:paraId="7E975FD8">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..................................................27</w:t>
      </w:r>
      <w:bookmarkStart w:id="63" w:name="_GoBack"/>
      <w:bookmarkEnd w:id="63"/>
    </w:p>
    <w:p w14:paraId="6A999038">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2E7F6BB2">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53660A2">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12D7354">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0BE890A4">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1DB6DBD5">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CC156F3">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2B026D46">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747CF17">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2770E0EB">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5794927">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40432EB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3F03E107">
      <w:pPr>
        <w:pStyle w:val="15"/>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3B8ADB2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2F39CC0">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2877E694">
      <w:pPr>
        <w:widowControl/>
        <w:jc w:val="left"/>
        <w:rPr>
          <w:rFonts w:ascii="Times New Roman" w:hAnsi="Times New Roman" w:eastAsia="黑体"/>
          <w:color w:val="auto"/>
          <w:sz w:val="32"/>
          <w:szCs w:val="32"/>
          <w:highlight w:val="none"/>
        </w:rPr>
      </w:pPr>
    </w:p>
    <w:p w14:paraId="1EE67145">
      <w:pPr>
        <w:pStyle w:val="4"/>
        <w:pageBreakBefore w:val="0"/>
        <w:kinsoku/>
        <w:wordWrap/>
        <w:overflowPunct/>
        <w:topLinePunct w:val="0"/>
        <w:bidi w:val="0"/>
        <w:spacing w:line="600" w:lineRule="exact"/>
        <w:ind w:firstLine="480" w:firstLineChars="150"/>
        <w:textAlignment w:val="auto"/>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44BC5E3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bookmarkStart w:id="10" w:name="_Toc15396601"/>
      <w:bookmarkStart w:id="11" w:name="_Toc15377200"/>
      <w:r>
        <w:rPr>
          <w:rFonts w:hint="eastAsia" w:ascii="Times New Roman" w:hAnsi="Times New Roman" w:eastAsia="仿宋_GB2312" w:cs="仿宋_GB2312"/>
          <w:color w:val="auto"/>
          <w:kern w:val="0"/>
          <w:sz w:val="32"/>
          <w:szCs w:val="32"/>
          <w:highlight w:val="none"/>
          <w:lang w:val="en-US" w:eastAsia="zh-CN" w:bidi="ar-SA"/>
        </w:rPr>
        <w:t>（1）贯彻执行党和国家有关民政工作的方针政策和法律法规；拟订全区民政事业发展政策、规划并组织实施和监督检查。</w:t>
      </w:r>
    </w:p>
    <w:p w14:paraId="4B3712F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（2）负责区属社会团体和社会服务机构的审核、登记和年度检查；监督社会团体和社会服务机构活动；查处社会团体和社会服务机构的违法行为和未经登记以社会团体和社会服务机构名义开展活动的非法组织。</w:t>
      </w:r>
    </w:p>
    <w:p w14:paraId="719E2862">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（3）组织拟订全区社会救助规划、政策和标准，健全社会救助体系，监督指导区城乡最低生活保障中心实施城乡居民最低生活保障、临时救助、城市低收入家庭收入核定的管理等业务工作。</w:t>
      </w:r>
    </w:p>
    <w:p w14:paraId="418348D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（4）负责特困人员救助供养、生活无着流浪乞讨人员救助工作。</w:t>
      </w:r>
    </w:p>
    <w:p w14:paraId="1BE27013">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5）贯彻落实城乡基层群众自治建设和社区治理政策；推动基层民主政治建设。贯彻实施村（居）民委员会组织法，指导村（居）民委员会民主选举、民主决策、民主管理和民主监督工作；加强村（居）民委员会的组织建设、制度建设、负责村（居）民委员会干部培训。</w:t>
      </w:r>
    </w:p>
    <w:p w14:paraId="19B353B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（6）负责全区行政区域规划、调整、更名及变更工作；负责全区地名命名、更名的审核报批；负责行政区域界线的勘定、维护管理及边界争议的调查和调处。</w:t>
      </w:r>
    </w:p>
    <w:p w14:paraId="3EFC7342">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（7）组织实施婚姻管理政策，推进婚俗改革。</w:t>
      </w:r>
    </w:p>
    <w:p w14:paraId="2624E71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（8）组织实施殡葬管理政策，负责殡葬管理工作，推进殡葬改革。</w:t>
      </w:r>
    </w:p>
    <w:p w14:paraId="521AD2E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（9）拟订社会福利事业发展规划；组织实施社会福利机构管理办法；贯彻残疾人权益保护政策；负责康复辅助器具行业管理，协调推进残疾人福利制度建设和康复辅助器具产业发展。</w:t>
      </w:r>
    </w:p>
    <w:p w14:paraId="65BE67B3">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10）统筹推进、督促指导、监督管理养老服务工作，拟定养老服务体系建设规划、政策并组织实施，承担老年人福利和特殊困难老年人救助工作，协调推进农村留守老年人关爱服务工作，承担城乡老年社会组织管理工作。</w:t>
      </w:r>
    </w:p>
    <w:p w14:paraId="6EBC3B5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（11）贯彻落实儿童福利、孤弃儿童保障、儿童收养、儿童救助保护政策、标准、协调推进全区农村留守儿童关爱服务体系和困境儿童保障制度建设。</w:t>
      </w:r>
    </w:p>
    <w:p w14:paraId="4ABEF31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（12）贯彻执行促进慈善事业发展政策，指导社会捐助工作。</w:t>
      </w:r>
    </w:p>
    <w:p w14:paraId="74D6579B">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（13）贯彻落实社会工作、志愿服务政策和标准，会同有关部门推进社会工作人才队伍建设和相关志愿队伍建设。</w:t>
      </w:r>
    </w:p>
    <w:p w14:paraId="3EDF74A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（14）依法依规履行康复辅助器具行业和社会福利、养老服务、殡葬服务、救助管理机构安全生产监督管理工作。</w:t>
      </w:r>
    </w:p>
    <w:p w14:paraId="61F0E6D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（15）完成区委、区政府交办的其他任务。</w:t>
      </w:r>
    </w:p>
    <w:p w14:paraId="0113123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（16）负责职责范围内的职业健康、生态环境保护、审批服务便民化等工作。</w:t>
      </w:r>
    </w:p>
    <w:p w14:paraId="7182007A">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（17）职能转变。民政方面应强化基本民生保障职能，为困难群众、孤老孤残孤儿等特殊群体提供基本社会服务。积极培育社会组织、社会工作者等多元参与主体，推动搭建基层社会治理和社区公共服务平台。</w:t>
      </w:r>
    </w:p>
    <w:p w14:paraId="0D784F7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18）有关职责分工。与区卫生健康局的有关职责分工。区民政局负责统筹推进、督促指导、监督管理养老服务工作，拟订养老服务体系建设规划、政策、标准并组织实施，承担老年人福利和特殊困难老年人救助工作。区卫生健康局负责拟订应对人口老龄化、医养结合政策措施，综合协调、督促指导、组织推进老龄健康事业发展，承担老年疾病防治、老年人医疗照护、老年人心理健康与关怀服务等老年健康工作。</w:t>
      </w:r>
    </w:p>
    <w:p w14:paraId="1E659B0B">
      <w:pPr>
        <w:pStyle w:val="4"/>
        <w:pageBreakBefore w:val="0"/>
        <w:kinsoku/>
        <w:wordWrap/>
        <w:overflowPunct/>
        <w:topLinePunct w:val="0"/>
        <w:bidi w:val="0"/>
        <w:spacing w:line="600" w:lineRule="exact"/>
        <w:ind w:firstLine="480" w:firstLineChars="150"/>
        <w:textAlignment w:val="auto"/>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0381633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攀枝花市西区民政局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57C08720">
      <w:pPr>
        <w:pStyle w:val="6"/>
        <w:pageBreakBefore w:val="0"/>
        <w:kinsoku/>
        <w:wordWrap/>
        <w:overflowPunct/>
        <w:topLinePunct w:val="0"/>
        <w:bidi w:val="0"/>
        <w:adjustRightInd w:val="0"/>
        <w:snapToGrid w:val="0"/>
        <w:spacing w:before="93"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攀枝花市西区民政局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55F46844">
      <w:pPr>
        <w:pageBreakBefore w:val="0"/>
        <w:kinsoku/>
        <w:wordWrap/>
        <w:overflowPunct/>
        <w:topLinePunct w:val="0"/>
        <w:bidi w:val="0"/>
        <w:spacing w:line="600" w:lineRule="exact"/>
        <w:ind w:firstLine="480" w:firstLineChars="15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1.攀枝花市</w:t>
      </w:r>
      <w:r>
        <w:rPr>
          <w:rFonts w:hint="eastAsia" w:ascii="Times New Roman" w:hAnsi="Times New Roman" w:eastAsia="仿宋_GB2312" w:cs="仿宋_GB2312"/>
          <w:color w:val="auto"/>
          <w:sz w:val="32"/>
          <w:szCs w:val="32"/>
          <w:highlight w:val="none"/>
          <w:lang w:eastAsia="zh-CN"/>
        </w:rPr>
        <w:t>西区老龄健康服务中心</w:t>
      </w:r>
    </w:p>
    <w:p w14:paraId="0D2992A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2.攀枝花市</w:t>
      </w:r>
      <w:r>
        <w:rPr>
          <w:rFonts w:hint="eastAsia" w:ascii="Times New Roman" w:hAnsi="Times New Roman" w:eastAsia="仿宋_GB2312" w:cs="仿宋_GB2312"/>
          <w:color w:val="auto"/>
          <w:sz w:val="32"/>
          <w:szCs w:val="32"/>
          <w:highlight w:val="none"/>
        </w:rPr>
        <w:t>西区城乡最低生活保障中心</w:t>
      </w:r>
    </w:p>
    <w:p w14:paraId="01455917">
      <w:pPr>
        <w:pStyle w:val="6"/>
        <w:pageBreakBefore w:val="0"/>
        <w:numPr>
          <w:numId w:val="0"/>
        </w:numPr>
        <w:kinsoku/>
        <w:wordWrap/>
        <w:overflowPunct/>
        <w:topLinePunct w:val="0"/>
        <w:bidi w:val="0"/>
        <w:adjustRightInd w:val="0"/>
        <w:snapToGrid w:val="0"/>
        <w:spacing w:before="93" w:line="600" w:lineRule="exact"/>
        <w:ind w:firstLine="480" w:firstLineChars="150"/>
        <w:textAlignment w:val="auto"/>
        <w:outlineLvl w:val="2"/>
        <w:rPr>
          <w:rFonts w:hint="eastAsia" w:ascii="Times New Roman" w:hAnsi="Times New Roman" w:eastAsia="仿宋_GB2312" w:cs="仿宋_GB2312"/>
          <w:color w:val="auto"/>
          <w:sz w:val="32"/>
          <w:szCs w:val="32"/>
          <w:highlight w:val="none"/>
        </w:rPr>
      </w:pPr>
    </w:p>
    <w:p w14:paraId="3F723690">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s="Times New Roman"/>
          <w:color w:val="auto"/>
          <w:sz w:val="44"/>
          <w:szCs w:val="44"/>
          <w:highlight w:val="none"/>
        </w:rPr>
      </w:pPr>
      <w:bookmarkStart w:id="12" w:name="_Toc15396602"/>
      <w:bookmarkStart w:id="13" w:name="_Toc15377204"/>
      <w:r>
        <w:rPr>
          <w:rFonts w:hint="eastAsia" w:ascii="Times New Roman" w:hAnsi="Times New Roman" w:eastAsia="黑体" w:cs="Times New Roman"/>
          <w:color w:val="auto"/>
          <w:sz w:val="44"/>
          <w:szCs w:val="44"/>
          <w:highlight w:val="none"/>
        </w:rPr>
        <w:t>第二部分</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rPr>
        <w:t xml:space="preserve"> </w:t>
      </w:r>
      <w:r>
        <w:rPr>
          <w:rFonts w:hint="eastAsia" w:ascii="Times New Roman" w:hAnsi="Times New Roman" w:eastAsia="黑体" w:cs="Times New Roman"/>
          <w:color w:val="auto"/>
          <w:sz w:val="44"/>
          <w:szCs w:val="44"/>
          <w:highlight w:val="none"/>
          <w:lang w:val="en-US" w:eastAsia="zh-CN"/>
        </w:rPr>
        <w:t>2024年度</w:t>
      </w:r>
      <w:r>
        <w:rPr>
          <w:rFonts w:hint="eastAsia" w:ascii="Times New Roman" w:hAnsi="Times New Roman" w:eastAsia="黑体" w:cs="Times New Roman"/>
          <w:color w:val="auto"/>
          <w:sz w:val="44"/>
          <w:szCs w:val="44"/>
          <w:highlight w:val="none"/>
        </w:rPr>
        <w:t>部门决算情况说明</w:t>
      </w:r>
      <w:bookmarkEnd w:id="12"/>
      <w:bookmarkEnd w:id="13"/>
    </w:p>
    <w:p w14:paraId="75D9547D">
      <w:pPr>
        <w:pageBreakBefore w:val="0"/>
        <w:kinsoku/>
        <w:wordWrap/>
        <w:overflowPunct/>
        <w:topLinePunct w:val="0"/>
        <w:bidi w:val="0"/>
        <w:spacing w:line="600" w:lineRule="exact"/>
        <w:ind w:firstLine="315" w:firstLineChars="150"/>
        <w:textAlignment w:val="auto"/>
        <w:rPr>
          <w:rFonts w:ascii="Times New Roman" w:hAnsi="Times New Roman"/>
          <w:color w:val="auto"/>
          <w:highlight w:val="none"/>
        </w:rPr>
      </w:pPr>
    </w:p>
    <w:p w14:paraId="567C3F7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7E3B8A0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6779.65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kern w:val="2"/>
          <w:sz w:val="32"/>
          <w:szCs w:val="32"/>
          <w:highlight w:val="none"/>
          <w:lang w:val="en-US" w:eastAsia="zh-CN" w:bidi="ar-SA"/>
        </w:rPr>
        <w:t>各增加</w:t>
      </w:r>
      <w:r>
        <w:rPr>
          <w:rFonts w:hint="eastAsia" w:eastAsia="仿宋_GB2312" w:cs="仿宋_GB2312"/>
          <w:color w:val="auto"/>
          <w:kern w:val="2"/>
          <w:sz w:val="32"/>
          <w:szCs w:val="32"/>
          <w:highlight w:val="none"/>
          <w:lang w:val="en-US" w:eastAsia="zh-CN" w:bidi="ar-SA"/>
        </w:rPr>
        <w:t>3301.04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48.69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增加了中央预算内基建-积极应对老龄化和托养建设项目资金。</w:t>
      </w:r>
    </w:p>
    <w:p w14:paraId="43AD4C9C">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2E74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76750" cy="274320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9"/>
                    <a:stretch>
                      <a:fillRect/>
                    </a:stretch>
                  </pic:blipFill>
                  <pic:spPr>
                    <a:xfrm>
                      <a:off x="0" y="0"/>
                      <a:ext cx="4476750" cy="2743200"/>
                    </a:xfrm>
                    <a:prstGeom prst="rect">
                      <a:avLst/>
                    </a:prstGeom>
                    <a:noFill/>
                    <a:ln>
                      <a:noFill/>
                    </a:ln>
                  </pic:spPr>
                </pic:pic>
              </a:graphicData>
            </a:graphic>
          </wp:inline>
        </w:drawing>
      </w:r>
    </w:p>
    <w:p w14:paraId="24A7888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0DC9E99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6774.19万元，其中：一般公共预算财政拨款收入6692.53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98.79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81.66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sz w:val="32"/>
          <w:szCs w:val="32"/>
          <w:highlight w:val="none"/>
          <w:lang w:eastAsia="zh-CN"/>
        </w:rPr>
        <w:t>%。</w:t>
      </w:r>
    </w:p>
    <w:p w14:paraId="467C719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88AFC00">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533900" cy="267652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4533900" cy="2676525"/>
                    </a:xfrm>
                    <a:prstGeom prst="rect">
                      <a:avLst/>
                    </a:prstGeom>
                    <a:noFill/>
                    <a:ln>
                      <a:noFill/>
                    </a:ln>
                  </pic:spPr>
                </pic:pic>
              </a:graphicData>
            </a:graphic>
          </wp:inline>
        </w:drawing>
      </w:r>
    </w:p>
    <w:p w14:paraId="7EAD3D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Style w:val="29"/>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446DDE3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6779.65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579.69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6199.96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91.44</w:t>
      </w:r>
      <w:r>
        <w:rPr>
          <w:rFonts w:hint="eastAsia" w:ascii="仿宋_GB2312" w:hAnsi="仿宋_GB2312" w:eastAsia="仿宋_GB2312" w:cs="仿宋_GB2312"/>
          <w:color w:val="auto"/>
          <w:sz w:val="32"/>
          <w:szCs w:val="32"/>
          <w:highlight w:val="none"/>
          <w:lang w:eastAsia="zh-CN"/>
        </w:rPr>
        <w:t>%。</w:t>
      </w:r>
    </w:p>
    <w:p w14:paraId="39A4EDC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E191EA1">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3476625" cy="277177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1"/>
                    <a:stretch>
                      <a:fillRect/>
                    </a:stretch>
                  </pic:blipFill>
                  <pic:spPr>
                    <a:xfrm>
                      <a:off x="0" y="0"/>
                      <a:ext cx="3476625" cy="2771775"/>
                    </a:xfrm>
                    <a:prstGeom prst="rect">
                      <a:avLst/>
                    </a:prstGeom>
                    <a:noFill/>
                    <a:ln>
                      <a:noFill/>
                    </a:ln>
                  </pic:spPr>
                </pic:pic>
              </a:graphicData>
            </a:graphic>
          </wp:inline>
        </w:drawing>
      </w:r>
    </w:p>
    <w:p w14:paraId="061ECD4D">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2039923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6779.65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3301.04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48.69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增加了中央预算内基建-积极应对老龄化和托养建设项目资金。</w:t>
      </w:r>
    </w:p>
    <w:p w14:paraId="5F33418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A7D151D">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14850" cy="2695575"/>
            <wp:effectExtent l="0" t="0" r="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514850" cy="2695575"/>
                    </a:xfrm>
                    <a:prstGeom prst="rect">
                      <a:avLst/>
                    </a:prstGeom>
                    <a:noFill/>
                    <a:ln>
                      <a:noFill/>
                    </a:ln>
                  </pic:spPr>
                </pic:pic>
              </a:graphicData>
            </a:graphic>
          </wp:inline>
        </w:drawing>
      </w:r>
    </w:p>
    <w:p w14:paraId="27468101">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71630403">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537851A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6697.99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98.79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%。与2023年度相比，一般公共预算财政拨款支出增加3365.45万元，增长50.25%。主要变动原因是</w:t>
      </w:r>
      <w:r>
        <w:rPr>
          <w:rFonts w:hint="eastAsia" w:eastAsia="仿宋_GB2312" w:cs="仿宋_GB2312"/>
          <w:color w:val="auto"/>
          <w:sz w:val="32"/>
          <w:szCs w:val="32"/>
          <w:highlight w:val="none"/>
          <w:lang w:eastAsia="zh-CN"/>
        </w:rPr>
        <w:t>增加了中央预算内基建-积极应对老龄化和托养建设项目资金。</w:t>
      </w:r>
    </w:p>
    <w:p w14:paraId="70BA2D9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D11508A">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43400" cy="271462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4343400" cy="2714625"/>
                    </a:xfrm>
                    <a:prstGeom prst="rect">
                      <a:avLst/>
                    </a:prstGeom>
                    <a:noFill/>
                    <a:ln>
                      <a:noFill/>
                    </a:ln>
                  </pic:spPr>
                </pic:pic>
              </a:graphicData>
            </a:graphic>
          </wp:inline>
        </w:drawing>
      </w:r>
    </w:p>
    <w:p w14:paraId="271098A0">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587556D4">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6697.99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0.98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6643.48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99.19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29.48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24.05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E9F0D6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A7D985B">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76800" cy="26479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4876800" cy="2647950"/>
                    </a:xfrm>
                    <a:prstGeom prst="rect">
                      <a:avLst/>
                    </a:prstGeom>
                    <a:noFill/>
                    <a:ln>
                      <a:noFill/>
                    </a:ln>
                  </pic:spPr>
                </pic:pic>
              </a:graphicData>
            </a:graphic>
          </wp:inline>
        </w:drawing>
      </w:r>
    </w:p>
    <w:p w14:paraId="6DFEE694">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6E2F746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6697.99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128B801E">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文化旅游体育与传媒支出（类）其他文化旅游体育与传媒支出（款）其他文化旅游体育与传媒支出（项）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03A0B00">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社会保障和就业支出（类）民政管理事务（款）行政运行（项）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B14CE43">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社会保障和就业支出（类）民政管理事务（款）其他民政管理事务支出（项）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322.13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F031F28">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社会保障和就业支出（类）行政事业单位养老支出（款）行政单位离退休（项）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1E462D6">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社会保障和就业支出（类）行政事业单位养老支出（款）事业单位离退休（项）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693C9D1">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社会保障和就业支出（类）行政事业单位养老支出（款）机关事业单位基本养老保险缴费支出（项）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27.66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8F4431A">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社会保障和就业支出（类）行政事业单位养老支出（款）机关事业单位职业年金缴费支出（项）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23.22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6DFED14">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社会保障和就业支出（类）社会福利（款）儿童福利（项）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194.52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8D0FF8C">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社会保障和就业支出（类）社会福利（款）老年福利（项）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453.37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617C5B2">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社会保障和就业支出（类）社会福利（款）殡葬（项）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72.49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D695C13">
      <w:pPr>
        <w:spacing w:line="600" w:lineRule="exact"/>
        <w:ind w:firstLine="643" w:firstLineChars="200"/>
        <w:rPr>
          <w:rStyle w:val="18"/>
          <w:rFonts w:hint="default"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社会保障和就业支出（类）社会福利（款）养老服务（项）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87FD690">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社会保障和就业支出（类）社会福利（款）养老服务（项）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72.49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46D4A47">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社会保障和就业支出（类）残疾人事业（款）残疾人生活和护理补贴（项）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233.25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0F94FE3A">
      <w:pPr>
        <w:spacing w:line="600" w:lineRule="exact"/>
        <w:ind w:firstLine="643" w:firstLineChars="200"/>
        <w:rPr>
          <w:rStyle w:val="18"/>
          <w:rFonts w:ascii="仿宋" w:hAnsi="仿宋" w:eastAsia="仿宋"/>
          <w:bCs/>
          <w:color w:val="auto"/>
          <w:sz w:val="32"/>
          <w:szCs w:val="32"/>
          <w:highlight w:val="none"/>
        </w:rPr>
      </w:pPr>
      <w:r>
        <w:rPr>
          <w:rStyle w:val="18"/>
          <w:rFonts w:hint="eastAsia" w:ascii="仿宋" w:hAnsi="仿宋" w:eastAsia="仿宋"/>
          <w:bCs/>
          <w:color w:val="auto"/>
          <w:sz w:val="32"/>
          <w:szCs w:val="32"/>
          <w:highlight w:val="none"/>
          <w:lang w:val="en-US" w:eastAsia="zh-CN"/>
        </w:rPr>
        <w:t>14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社会保障和就业支出（类）其他生活救助（款）其他城市生活救助（项）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355.96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CB9B46C">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15.</w:t>
      </w:r>
      <w:r>
        <w:rPr>
          <w:rStyle w:val="18"/>
          <w:rFonts w:hint="eastAsia" w:ascii="仿宋" w:hAnsi="仿宋" w:eastAsia="仿宋"/>
          <w:bCs/>
          <w:color w:val="auto"/>
          <w:sz w:val="32"/>
          <w:szCs w:val="32"/>
          <w:highlight w:val="none"/>
        </w:rPr>
        <w:t>社会保障和就业支出（类）其他社会保障和就业支出（款）其他社会保障和就业支出（项）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47720.49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9D637AE">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16.</w:t>
      </w:r>
      <w:r>
        <w:rPr>
          <w:rStyle w:val="18"/>
          <w:rFonts w:hint="eastAsia" w:ascii="仿宋" w:hAnsi="仿宋" w:eastAsia="仿宋"/>
          <w:bCs/>
          <w:color w:val="auto"/>
          <w:sz w:val="32"/>
          <w:szCs w:val="32"/>
          <w:highlight w:val="none"/>
        </w:rPr>
        <w:t>卫生健康支出（类）行政事业单位医疗（款）行政单位医疗（项）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8.78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624AFE6">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17.</w:t>
      </w:r>
      <w:r>
        <w:rPr>
          <w:rStyle w:val="18"/>
          <w:rFonts w:hint="eastAsia" w:ascii="仿宋" w:hAnsi="仿宋" w:eastAsia="仿宋"/>
          <w:bCs/>
          <w:color w:val="auto"/>
          <w:sz w:val="32"/>
          <w:szCs w:val="32"/>
          <w:highlight w:val="none"/>
        </w:rPr>
        <w:t>卫生健康支出（类）行政事业单位医疗（款）事业单位医疗（项）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6.84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498019B">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18.</w:t>
      </w:r>
      <w:r>
        <w:rPr>
          <w:rStyle w:val="18"/>
          <w:rFonts w:hint="eastAsia" w:ascii="仿宋" w:hAnsi="仿宋" w:eastAsia="仿宋"/>
          <w:bCs/>
          <w:color w:val="auto"/>
          <w:sz w:val="32"/>
          <w:szCs w:val="32"/>
          <w:highlight w:val="none"/>
        </w:rPr>
        <w:t>卫生健康支出（类）行政事业单位医疗（款）公务员医疗补助（项）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8.88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1D56A6D">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19.</w:t>
      </w:r>
      <w:r>
        <w:rPr>
          <w:rStyle w:val="18"/>
          <w:rFonts w:hint="eastAsia" w:ascii="仿宋" w:hAnsi="仿宋" w:eastAsia="仿宋"/>
          <w:bCs/>
          <w:color w:val="auto"/>
          <w:sz w:val="32"/>
          <w:szCs w:val="32"/>
          <w:highlight w:val="none"/>
        </w:rPr>
        <w:t>卫生健康支出（类）行政事业单位医疗（款）其他行政事业单位医疗支出（项）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B70C73D">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Style w:val="18"/>
          <w:rFonts w:hint="eastAsia" w:ascii="仿宋" w:hAnsi="仿宋" w:eastAsia="仿宋"/>
          <w:bCs/>
          <w:color w:val="auto"/>
          <w:sz w:val="32"/>
          <w:szCs w:val="32"/>
          <w:highlight w:val="none"/>
          <w:lang w:val="en-US" w:eastAsia="zh-CN"/>
        </w:rPr>
        <w:t>20.</w:t>
      </w:r>
      <w:r>
        <w:rPr>
          <w:rStyle w:val="18"/>
          <w:rFonts w:hint="eastAsia" w:ascii="仿宋" w:hAnsi="仿宋" w:eastAsia="仿宋"/>
          <w:bCs/>
          <w:color w:val="auto"/>
          <w:sz w:val="32"/>
          <w:szCs w:val="32"/>
          <w:highlight w:val="none"/>
        </w:rPr>
        <w:t>住房保障支出（类）住房改革支出（款）住房公积金（项）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24.05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BE4C71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04AA5F82">
      <w:pPr>
        <w:pageBreakBefore w:val="0"/>
        <w:tabs>
          <w:tab w:val="right" w:pos="8306"/>
        </w:tabs>
        <w:kinsoku/>
        <w:wordWrap/>
        <w:overflowPunct/>
        <w:topLinePunct w:val="0"/>
        <w:bidi w:val="0"/>
        <w:spacing w:line="600" w:lineRule="exact"/>
        <w:ind w:firstLine="480" w:firstLineChars="150"/>
        <w:textAlignment w:val="auto"/>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6AF4DF1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579.69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E630F3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553.22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其他社会保障缴费、其他工资福利支出、生活补助、奖励金、住房公积金。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元，主要包括：办公费、水费、电费、邮电费、差旅费、公务接待费、工会经费、福利费、公务用车运行维护费、其他交通费、其他商品和服务支出。</w:t>
      </w:r>
    </w:p>
    <w:p w14:paraId="1B80DD24">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20F4F42B">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522F5360">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5CC912D2">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5.54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4.69</w:t>
      </w:r>
      <w:r>
        <w:rPr>
          <w:rFonts w:hint="eastAsia" w:ascii="Times New Roman" w:hAnsi="Times New Roman" w:eastAsia="仿宋_GB2312" w:cs="仿宋_GB2312"/>
          <w:color w:val="auto"/>
          <w:kern w:val="2"/>
          <w:sz w:val="32"/>
          <w:szCs w:val="32"/>
          <w:highlight w:val="none"/>
          <w:lang w:val="en-US" w:eastAsia="zh-CN" w:bidi="ar-SA"/>
        </w:rPr>
        <w:t>%。</w:t>
      </w:r>
    </w:p>
    <w:p w14:paraId="141051E7">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06C39D64">
      <w:pPr>
        <w:pageBreakBefore w:val="0"/>
        <w:kinsoku/>
        <w:wordWrap/>
        <w:overflowPunct/>
        <w:topLinePunct w:val="0"/>
        <w:bidi w:val="0"/>
        <w:spacing w:line="600" w:lineRule="exact"/>
        <w:ind w:firstLine="480"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万元，占90.25%；公务接待费支出决算</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万元，占9.75%。具体情况如下：</w:t>
      </w:r>
    </w:p>
    <w:p w14:paraId="50525B7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5F65319">
      <w:pPr>
        <w:pageBreakBefore w:val="0"/>
        <w:kinsoku/>
        <w:wordWrap/>
        <w:overflowPunct/>
        <w:topLinePunct w:val="0"/>
        <w:bidi w:val="0"/>
        <w:spacing w:line="240" w:lineRule="auto"/>
        <w:ind w:firstLine="0" w:firstLineChars="0"/>
        <w:textAlignment w:val="auto"/>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391025" cy="26670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4391025" cy="2667000"/>
                    </a:xfrm>
                    <a:prstGeom prst="rect">
                      <a:avLst/>
                    </a:prstGeom>
                    <a:noFill/>
                    <a:ln>
                      <a:noFill/>
                    </a:ln>
                  </pic:spPr>
                </pic:pic>
              </a:graphicData>
            </a:graphic>
          </wp:inline>
        </w:drawing>
      </w:r>
    </w:p>
    <w:p w14:paraId="1C9BE1BD">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00A639F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31A6DC0D">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6632207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07E2733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 w:hAnsi="仿宋" w:eastAsia="仿宋" w:cs="宋体"/>
          <w:color w:val="333333"/>
          <w:kern w:val="0"/>
          <w:sz w:val="32"/>
          <w:szCs w:val="32"/>
        </w:rPr>
        <w:t>保障单位低保入户、养老机构安全检查、流浪乞讨救助</w:t>
      </w:r>
      <w:r>
        <w:rPr>
          <w:rFonts w:hint="eastAsia" w:ascii="仿宋_GB2312" w:eastAsia="仿宋_GB2312"/>
          <w:sz w:val="32"/>
          <w:szCs w:val="32"/>
        </w:rPr>
        <w:t>等所需的公务用车燃料费、维修费、过路过桥费、保险费等支出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14:paraId="4AD08F8B">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48.15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本年度务公接待活动增加</w:t>
      </w:r>
      <w:r>
        <w:rPr>
          <w:rFonts w:hint="eastAsia" w:ascii="Times New Roman" w:hAnsi="Times New Roman" w:eastAsia="仿宋_GB2312" w:cs="仿宋_GB2312"/>
          <w:color w:val="auto"/>
          <w:kern w:val="2"/>
          <w:sz w:val="32"/>
          <w:szCs w:val="32"/>
          <w:highlight w:val="none"/>
          <w:lang w:val="en-US" w:eastAsia="zh-CN" w:bidi="ar-SA"/>
        </w:rPr>
        <w:t>。其中：</w:t>
      </w:r>
    </w:p>
    <w:p w14:paraId="66458CB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sz w:val="32"/>
          <w:szCs w:val="32"/>
          <w:lang w:eastAsia="zh-CN"/>
        </w:rPr>
        <w:t>省民政厅检查工作、同级民政交流学习等</w:t>
      </w:r>
      <w:r>
        <w:rPr>
          <w:rFonts w:hint="eastAsia" w:ascii="仿宋_GB2312" w:eastAsia="仿宋_GB2312"/>
          <w:sz w:val="32"/>
          <w:szCs w:val="32"/>
        </w:rPr>
        <w:t>用餐费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万元，具体内容包括：四川省康复辅具技术服务中心辅工程筛查评估服务</w:t>
      </w:r>
      <w:r>
        <w:rPr>
          <w:rFonts w:hint="eastAsia" w:eastAsia="仿宋_GB2312" w:cs="仿宋_GB2312"/>
          <w:color w:val="auto"/>
          <w:kern w:val="2"/>
          <w:sz w:val="32"/>
          <w:szCs w:val="32"/>
          <w:highlight w:val="none"/>
          <w:lang w:val="en-US" w:eastAsia="zh-CN" w:bidi="ar-SA"/>
        </w:rPr>
        <w:t>0.05万元、乐山市民政局对精神障碍社区康复服务工作开展检查0.19万元、会理市民政局、市民政局考察学习慈善事业高质量发展工作的成熟经验和成功做法0.15万元、蓬溪县民政局考察学习养老服务体系相关工作0.15万元</w:t>
      </w:r>
      <w:r>
        <w:rPr>
          <w:rFonts w:hint="eastAsia" w:ascii="Times New Roman" w:hAnsi="Times New Roman" w:eastAsia="仿宋_GB2312" w:cs="仿宋_GB2312"/>
          <w:color w:val="auto"/>
          <w:kern w:val="2"/>
          <w:sz w:val="32"/>
          <w:szCs w:val="32"/>
          <w:highlight w:val="none"/>
          <w:lang w:val="en-US" w:eastAsia="zh-CN" w:bidi="ar-SA"/>
        </w:rPr>
        <w:t>。</w:t>
      </w:r>
    </w:p>
    <w:p w14:paraId="6862701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78E896D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17D9DD4E">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5F8186DB">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81.66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64.41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项目经费减少。</w:t>
      </w:r>
    </w:p>
    <w:p w14:paraId="035E566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35662AB7">
      <w:pPr>
        <w:pageBreakBefore w:val="0"/>
        <w:numPr>
          <w:ilvl w:val="0"/>
          <w:numId w:val="0"/>
        </w:numPr>
        <w:kinsoku/>
        <w:wordWrap/>
        <w:overflowPunct/>
        <w:topLinePunct w:val="0"/>
        <w:bidi w:val="0"/>
        <w:spacing w:line="600" w:lineRule="exact"/>
        <w:ind w:left="630" w:leftChars="0" w:firstLine="480" w:firstLineChars="150"/>
        <w:textAlignment w:val="auto"/>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6F26509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59106710">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146AAC6C">
      <w:pPr>
        <w:pageBreakBefore w:val="0"/>
        <w:numPr>
          <w:ilvl w:val="0"/>
          <w:numId w:val="0"/>
        </w:numPr>
        <w:kinsoku/>
        <w:wordWrap/>
        <w:overflowPunct/>
        <w:topLinePunct w:val="0"/>
        <w:bidi w:val="0"/>
        <w:spacing w:line="600" w:lineRule="exact"/>
        <w:ind w:left="630" w:leftChars="0" w:firstLine="480" w:firstLineChars="150"/>
        <w:textAlignment w:val="auto"/>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541EAFEF">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199C3E5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攀枝花市西区民政局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6.79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25.65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厉行节约，机关运行经费减少。</w:t>
      </w:r>
    </w:p>
    <w:p w14:paraId="0496CCF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32D9EEA8">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DE6B772">
      <w:pPr>
        <w:pageBreakBefore w:val="0"/>
        <w:kinsoku/>
        <w:wordWrap/>
        <w:overflowPunct/>
        <w:topLinePunct w:val="0"/>
        <w:bidi w:val="0"/>
        <w:spacing w:line="600" w:lineRule="exact"/>
        <w:ind w:firstLine="480"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攀枝花市西区民政局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315.97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4.65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166.75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144.58</w:t>
      </w:r>
      <w:r>
        <w:rPr>
          <w:rFonts w:hint="eastAsia" w:ascii="仿宋_GB2312" w:hAnsi="仿宋_GB2312" w:eastAsia="仿宋_GB2312" w:cs="仿宋_GB2312"/>
          <w:color w:val="auto"/>
          <w:kern w:val="2"/>
          <w:sz w:val="32"/>
          <w:szCs w:val="32"/>
          <w:highlight w:val="none"/>
          <w:lang w:val="en-US" w:eastAsia="zh-CN" w:bidi="ar-SA"/>
        </w:rPr>
        <w:t>万元。主要用于未成年人救助保护中心项目采购。授予中小企业合同金额</w:t>
      </w:r>
      <w:r>
        <w:rPr>
          <w:rFonts w:hint="eastAsia" w:ascii="仿宋_GB2312" w:hAnsi="仿宋_GB2312" w:eastAsia="仿宋_GB2312" w:cs="仿宋_GB2312"/>
          <w:sz w:val="32"/>
          <w:szCs w:val="32"/>
        </w:rPr>
        <w:t>315.97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315.97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1637511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360CBE49">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2DEE1B6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攀枝花市西区民政局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2CF43C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40E0F9FD">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F4BFFD6">
      <w:pPr>
        <w:pageBreakBefore w:val="0"/>
        <w:kinsoku/>
        <w:wordWrap/>
        <w:overflowPunct/>
        <w:topLinePunct w:val="0"/>
        <w:bidi w:val="0"/>
        <w:spacing w:line="600" w:lineRule="exact"/>
        <w:ind w:firstLine="480" w:firstLineChars="150"/>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lang w:eastAsia="zh-CN"/>
        </w:rPr>
        <w:t>长寿高龄、残联人两项补贴、困难群众救助等</w:t>
      </w:r>
      <w:r>
        <w:rPr>
          <w:rFonts w:hint="eastAsia" w:ascii="仿宋_GB2312" w:hAnsi="仿宋_GB2312" w:eastAsia="仿宋_GB2312" w:cs="仿宋_GB2312"/>
          <w:color w:val="auto"/>
          <w:sz w:val="32"/>
          <w:szCs w:val="32"/>
          <w:highlight w:val="none"/>
          <w:lang w:val="en-US" w:eastAsia="zh-CN"/>
        </w:rPr>
        <w:t>21个项目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0C063A53">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政府性基金预算等</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color w:val="auto"/>
          <w:sz w:val="32"/>
          <w:szCs w:val="32"/>
          <w:highlight w:val="none"/>
          <w:lang w:eastAsia="zh-CN"/>
        </w:rPr>
        <w:t>西区民政局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、困难群众救助、长寿高龄补贴、残疾人两补贴</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西区民政局</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绩效自评综述：根据确定的年度绩效管理目标制定具体实施计划，明确内部业务分工，落实承办人员及其工作责任，明确时序进度和目标要求，落实工作措施，总结汇集工作成果，并记录实施过程。通过自评，财政部门能够清晰完整地了解我局在预决算执行过程的问题，自评结果准确反映了我局在执行预算支出绩效总体较好</w:t>
      </w:r>
      <w:r>
        <w:rPr>
          <w:rFonts w:hint="eastAsia" w:ascii="Times New Roman" w:hAnsi="Times New Roman" w:eastAsia="仿宋_GB2312" w:cs="仿宋_GB2312"/>
          <w:color w:val="auto"/>
          <w:kern w:val="2"/>
          <w:sz w:val="32"/>
          <w:szCs w:val="32"/>
          <w:highlight w:val="none"/>
          <w:lang w:val="en-US" w:eastAsia="zh-CN" w:bidi="ar-SA"/>
        </w:rPr>
        <w:t>；“三留守”人员中关爱服务老年人探视巡访专项预算项目绩效自评得分为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Times New Roman"/>
          <w:sz w:val="32"/>
          <w:szCs w:val="32"/>
          <w:highlight w:val="none"/>
        </w:rPr>
        <w:t>为满</w:t>
      </w:r>
      <w:r>
        <w:rPr>
          <w:rFonts w:hint="default" w:ascii="Times New Roman" w:hAnsi="Times New Roman" w:eastAsia="仿宋_GB2312" w:cs="Times New Roman"/>
          <w:sz w:val="32"/>
          <w:szCs w:val="32"/>
          <w:highlight w:val="none"/>
          <w:lang w:eastAsia="zh-CN"/>
        </w:rPr>
        <w:t>足西区留守、特困、</w:t>
      </w:r>
      <w:r>
        <w:rPr>
          <w:rFonts w:hint="default" w:ascii="Times New Roman" w:hAnsi="Times New Roman" w:eastAsia="仿宋_GB2312" w:cs="Times New Roman"/>
          <w:sz w:val="32"/>
          <w:szCs w:val="32"/>
          <w:highlight w:val="none"/>
        </w:rPr>
        <w:t>独居、空巢、失能</w:t>
      </w:r>
      <w:r>
        <w:rPr>
          <w:rFonts w:hint="default" w:ascii="Times New Roman" w:hAnsi="Times New Roman" w:eastAsia="仿宋_GB2312" w:cs="Times New Roman"/>
          <w:sz w:val="32"/>
          <w:szCs w:val="32"/>
          <w:highlight w:val="none"/>
          <w:lang w:eastAsia="zh-CN"/>
        </w:rPr>
        <w:t>、计划生育特殊家庭等困难老年人</w:t>
      </w:r>
      <w:r>
        <w:rPr>
          <w:rFonts w:hint="default" w:ascii="Times New Roman" w:hAnsi="Times New Roman" w:eastAsia="仿宋_GB2312" w:cs="Times New Roman"/>
          <w:sz w:val="32"/>
          <w:szCs w:val="32"/>
          <w:highlight w:val="none"/>
        </w:rPr>
        <w:t>基本需求，</w:t>
      </w:r>
      <w:r>
        <w:rPr>
          <w:rFonts w:hint="default" w:ascii="Times New Roman" w:hAnsi="Times New Roman" w:eastAsia="仿宋_GB2312" w:cs="Times New Roman"/>
          <w:snapToGrid w:val="0"/>
          <w:sz w:val="32"/>
          <w:szCs w:val="32"/>
          <w:highlight w:val="none"/>
        </w:rPr>
        <w:t>积极探索建立起以一对一、多对一结对为主要形式，实时掌握</w:t>
      </w:r>
      <w:r>
        <w:rPr>
          <w:rFonts w:hint="default" w:ascii="Times New Roman" w:hAnsi="Times New Roman" w:eastAsia="仿宋_GB2312" w:cs="Times New Roman"/>
          <w:sz w:val="32"/>
          <w:szCs w:val="32"/>
          <w:highlight w:val="none"/>
          <w:lang w:eastAsia="zh-CN"/>
        </w:rPr>
        <w:t>留守、特困、</w:t>
      </w:r>
      <w:r>
        <w:rPr>
          <w:rFonts w:hint="default" w:ascii="Times New Roman" w:hAnsi="Times New Roman" w:eastAsia="仿宋_GB2312" w:cs="Times New Roman"/>
          <w:sz w:val="32"/>
          <w:szCs w:val="32"/>
          <w:highlight w:val="none"/>
        </w:rPr>
        <w:t>独居、空巢、失能</w:t>
      </w:r>
      <w:r>
        <w:rPr>
          <w:rFonts w:hint="default" w:ascii="Times New Roman" w:hAnsi="Times New Roman" w:eastAsia="仿宋_GB2312" w:cs="Times New Roman"/>
          <w:sz w:val="32"/>
          <w:szCs w:val="32"/>
          <w:highlight w:val="none"/>
          <w:lang w:eastAsia="zh-CN"/>
        </w:rPr>
        <w:t>、计划生育特殊家庭等困难老年人</w:t>
      </w:r>
      <w:r>
        <w:rPr>
          <w:rFonts w:hint="default" w:ascii="Times New Roman" w:hAnsi="Times New Roman" w:eastAsia="仿宋_GB2312" w:cs="Times New Roman"/>
          <w:snapToGrid w:val="0"/>
          <w:sz w:val="32"/>
          <w:szCs w:val="32"/>
          <w:highlight w:val="none"/>
        </w:rPr>
        <w:t>动态，提供基本安全、生活服务为主要内容的服务体系</w:t>
      </w:r>
      <w:r>
        <w:rPr>
          <w:rFonts w:hint="default" w:ascii="Times New Roman" w:hAnsi="Times New Roman" w:eastAsia="仿宋_GB2312" w:cs="Times New Roman"/>
          <w:snapToGrid w:val="0"/>
          <w:sz w:val="32"/>
          <w:szCs w:val="32"/>
          <w:highlight w:val="none"/>
          <w:lang w:eastAsia="zh-CN"/>
        </w:rPr>
        <w:t>，全</w:t>
      </w:r>
      <w:r>
        <w:rPr>
          <w:rFonts w:hint="default" w:ascii="Times New Roman" w:hAnsi="Times New Roman" w:eastAsia="仿宋_GB2312" w:cs="Times New Roman"/>
          <w:snapToGrid w:val="0"/>
          <w:sz w:val="32"/>
          <w:szCs w:val="32"/>
          <w:highlight w:val="none"/>
        </w:rPr>
        <w:t>面了解掌握困难老年人居家生活情况，着力解决老年人居家养老困难或者帮助化解安全风险</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残疾人两项补贴专项预算项目绩效自评得分为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Times New Roman"/>
          <w:color w:val="auto"/>
          <w:sz w:val="32"/>
          <w:szCs w:val="32"/>
          <w:lang w:val="en-US" w:eastAsia="zh-CN"/>
        </w:rPr>
        <w:t>202</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发放困难残疾人生活补贴</w:t>
      </w:r>
      <w:r>
        <w:rPr>
          <w:rFonts w:hint="default" w:ascii="Times New Roman" w:hAnsi="Times New Roman" w:eastAsia="仿宋_GB2312" w:cs="Times New Roman"/>
          <w:color w:val="auto"/>
          <w:sz w:val="32"/>
          <w:szCs w:val="32"/>
          <w:lang w:val="en-US" w:eastAsia="zh-CN"/>
        </w:rPr>
        <w:t>和重度残疾人护理补贴20305人次,于</w:t>
      </w:r>
      <w:r>
        <w:rPr>
          <w:rFonts w:hint="default" w:ascii="Times New Roman" w:hAnsi="Times New Roman" w:cs="Times New Roman"/>
          <w:color w:val="auto"/>
          <w:sz w:val="32"/>
          <w:szCs w:val="32"/>
          <w:lang w:val="en-US" w:eastAsia="zh-CN"/>
        </w:rPr>
        <w:t>202</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年12月31日前全部完成补助发放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儿童救助保护阵地建设专项预算项目绩效自评得分为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Times New Roman"/>
          <w:color w:val="auto"/>
          <w:sz w:val="32"/>
          <w:szCs w:val="32"/>
          <w:shd w:val="clear" w:color="auto" w:fill="FFFFFF"/>
          <w:lang w:val="en-US" w:eastAsia="zh-CN"/>
        </w:rPr>
        <w:t>建设1个区级救助保护中心，清香坪街道、陶家渡街道、格里坪镇共3个救助保护示范站，河门口街道苏铁社区、河门口社区2个社区</w:t>
      </w:r>
      <w:r>
        <w:rPr>
          <w:rFonts w:hint="default" w:ascii="Times New Roman" w:hAnsi="Times New Roman" w:eastAsia="仿宋_GB2312" w:cs="Times New Roman"/>
          <w:color w:val="auto"/>
          <w:spacing w:val="-6"/>
          <w:sz w:val="32"/>
          <w:szCs w:val="32"/>
          <w:shd w:val="clear" w:color="auto" w:fill="FFFFFF"/>
          <w:lang w:val="en-US" w:eastAsia="zh-CN"/>
        </w:rPr>
        <w:t>救助保护示范点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福彩公益金—孤儿助学专项预算项目绩效自评得分为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分，绩效自评综述为已被认定为孤儿身份、年满18周岁后在普通全日制本科学校、普通全日制专科学校、高等职业学校等高校院校及中等职业学校就读的中专、大专、本科学生和硕士研究生发放补助；</w:t>
      </w:r>
      <w:r>
        <w:rPr>
          <w:rFonts w:hint="eastAsia" w:ascii="Times New Roman" w:hAnsi="Times New Roman" w:eastAsia="仿宋_GB2312" w:cs="仿宋_GB2312"/>
          <w:color w:val="auto"/>
          <w:kern w:val="2"/>
          <w:sz w:val="32"/>
          <w:szCs w:val="32"/>
          <w:highlight w:val="none"/>
          <w:lang w:val="en-US" w:eastAsia="zh-CN" w:bidi="ar-SA"/>
        </w:rPr>
        <w:t>高龄长寿补贴专项预算项目绩效自评得分为100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年发放</w:t>
      </w:r>
      <w:r>
        <w:rPr>
          <w:rFonts w:hint="eastAsia" w:ascii="Times New Roman" w:hAnsi="Times New Roman" w:eastAsia="仿宋_GB2312" w:cs="仿宋_GB2312"/>
          <w:color w:val="auto"/>
          <w:kern w:val="2"/>
          <w:sz w:val="32"/>
          <w:szCs w:val="32"/>
          <w:highlight w:val="none"/>
          <w:lang w:val="en-US" w:eastAsia="zh-CN" w:bidi="ar-SA"/>
        </w:rPr>
        <w:t>高龄津贴</w:t>
      </w:r>
      <w:r>
        <w:rPr>
          <w:rFonts w:hint="default" w:ascii="Times New Roman" w:hAnsi="Times New Roman" w:eastAsia="仿宋_GB2312" w:cs="仿宋_GB2312"/>
          <w:color w:val="auto"/>
          <w:kern w:val="2"/>
          <w:sz w:val="32"/>
          <w:szCs w:val="32"/>
          <w:highlight w:val="none"/>
          <w:lang w:val="en-US" w:eastAsia="zh-CN" w:bidi="ar-SA"/>
        </w:rPr>
        <w:t>55955人次，按标准足额及时发放，发放率达到100%，于20</w:t>
      </w:r>
      <w:r>
        <w:rPr>
          <w:rFonts w:hint="default" w:ascii="Times New Roman" w:hAnsi="Times New Roman" w:cs="Times New Roman"/>
          <w:sz w:val="32"/>
          <w:szCs w:val="32"/>
          <w:lang w:val="en-US" w:eastAsia="zh-CN"/>
        </w:rPr>
        <w:t>2</w:t>
      </w:r>
      <w:r>
        <w:rPr>
          <w:rFonts w:hint="eastAsia" w:cs="Times New Roman"/>
          <w:sz w:val="32"/>
          <w:szCs w:val="32"/>
          <w:lang w:val="en-US" w:eastAsia="zh-CN"/>
        </w:rPr>
        <w:t>4</w:t>
      </w:r>
      <w:r>
        <w:rPr>
          <w:rFonts w:hint="default" w:ascii="Times New Roman" w:hAnsi="Times New Roman" w:eastAsia="仿宋_GB2312" w:cs="Times New Roman"/>
          <w:sz w:val="32"/>
          <w:szCs w:val="32"/>
          <w:lang w:val="en-US" w:eastAsia="zh-CN"/>
        </w:rPr>
        <w:t>年12月31日前按时足额完成补助发放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格里坪农村公益性墓地建设专项预算项目绩效自评得分为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分，绩效自评综述建设一个镇域农村公益性墓地，拟建设规模10亩，规划建设墓穴2000余座，配套建设殡葬服务设施，解决格里坪镇</w:t>
      </w:r>
      <w:r>
        <w:rPr>
          <w:rFonts w:hint="default" w:ascii="Times New Roman" w:hAnsi="Times New Roman" w:eastAsia="仿宋_GB2312" w:cs="仿宋_GB2312"/>
          <w:color w:val="auto"/>
          <w:kern w:val="2"/>
          <w:sz w:val="32"/>
          <w:szCs w:val="32"/>
          <w:highlight w:val="none"/>
          <w:lang w:val="en-US" w:eastAsia="zh-CN" w:bidi="ar-SA"/>
        </w:rPr>
        <w:t>新庄村、大水井村、格里坪村</w:t>
      </w:r>
      <w:r>
        <w:rPr>
          <w:rFonts w:hint="eastAsia" w:ascii="Times New Roman" w:hAnsi="Times New Roman" w:eastAsia="仿宋_GB2312" w:cs="仿宋_GB2312"/>
          <w:color w:val="auto"/>
          <w:kern w:val="2"/>
          <w:sz w:val="32"/>
          <w:szCs w:val="32"/>
          <w:highlight w:val="none"/>
          <w:lang w:val="en-US" w:eastAsia="zh-CN" w:bidi="ar-SA"/>
        </w:rPr>
        <w:t>3个火葬区</w:t>
      </w:r>
      <w:r>
        <w:rPr>
          <w:rFonts w:hint="default" w:ascii="Times New Roman" w:hAnsi="Times New Roman" w:eastAsia="仿宋_GB2312" w:cs="仿宋_GB2312"/>
          <w:color w:val="auto"/>
          <w:kern w:val="2"/>
          <w:sz w:val="32"/>
          <w:szCs w:val="32"/>
          <w:highlight w:val="none"/>
          <w:lang w:val="en-US" w:eastAsia="zh-CN" w:bidi="ar-SA"/>
        </w:rPr>
        <w:t>骨灰安葬基本需求</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公共文化服务体系建设专项资金专项预算项目绩效自评得分为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分，绩效自评综述保障广大群众读书目看报、观看电视、观赏电影、进行文化鉴赏、开展文化体育活动等基本文标化权益；孤儿医疗康复明天计划专项预算项目绩效自评得分为100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分，绩效自评综述已完成</w:t>
      </w:r>
      <w:r>
        <w:rPr>
          <w:rFonts w:hint="eastAsia" w:ascii="Times New Roman" w:hAnsi="Times New Roman" w:eastAsia="仿宋_GB2312" w:cs="仿宋_GB2312"/>
          <w:color w:val="auto"/>
          <w:kern w:val="2"/>
          <w:sz w:val="32"/>
          <w:szCs w:val="32"/>
          <w:highlight w:val="none"/>
          <w:lang w:val="en-US" w:eastAsia="zh-CN" w:bidi="ar-SA"/>
        </w:rPr>
        <w:t>“明天计划”项目中3名孤儿体检；困难群众救助专项预算项目绩效自评得分为100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分，绩效自评综述2024年城乡低保36596人次</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临时救助101</w:t>
      </w:r>
      <w:r>
        <w:rPr>
          <w:rFonts w:hint="default" w:ascii="Times New Roman" w:hAnsi="Times New Roman"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城市特困人员</w:t>
      </w:r>
      <w:r>
        <w:rPr>
          <w:rFonts w:hint="default" w:ascii="Times New Roman" w:hAnsi="Times New Roman" w:eastAsia="仿宋_GB2312" w:cs="仿宋_GB2312"/>
          <w:color w:val="auto"/>
          <w:kern w:val="2"/>
          <w:sz w:val="32"/>
          <w:szCs w:val="32"/>
          <w:highlight w:val="none"/>
          <w:lang w:val="en-US" w:eastAsia="zh-CN" w:bidi="ar-SA"/>
        </w:rPr>
        <w:t>救</w:t>
      </w:r>
      <w:r>
        <w:rPr>
          <w:rFonts w:hint="eastAsia" w:ascii="Times New Roman" w:hAnsi="Times New Roman" w:eastAsia="仿宋_GB2312" w:cs="仿宋_GB2312"/>
          <w:color w:val="auto"/>
          <w:kern w:val="2"/>
          <w:sz w:val="32"/>
          <w:szCs w:val="32"/>
          <w:highlight w:val="none"/>
          <w:lang w:val="en-US" w:eastAsia="zh-CN" w:bidi="ar-SA"/>
        </w:rPr>
        <w:t>助供养</w:t>
      </w:r>
      <w:r>
        <w:rPr>
          <w:rFonts w:hint="default" w:ascii="Times New Roman" w:hAnsi="Times New Roman" w:eastAsia="仿宋_GB2312" w:cs="仿宋_GB2312"/>
          <w:color w:val="auto"/>
          <w:kern w:val="2"/>
          <w:sz w:val="32"/>
          <w:szCs w:val="32"/>
          <w:highlight w:val="none"/>
          <w:lang w:val="en-US" w:eastAsia="zh-CN" w:bidi="ar-SA"/>
        </w:rPr>
        <w:t>金</w:t>
      </w:r>
      <w:r>
        <w:rPr>
          <w:rFonts w:hint="eastAsia" w:ascii="Times New Roman" w:hAnsi="Times New Roman" w:eastAsia="仿宋_GB2312" w:cs="仿宋_GB2312"/>
          <w:color w:val="auto"/>
          <w:kern w:val="2"/>
          <w:sz w:val="32"/>
          <w:szCs w:val="32"/>
          <w:highlight w:val="none"/>
          <w:lang w:val="en-US" w:eastAsia="zh-CN" w:bidi="ar-SA"/>
        </w:rPr>
        <w:t>260</w:t>
      </w:r>
      <w:r>
        <w:rPr>
          <w:rFonts w:hint="default" w:ascii="Times New Roman" w:hAnsi="Times New Roman"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、农村特困人员</w:t>
      </w:r>
      <w:r>
        <w:rPr>
          <w:rFonts w:hint="default" w:ascii="Times New Roman" w:hAnsi="Times New Roman" w:eastAsia="仿宋_GB2312" w:cs="仿宋_GB2312"/>
          <w:color w:val="auto"/>
          <w:kern w:val="2"/>
          <w:sz w:val="32"/>
          <w:szCs w:val="32"/>
          <w:highlight w:val="none"/>
          <w:lang w:val="en-US" w:eastAsia="zh-CN" w:bidi="ar-SA"/>
        </w:rPr>
        <w:t>发放</w:t>
      </w:r>
      <w:r>
        <w:rPr>
          <w:rFonts w:hint="eastAsia" w:ascii="Times New Roman" w:hAnsi="Times New Roman" w:eastAsia="仿宋_GB2312" w:cs="仿宋_GB2312"/>
          <w:color w:val="auto"/>
          <w:kern w:val="2"/>
          <w:sz w:val="32"/>
          <w:szCs w:val="32"/>
          <w:highlight w:val="none"/>
          <w:lang w:val="en-US" w:eastAsia="zh-CN" w:bidi="ar-SA"/>
        </w:rPr>
        <w:t>城市特困人员</w:t>
      </w:r>
      <w:r>
        <w:rPr>
          <w:rFonts w:hint="default" w:ascii="Times New Roman" w:hAnsi="Times New Roman" w:eastAsia="仿宋_GB2312" w:cs="仿宋_GB2312"/>
          <w:color w:val="auto"/>
          <w:kern w:val="2"/>
          <w:sz w:val="32"/>
          <w:szCs w:val="32"/>
          <w:highlight w:val="none"/>
          <w:lang w:val="en-US" w:eastAsia="zh-CN" w:bidi="ar-SA"/>
        </w:rPr>
        <w:t>救</w:t>
      </w:r>
      <w:r>
        <w:rPr>
          <w:rFonts w:hint="eastAsia" w:ascii="Times New Roman" w:hAnsi="Times New Roman" w:eastAsia="仿宋_GB2312" w:cs="仿宋_GB2312"/>
          <w:color w:val="auto"/>
          <w:kern w:val="2"/>
          <w:sz w:val="32"/>
          <w:szCs w:val="32"/>
          <w:highlight w:val="none"/>
          <w:lang w:val="en-US" w:eastAsia="zh-CN" w:bidi="ar-SA"/>
        </w:rPr>
        <w:t>助供养</w:t>
      </w:r>
      <w:r>
        <w:rPr>
          <w:rFonts w:hint="default" w:ascii="Times New Roman" w:hAnsi="Times New Roman" w:eastAsia="仿宋_GB2312" w:cs="仿宋_GB2312"/>
          <w:color w:val="auto"/>
          <w:kern w:val="2"/>
          <w:sz w:val="32"/>
          <w:szCs w:val="32"/>
          <w:highlight w:val="none"/>
          <w:lang w:val="en-US" w:eastAsia="zh-CN" w:bidi="ar-SA"/>
        </w:rPr>
        <w:t>金</w:t>
      </w:r>
      <w:r>
        <w:rPr>
          <w:rFonts w:hint="eastAsia" w:ascii="Times New Roman" w:hAnsi="Times New Roman" w:eastAsia="仿宋_GB2312" w:cs="仿宋_GB2312"/>
          <w:color w:val="auto"/>
          <w:kern w:val="2"/>
          <w:sz w:val="32"/>
          <w:szCs w:val="32"/>
          <w:highlight w:val="none"/>
          <w:lang w:val="en-US" w:eastAsia="zh-CN" w:bidi="ar-SA"/>
        </w:rPr>
        <w:t>24</w:t>
      </w:r>
      <w:r>
        <w:rPr>
          <w:rFonts w:hint="default" w:ascii="Times New Roman" w:hAnsi="Times New Roman"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孤儿基本生活保障、事实无人抚养儿童共</w:t>
      </w:r>
      <w:r>
        <w:rPr>
          <w:rFonts w:hint="eastAsia" w:ascii="Times New Roman" w:hAnsi="Times New Roman" w:eastAsia="仿宋_GB2312" w:cs="仿宋_GB2312"/>
          <w:color w:val="auto"/>
          <w:kern w:val="2"/>
          <w:sz w:val="32"/>
          <w:szCs w:val="32"/>
          <w:highlight w:val="none"/>
          <w:lang w:val="en-US" w:eastAsia="zh-CN" w:bidi="ar-SA"/>
        </w:rPr>
        <w:t>240</w:t>
      </w:r>
      <w:r>
        <w:rPr>
          <w:rFonts w:hint="default" w:ascii="Times New Roman" w:hAnsi="Times New Roman"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按标准足额及时发放，发放率达到100%</w:t>
      </w:r>
      <w:r>
        <w:rPr>
          <w:rFonts w:hint="eastAsia" w:ascii="Times New Roman" w:hAnsi="Times New Roman" w:eastAsia="仿宋_GB2312" w:cs="仿宋_GB2312"/>
          <w:color w:val="auto"/>
          <w:kern w:val="2"/>
          <w:sz w:val="32"/>
          <w:szCs w:val="32"/>
          <w:highlight w:val="none"/>
          <w:lang w:val="en-US" w:eastAsia="zh-CN" w:bidi="ar-SA"/>
        </w:rPr>
        <w:t>；绿色殡葬惠民专项预算项目绩效自评得分为100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年发放</w:t>
      </w:r>
      <w:r>
        <w:rPr>
          <w:rFonts w:hint="eastAsia" w:ascii="Times New Roman" w:hAnsi="Times New Roman" w:eastAsia="仿宋_GB2312" w:cs="仿宋_GB2312"/>
          <w:color w:val="auto"/>
          <w:kern w:val="2"/>
          <w:sz w:val="32"/>
          <w:szCs w:val="32"/>
          <w:highlight w:val="none"/>
          <w:lang w:val="en-US" w:eastAsia="zh-CN" w:bidi="ar-SA"/>
        </w:rPr>
        <w:t>绿色殡葬费用816人</w:t>
      </w:r>
      <w:r>
        <w:rPr>
          <w:rFonts w:hint="default" w:ascii="Times New Roman" w:hAnsi="Times New Roman" w:eastAsia="仿宋_GB2312" w:cs="仿宋_GB2312"/>
          <w:color w:val="auto"/>
          <w:kern w:val="2"/>
          <w:sz w:val="32"/>
          <w:szCs w:val="32"/>
          <w:highlight w:val="none"/>
          <w:lang w:val="en-US" w:eastAsia="zh-CN" w:bidi="ar-SA"/>
        </w:rPr>
        <w:t>,于202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年12月31日前全部完成补助发放</w:t>
      </w:r>
      <w:r>
        <w:rPr>
          <w:rFonts w:hint="eastAsia" w:ascii="Times New Roman" w:hAnsi="Times New Roman" w:eastAsia="仿宋_GB2312" w:cs="仿宋_GB2312"/>
          <w:color w:val="auto"/>
          <w:kern w:val="2"/>
          <w:sz w:val="32"/>
          <w:szCs w:val="32"/>
          <w:highlight w:val="none"/>
          <w:lang w:val="en-US" w:eastAsia="zh-CN" w:bidi="ar-SA"/>
        </w:rPr>
        <w:t>；农村留守老人关爱定期巡访专项预算项目绩效自评得分为100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sz w:val="32"/>
          <w:szCs w:val="32"/>
          <w:highlight w:val="none"/>
        </w:rPr>
        <w:t>为满</w:t>
      </w:r>
      <w:r>
        <w:rPr>
          <w:rFonts w:hint="eastAsia" w:ascii="仿宋_GB2312" w:hAnsi="仿宋_GB2312" w:eastAsia="仿宋_GB2312" w:cs="仿宋_GB2312"/>
          <w:sz w:val="32"/>
          <w:szCs w:val="32"/>
          <w:highlight w:val="none"/>
          <w:lang w:eastAsia="zh-CN"/>
        </w:rPr>
        <w:t>足西区留守、特困、</w:t>
      </w:r>
      <w:r>
        <w:rPr>
          <w:rFonts w:hint="eastAsia" w:ascii="仿宋_GB2312" w:hAnsi="仿宋_GB2312" w:eastAsia="仿宋_GB2312" w:cs="仿宋_GB2312"/>
          <w:sz w:val="32"/>
          <w:szCs w:val="32"/>
          <w:highlight w:val="none"/>
        </w:rPr>
        <w:t>独居、空巢、失能</w:t>
      </w:r>
      <w:r>
        <w:rPr>
          <w:rFonts w:hint="eastAsia" w:ascii="仿宋_GB2312" w:hAnsi="仿宋_GB2312" w:eastAsia="仿宋_GB2312" w:cs="仿宋_GB2312"/>
          <w:sz w:val="32"/>
          <w:szCs w:val="32"/>
          <w:highlight w:val="none"/>
          <w:lang w:eastAsia="zh-CN"/>
        </w:rPr>
        <w:t>、计划生育特殊家庭等困难老年人</w:t>
      </w:r>
      <w:r>
        <w:rPr>
          <w:rFonts w:hint="eastAsia" w:ascii="仿宋_GB2312" w:hAnsi="仿宋_GB2312" w:eastAsia="仿宋_GB2312" w:cs="仿宋_GB2312"/>
          <w:sz w:val="32"/>
          <w:szCs w:val="32"/>
          <w:highlight w:val="none"/>
        </w:rPr>
        <w:t>基本需求，</w:t>
      </w:r>
      <w:r>
        <w:rPr>
          <w:rFonts w:hint="eastAsia" w:ascii="Times New Roman" w:hAnsi="Times New Roman" w:eastAsia="仿宋_GB2312"/>
          <w:snapToGrid w:val="0"/>
          <w:sz w:val="32"/>
          <w:szCs w:val="32"/>
          <w:highlight w:val="none"/>
        </w:rPr>
        <w:t>积极探索建立起以一对一、多对一结对为主要形式，实时掌握</w:t>
      </w:r>
      <w:r>
        <w:rPr>
          <w:rFonts w:hint="eastAsia" w:ascii="仿宋_GB2312" w:hAnsi="仿宋_GB2312" w:eastAsia="仿宋_GB2312" w:cs="仿宋_GB2312"/>
          <w:sz w:val="32"/>
          <w:szCs w:val="32"/>
          <w:highlight w:val="none"/>
          <w:lang w:eastAsia="zh-CN"/>
        </w:rPr>
        <w:t>留守、特困、</w:t>
      </w:r>
      <w:r>
        <w:rPr>
          <w:rFonts w:hint="eastAsia" w:ascii="仿宋_GB2312" w:hAnsi="仿宋_GB2312" w:eastAsia="仿宋_GB2312" w:cs="仿宋_GB2312"/>
          <w:sz w:val="32"/>
          <w:szCs w:val="32"/>
          <w:highlight w:val="none"/>
        </w:rPr>
        <w:t>独居、空巢、失能</w:t>
      </w:r>
      <w:r>
        <w:rPr>
          <w:rFonts w:hint="eastAsia" w:ascii="仿宋_GB2312" w:hAnsi="仿宋_GB2312" w:eastAsia="仿宋_GB2312" w:cs="仿宋_GB2312"/>
          <w:sz w:val="32"/>
          <w:szCs w:val="32"/>
          <w:highlight w:val="none"/>
          <w:lang w:eastAsia="zh-CN"/>
        </w:rPr>
        <w:t>、计划生育特殊家庭等困难老年人</w:t>
      </w:r>
      <w:r>
        <w:rPr>
          <w:rFonts w:hint="eastAsia" w:ascii="Times New Roman" w:hAnsi="Times New Roman" w:eastAsia="仿宋_GB2312"/>
          <w:snapToGrid w:val="0"/>
          <w:sz w:val="32"/>
          <w:szCs w:val="32"/>
          <w:highlight w:val="none"/>
        </w:rPr>
        <w:t>动态，提供基本安全、生活服务为主要内容的服务体系</w:t>
      </w:r>
      <w:r>
        <w:rPr>
          <w:rFonts w:hint="eastAsia" w:ascii="Times New Roman" w:hAnsi="Times New Roman" w:eastAsia="仿宋_GB2312"/>
          <w:snapToGrid w:val="0"/>
          <w:sz w:val="32"/>
          <w:szCs w:val="32"/>
          <w:highlight w:val="none"/>
          <w:lang w:eastAsia="zh-CN"/>
        </w:rPr>
        <w:t>，全</w:t>
      </w:r>
      <w:r>
        <w:rPr>
          <w:rFonts w:hint="eastAsia" w:ascii="Times New Roman" w:hAnsi="Times New Roman" w:eastAsia="仿宋_GB2312"/>
          <w:snapToGrid w:val="0"/>
          <w:sz w:val="32"/>
          <w:szCs w:val="32"/>
          <w:highlight w:val="none"/>
        </w:rPr>
        <w:t>面了解掌握困难老年人居家生活情况，着力解决老年人居家养老困难或者帮助化解安全风险</w:t>
      </w:r>
      <w:r>
        <w:rPr>
          <w:rFonts w:hint="eastAsia" w:ascii="Times New Roman" w:hAnsi="Times New Roman" w:eastAsia="仿宋_GB2312" w:cs="仿宋_GB2312"/>
          <w:color w:val="auto"/>
          <w:kern w:val="2"/>
          <w:sz w:val="32"/>
          <w:szCs w:val="32"/>
          <w:highlight w:val="none"/>
          <w:lang w:val="en-US" w:eastAsia="zh-CN" w:bidi="ar-SA"/>
        </w:rPr>
        <w:t>；特殊困难老年人居家适老化改造专项预算项目绩效自评得分为100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sz w:val="32"/>
          <w:szCs w:val="32"/>
          <w:lang w:val="en-US" w:eastAsia="zh-CN"/>
        </w:rPr>
        <w:t>在西区辖区内分散供养特困人员中高龄、失能、残疾老年人家庭、城乡低保、低收入家庭中的高龄、失能、留守、空巢、残疾老年人家庭和计划生育特殊家庭等进行</w:t>
      </w:r>
      <w:r>
        <w:rPr>
          <w:rFonts w:hint="eastAsia" w:ascii="仿宋_GB2312" w:hAnsi="仿宋_GB2312" w:eastAsia="仿宋_GB2312" w:cs="仿宋_GB2312"/>
          <w:b w:val="0"/>
          <w:bCs w:val="0"/>
          <w:kern w:val="0"/>
          <w:position w:val="0"/>
          <w:sz w:val="32"/>
          <w:szCs w:val="32"/>
          <w:highlight w:val="none"/>
          <w:lang w:val="zh-CN" w:eastAsia="zh-CN" w:bidi="ar-SA"/>
        </w:rPr>
        <w:t>家庭适老化改造，</w:t>
      </w:r>
      <w:r>
        <w:rPr>
          <w:rFonts w:hint="eastAsia" w:ascii="Times New Roman" w:hAnsi="Times New Roman" w:eastAsia="仿宋_GB2312" w:cs="Times New Roman"/>
          <w:sz w:val="32"/>
          <w:szCs w:val="32"/>
          <w:lang w:val="zh-CN" w:eastAsia="zh-CN"/>
        </w:rPr>
        <w:t>提高</w:t>
      </w:r>
      <w:r>
        <w:rPr>
          <w:rFonts w:hint="eastAsia" w:ascii="Times New Roman" w:hAnsi="Times New Roman" w:eastAsia="仿宋_GB2312" w:cs="Times New Roman"/>
          <w:sz w:val="32"/>
          <w:szCs w:val="32"/>
          <w:lang w:val="en-US" w:eastAsia="zh-CN"/>
        </w:rPr>
        <w:t>老年人</w:t>
      </w:r>
      <w:r>
        <w:rPr>
          <w:rFonts w:hint="eastAsia" w:ascii="Times New Roman" w:hAnsi="Times New Roman" w:eastAsia="仿宋_GB2312" w:cs="Times New Roman"/>
          <w:sz w:val="32"/>
          <w:szCs w:val="32"/>
          <w:lang w:val="zh-CN" w:eastAsia="zh-CN"/>
        </w:rPr>
        <w:t>幸福感</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特殊困难老年人居家养老服务专项预算项目绩效自评得分为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kern w:val="2"/>
          <w:sz w:val="32"/>
          <w:szCs w:val="32"/>
          <w:highlight w:val="none"/>
          <w:lang w:val="zh-CN" w:eastAsia="zh-CN" w:bidi="ar-SA"/>
        </w:rPr>
        <w:t>在确保人人享有基本养老服务的基础上，居家社区机构相协调、医养康养相结合的养老服务体系不断完善，老年人多层次、多样化养老服务需求有效满足，老年人及其家人获得感、幸福感、安全感显著提高</w:t>
      </w:r>
      <w:r>
        <w:rPr>
          <w:rFonts w:hint="eastAsia" w:ascii="Times New Roman" w:hAnsi="Times New Roman" w:eastAsia="仿宋_GB2312" w:cs="仿宋_GB2312"/>
          <w:color w:val="auto"/>
          <w:kern w:val="2"/>
          <w:sz w:val="32"/>
          <w:szCs w:val="32"/>
          <w:highlight w:val="none"/>
          <w:lang w:val="en-US" w:eastAsia="zh-CN" w:bidi="ar-SA"/>
        </w:rPr>
        <w:t>；县级社会组织孵化园建设专项预算项目绩效自评得分为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sz w:val="32"/>
          <w:szCs w:val="32"/>
          <w:highlight w:val="none"/>
          <w:lang w:val="en-US" w:eastAsia="zh-CN"/>
        </w:rPr>
        <w:t>西区社会组织孵化中心现已</w:t>
      </w:r>
      <w:r>
        <w:rPr>
          <w:rFonts w:hint="eastAsia" w:ascii="Times New Roman" w:hAnsi="Times New Roman" w:cs="仿宋_GB2312"/>
          <w:color w:val="auto"/>
          <w:sz w:val="32"/>
          <w:szCs w:val="32"/>
          <w:highlight w:val="none"/>
          <w:lang w:val="en-US" w:eastAsia="zh-CN"/>
        </w:rPr>
        <w:t>建</w:t>
      </w:r>
      <w:r>
        <w:rPr>
          <w:rFonts w:hint="eastAsia" w:ascii="Times New Roman" w:hAnsi="Times New Roman" w:eastAsia="仿宋_GB2312" w:cs="仿宋_GB2312"/>
          <w:color w:val="auto"/>
          <w:sz w:val="32"/>
          <w:szCs w:val="32"/>
          <w:highlight w:val="none"/>
          <w:lang w:val="en-US" w:eastAsia="zh-CN"/>
        </w:rPr>
        <w:t>有功能齐全的会议室、社会组织办公区以及培训室等，</w:t>
      </w:r>
      <w:r>
        <w:rPr>
          <w:rFonts w:hint="default" w:ascii="Times New Roman" w:hAnsi="Times New Roman" w:eastAsia="仿宋_GB2312" w:cs="仿宋_GB2312"/>
          <w:color w:val="auto"/>
          <w:sz w:val="32"/>
          <w:szCs w:val="32"/>
          <w:highlight w:val="none"/>
          <w:lang w:val="en-US" w:eastAsia="zh-CN"/>
        </w:rPr>
        <w:t>面积约</w:t>
      </w:r>
      <w:r>
        <w:rPr>
          <w:rFonts w:hint="eastAsia" w:ascii="Times New Roman" w:hAnsi="Times New Roman" w:eastAsia="仿宋_GB2312" w:cs="仿宋_GB2312"/>
          <w:color w:val="auto"/>
          <w:sz w:val="32"/>
          <w:szCs w:val="32"/>
          <w:highlight w:val="none"/>
          <w:lang w:val="en-US" w:eastAsia="zh-CN"/>
        </w:rPr>
        <w:t>4</w:t>
      </w:r>
      <w:r>
        <w:rPr>
          <w:rFonts w:hint="default" w:ascii="Times New Roman" w:hAnsi="Times New Roman" w:eastAsia="仿宋_GB2312" w:cs="仿宋_GB2312"/>
          <w:color w:val="auto"/>
          <w:sz w:val="32"/>
          <w:szCs w:val="32"/>
          <w:highlight w:val="none"/>
          <w:lang w:val="en-US" w:eastAsia="zh-CN"/>
        </w:rPr>
        <w:t>00平方米</w:t>
      </w:r>
      <w:r>
        <w:rPr>
          <w:rFonts w:hint="eastAsia"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引入成都高新区桃花源文化活动中心专业化社会组织对孵化中心进行运营，</w:t>
      </w:r>
      <w:r>
        <w:rPr>
          <w:rFonts w:hint="eastAsia" w:ascii="Times New Roman" w:hAnsi="Times New Roman" w:eastAsia="仿宋_GB2312" w:cs="仿宋_GB2312"/>
          <w:color w:val="auto"/>
          <w:sz w:val="32"/>
          <w:szCs w:val="32"/>
          <w:highlight w:val="none"/>
          <w:lang w:val="en-US" w:eastAsia="zh-CN"/>
        </w:rPr>
        <w:t>为辖区社会组织提供信息共享、资源拓展、协助注册、管理咨询、成长评估等服务及交流、活动平台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心灵绿洲精神障碍社区康复专项预算项目绩效自评得分为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仿宋_GB2312"/>
          <w:color w:val="auto"/>
          <w:kern w:val="2"/>
          <w:sz w:val="32"/>
          <w:szCs w:val="32"/>
          <w:highlight w:val="none"/>
          <w:lang w:val="en-US" w:eastAsia="zh-CN" w:bidi="ar-SA"/>
        </w:rPr>
        <w:t>通过引入社会力量，为符合条件且有需求的精神障碍患者提供随访服务、康复指导和转介服务、心理咨询和个案服务、政策咨询和资源整合服务、宣传教育和家属培训服务、志愿者服务等六大服务。对辖区精神障碍患者分类分段，开展精康服务。针对重症患者，开展生活技能训练、功能训练、认知训练等个体化训练，提升生活自理能力、交往能力和社会适应能力，缓解患者精神症状。针对康复治疗症状缓解患者，通过工作娱乐训练、定岗职业康复训练、症状监控训练、药物自我管理训练等实行患者自主管理，为患者回归社会生活打下坚实基础</w:t>
      </w:r>
      <w:r>
        <w:rPr>
          <w:rFonts w:hint="eastAsia" w:ascii="Times New Roman" w:hAnsi="Times New Roman" w:eastAsia="仿宋_GB2312" w:cs="仿宋_GB2312"/>
          <w:color w:val="auto"/>
          <w:kern w:val="2"/>
          <w:sz w:val="32"/>
          <w:szCs w:val="32"/>
          <w:highlight w:val="none"/>
          <w:lang w:val="en-US" w:eastAsia="zh-CN" w:bidi="ar-SA"/>
        </w:rPr>
        <w:t>；养老护理员从业补贴专项预算项目绩效自评得分为100</w:t>
      </w:r>
      <w:r>
        <w:rPr>
          <w:rFonts w:hint="eastAsia" w:ascii="Times New Roman" w:hAnsi="Times New Roman" w:eastAsia="仿宋_GB2312" w:cs="仿宋_GB2312"/>
          <w:color w:val="auto"/>
          <w:kern w:val="2"/>
          <w:sz w:val="32"/>
          <w:szCs w:val="32"/>
          <w:highlight w:val="none"/>
          <w:lang w:val="en-US" w:eastAsia="zh-CN" w:bidi="ar-SA"/>
        </w:rPr>
        <w:t>分，绩效自评综述在攀枝花市行政区域内已获民政部门颁发《养老机构设立许可证》或依法登记并经民政部门备案的养老机构中从事养老服务的工作人员，但不包括财政供养在编人员经审核后发放有关补贴；养老机构床位责任险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ascii="仿宋_GB2312" w:hAnsi="华文中宋" w:eastAsia="仿宋_GB2312" w:cs="仿宋"/>
          <w:color w:val="000000"/>
          <w:kern w:val="0"/>
          <w:sz w:val="32"/>
          <w:szCs w:val="32"/>
          <w:u w:val="none"/>
          <w:lang w:val="en-US" w:eastAsia="zh-CN" w:bidi="ar-SA"/>
        </w:rPr>
        <w:t>综述本项目的实施，进一步支持辖区养老服务事业发展；养老机构疫情防控物资设备购置专项预算项目绩效自评得分为100分，绩效自评综述</w:t>
      </w:r>
      <w:r>
        <w:rPr>
          <w:rFonts w:hint="eastAsia" w:ascii="仿宋_GB2312" w:hAnsi="仿宋_GB2312" w:eastAsia="仿宋_GB2312" w:cs="仿宋_GB2312"/>
          <w:sz w:val="32"/>
          <w:szCs w:val="32"/>
          <w:highlight w:val="none"/>
          <w:lang w:val="en-US" w:eastAsia="zh-CN"/>
        </w:rPr>
        <w:t>辖区各养老机构购买新冠肺炎疫情防控物资，减轻养老机构疫情防控投入压力，保障机构安全平稳运营</w:t>
      </w:r>
      <w:r>
        <w:rPr>
          <w:rFonts w:hint="eastAsia" w:ascii="仿宋_GB2312" w:hAnsi="华文中宋" w:eastAsia="仿宋_GB2312" w:cs="仿宋"/>
          <w:color w:val="000000"/>
          <w:kern w:val="0"/>
          <w:sz w:val="32"/>
          <w:szCs w:val="32"/>
          <w:u w:val="none"/>
          <w:lang w:val="en-US" w:eastAsia="zh-CN" w:bidi="ar-SA"/>
        </w:rPr>
        <w:t>；支持居家和社区基本养老服务提升行动资金专项预算项目绩效自评得分为100分，绩效自评</w:t>
      </w:r>
      <w:r>
        <w:rPr>
          <w:rFonts w:hint="eastAsia" w:ascii="仿宋_GB2312" w:hAnsi="仿宋_GB2312" w:eastAsia="仿宋_GB2312" w:cs="仿宋_GB2312"/>
          <w:sz w:val="32"/>
          <w:szCs w:val="32"/>
          <w:highlight w:val="none"/>
          <w:lang w:val="en-US" w:eastAsia="zh-CN"/>
        </w:rPr>
        <w:t>综述完善在册老年长者餐厅的设备，提升服务效能；中央预算内基建-积极应对老龄化和托养建设专项预算</w:t>
      </w:r>
      <w:r>
        <w:rPr>
          <w:rFonts w:hint="eastAsia" w:ascii="仿宋_GB2312" w:hAnsi="华文中宋" w:eastAsia="仿宋_GB2312" w:cs="仿宋"/>
          <w:color w:val="000000"/>
          <w:kern w:val="0"/>
          <w:sz w:val="32"/>
          <w:szCs w:val="32"/>
          <w:u w:val="none"/>
          <w:lang w:val="en-US" w:eastAsia="zh-CN" w:bidi="ar-SA"/>
        </w:rPr>
        <w:t>项目绩效自评得分为100分，绩效自评综</w:t>
      </w:r>
      <w:r>
        <w:rPr>
          <w:rFonts w:hint="eastAsia" w:ascii="仿宋_GB2312" w:hAnsi="Calibri" w:eastAsia="仿宋_GB2312" w:cs="仿宋"/>
          <w:color w:val="auto"/>
          <w:kern w:val="0"/>
          <w:sz w:val="32"/>
          <w:szCs w:val="32"/>
          <w:highlight w:val="none"/>
          <w:lang w:val="en-US" w:eastAsia="zh-CN" w:bidi="ar-SA"/>
        </w:rPr>
        <w:t>述建设一个总建筑面积约13560平方米，设置专业照护床位300张的综合性养老服务设施。建设内容包括：土石方工程，建筑工程，室内室外装饰装修，给排水、强弱电、消防监控、道路、停车场、绿化、</w:t>
      </w:r>
      <w:r>
        <w:rPr>
          <w:rFonts w:hint="eastAsia" w:ascii="仿宋_GB2312" w:hAnsi="Calibri" w:eastAsia="仿宋_GB2312" w:cs="仿宋"/>
          <w:color w:val="auto"/>
          <w:kern w:val="0"/>
          <w:sz w:val="32"/>
          <w:szCs w:val="32"/>
          <w:highlight w:val="none"/>
          <w:lang w:val="en-US" w:eastAsia="zh-CN" w:bidi="ar-SA"/>
        </w:rPr>
        <w:t>景观</w:t>
      </w:r>
      <w:r>
        <w:rPr>
          <w:rFonts w:hint="eastAsia" w:ascii="仿宋_GB2312" w:hAnsi="华文中宋" w:eastAsia="仿宋_GB2312" w:cs="仿宋"/>
          <w:color w:val="000000"/>
          <w:kern w:val="0"/>
          <w:sz w:val="32"/>
          <w:szCs w:val="32"/>
          <w:u w:val="none"/>
          <w:lang w:val="en-US" w:eastAsia="zh-CN" w:bidi="ar-SA"/>
        </w:rPr>
        <w:t>等；重度残疾儿童特别关爱帮扶资金专项预算项目绩效自评得分为100分，绩效自评综述本项目</w:t>
      </w:r>
      <w:r>
        <w:rPr>
          <w:rFonts w:hint="eastAsia" w:ascii="仿宋_GB2312" w:hAnsi="华文中宋" w:eastAsia="仿宋_GB2312" w:cs="仿宋"/>
          <w:color w:val="000000"/>
          <w:kern w:val="0"/>
          <w:sz w:val="32"/>
          <w:szCs w:val="32"/>
          <w:u w:val="none"/>
          <w:lang w:val="zh-CN" w:eastAsia="zh-CN" w:bidi="ar-SA"/>
        </w:rPr>
        <w:t>改善了残疾儿童生活状况和康复条件</w:t>
      </w:r>
      <w:r>
        <w:rPr>
          <w:rFonts w:hint="eastAsia" w:ascii="仿宋_GB2312" w:hAnsi="华文中宋" w:eastAsia="仿宋_GB2312" w:cs="仿宋"/>
          <w:color w:val="000000"/>
          <w:kern w:val="0"/>
          <w:sz w:val="32"/>
          <w:szCs w:val="32"/>
          <w:u w:val="none"/>
          <w:lang w:val="en-US" w:eastAsia="zh-CN" w:bidi="ar-SA"/>
        </w:rPr>
        <w:t>。绩效自评报告详见</w:t>
      </w:r>
      <w:r>
        <w:rPr>
          <w:rFonts w:hint="eastAsia" w:ascii="Times New Roman" w:hAnsi="Times New Roman" w:eastAsia="仿宋_GB2312" w:cs="仿宋_GB2312"/>
          <w:color w:val="auto"/>
          <w:kern w:val="2"/>
          <w:sz w:val="32"/>
          <w:szCs w:val="32"/>
          <w:highlight w:val="none"/>
          <w:lang w:val="en-US" w:eastAsia="zh-CN" w:bidi="ar-SA"/>
        </w:rPr>
        <w:t>附件。</w:t>
      </w:r>
    </w:p>
    <w:p w14:paraId="73EE0570">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4991CE5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0BF53D62">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bookmarkStart w:id="45" w:name="_Toc15377225"/>
      <w:bookmarkStart w:id="46" w:name="_Toc15396613"/>
    </w:p>
    <w:p w14:paraId="03D29D3F">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p>
    <w:p w14:paraId="57C358B4">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p>
    <w:p w14:paraId="4728BFC4">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E262CFE">
      <w:pPr>
        <w:pageBreakBefore w:val="0"/>
        <w:kinsoku/>
        <w:wordWrap/>
        <w:overflowPunct/>
        <w:topLinePunct w:val="0"/>
        <w:bidi w:val="0"/>
        <w:spacing w:line="600" w:lineRule="exact"/>
        <w:ind w:firstLine="663" w:firstLineChars="150"/>
        <w:jc w:val="left"/>
        <w:textAlignment w:val="auto"/>
        <w:rPr>
          <w:rFonts w:ascii="Times New Roman" w:hAnsi="Times New Roman"/>
          <w:b/>
          <w:color w:val="auto"/>
          <w:sz w:val="44"/>
          <w:szCs w:val="44"/>
          <w:highlight w:val="none"/>
        </w:rPr>
      </w:pPr>
    </w:p>
    <w:p w14:paraId="79E0C582">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A3DE9D6">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2D96021">
      <w:pPr>
        <w:pStyle w:val="7"/>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r>
        <w:rPr>
          <w:rFonts w:hint="eastAsia" w:ascii="仿宋_GB2312" w:eastAsia="仿宋_GB2312"/>
          <w:color w:val="auto"/>
          <w:sz w:val="32"/>
          <w:szCs w:val="32"/>
          <w:highlight w:val="none"/>
          <w:lang w:eastAsia="zh-CN"/>
        </w:rPr>
        <w:t>。</w:t>
      </w:r>
    </w:p>
    <w:p w14:paraId="06E26069">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720FA563">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101C9F73">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3CB24AB">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3315562">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D1DB8C4">
      <w:pPr>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公共安全支出（类）司法（款）一般行政管理事务（项）：指反映行政单位(包括实行公务员管理的事业单位)未单独设置项级科目的其他项目支出。</w:t>
      </w:r>
    </w:p>
    <w:p w14:paraId="0A151F56">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文化旅游体育与传媒支出（类）其他文化旅游体育与传媒支出（款）其他文化旅游体育与传媒支出（项）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指反映除上述项目以外其他用于文化旅游体育与传媒方面的支出。</w:t>
      </w:r>
    </w:p>
    <w:p w14:paraId="103106B4">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ascii="仿宋_GB2312" w:eastAsia="仿宋_GB2312"/>
          <w:color w:val="auto"/>
          <w:sz w:val="32"/>
          <w:szCs w:val="32"/>
          <w:highlight w:val="none"/>
        </w:rPr>
        <w:t>11.</w:t>
      </w:r>
      <w:r>
        <w:rPr>
          <w:rFonts w:hint="eastAsia" w:eastAsia="仿宋_GB2312"/>
          <w:sz w:val="32"/>
          <w:szCs w:val="32"/>
        </w:rPr>
        <w:t>社会保障和就业支出（类）民政管理事务（款）行政运行（项）: 指行政单位（包括实行公务员管理的事业单位）的基本支出。</w:t>
      </w:r>
    </w:p>
    <w:p w14:paraId="5B407D8D">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12</w:t>
      </w:r>
      <w:r>
        <w:rPr>
          <w:rFonts w:hint="eastAsia" w:eastAsia="仿宋_GB2312"/>
          <w:sz w:val="32"/>
          <w:szCs w:val="32"/>
        </w:rPr>
        <w:t>.社会保障和就业支出（类）民政管理事务（款）其他民政管理事务支出（项）：反映除上述项目以外其他用于民政管理事务的支出。</w:t>
      </w:r>
    </w:p>
    <w:p w14:paraId="588AE4F0">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3</w:t>
      </w:r>
      <w:r>
        <w:rPr>
          <w:rFonts w:hint="eastAsia" w:eastAsia="仿宋_GB2312"/>
          <w:sz w:val="32"/>
          <w:szCs w:val="32"/>
        </w:rPr>
        <w:t>.社会保障和就业支出（类）行政事业单位养老支出（款</w:t>
      </w:r>
      <w:r>
        <w:rPr>
          <w:rFonts w:hint="eastAsia" w:eastAsia="仿宋_GB2312"/>
          <w:sz w:val="32"/>
          <w:szCs w:val="32"/>
          <w:lang w:eastAsia="zh-CN"/>
        </w:rPr>
        <w:t>）</w:t>
      </w:r>
      <w:r>
        <w:rPr>
          <w:rFonts w:hint="eastAsia" w:eastAsia="仿宋_GB2312"/>
          <w:sz w:val="32"/>
          <w:szCs w:val="32"/>
        </w:rPr>
        <w:t>行政单位离退休（项）: 指行政单位（包括实行公务员管理的事业单位）开支的离退休支出。</w:t>
      </w:r>
    </w:p>
    <w:p w14:paraId="76ECC679">
      <w:pPr>
        <w:pageBreakBefore w:val="0"/>
        <w:kinsoku/>
        <w:wordWrap/>
        <w:overflowPunct/>
        <w:topLinePunct w:val="0"/>
        <w:bidi w:val="0"/>
        <w:spacing w:line="600" w:lineRule="exact"/>
        <w:ind w:firstLine="480" w:firstLineChars="150"/>
        <w:textAlignment w:val="auto"/>
        <w:rPr>
          <w:rFonts w:hint="eastAsia" w:eastAsia="仿宋_GB2312"/>
          <w:sz w:val="32"/>
          <w:szCs w:val="32"/>
          <w:lang w:eastAsia="zh-CN"/>
        </w:rPr>
      </w:pPr>
      <w:r>
        <w:rPr>
          <w:rFonts w:hint="eastAsia" w:eastAsia="仿宋_GB2312"/>
          <w:sz w:val="32"/>
          <w:szCs w:val="32"/>
        </w:rPr>
        <w:t>1</w:t>
      </w:r>
      <w:r>
        <w:rPr>
          <w:rFonts w:hint="eastAsia" w:eastAsia="仿宋_GB2312"/>
          <w:sz w:val="32"/>
          <w:szCs w:val="32"/>
          <w:lang w:val="en-US" w:eastAsia="zh-CN"/>
        </w:rPr>
        <w:t>4.</w:t>
      </w:r>
      <w:r>
        <w:rPr>
          <w:rFonts w:hint="eastAsia" w:eastAsia="仿宋_GB2312"/>
          <w:sz w:val="32"/>
          <w:szCs w:val="32"/>
        </w:rPr>
        <w:t>社会保障和就业支出（类）行政事业单位养老支出（款</w:t>
      </w:r>
      <w:r>
        <w:rPr>
          <w:rFonts w:hint="eastAsia" w:eastAsia="仿宋_GB2312"/>
          <w:sz w:val="32"/>
          <w:szCs w:val="32"/>
          <w:lang w:eastAsia="zh-CN"/>
        </w:rPr>
        <w:t>）</w:t>
      </w:r>
      <w:r>
        <w:rPr>
          <w:rFonts w:hint="eastAsia" w:eastAsia="仿宋_GB2312"/>
          <w:sz w:val="32"/>
          <w:szCs w:val="32"/>
        </w:rPr>
        <w:t>事业单位离退休（项）: 反映事业单位开支的离退休经费</w:t>
      </w:r>
      <w:r>
        <w:rPr>
          <w:rFonts w:hint="eastAsia" w:eastAsia="仿宋_GB2312"/>
          <w:sz w:val="32"/>
          <w:szCs w:val="32"/>
          <w:lang w:eastAsia="zh-CN"/>
        </w:rPr>
        <w:t>。</w:t>
      </w:r>
    </w:p>
    <w:p w14:paraId="2C619F84">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15.</w:t>
      </w:r>
      <w:r>
        <w:rPr>
          <w:rFonts w:hint="eastAsia" w:eastAsia="仿宋_GB2312"/>
          <w:sz w:val="32"/>
          <w:szCs w:val="32"/>
        </w:rPr>
        <w:t>社会保障和就业支出（类）行政事业单位养老支出（款）机关事业单位基本养老保险缴费支出（项）：指机关事业单位实施养老保险制度有单位缴纳的基本养老保险费支出。</w:t>
      </w:r>
    </w:p>
    <w:p w14:paraId="2524EB7F">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16.</w:t>
      </w:r>
      <w:r>
        <w:rPr>
          <w:rFonts w:hint="eastAsia" w:eastAsia="仿宋_GB2312"/>
          <w:sz w:val="32"/>
          <w:szCs w:val="32"/>
        </w:rPr>
        <w:t>社会保障和就业支出（类）行政事业单位养老支出（款）机关事业单位职业年金缴费支出（项）：指反映机关事业单位实施养老保险制度由单位实际缴纳的职业年金支出。</w:t>
      </w:r>
    </w:p>
    <w:p w14:paraId="4D73F127">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17.</w:t>
      </w:r>
      <w:r>
        <w:rPr>
          <w:rFonts w:hint="eastAsia" w:eastAsia="仿宋_GB2312"/>
          <w:sz w:val="32"/>
          <w:szCs w:val="32"/>
        </w:rPr>
        <w:t>社会保障和就业支出（类）社会福利（款）儿童福利（项）：反映对儿童提供福利服务方面的支出。</w:t>
      </w:r>
    </w:p>
    <w:p w14:paraId="27FFA656">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18.</w:t>
      </w:r>
      <w:r>
        <w:rPr>
          <w:rFonts w:hint="eastAsia" w:eastAsia="仿宋_GB2312"/>
          <w:sz w:val="32"/>
          <w:szCs w:val="32"/>
        </w:rPr>
        <w:t>社会保障和就业支出（类）社会福利（款）老年福利（项）：反映对老年人提供福利服务方面的支出，包括为经济困难的高龄、失能等老年人提供基本养老服务保障的资金补助等支出。</w:t>
      </w:r>
    </w:p>
    <w:p w14:paraId="01C66A19">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19.</w:t>
      </w:r>
      <w:r>
        <w:rPr>
          <w:rFonts w:hint="eastAsia" w:eastAsia="仿宋_GB2312"/>
          <w:sz w:val="32"/>
          <w:szCs w:val="32"/>
        </w:rPr>
        <w:t>社会保障和就业支出（类）社会福利（款）殡葬（项）：反映殡葬管理和殡葬服务方面的支出，包括民政部门直属的殡仪馆、公墓、殡葬管理服务机构的支出。</w:t>
      </w:r>
    </w:p>
    <w:p w14:paraId="188E7505">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20.</w:t>
      </w:r>
      <w:r>
        <w:rPr>
          <w:rFonts w:hint="eastAsia" w:eastAsia="仿宋_GB2312"/>
          <w:sz w:val="32"/>
          <w:szCs w:val="32"/>
        </w:rPr>
        <w:t>社会保障和就业支出（类）社会福利（款）养老服务（项）：反映财政在养老服务方面的补助支出，包括支持居家养老服务、社区养老服务和机构养老服务的支出，对养老服务机构的运营、建设补助支出等，不包括对社会福利事业单位的补助支出。</w:t>
      </w:r>
    </w:p>
    <w:p w14:paraId="011ACBE9">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21.</w:t>
      </w:r>
      <w:r>
        <w:rPr>
          <w:rFonts w:hint="eastAsia" w:eastAsia="仿宋_GB2312"/>
          <w:sz w:val="32"/>
          <w:szCs w:val="32"/>
        </w:rPr>
        <w:t>社会保障和就业支出（类）残疾人事业（款）残疾人生活和护理补贴（项）：反映困难残疾人生活补贴和重度残疾人护理补贴支出。</w:t>
      </w:r>
    </w:p>
    <w:p w14:paraId="3599AEEA">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22.社会保障和就业支出（类）其他社会保障和就业支出（款）其他社会保障和就业支出（项）：反映除上述项目以外其他用于社会保障和就业方面的支出。</w:t>
      </w:r>
    </w:p>
    <w:p w14:paraId="71109C9F">
      <w:pPr>
        <w:pageBreakBefore w:val="0"/>
        <w:kinsoku/>
        <w:wordWrap/>
        <w:overflowPunct/>
        <w:topLinePunct w:val="0"/>
        <w:bidi w:val="0"/>
        <w:spacing w:line="600" w:lineRule="exact"/>
        <w:ind w:firstLine="480" w:firstLineChars="150"/>
        <w:textAlignment w:val="auto"/>
        <w:rPr>
          <w:rFonts w:hint="eastAsia" w:eastAsia="仿宋_GB2312"/>
          <w:sz w:val="32"/>
          <w:szCs w:val="32"/>
          <w:lang w:eastAsia="zh-CN"/>
        </w:rPr>
      </w:pPr>
      <w:r>
        <w:rPr>
          <w:rFonts w:hint="eastAsia" w:eastAsia="仿宋_GB2312"/>
          <w:sz w:val="32"/>
          <w:szCs w:val="32"/>
        </w:rPr>
        <w:t>23.卫生健康支出支出（类）行政事业单位医疗支出（款）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eastAsia="仿宋_GB2312"/>
          <w:sz w:val="32"/>
          <w:szCs w:val="32"/>
          <w:lang w:eastAsia="zh-CN"/>
        </w:rPr>
        <w:t>。</w:t>
      </w:r>
    </w:p>
    <w:p w14:paraId="55AA6FC7">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24.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79A77DA1">
      <w:pPr>
        <w:pageBreakBefore w:val="0"/>
        <w:kinsoku/>
        <w:wordWrap/>
        <w:overflowPunct/>
        <w:topLinePunct w:val="0"/>
        <w:bidi w:val="0"/>
        <w:spacing w:line="600" w:lineRule="exact"/>
        <w:ind w:firstLine="480" w:firstLineChars="150"/>
        <w:textAlignment w:val="auto"/>
        <w:rPr>
          <w:rFonts w:hint="eastAsia" w:eastAsia="仿宋_GB2312"/>
          <w:sz w:val="32"/>
          <w:szCs w:val="32"/>
          <w:lang w:eastAsia="zh-CN"/>
        </w:rPr>
      </w:pPr>
      <w:r>
        <w:rPr>
          <w:rFonts w:hint="eastAsia" w:eastAsia="仿宋_GB2312"/>
          <w:sz w:val="32"/>
          <w:szCs w:val="32"/>
        </w:rPr>
        <w:t>25.卫生健康支出支出（类）行政事业单位医疗支出（款）公务员医疗补助：反映财政部门安排的公务员医疗补助经</w:t>
      </w:r>
      <w:r>
        <w:rPr>
          <w:rFonts w:hint="eastAsia" w:eastAsia="仿宋_GB2312"/>
          <w:sz w:val="32"/>
          <w:szCs w:val="32"/>
          <w:lang w:eastAsia="zh-CN"/>
        </w:rPr>
        <w:t>费。</w:t>
      </w:r>
    </w:p>
    <w:p w14:paraId="0897A842">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26</w:t>
      </w:r>
      <w:r>
        <w:rPr>
          <w:rFonts w:hint="eastAsia" w:eastAsia="仿宋_GB2312"/>
          <w:sz w:val="32"/>
          <w:szCs w:val="32"/>
          <w:lang w:val="en-US" w:eastAsia="zh-CN"/>
        </w:rPr>
        <w:t>.</w:t>
      </w:r>
      <w:r>
        <w:rPr>
          <w:rFonts w:hint="eastAsia" w:eastAsia="仿宋_GB2312"/>
          <w:sz w:val="32"/>
          <w:szCs w:val="32"/>
        </w:rPr>
        <w:t>卫生健康支出支出（类）行政事业单位医疗支出（款）其他行政事业单位医疗支出</w:t>
      </w:r>
      <w:r>
        <w:rPr>
          <w:rFonts w:hint="eastAsia" w:eastAsia="仿宋_GB2312"/>
          <w:sz w:val="32"/>
          <w:szCs w:val="32"/>
          <w:lang w:val="en-US" w:eastAsia="zh-CN"/>
        </w:rPr>
        <w:t>:指</w:t>
      </w:r>
      <w:r>
        <w:rPr>
          <w:rFonts w:hint="eastAsia" w:eastAsia="仿宋_GB2312"/>
          <w:sz w:val="32"/>
          <w:szCs w:val="32"/>
        </w:rPr>
        <w:t>反映除上述项目以外的其他用于行政事业单位医疗方面的支出。</w:t>
      </w:r>
    </w:p>
    <w:p w14:paraId="7F100314">
      <w:pPr>
        <w:pageBreakBefore w:val="0"/>
        <w:kinsoku/>
        <w:wordWrap/>
        <w:overflowPunct/>
        <w:topLinePunct w:val="0"/>
        <w:bidi w:val="0"/>
        <w:spacing w:line="600" w:lineRule="exact"/>
        <w:ind w:firstLine="480" w:firstLineChars="150"/>
        <w:textAlignment w:val="auto"/>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en-US" w:eastAsia="zh-CN"/>
        </w:rPr>
        <w:t>27.</w:t>
      </w:r>
      <w:r>
        <w:rPr>
          <w:rFonts w:hint="eastAsia" w:ascii="仿宋_GB2312" w:eastAsia="仿宋_GB2312" w:cs="仿宋"/>
          <w:color w:val="000000"/>
          <w:kern w:val="0"/>
          <w:sz w:val="32"/>
          <w:szCs w:val="32"/>
        </w:rPr>
        <w:t>城乡社区支出(类)</w:t>
      </w:r>
      <w:r>
        <w:rPr>
          <w:rFonts w:hint="eastAsia"/>
        </w:rPr>
        <w:t xml:space="preserve"> </w:t>
      </w:r>
      <w:r>
        <w:rPr>
          <w:rFonts w:hint="eastAsia" w:ascii="仿宋_GB2312" w:eastAsia="仿宋_GB2312" w:cs="仿宋"/>
          <w:color w:val="000000"/>
          <w:kern w:val="0"/>
          <w:sz w:val="32"/>
          <w:szCs w:val="32"/>
        </w:rPr>
        <w:t>国有土地使用权出让收入安排的支出(款)</w:t>
      </w:r>
      <w:r>
        <w:rPr>
          <w:rFonts w:hint="eastAsia"/>
        </w:rPr>
        <w:t xml:space="preserve"> </w:t>
      </w:r>
      <w:r>
        <w:rPr>
          <w:rFonts w:hint="eastAsia" w:ascii="仿宋_GB2312" w:eastAsia="仿宋_GB2312" w:cs="仿宋"/>
          <w:color w:val="000000"/>
          <w:kern w:val="0"/>
          <w:sz w:val="32"/>
          <w:szCs w:val="32"/>
        </w:rPr>
        <w:t>土地开发支出(项):反映新疆生产建设兵团和地方政府用于前期土地开发性支出以及与前期土地开发相关的费用等支出。</w:t>
      </w:r>
    </w:p>
    <w:p w14:paraId="1B0F47F6">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eastAsia="仿宋_GB2312"/>
          <w:sz w:val="32"/>
          <w:szCs w:val="32"/>
        </w:rPr>
        <w:t>2</w:t>
      </w:r>
      <w:r>
        <w:rPr>
          <w:rFonts w:hint="eastAsia" w:eastAsia="仿宋_GB2312"/>
          <w:sz w:val="32"/>
          <w:szCs w:val="32"/>
          <w:lang w:val="en-US" w:eastAsia="zh-CN"/>
        </w:rPr>
        <w:t>8</w:t>
      </w:r>
      <w:r>
        <w:rPr>
          <w:rFonts w:hint="eastAsia" w:eastAsia="仿宋_GB2312"/>
          <w:sz w:val="32"/>
          <w:szCs w:val="32"/>
        </w:rPr>
        <w:t>.住房保障支出（类）住房改革支出（款）住房公积金（项）：指行政事业单位按人力资源和社会保障部、财政部规定的基本工资和津贴补贴以及规定比例为职工缴纳的住房公积金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14:paraId="4977150F">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eastAsia="仿宋_GB2312"/>
          <w:sz w:val="32"/>
          <w:szCs w:val="32"/>
          <w:lang w:val="en-US" w:eastAsia="zh-CN"/>
        </w:rPr>
        <w:t>29</w:t>
      </w:r>
      <w:r>
        <w:rPr>
          <w:rFonts w:hint="eastAsia" w:eastAsia="仿宋_GB2312"/>
          <w:sz w:val="32"/>
          <w:szCs w:val="32"/>
        </w:rPr>
        <w:t>.其他支出（类）彩票公益金安排的支出（款）用于社会福利的彩票公益金支出（项）</w:t>
      </w:r>
      <w:r>
        <w:rPr>
          <w:rFonts w:hint="eastAsia" w:eastAsia="仿宋_GB2312"/>
          <w:sz w:val="32"/>
          <w:szCs w:val="32"/>
          <w:lang w:val="en-US" w:eastAsia="zh-CN"/>
        </w:rPr>
        <w:t>:</w:t>
      </w:r>
      <w:r>
        <w:rPr>
          <w:rFonts w:hint="eastAsia" w:eastAsia="仿宋_GB2312"/>
          <w:sz w:val="32"/>
          <w:szCs w:val="32"/>
        </w:rPr>
        <w:t>指反映用于社会福利和社会救助的彩票公益金支出</w:t>
      </w:r>
      <w:r>
        <w:rPr>
          <w:rFonts w:hint="eastAsia" w:ascii="仿宋_GB2312" w:eastAsia="仿宋_GB2312"/>
          <w:color w:val="auto"/>
          <w:sz w:val="32"/>
          <w:szCs w:val="32"/>
          <w:highlight w:val="none"/>
        </w:rPr>
        <w:t>。</w:t>
      </w:r>
    </w:p>
    <w:p w14:paraId="2A6B944C">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AD51132">
      <w:pPr>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85AC4BE">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FAE48BD">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ED76B8">
      <w:pPr>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C0BE53">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2A15806A">
      <w:pPr>
        <w:pageBreakBefore w:val="0"/>
        <w:kinsoku/>
        <w:wordWrap/>
        <w:overflowPunct/>
        <w:topLinePunct w:val="0"/>
        <w:bidi w:val="0"/>
        <w:spacing w:line="600" w:lineRule="exact"/>
        <w:ind w:firstLine="480" w:firstLineChars="150"/>
        <w:jc w:val="center"/>
        <w:textAlignment w:val="auto"/>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0607ED30">
      <w:pPr>
        <w:keepNext w:val="0"/>
        <w:keepLines w:val="0"/>
        <w:pageBreakBefore w:val="0"/>
        <w:kinsoku/>
        <w:wordWrap/>
        <w:overflowPunct/>
        <w:topLinePunct w:val="0"/>
        <w:autoSpaceDE/>
        <w:autoSpaceDN/>
        <w:bidi w:val="0"/>
        <w:spacing w:line="600" w:lineRule="exact"/>
        <w:ind w:firstLine="480" w:firstLineChars="150"/>
        <w:jc w:val="left"/>
        <w:textAlignment w:val="auto"/>
        <w:outlineLvl w:val="0"/>
        <w:rPr>
          <w:rFonts w:hint="eastAsia" w:ascii="Times New Roman" w:hAnsi="Times New Roman" w:eastAsia="黑体" w:cs="黑体"/>
          <w:color w:val="FF0000"/>
          <w:sz w:val="32"/>
          <w:szCs w:val="32"/>
          <w:highlight w:val="none"/>
        </w:rPr>
      </w:pPr>
    </w:p>
    <w:p w14:paraId="39A4E9B8">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附表：</w:t>
      </w:r>
      <w:r>
        <w:rPr>
          <w:rFonts w:hint="eastAsia" w:ascii="Times New Roman" w:hAnsi="Times New Roman" w:eastAsia="仿宋_GB2312" w:cs="仿宋_GB2312"/>
          <w:color w:val="auto"/>
          <w:kern w:val="2"/>
          <w:sz w:val="32"/>
          <w:szCs w:val="32"/>
          <w:highlight w:val="none"/>
          <w:lang w:val="en-US" w:eastAsia="zh-CN" w:bidi="ar-SA"/>
        </w:rPr>
        <w:t>部门预算项目支出绩效自评表（2024年度）</w:t>
      </w:r>
    </w:p>
    <w:p w14:paraId="7C78F7C4">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11C6AA9">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0410713">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3E046EE">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5378419">
      <w:pPr>
        <w:pageBreakBefore w:val="0"/>
        <w:widowControl/>
        <w:kinsoku/>
        <w:wordWrap/>
        <w:overflowPunct/>
        <w:topLinePunct w:val="0"/>
        <w:bidi w:val="0"/>
        <w:spacing w:line="600" w:lineRule="exact"/>
        <w:ind w:firstLine="660" w:firstLineChars="150"/>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14:paraId="66B8D13C">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p>
    <w:p w14:paraId="37B7723E">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21CFCEE7">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62393E2">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3C94273F">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6C9635F4">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6C33A50F">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59C39534">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7076CEA5">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00DBBA95">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BEC0202">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2C8E1049">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3054911">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25070BA9">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39D6BC07">
      <w:pPr>
        <w:pageBreakBefore w:val="0"/>
        <w:kinsoku/>
        <w:wordWrap/>
        <w:overflowPunct/>
        <w:topLinePunct w:val="0"/>
        <w:bidi w:val="0"/>
        <w:spacing w:line="600" w:lineRule="exact"/>
        <w:ind w:firstLine="315" w:firstLineChars="150"/>
        <w:textAlignment w:val="auto"/>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7389">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84CD4E">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84CD4E">
                    <w:pPr>
                      <w:pStyle w:val="2"/>
                    </w:pPr>
                    <w:r>
                      <w:fldChar w:fldCharType="begin"/>
                    </w:r>
                    <w:r>
                      <w:instrText xml:space="preserve"> PAGE  \* MERGEFORMAT </w:instrText>
                    </w:r>
                    <w:r>
                      <w:fldChar w:fldCharType="separate"/>
                    </w:r>
                    <w:r>
                      <w:t>- 2 -</w:t>
                    </w:r>
                    <w:r>
                      <w:fldChar w:fldCharType="end"/>
                    </w:r>
                  </w:p>
                </w:txbxContent>
              </v:textbox>
            </v:shape>
          </w:pict>
        </mc:Fallback>
      </mc:AlternateContent>
    </w:r>
  </w:p>
  <w:p w14:paraId="77E2B56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FA3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F43F27">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BF43F27">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DDA7">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0D8B01">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30D8B01">
                    <w:pPr>
                      <w:pStyle w:val="2"/>
                    </w:pPr>
                    <w:r>
                      <w:fldChar w:fldCharType="begin"/>
                    </w:r>
                    <w:r>
                      <w:instrText xml:space="preserve"> PAGE  \* MERGEFORMAT </w:instrText>
                    </w:r>
                    <w:r>
                      <w:fldChar w:fldCharType="separate"/>
                    </w:r>
                    <w:r>
                      <w:t>- 2 -</w:t>
                    </w:r>
                    <w:r>
                      <w:fldChar w:fldCharType="end"/>
                    </w:r>
                  </w:p>
                </w:txbxContent>
              </v:textbox>
            </v:shape>
          </w:pict>
        </mc:Fallback>
      </mc:AlternateContent>
    </w:r>
  </w:p>
  <w:p w14:paraId="7C533ED3">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EA75">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27CF4F">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6227CF4F">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5B0B">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03117"/>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next w:val="7"/>
    <w:link w:val="26"/>
    <w:qFormat/>
    <w:uiPriority w:val="99"/>
    <w:pPr>
      <w:spacing w:beforeLines="30"/>
    </w:pPr>
    <w:rPr>
      <w:rFonts w:ascii="仿宋_GB2312" w:eastAsia="仿宋_GB2312"/>
      <w:kern w:val="0"/>
      <w:sz w:val="30"/>
    </w:rPr>
  </w:style>
  <w:style w:type="paragraph" w:customStyle="1" w:styleId="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1"/>
    <w:semiHidden/>
    <w:unhideWhenUsed/>
    <w:qFormat/>
    <w:uiPriority w:val="99"/>
    <w:rPr>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9"/>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1"/>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7783</Words>
  <Characters>8365</Characters>
  <Lines>61</Lines>
  <Paragraphs>17</Paragraphs>
  <TotalTime>2</TotalTime>
  <ScaleCrop>false</ScaleCrop>
  <LinksUpToDate>false</LinksUpToDate>
  <CharactersWithSpaces>8392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从头再来</cp:lastModifiedBy>
  <cp:lastPrinted>2025-08-06T17:34:00Z</cp:lastPrinted>
  <dcterms:modified xsi:type="dcterms:W3CDTF">2025-10-26T05:48:54Z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eyJoZGlkIjoiNmFjYjIzMjc3NzgwMDBhMDQ5MWE4NDg4YzVlOGNmMTAiLCJ1c2VySWQiOiI1NjY2NzMwMjAifQ==</vt:lpwstr>
  </property>
</Properties>
</file>