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8E34B">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96597"/>
      <w:bookmarkStart w:id="3" w:name="_Toc15396475"/>
      <w:bookmarkStart w:id="4" w:name="_Toc15306267"/>
      <w:bookmarkStart w:id="5" w:name="_Toc15378441"/>
    </w:p>
    <w:p w14:paraId="0201FB38">
      <w:pPr>
        <w:pStyle w:val="2"/>
        <w:rPr>
          <w:rFonts w:hint="eastAsia" w:ascii="Times New Roman" w:hAnsi="Times New Roman" w:eastAsia="方正小标宋简体" w:cs="Times New Roman"/>
          <w:color w:val="auto"/>
          <w:kern w:val="2"/>
          <w:sz w:val="72"/>
          <w:szCs w:val="72"/>
          <w:highlight w:val="none"/>
          <w:lang w:val="en-US" w:eastAsia="zh-CN" w:bidi="ar-SA"/>
        </w:rPr>
      </w:pPr>
    </w:p>
    <w:p w14:paraId="6094DCF4">
      <w:pPr>
        <w:pStyle w:val="2"/>
        <w:rPr>
          <w:rFonts w:hint="eastAsia" w:ascii="Times New Roman" w:hAnsi="Times New Roman" w:eastAsia="方正小标宋简体" w:cs="Times New Roman"/>
          <w:color w:val="auto"/>
          <w:kern w:val="2"/>
          <w:sz w:val="72"/>
          <w:szCs w:val="72"/>
          <w:highlight w:val="none"/>
          <w:lang w:val="en-US" w:eastAsia="zh-CN" w:bidi="ar-SA"/>
        </w:rPr>
      </w:pPr>
    </w:p>
    <w:p w14:paraId="255A6C38">
      <w:pPr>
        <w:pStyle w:val="2"/>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 w:name="_Toc15396476"/>
      <w:bookmarkStart w:id="7" w:name="_Toc15378442"/>
      <w:bookmarkStart w:id="8" w:name="_Toc15377426"/>
      <w:bookmarkStart w:id="9" w:name="_Toc15396598"/>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bookmarkStart w:id="12" w:name="_Toc32497"/>
      <w:r>
        <w:rPr>
          <w:rFonts w:hint="eastAsia" w:ascii="方正小标宋简体" w:hAnsi="方正小标宋简体" w:eastAsia="方正小标宋简体" w:cs="方正小标宋简体"/>
          <w:sz w:val="44"/>
          <w:szCs w:val="44"/>
        </w:rPr>
        <w:t>攀枝花市西区</w:t>
      </w:r>
    </w:p>
    <w:p w14:paraId="61D1430E">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方正小标宋简体" w:eastAsia="方正小标宋简体" w:cs="方正小标宋简体"/>
          <w:sz w:val="44"/>
          <w:szCs w:val="44"/>
        </w:rPr>
        <w:t>行政审批局</w:t>
      </w: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bookmarkEnd w:id="12"/>
      <w:r>
        <w:rPr>
          <w:rFonts w:hint="eastAsia" w:ascii="Times New Roman" w:hAnsi="Times New Roman" w:eastAsia="方正小标宋简体" w:cs="Times New Roman"/>
          <w:color w:val="auto"/>
          <w:kern w:val="2"/>
          <w:sz w:val="44"/>
          <w:szCs w:val="44"/>
          <w:highlight w:val="none"/>
          <w:lang w:val="en-US" w:eastAsia="zh-CN" w:bidi="ar-SA"/>
        </w:rPr>
        <w:t>公开文字说明</w:t>
      </w:r>
    </w:p>
    <w:p w14:paraId="6824AB44">
      <w:pPr>
        <w:spacing w:line="600" w:lineRule="exact"/>
        <w:jc w:val="center"/>
        <w:outlineLvl w:val="0"/>
        <w:rPr>
          <w:rFonts w:ascii="Times New Roman" w:hAnsi="Times New Roman" w:eastAsia="方正小标宋简体"/>
          <w:color w:val="auto"/>
          <w:sz w:val="72"/>
          <w:szCs w:val="72"/>
          <w:highlight w:val="none"/>
        </w:rPr>
      </w:pPr>
    </w:p>
    <w:p w14:paraId="2D77ECFD">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39304BE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4782E01">
      <w:pPr>
        <w:widowControl/>
        <w:jc w:val="center"/>
        <w:rPr>
          <w:rFonts w:ascii="Times New Roman" w:hAnsi="Times New Roman" w:eastAsia="黑体" w:cstheme="minorBidi"/>
          <w:color w:val="auto"/>
          <w:sz w:val="28"/>
          <w:szCs w:val="28"/>
          <w:highlight w:val="none"/>
        </w:rPr>
      </w:pPr>
    </w:p>
    <w:p w14:paraId="53103C7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18DD341A">
      <w:pPr>
        <w:rPr>
          <w:rFonts w:ascii="Times New Roman" w:hAnsi="Times New Roman"/>
          <w:color w:val="auto"/>
          <w:highlight w:val="none"/>
        </w:rPr>
      </w:pPr>
    </w:p>
    <w:p w14:paraId="32BA4B98">
      <w:pPr>
        <w:pStyle w:val="35"/>
        <w:tabs>
          <w:tab w:val="right" w:leader="dot" w:pos="8306"/>
        </w:tabs>
        <w:rPr>
          <w:b/>
        </w:rPr>
      </w:pPr>
      <w:bookmarkStart w:id="13" w:name="_Toc15377196"/>
      <w:bookmarkStart w:id="14" w:name="_Toc15396599"/>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_Toc32497 </w:instrText>
      </w:r>
      <w:r>
        <w:rPr>
          <w:rFonts w:hint="eastAsia"/>
          <w:b/>
        </w:rPr>
        <w:fldChar w:fldCharType="separate"/>
      </w:r>
      <w:r>
        <w:rPr>
          <w:rFonts w:hint="eastAsia"/>
          <w:b/>
        </w:rPr>
        <w:fldChar w:fldCharType="end"/>
      </w:r>
    </w:p>
    <w:p w14:paraId="56C899BF">
      <w:pPr>
        <w:pStyle w:val="35"/>
        <w:tabs>
          <w:tab w:val="right" w:leader="dot" w:pos="8306"/>
        </w:tabs>
        <w:rPr>
          <w:b/>
        </w:rPr>
      </w:pPr>
      <w:r>
        <w:rPr>
          <w:rFonts w:hint="eastAsia"/>
          <w:b/>
        </w:rPr>
        <w:fldChar w:fldCharType="begin"/>
      </w:r>
      <w:r>
        <w:rPr>
          <w:rFonts w:hint="eastAsia"/>
          <w:b/>
        </w:rPr>
        <w:instrText xml:space="preserve"> HYPERLINK \l _Toc1339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rFonts w:hint="eastAsia"/>
          <w:b/>
          <w:lang w:val="en-US" w:eastAsia="zh-CN"/>
        </w:rPr>
        <w:t>2</w:t>
      </w:r>
      <w:r>
        <w:rPr>
          <w:rFonts w:hint="eastAsia"/>
          <w:b/>
        </w:rPr>
        <w:fldChar w:fldCharType="end"/>
      </w:r>
    </w:p>
    <w:p w14:paraId="2ECC7ECE">
      <w:pPr>
        <w:pStyle w:val="36"/>
        <w:tabs>
          <w:tab w:val="right" w:leader="dot" w:pos="8306"/>
        </w:tabs>
      </w:pPr>
      <w:r>
        <w:rPr>
          <w:rFonts w:hint="eastAsia"/>
        </w:rPr>
        <w:fldChar w:fldCharType="begin"/>
      </w:r>
      <w:r>
        <w:rPr>
          <w:rFonts w:hint="eastAsia"/>
        </w:rPr>
        <w:instrText xml:space="preserve"> HYPERLINK \l _Toc24304 </w:instrText>
      </w:r>
      <w:r>
        <w:rPr>
          <w:rFonts w:hint="eastAsia"/>
        </w:rPr>
        <w:fldChar w:fldCharType="separate"/>
      </w:r>
      <w:r>
        <w:rPr>
          <w:rFonts w:hint="eastAsia" w:ascii="黑体" w:hAnsi="黑体" w:eastAsia="黑体"/>
          <w:highlight w:val="none"/>
        </w:rPr>
        <w:t>一、</w:t>
      </w:r>
      <w:r>
        <w:rPr>
          <w:rFonts w:hint="eastAsia" w:ascii="黑体" w:hAnsi="黑体" w:eastAsia="黑体"/>
          <w:highlight w:val="none"/>
          <w:lang w:eastAsia="zh-CN"/>
        </w:rPr>
        <w:t>单位职责</w:t>
      </w:r>
      <w:r>
        <w:tab/>
      </w:r>
      <w:r>
        <w:rPr>
          <w:rFonts w:hint="eastAsia"/>
          <w:lang w:val="en-US" w:eastAsia="zh-CN"/>
        </w:rPr>
        <w:t>2</w:t>
      </w:r>
      <w:r>
        <w:rPr>
          <w:rFonts w:hint="eastAsia"/>
        </w:rPr>
        <w:fldChar w:fldCharType="end"/>
      </w:r>
    </w:p>
    <w:p w14:paraId="312A5317">
      <w:pPr>
        <w:pStyle w:val="36"/>
        <w:tabs>
          <w:tab w:val="right" w:leader="dot" w:pos="8306"/>
        </w:tabs>
      </w:pPr>
      <w:r>
        <w:rPr>
          <w:rFonts w:hint="eastAsia"/>
        </w:rPr>
        <w:fldChar w:fldCharType="begin"/>
      </w:r>
      <w:r>
        <w:rPr>
          <w:rFonts w:hint="eastAsia"/>
        </w:rPr>
        <w:instrText xml:space="preserve"> HYPERLINK \l _Toc23203 </w:instrText>
      </w:r>
      <w:r>
        <w:rPr>
          <w:rFonts w:hint="eastAsia"/>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3</w:t>
      </w:r>
      <w:r>
        <w:rPr>
          <w:rFonts w:hint="eastAsia"/>
        </w:rPr>
        <w:fldChar w:fldCharType="end"/>
      </w:r>
    </w:p>
    <w:p w14:paraId="321AA769">
      <w:pPr>
        <w:pStyle w:val="35"/>
        <w:tabs>
          <w:tab w:val="right" w:leader="dot" w:pos="8306"/>
        </w:tabs>
        <w:rPr>
          <w:b/>
        </w:rPr>
      </w:pPr>
      <w:r>
        <w:rPr>
          <w:rFonts w:hint="eastAsia"/>
          <w:b/>
        </w:rPr>
        <w:fldChar w:fldCharType="begin"/>
      </w:r>
      <w:r>
        <w:rPr>
          <w:rFonts w:hint="eastAsia"/>
          <w:b/>
        </w:rPr>
        <w:instrText xml:space="preserve"> HYPERLINK \l _Toc26117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2024年度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rFonts w:hint="eastAsia"/>
          <w:b/>
          <w:lang w:val="en-US" w:eastAsia="zh-CN"/>
        </w:rPr>
        <w:t>4</w:t>
      </w:r>
      <w:r>
        <w:rPr>
          <w:rFonts w:hint="eastAsia"/>
          <w:b/>
        </w:rPr>
        <w:fldChar w:fldCharType="end"/>
      </w:r>
    </w:p>
    <w:p w14:paraId="40D8ACE6">
      <w:pPr>
        <w:pStyle w:val="36"/>
        <w:tabs>
          <w:tab w:val="right" w:leader="dot" w:pos="8306"/>
        </w:tabs>
      </w:pPr>
      <w:r>
        <w:rPr>
          <w:rFonts w:hint="eastAsia"/>
        </w:rPr>
        <w:fldChar w:fldCharType="begin"/>
      </w:r>
      <w:r>
        <w:rPr>
          <w:rFonts w:hint="eastAsia"/>
        </w:rPr>
        <w:instrText xml:space="preserve"> HYPERLINK \l _Toc15774 </w:instrText>
      </w:r>
      <w:r>
        <w:rPr>
          <w:rFonts w:hint="eastAsia"/>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4</w:t>
      </w:r>
      <w:r>
        <w:rPr>
          <w:rFonts w:hint="eastAsia"/>
        </w:rPr>
        <w:fldChar w:fldCharType="end"/>
      </w:r>
    </w:p>
    <w:p w14:paraId="6372318C">
      <w:pPr>
        <w:pStyle w:val="36"/>
        <w:tabs>
          <w:tab w:val="right" w:leader="dot" w:pos="8306"/>
        </w:tabs>
      </w:pPr>
      <w:r>
        <w:rPr>
          <w:rFonts w:hint="eastAsia"/>
        </w:rPr>
        <w:fldChar w:fldCharType="begin"/>
      </w:r>
      <w:r>
        <w:rPr>
          <w:rFonts w:hint="eastAsia"/>
        </w:rPr>
        <w:instrText xml:space="preserve"> HYPERLINK \l _Toc10761 </w:instrText>
      </w:r>
      <w:r>
        <w:rPr>
          <w:rFonts w:hint="eastAsia"/>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4</w:t>
      </w:r>
      <w:r>
        <w:rPr>
          <w:rFonts w:hint="eastAsia"/>
        </w:rPr>
        <w:fldChar w:fldCharType="end"/>
      </w:r>
    </w:p>
    <w:p w14:paraId="175A62D0">
      <w:pPr>
        <w:pStyle w:val="36"/>
        <w:tabs>
          <w:tab w:val="right" w:leader="dot" w:pos="8306"/>
        </w:tabs>
      </w:pPr>
      <w:r>
        <w:rPr>
          <w:rFonts w:hint="eastAsia"/>
        </w:rPr>
        <w:fldChar w:fldCharType="begin"/>
      </w:r>
      <w:r>
        <w:rPr>
          <w:rFonts w:hint="eastAsia"/>
        </w:rPr>
        <w:instrText xml:space="preserve"> HYPERLINK \l _Toc16209 </w:instrText>
      </w:r>
      <w:r>
        <w:rPr>
          <w:rFonts w:hint="eastAsia"/>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5</w:t>
      </w:r>
      <w:r>
        <w:rPr>
          <w:rFonts w:hint="eastAsia"/>
        </w:rPr>
        <w:fldChar w:fldCharType="end"/>
      </w:r>
    </w:p>
    <w:p w14:paraId="7D8B1D39">
      <w:pPr>
        <w:pStyle w:val="36"/>
        <w:tabs>
          <w:tab w:val="right" w:leader="dot" w:pos="8306"/>
        </w:tabs>
      </w:pPr>
      <w:r>
        <w:rPr>
          <w:rFonts w:hint="eastAsia"/>
        </w:rPr>
        <w:fldChar w:fldCharType="begin"/>
      </w:r>
      <w:r>
        <w:rPr>
          <w:rFonts w:hint="eastAsia"/>
        </w:rPr>
        <w:instrText xml:space="preserve"> HYPERLINK \l _Toc5997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5</w:t>
      </w:r>
      <w:r>
        <w:rPr>
          <w:rFonts w:hint="eastAsia"/>
        </w:rPr>
        <w:fldChar w:fldCharType="end"/>
      </w:r>
    </w:p>
    <w:p w14:paraId="19206F75">
      <w:pPr>
        <w:pStyle w:val="36"/>
        <w:tabs>
          <w:tab w:val="right" w:leader="dot" w:pos="8306"/>
        </w:tabs>
      </w:pPr>
      <w:r>
        <w:rPr>
          <w:rFonts w:hint="eastAsia"/>
        </w:rPr>
        <w:fldChar w:fldCharType="begin"/>
      </w:r>
      <w:r>
        <w:rPr>
          <w:rFonts w:hint="eastAsia"/>
        </w:rPr>
        <w:instrText xml:space="preserve"> HYPERLINK \l _Toc31987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6</w:t>
      </w:r>
      <w:r>
        <w:rPr>
          <w:rFonts w:hint="eastAsia"/>
        </w:rPr>
        <w:fldChar w:fldCharType="end"/>
      </w:r>
    </w:p>
    <w:p w14:paraId="567D9526">
      <w:pPr>
        <w:pStyle w:val="36"/>
        <w:tabs>
          <w:tab w:val="right" w:leader="dot" w:pos="8306"/>
        </w:tabs>
      </w:pPr>
      <w:r>
        <w:rPr>
          <w:rFonts w:hint="eastAsia"/>
        </w:rPr>
        <w:fldChar w:fldCharType="begin"/>
      </w:r>
      <w:r>
        <w:rPr>
          <w:rFonts w:hint="eastAsia"/>
        </w:rPr>
        <w:instrText xml:space="preserve"> HYPERLINK \l _Toc24047 </w:instrText>
      </w:r>
      <w:r>
        <w:rPr>
          <w:rFonts w:hint="eastAsia"/>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8</w:t>
      </w:r>
      <w:r>
        <w:rPr>
          <w:rFonts w:hint="eastAsia"/>
        </w:rPr>
        <w:fldChar w:fldCharType="end"/>
      </w:r>
    </w:p>
    <w:p w14:paraId="608016C3">
      <w:pPr>
        <w:pStyle w:val="36"/>
        <w:tabs>
          <w:tab w:val="right" w:leader="dot" w:pos="8306"/>
        </w:tabs>
      </w:pPr>
      <w:r>
        <w:rPr>
          <w:rFonts w:hint="eastAsia"/>
        </w:rPr>
        <w:fldChar w:fldCharType="begin"/>
      </w:r>
      <w:r>
        <w:rPr>
          <w:rFonts w:hint="eastAsia"/>
        </w:rPr>
        <w:instrText xml:space="preserve"> HYPERLINK \l _Toc1175 </w:instrText>
      </w:r>
      <w:r>
        <w:rPr>
          <w:rFonts w:hint="eastAsia"/>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9</w:t>
      </w:r>
      <w:r>
        <w:rPr>
          <w:rFonts w:hint="eastAsia"/>
        </w:rPr>
        <w:fldChar w:fldCharType="end"/>
      </w:r>
    </w:p>
    <w:p w14:paraId="20EB5C05">
      <w:pPr>
        <w:pStyle w:val="36"/>
        <w:tabs>
          <w:tab w:val="right" w:leader="dot" w:pos="8306"/>
        </w:tabs>
      </w:pPr>
      <w:r>
        <w:rPr>
          <w:rFonts w:hint="eastAsia"/>
        </w:rPr>
        <w:fldChar w:fldCharType="begin"/>
      </w:r>
      <w:r>
        <w:rPr>
          <w:rFonts w:hint="eastAsia"/>
        </w:rPr>
        <w:instrText xml:space="preserve"> HYPERLINK \l _Toc11817 </w:instrText>
      </w:r>
      <w:r>
        <w:rPr>
          <w:rFonts w:hint="eastAsia"/>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10</w:t>
      </w:r>
      <w:r>
        <w:rPr>
          <w:rFonts w:hint="eastAsia"/>
        </w:rPr>
        <w:fldChar w:fldCharType="end"/>
      </w:r>
    </w:p>
    <w:p w14:paraId="15EA51DD">
      <w:pPr>
        <w:pStyle w:val="36"/>
        <w:tabs>
          <w:tab w:val="right" w:leader="dot" w:pos="8306"/>
        </w:tabs>
      </w:pPr>
      <w:r>
        <w:rPr>
          <w:rFonts w:hint="eastAsia"/>
        </w:rPr>
        <w:fldChar w:fldCharType="begin"/>
      </w:r>
      <w:r>
        <w:rPr>
          <w:rFonts w:hint="eastAsia"/>
        </w:rPr>
        <w:instrText xml:space="preserve"> HYPERLINK \l _Toc8902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_Toc8902 \h </w:instrText>
      </w:r>
      <w:r>
        <w:fldChar w:fldCharType="separate"/>
      </w:r>
      <w:r>
        <w:t>1</w:t>
      </w:r>
      <w:r>
        <w:rPr>
          <w:rFonts w:hint="eastAsia"/>
          <w:lang w:val="en-US" w:eastAsia="zh-CN"/>
        </w:rPr>
        <w:t>0</w:t>
      </w:r>
      <w:r>
        <w:fldChar w:fldCharType="end"/>
      </w:r>
      <w:r>
        <w:rPr>
          <w:rFonts w:hint="eastAsia"/>
        </w:rPr>
        <w:fldChar w:fldCharType="end"/>
      </w:r>
    </w:p>
    <w:p w14:paraId="1734069B">
      <w:pPr>
        <w:pStyle w:val="36"/>
        <w:tabs>
          <w:tab w:val="right" w:leader="dot" w:pos="8306"/>
        </w:tabs>
      </w:pPr>
      <w:r>
        <w:rPr>
          <w:rFonts w:hint="eastAsia"/>
        </w:rPr>
        <w:fldChar w:fldCharType="begin"/>
      </w:r>
      <w:r>
        <w:rPr>
          <w:rFonts w:hint="eastAsia"/>
        </w:rPr>
        <w:instrText xml:space="preserve"> HYPERLINK \l _Toc21285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_Toc21285 \h </w:instrText>
      </w:r>
      <w:r>
        <w:fldChar w:fldCharType="separate"/>
      </w:r>
      <w:r>
        <w:t>1</w:t>
      </w:r>
      <w:r>
        <w:rPr>
          <w:rFonts w:hint="eastAsia"/>
          <w:lang w:val="en-US" w:eastAsia="zh-CN"/>
        </w:rPr>
        <w:t>0</w:t>
      </w:r>
      <w:r>
        <w:fldChar w:fldCharType="end"/>
      </w:r>
      <w:r>
        <w:rPr>
          <w:rFonts w:hint="eastAsia"/>
        </w:rPr>
        <w:fldChar w:fldCharType="end"/>
      </w:r>
    </w:p>
    <w:p w14:paraId="788E7658">
      <w:pPr>
        <w:pStyle w:val="35"/>
        <w:tabs>
          <w:tab w:val="right" w:leader="dot" w:pos="8306"/>
        </w:tabs>
        <w:rPr>
          <w:b/>
        </w:rPr>
      </w:pPr>
      <w:r>
        <w:rPr>
          <w:rFonts w:hint="eastAsia"/>
          <w:b/>
        </w:rPr>
        <w:fldChar w:fldCharType="begin"/>
      </w:r>
      <w:r>
        <w:rPr>
          <w:rFonts w:hint="eastAsia"/>
          <w:b/>
        </w:rPr>
        <w:instrText xml:space="preserve"> HYPERLINK \l _Toc12498 </w:instrText>
      </w:r>
      <w:r>
        <w:rPr>
          <w:rFonts w:hint="eastAsia"/>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_Toc12498 \h </w:instrText>
      </w:r>
      <w:r>
        <w:rPr>
          <w:b/>
        </w:rPr>
        <w:fldChar w:fldCharType="separate"/>
      </w:r>
      <w:r>
        <w:rPr>
          <w:b/>
        </w:rPr>
        <w:t>1</w:t>
      </w:r>
      <w:r>
        <w:rPr>
          <w:rFonts w:hint="eastAsia"/>
          <w:b/>
          <w:lang w:val="en-US" w:eastAsia="zh-CN"/>
        </w:rPr>
        <w:t>3</w:t>
      </w:r>
      <w:r>
        <w:rPr>
          <w:b/>
        </w:rPr>
        <w:fldChar w:fldCharType="end"/>
      </w:r>
      <w:r>
        <w:rPr>
          <w:rFonts w:hint="eastAsia"/>
          <w:b/>
        </w:rPr>
        <w:fldChar w:fldCharType="end"/>
      </w:r>
    </w:p>
    <w:p w14:paraId="3FD4F095">
      <w:pPr>
        <w:pStyle w:val="35"/>
        <w:tabs>
          <w:tab w:val="right" w:leader="dot" w:pos="8306"/>
        </w:tabs>
        <w:rPr>
          <w:rFonts w:hint="eastAsia" w:eastAsia="宋体"/>
          <w:b/>
          <w:lang w:val="en-US" w:eastAsia="zh-CN"/>
        </w:rPr>
      </w:pPr>
      <w:r>
        <w:rPr>
          <w:rFonts w:hint="eastAsia"/>
          <w:b/>
        </w:rPr>
        <w:fldChar w:fldCharType="begin"/>
      </w:r>
      <w:r>
        <w:rPr>
          <w:rFonts w:hint="eastAsia"/>
          <w:b/>
        </w:rPr>
        <w:instrText xml:space="preserve"> HYPERLINK \l _Toc806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_Toc806 \h </w:instrText>
      </w:r>
      <w:r>
        <w:rPr>
          <w:b/>
        </w:rPr>
        <w:fldChar w:fldCharType="separate"/>
      </w:r>
      <w:r>
        <w:rPr>
          <w:rFonts w:hint="eastAsia"/>
          <w:b/>
          <w:lang w:val="en-US" w:eastAsia="zh-CN"/>
        </w:rPr>
        <w:t>1</w:t>
      </w:r>
      <w:r>
        <w:rPr>
          <w:b/>
        </w:rPr>
        <w:fldChar w:fldCharType="end"/>
      </w:r>
      <w:r>
        <w:rPr>
          <w:rFonts w:hint="eastAsia"/>
          <w:b/>
        </w:rPr>
        <w:fldChar w:fldCharType="end"/>
      </w:r>
      <w:r>
        <w:rPr>
          <w:rFonts w:hint="eastAsia"/>
          <w:b/>
          <w:lang w:val="en-US" w:eastAsia="zh-CN"/>
        </w:rPr>
        <w:t>6</w:t>
      </w:r>
    </w:p>
    <w:p w14:paraId="29A997C8">
      <w:pPr>
        <w:pStyle w:val="35"/>
        <w:tabs>
          <w:tab w:val="right" w:leader="dot" w:pos="8306"/>
        </w:tabs>
        <w:rPr>
          <w:rFonts w:hint="eastAsia" w:eastAsia="宋体"/>
          <w:b/>
          <w:lang w:val="en-US" w:eastAsia="zh-CN"/>
        </w:rPr>
      </w:pPr>
      <w:r>
        <w:rPr>
          <w:rFonts w:hint="eastAsia"/>
          <w:b/>
        </w:rPr>
        <w:fldChar w:fldCharType="begin"/>
      </w:r>
      <w:r>
        <w:rPr>
          <w:rFonts w:hint="eastAsia"/>
          <w:b/>
        </w:rPr>
        <w:instrText xml:space="preserve"> HYPERLINK \l _Toc21648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1</w:t>
      </w:r>
      <w:r>
        <w:rPr>
          <w:rFonts w:hint="eastAsia"/>
          <w:b/>
        </w:rPr>
        <w:fldChar w:fldCharType="end"/>
      </w:r>
      <w:r>
        <w:rPr>
          <w:rFonts w:hint="eastAsia"/>
          <w:b/>
          <w:lang w:val="en-US" w:eastAsia="zh-CN"/>
        </w:rPr>
        <w:t>7</w:t>
      </w:r>
    </w:p>
    <w:p w14:paraId="49ED7593">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_Toc32660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一、收入支出决算总表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138ECD38">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_Toc29099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二、收入决算表</w:t>
      </w:r>
      <w:bookmarkStart w:id="73" w:name="_GoBack"/>
      <w:bookmarkEnd w:id="73"/>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23C39D57">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_Toc18286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三、支出决算表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A3C2FC6">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_Toc29117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四、财政拨款收入支出决算总表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E7CFD6B">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_Toc8440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五、财政拨款支出决算明细表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7F3ED6C">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_Toc13819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六、一般公共预算财政拨款支出决算表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376E91CF">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_Toc18250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七、一般公共预算财政拨款支出决算明细表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7AB00B7A">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_Toc14604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八、一般公共预算财政拨款基本支出决算表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020B5B84">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_Toc28331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九、一般公共预算财政拨款项目支出决算表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8E0ED84">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_Toc31053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十、政府性基金预算财政拨款收入支出决算表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5DD5ABF">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_Toc12886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十一、国有资本经营预算财政拨款收入支出决算表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4E6E7287">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_Toc10780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十二、国有资本经营预算财政拨款支出决算表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C06CB25">
      <w:pPr>
        <w:pStyle w:val="36"/>
        <w:tabs>
          <w:tab w:val="right" w:leader="dot" w:pos="8306"/>
        </w:tabs>
        <w:rPr>
          <w:rFonts w:hint="default"/>
          <w:lang w:val="en-US"/>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_Toc4375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十三、财政拨款“三公”经费支出决算表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38330DB2">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b/>
        </w:rPr>
        <w:fldChar w:fldCharType="end"/>
      </w:r>
      <w:r>
        <w:rPr>
          <w:rFonts w:hint="eastAsia" w:ascii="Times New Roman" w:hAnsi="Times New Roman" w:eastAsia="仿宋_GB2312" w:cs="仿宋_GB2312"/>
          <w:b/>
          <w:color w:val="auto"/>
          <w:sz w:val="32"/>
          <w:szCs w:val="32"/>
          <w:highlight w:val="none"/>
        </w:rPr>
        <w:br w:type="page"/>
      </w:r>
    </w:p>
    <w:p w14:paraId="33F1B6DF">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3"/>
      <w:bookmarkEnd w:id="14"/>
    </w:p>
    <w:p w14:paraId="30133E41">
      <w:pPr>
        <w:widowControl/>
        <w:jc w:val="left"/>
        <w:rPr>
          <w:rFonts w:ascii="Times New Roman" w:hAnsi="Times New Roman" w:eastAsia="黑体"/>
          <w:color w:val="auto"/>
          <w:sz w:val="32"/>
          <w:szCs w:val="32"/>
          <w:highlight w:val="none"/>
        </w:rPr>
      </w:pPr>
    </w:p>
    <w:p w14:paraId="08FC62EB">
      <w:pPr>
        <w:pStyle w:val="5"/>
        <w:rPr>
          <w:rStyle w:val="29"/>
          <w:rFonts w:hint="eastAsia" w:ascii="Times New Roman" w:hAnsi="Times New Roman" w:eastAsia="黑体"/>
          <w:b w:val="0"/>
          <w:bCs w:val="0"/>
          <w:color w:val="auto"/>
          <w:highlight w:val="none"/>
          <w:lang w:eastAsia="zh-CN"/>
        </w:rPr>
      </w:pPr>
      <w:bookmarkStart w:id="15" w:name="_Toc15377197"/>
      <w:bookmarkStart w:id="16" w:name="_Toc15396600"/>
      <w:r>
        <w:rPr>
          <w:rFonts w:hint="eastAsia" w:ascii="Times New Roman" w:hAnsi="Times New Roman" w:eastAsia="黑体"/>
          <w:b w:val="0"/>
          <w:color w:val="auto"/>
          <w:highlight w:val="none"/>
        </w:rPr>
        <w:t>一、</w:t>
      </w:r>
      <w:bookmarkEnd w:id="15"/>
      <w:bookmarkEnd w:id="16"/>
      <w:r>
        <w:rPr>
          <w:rFonts w:hint="eastAsia" w:ascii="Times New Roman" w:hAnsi="Times New Roman" w:eastAsia="黑体"/>
          <w:b w:val="0"/>
          <w:color w:val="auto"/>
          <w:highlight w:val="none"/>
          <w:lang w:eastAsia="zh-CN"/>
        </w:rPr>
        <w:t>单位职责</w:t>
      </w:r>
    </w:p>
    <w:p w14:paraId="26035001">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bookmarkStart w:id="17" w:name="_Toc15377200"/>
      <w:bookmarkStart w:id="18" w:name="_Toc15396601"/>
      <w:r>
        <w:rPr>
          <w:rFonts w:hint="eastAsia" w:ascii="仿宋_GB2312" w:hAnsi="仿宋_GB2312" w:eastAsia="仿宋_GB2312" w:cs="仿宋_GB2312"/>
          <w:sz w:val="32"/>
          <w:szCs w:val="32"/>
        </w:rPr>
        <w:t>1.组织拟订全区政务服务、行政审批制度改革的发展规划、政策和措施并组织、指导实施。</w:t>
      </w:r>
    </w:p>
    <w:p w14:paraId="01419F55">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省、市、区部署和要求，推进相对集中行政许可权改革。负责对划转的行政许可事项进行集中办理；规范行政审批行为，优化办事流程，推进行政审批标准化建设和依法规范公开运行；协调审批事项涉及的各职能部门完成现场勘查、技术论证、社会听证、行政收费等。</w:t>
      </w:r>
    </w:p>
    <w:p w14:paraId="0EB516B4">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3.负责政务服务管理工作。指导、协调并推进全区政务服务体系建设。指导、协调和监督区级部门（单位）政务服务工作。指导、监督相关电子政务服务平台建设和运行工作。</w:t>
      </w:r>
    </w:p>
    <w:p w14:paraId="063808B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4.负责指导、协调、监督、考核进部门（单位）的政务服务工作，审核进驻政务服务事项。对部门（单位）独立设置的办事大厅进行业务指导和监督。</w:t>
      </w:r>
    </w:p>
    <w:p w14:paraId="2EDF665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5.负责职能范围内的安全生产和职业健康、生态环境保护、审批服务便民化等工作。</w:t>
      </w:r>
    </w:p>
    <w:p w14:paraId="58AEFE29">
      <w:pPr>
        <w:pageBreakBefore w:val="0"/>
        <w:kinsoku/>
        <w:wordWrap/>
        <w:overflowPunct/>
        <w:topLinePunct w:val="0"/>
        <w:bidi w:val="0"/>
        <w:adjustRightInd w:val="0"/>
        <w:snapToGrid w:val="0"/>
        <w:spacing w:line="353" w:lineRule="auto"/>
        <w:ind w:left="0" w:right="0" w:firstLine="640" w:firstLineChars="200"/>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6.完成区委、区政府交办的其他任务。</w:t>
      </w:r>
    </w:p>
    <w:p w14:paraId="0BD92C51">
      <w:pPr>
        <w:pageBreakBefore w:val="0"/>
        <w:kinsoku/>
        <w:wordWrap/>
        <w:overflowPunct/>
        <w:topLinePunct w:val="0"/>
        <w:bidi w:val="0"/>
        <w:adjustRightInd w:val="0"/>
        <w:snapToGrid w:val="0"/>
        <w:spacing w:line="353" w:lineRule="auto"/>
        <w:ind w:left="0" w:right="0" w:firstLine="640" w:firstLineChars="200"/>
        <w:textAlignment w:val="auto"/>
        <w:outlineLvl w:val="3"/>
        <w:rPr>
          <w:rFonts w:hint="eastAsia" w:ascii="Times New Roman" w:hAnsi="Times New Roman" w:eastAsia="仿宋_GB2312"/>
          <w:b w:val="0"/>
          <w:color w:val="auto"/>
          <w:highlight w:val="none"/>
          <w:lang w:val="en-US" w:eastAsia="zh-CN"/>
        </w:rPr>
      </w:pPr>
      <w:r>
        <w:rPr>
          <w:rFonts w:hint="eastAsia" w:ascii="仿宋_GB2312" w:hAnsi="仿宋_GB2312" w:eastAsia="仿宋_GB2312" w:cs="仿宋_GB2312"/>
          <w:sz w:val="32"/>
          <w:szCs w:val="32"/>
        </w:rPr>
        <w:t>7.职能转变。坚持以人民为中心的发展思想，以方便企业和群众办事为目标，努力提高政务服务质量和效率。规范行政审批行为，优化办事流程，加快推进审批服务便民化相关举措，持续开展减证便民行政，积极推进政务服务“一网、一门、一次”改革</w:t>
      </w:r>
      <w:r>
        <w:rPr>
          <w:rFonts w:hint="eastAsia" w:ascii="仿宋_GB2312" w:hAnsi="仿宋_GB2312" w:eastAsia="仿宋_GB2312" w:cs="仿宋_GB2312"/>
          <w:sz w:val="32"/>
          <w:szCs w:val="32"/>
          <w:lang w:val="en-US" w:eastAsia="zh-CN"/>
        </w:rPr>
        <w:t>。</w:t>
      </w:r>
    </w:p>
    <w:p w14:paraId="5257560F">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7"/>
      <w:bookmarkEnd w:id="18"/>
    </w:p>
    <w:p w14:paraId="7A76C3B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攀枝花市西区行政审批局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6B0EE469">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攀枝花市西区行政审批局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6E65ACB">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_GB2312" w:hAnsi="仿宋_GB2312" w:eastAsia="仿宋_GB2312" w:cs="仿宋_GB2312"/>
          <w:sz w:val="32"/>
          <w:szCs w:val="32"/>
        </w:rPr>
        <w:t>攀枝花市西区政务服务中心</w:t>
      </w:r>
    </w:p>
    <w:p w14:paraId="6D7D026E">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代管区政府直属事业单位：</w:t>
      </w:r>
      <w:r>
        <w:rPr>
          <w:rFonts w:hint="eastAsia" w:hAnsi="仿宋_GB2312" w:cs="仿宋_GB2312"/>
          <w:sz w:val="32"/>
          <w:szCs w:val="32"/>
          <w:lang w:val="en-US" w:eastAsia="zh-CN"/>
        </w:rPr>
        <w:t>西区公共资源交易服务中心（</w:t>
      </w:r>
      <w:r>
        <w:rPr>
          <w:rFonts w:hint="eastAsia" w:ascii="仿宋_GB2312" w:hAnsi="仿宋_GB2312" w:eastAsia="仿宋_GB2312" w:cs="仿宋_GB2312"/>
          <w:sz w:val="32"/>
          <w:szCs w:val="32"/>
          <w:lang w:val="en-US" w:eastAsia="zh-CN"/>
        </w:rPr>
        <w:t>西区政府采购服务中心</w:t>
      </w:r>
      <w:r>
        <w:rPr>
          <w:rFonts w:hint="eastAsia" w:hAnsi="仿宋_GB2312" w:cs="仿宋_GB2312"/>
          <w:sz w:val="32"/>
          <w:szCs w:val="32"/>
          <w:lang w:val="en-US" w:eastAsia="zh-CN"/>
        </w:rPr>
        <w:t>）</w:t>
      </w:r>
    </w:p>
    <w:p w14:paraId="4F41F118">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p>
    <w:p w14:paraId="43FA05F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B190FAE">
      <w:pPr>
        <w:pStyle w:val="4"/>
        <w:jc w:val="center"/>
        <w:rPr>
          <w:rFonts w:hint="eastAsia" w:ascii="Times New Roman" w:hAnsi="Times New Roman" w:eastAsia="方正小标宋简体" w:cs="方正小标宋简体"/>
          <w:b w:val="0"/>
          <w:color w:val="auto"/>
          <w:highlight w:val="none"/>
        </w:rPr>
      </w:pPr>
      <w:bookmarkStart w:id="19" w:name="_Toc15377204"/>
      <w:bookmarkStart w:id="20"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9"/>
      <w:bookmarkEnd w:id="20"/>
    </w:p>
    <w:p w14:paraId="04A91769">
      <w:pPr>
        <w:rPr>
          <w:rFonts w:ascii="Times New Roman" w:hAnsi="Times New Roman"/>
          <w:color w:val="auto"/>
          <w:highlight w:val="none"/>
        </w:rPr>
      </w:pPr>
    </w:p>
    <w:p w14:paraId="4253A8C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1" w:name="_Toc15377205"/>
      <w:bookmarkStart w:id="22"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1"/>
      <w:bookmarkEnd w:id="22"/>
    </w:p>
    <w:p w14:paraId="6E4713E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371.05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40.85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项目经费减少。</w:t>
      </w:r>
    </w:p>
    <w:p w14:paraId="35E328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A3C8265">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38650" cy="27241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38650" cy="2724150"/>
                    </a:xfrm>
                    <a:prstGeom prst="rect">
                      <a:avLst/>
                    </a:prstGeom>
                    <a:noFill/>
                    <a:ln>
                      <a:noFill/>
                    </a:ln>
                  </pic:spPr>
                </pic:pic>
              </a:graphicData>
            </a:graphic>
          </wp:inline>
        </w:drawing>
      </w:r>
    </w:p>
    <w:p w14:paraId="4E99FE8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96604"/>
      <w:bookmarkStart w:id="24" w:name="_Toc15377206"/>
      <w:r>
        <w:rPr>
          <w:rFonts w:hint="eastAsia" w:ascii="Times New Roman" w:hAnsi="Times New Roman" w:eastAsia="黑体"/>
          <w:color w:val="auto"/>
          <w:sz w:val="32"/>
          <w:szCs w:val="32"/>
          <w:highlight w:val="none"/>
          <w:lang w:eastAsia="zh-CN"/>
        </w:rPr>
        <w:t>二、收入决算情况说明</w:t>
      </w:r>
      <w:bookmarkEnd w:id="23"/>
      <w:bookmarkEnd w:id="24"/>
    </w:p>
    <w:p w14:paraId="4312F6A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329.57万元，其中：一般公共预算财政拨款收入296.28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89.89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33.29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sz w:val="32"/>
          <w:szCs w:val="32"/>
          <w:highlight w:val="none"/>
          <w:lang w:eastAsia="zh-CN"/>
        </w:rPr>
        <w:t>。</w:t>
      </w:r>
    </w:p>
    <w:p w14:paraId="6728BA2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84557C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14825" cy="26479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14825" cy="2647950"/>
                    </a:xfrm>
                    <a:prstGeom prst="rect">
                      <a:avLst/>
                    </a:prstGeom>
                    <a:noFill/>
                    <a:ln>
                      <a:noFill/>
                    </a:ln>
                  </pic:spPr>
                </pic:pic>
              </a:graphicData>
            </a:graphic>
          </wp:inline>
        </w:drawing>
      </w:r>
    </w:p>
    <w:p w14:paraId="06F1A72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5" w:name="_Toc15396605"/>
      <w:bookmarkStart w:id="2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5"/>
      <w:bookmarkEnd w:id="26"/>
    </w:p>
    <w:p w14:paraId="3413AB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371.0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79.84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74.78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20.15</w:t>
      </w:r>
      <w:r>
        <w:rPr>
          <w:rFonts w:hint="eastAsia" w:ascii="仿宋_GB2312" w:hAnsi="仿宋_GB2312" w:eastAsia="仿宋_GB2312" w:cs="仿宋_GB2312"/>
          <w:color w:val="auto"/>
          <w:sz w:val="32"/>
          <w:szCs w:val="32"/>
          <w:highlight w:val="none"/>
          <w:lang w:eastAsia="zh-CN"/>
        </w:rPr>
        <w:t>%。</w:t>
      </w:r>
    </w:p>
    <w:p w14:paraId="3A1BB7B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2BEB2CE">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57600" cy="271462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3657600" cy="2714625"/>
                    </a:xfrm>
                    <a:prstGeom prst="rect">
                      <a:avLst/>
                    </a:prstGeom>
                    <a:noFill/>
                    <a:ln>
                      <a:noFill/>
                    </a:ln>
                  </pic:spPr>
                </pic:pic>
              </a:graphicData>
            </a:graphic>
          </wp:inline>
        </w:drawing>
      </w:r>
    </w:p>
    <w:p w14:paraId="1A010752">
      <w:pPr>
        <w:spacing w:line="600" w:lineRule="exact"/>
        <w:ind w:firstLine="640" w:firstLineChars="200"/>
        <w:outlineLvl w:val="1"/>
        <w:rPr>
          <w:rStyle w:val="29"/>
          <w:rFonts w:ascii="Times New Roman" w:hAnsi="Times New Roman" w:eastAsia="黑体"/>
          <w:b w:val="0"/>
          <w:color w:val="auto"/>
          <w:highlight w:val="none"/>
        </w:rPr>
      </w:pPr>
      <w:bookmarkStart w:id="27" w:name="_Toc15377208"/>
      <w:bookmarkStart w:id="28"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7"/>
      <w:bookmarkEnd w:id="28"/>
    </w:p>
    <w:p w14:paraId="7A017C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371.05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各减少</w:t>
      </w:r>
      <w:r>
        <w:rPr>
          <w:rFonts w:hint="eastAsia" w:eastAsia="仿宋_GB2312" w:cs="仿宋_GB2312"/>
          <w:color w:val="auto"/>
          <w:sz w:val="32"/>
          <w:szCs w:val="32"/>
          <w:highlight w:val="none"/>
          <w:lang w:val="en-US" w:eastAsia="zh-CN"/>
        </w:rPr>
        <w:t>40.85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项目经费减少。</w:t>
      </w:r>
    </w:p>
    <w:p w14:paraId="735950C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201EA5">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05325" cy="275272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05325" cy="2752725"/>
                    </a:xfrm>
                    <a:prstGeom prst="rect">
                      <a:avLst/>
                    </a:prstGeom>
                    <a:noFill/>
                    <a:ln>
                      <a:noFill/>
                    </a:ln>
                  </pic:spPr>
                </pic:pic>
              </a:graphicData>
            </a:graphic>
          </wp:inline>
        </w:drawing>
      </w:r>
    </w:p>
    <w:p w14:paraId="357AEB49">
      <w:pPr>
        <w:spacing w:line="600" w:lineRule="exact"/>
        <w:ind w:firstLine="640" w:firstLineChars="200"/>
        <w:outlineLvl w:val="1"/>
        <w:rPr>
          <w:rStyle w:val="29"/>
          <w:rFonts w:ascii="Times New Roman" w:hAnsi="Times New Roman" w:eastAsia="黑体"/>
          <w:b w:val="0"/>
          <w:color w:val="auto"/>
          <w:highlight w:val="none"/>
        </w:rPr>
      </w:pPr>
      <w:bookmarkStart w:id="29" w:name="_Toc15377209"/>
      <w:bookmarkStart w:id="3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9"/>
      <w:bookmarkEnd w:id="30"/>
    </w:p>
    <w:p w14:paraId="5C45F5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6A40CD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79.84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%。与2023年度相比，一般公共预算财政拨款支出减少61.4万元，下降20.72%。主要变动原因是项目经费减少。</w:t>
      </w:r>
    </w:p>
    <w:p w14:paraId="6883F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DE329DD">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810000" cy="2463165"/>
            <wp:effectExtent l="0" t="0" r="0"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3810000" cy="2463165"/>
                    </a:xfrm>
                    <a:prstGeom prst="rect">
                      <a:avLst/>
                    </a:prstGeom>
                    <a:noFill/>
                    <a:ln>
                      <a:noFill/>
                    </a:ln>
                  </pic:spPr>
                </pic:pic>
              </a:graphicData>
            </a:graphic>
          </wp:inline>
        </w:drawing>
      </w:r>
    </w:p>
    <w:p w14:paraId="17EDD7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2F6F629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216.6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73.11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31.63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10.68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24.59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23.45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w:t>
      </w:r>
    </w:p>
    <w:p w14:paraId="16B68C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7E118D2">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9175" cy="26098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829175" cy="2609850"/>
                    </a:xfrm>
                    <a:prstGeom prst="rect">
                      <a:avLst/>
                    </a:prstGeom>
                    <a:noFill/>
                    <a:ln>
                      <a:noFill/>
                    </a:ln>
                  </pic:spPr>
                </pic:pic>
              </a:graphicData>
            </a:graphic>
          </wp:inline>
        </w:drawing>
      </w:r>
    </w:p>
    <w:p w14:paraId="1C6E43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7C1400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8460"/>
      <w:bookmarkStart w:id="35" w:name="_Toc15377444"/>
      <w:bookmarkStart w:id="3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5DA0CE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91.48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5AAD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2.一般公共服务支出（类）政府办公厅（室）及相关机构事务（款）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125.12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138DB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42B14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CCBD0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4C91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6C0ADD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D07CB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57EEB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6209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48DE10">
      <w:pPr>
        <w:tabs>
          <w:tab w:val="right" w:pos="8306"/>
        </w:tabs>
        <w:spacing w:line="600" w:lineRule="exact"/>
        <w:ind w:firstLine="640"/>
        <w:outlineLvl w:val="1"/>
        <w:rPr>
          <w:rStyle w:val="29"/>
          <w:rFonts w:ascii="Times New Roman" w:hAnsi="Times New Roman"/>
          <w:color w:val="auto"/>
          <w:highlight w:val="none"/>
        </w:rPr>
      </w:pPr>
      <w:bookmarkStart w:id="37" w:name="_Toc15377214"/>
      <w:bookmarkStart w:id="38"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r>
        <w:rPr>
          <w:rStyle w:val="29"/>
          <w:rFonts w:ascii="Times New Roman" w:hAnsi="Times New Roman" w:eastAsia="黑体"/>
          <w:b w:val="0"/>
          <w:color w:val="auto"/>
          <w:highlight w:val="none"/>
        </w:rPr>
        <w:tab/>
      </w:r>
    </w:p>
    <w:p w14:paraId="6D0E91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B75EE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16.15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元，主要包括：办公费、差旅费、工会经费、福利费、其他交通费、其他商品和服务支出。</w:t>
      </w:r>
    </w:p>
    <w:p w14:paraId="5019E2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47E8BD">
      <w:pPr>
        <w:spacing w:line="600" w:lineRule="exact"/>
        <w:ind w:firstLine="640"/>
        <w:outlineLvl w:val="1"/>
        <w:rPr>
          <w:rStyle w:val="29"/>
          <w:rFonts w:ascii="Times New Roman" w:hAnsi="Times New Roman" w:eastAsia="黑体"/>
          <w:b w:val="0"/>
          <w:color w:val="auto"/>
          <w:highlight w:val="none"/>
        </w:rPr>
      </w:pPr>
      <w:bookmarkStart w:id="39" w:name="_Toc15377215"/>
      <w:bookmarkStart w:id="40"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9"/>
      <w:bookmarkEnd w:id="40"/>
    </w:p>
    <w:p w14:paraId="45A0D6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14:paraId="0BCF81F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2024年度无公务接待费支出</w:t>
      </w:r>
      <w:r>
        <w:rPr>
          <w:rFonts w:hint="eastAsia" w:ascii="Times New Roman" w:hAnsi="Times New Roman" w:eastAsia="仿宋_GB2312" w:cs="仿宋_GB2312"/>
          <w:color w:val="auto"/>
          <w:kern w:val="2"/>
          <w:sz w:val="32"/>
          <w:szCs w:val="32"/>
          <w:highlight w:val="none"/>
          <w:lang w:val="en-US" w:eastAsia="zh-CN" w:bidi="ar-SA"/>
        </w:rPr>
        <w:t>。</w:t>
      </w:r>
    </w:p>
    <w:p w14:paraId="0CEFC6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14:paraId="44EA742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DAB33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未使用因公出国（境）经费支出。</w:t>
      </w:r>
    </w:p>
    <w:p w14:paraId="6E8B62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5F08B2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我单位无公务车</w:t>
      </w:r>
      <w:r>
        <w:rPr>
          <w:rFonts w:hint="eastAsia" w:ascii="Times New Roman" w:hAnsi="Times New Roman" w:eastAsia="仿宋_GB2312" w:cs="仿宋_GB2312"/>
          <w:color w:val="auto"/>
          <w:kern w:val="2"/>
          <w:sz w:val="32"/>
          <w:szCs w:val="32"/>
          <w:highlight w:val="none"/>
          <w:lang w:val="en-US" w:eastAsia="zh-CN" w:bidi="ar-SA"/>
        </w:rPr>
        <w:t>。</w:t>
      </w:r>
    </w:p>
    <w:p w14:paraId="3B5AA9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5A810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46A7E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2024年度无公务接待费支出</w:t>
      </w:r>
      <w:r>
        <w:rPr>
          <w:rFonts w:hint="eastAsia" w:ascii="Times New Roman" w:hAnsi="Times New Roman" w:eastAsia="仿宋_GB2312" w:cs="仿宋_GB2312"/>
          <w:color w:val="auto"/>
          <w:kern w:val="2"/>
          <w:sz w:val="32"/>
          <w:szCs w:val="32"/>
          <w:highlight w:val="none"/>
          <w:lang w:val="en-US" w:eastAsia="zh-CN" w:bidi="ar-SA"/>
        </w:rPr>
        <w:t>。其中：</w:t>
      </w:r>
    </w:p>
    <w:p w14:paraId="03825F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1FE70F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3F6F95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3" w:name="_Toc15396610"/>
      <w:bookmarkStart w:id="44" w:name="_Toc15377218"/>
    </w:p>
    <w:p w14:paraId="6CD1D7F0">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3"/>
      <w:bookmarkEnd w:id="44"/>
    </w:p>
    <w:p w14:paraId="6F4A9E5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74.78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20.15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20.56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135526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AD7C5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5" w:name="_Toc15396611"/>
      <w:bookmarkStart w:id="46"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5"/>
      <w:bookmarkEnd w:id="46"/>
    </w:p>
    <w:p w14:paraId="4AA0D1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1B970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59AA7F">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7" w:name="_Toc15377221"/>
      <w:bookmarkStart w:id="48"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7"/>
      <w:bookmarkEnd w:id="48"/>
    </w:p>
    <w:p w14:paraId="47DC05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2"/>
      <w:r>
        <w:rPr>
          <w:rFonts w:hint="eastAsia" w:ascii="Times New Roman" w:hAnsi="Times New Roman" w:eastAsia="楷体_GB2312" w:cs="楷体_GB2312"/>
          <w:b/>
          <w:color w:val="auto"/>
          <w:sz w:val="32"/>
          <w:szCs w:val="32"/>
          <w:highlight w:val="none"/>
        </w:rPr>
        <w:t>（一）机关运行经费支出情况</w:t>
      </w:r>
      <w:bookmarkEnd w:id="49"/>
    </w:p>
    <w:p w14:paraId="16E8CB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厉行节约，机关运行经费减少。</w:t>
      </w:r>
    </w:p>
    <w:p w14:paraId="6E3B75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DD02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3"/>
      <w:r>
        <w:rPr>
          <w:rFonts w:hint="eastAsia" w:ascii="Times New Roman" w:hAnsi="Times New Roman" w:eastAsia="楷体_GB2312" w:cs="楷体_GB2312"/>
          <w:b/>
          <w:color w:val="auto"/>
          <w:sz w:val="32"/>
          <w:szCs w:val="32"/>
          <w:highlight w:val="none"/>
        </w:rPr>
        <w:t>（二）政府采购支出情况</w:t>
      </w:r>
      <w:bookmarkEnd w:id="50"/>
    </w:p>
    <w:p w14:paraId="3A58126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3BA46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C02D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4"/>
      <w:r>
        <w:rPr>
          <w:rFonts w:hint="eastAsia" w:ascii="Times New Roman" w:hAnsi="Times New Roman" w:eastAsia="楷体_GB2312" w:cs="楷体_GB2312"/>
          <w:b/>
          <w:color w:val="auto"/>
          <w:sz w:val="32"/>
          <w:szCs w:val="32"/>
          <w:highlight w:val="none"/>
        </w:rPr>
        <w:t>（三）国有资产占有使用情况</w:t>
      </w:r>
      <w:bookmarkEnd w:id="51"/>
    </w:p>
    <w:p w14:paraId="0396C6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7C1A3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9DEF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C0C8F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rPr>
        <w:t>政务大厅基本运行经费</w:t>
      </w:r>
      <w:r>
        <w:rPr>
          <w:rFonts w:hint="eastAsia" w:ascii="仿宋_GB2312" w:hAnsi="仿宋_GB2312" w:eastAsia="仿宋_GB2312" w:cs="仿宋_GB2312"/>
          <w:color w:val="auto"/>
          <w:sz w:val="32"/>
          <w:szCs w:val="32"/>
          <w:highlight w:val="none"/>
          <w:lang w:eastAsia="zh-CN"/>
        </w:rPr>
        <w:t>、政府采购专项经费</w:t>
      </w:r>
      <w:r>
        <w:rPr>
          <w:rFonts w:hint="eastAsia" w:ascii="仿宋_GB2312" w:hAnsi="仿宋_GB2312" w:eastAsia="仿宋_GB2312" w:cs="仿宋_GB2312"/>
          <w:color w:val="auto"/>
          <w:sz w:val="32"/>
          <w:szCs w:val="32"/>
          <w:highlight w:val="none"/>
          <w:lang w:val="en-US" w:eastAsia="zh-CN"/>
        </w:rPr>
        <w:t>等4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FE068E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w:t>
      </w:r>
      <w:r>
        <w:rPr>
          <w:rFonts w:hint="eastAsia" w:ascii="仿宋_GB2312" w:hAnsi="仿宋_GB2312" w:eastAsia="仿宋_GB2312" w:cs="仿宋_GB2312"/>
          <w:sz w:val="32"/>
          <w:szCs w:val="32"/>
          <w:lang w:val="en-US" w:eastAsia="zh-CN"/>
        </w:rPr>
        <w:t>面开展绩效自评，形成攀枝花市西区行政审批局部门整体（含部门预算项目）绩效自评报告，其中，攀枝花市西区行政审批局部门整体（含部门预算项目）绩效自评得分为97分，绩效自评综述</w:t>
      </w:r>
      <w:r>
        <w:rPr>
          <w:rFonts w:hint="default" w:ascii="仿宋_GB2312" w:hAnsi="仿宋_GB2312" w:eastAsia="仿宋_GB2312" w:cs="仿宋_GB2312"/>
          <w:sz w:val="32"/>
          <w:szCs w:val="32"/>
          <w:lang w:val="zh-CN" w:eastAsia="zh-CN"/>
        </w:rPr>
        <w:t>本单位所有开支均按照财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eastAsia" w:ascii="仿宋_GB2312" w:hAnsi="仿宋_GB2312" w:eastAsia="仿宋_GB2312" w:cs="仿宋_GB2312"/>
          <w:sz w:val="32"/>
          <w:szCs w:val="32"/>
          <w:lang w:val="en-US" w:eastAsia="zh-CN"/>
        </w:rPr>
        <w:t>。绩效自评报告详见附件。</w:t>
      </w:r>
    </w:p>
    <w:p w14:paraId="6E9664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6BDB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D3BE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E3B3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86D1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C0FB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E315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0948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231E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158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CFA5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3C43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0AFAA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2" w:name="_Toc15396613"/>
      <w:bookmarkStart w:id="53"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2"/>
      <w:bookmarkEnd w:id="53"/>
    </w:p>
    <w:p w14:paraId="18B3A1A5">
      <w:pPr>
        <w:spacing w:line="600" w:lineRule="exact"/>
        <w:jc w:val="left"/>
        <w:rPr>
          <w:rFonts w:ascii="Times New Roman" w:hAnsi="Times New Roman"/>
          <w:b/>
          <w:color w:val="auto"/>
          <w:sz w:val="44"/>
          <w:szCs w:val="44"/>
          <w:highlight w:val="none"/>
        </w:rPr>
      </w:pPr>
    </w:p>
    <w:p w14:paraId="36631F2D">
      <w:pPr>
        <w:pStyle w:val="3"/>
        <w:pageBreakBefore w:val="0"/>
        <w:kinsoku/>
        <w:wordWrap/>
        <w:overflowPunct/>
        <w:topLinePunct w:val="0"/>
        <w:bidi w:val="0"/>
        <w:adjustRightInd w:val="0"/>
        <w:snapToGrid w:val="0"/>
        <w:spacing w:line="353" w:lineRule="auto"/>
        <w:ind w:left="0" w:right="0" w:firstLine="640" w:firstLineChars="200"/>
        <w:textAlignment w:val="auto"/>
        <w:outlineLvl w:val="1"/>
        <w:rPr>
          <w:rFonts w:hint="eastAsia" w:ascii="仿宋_GB2312" w:hAnsi="仿宋_GB2312" w:eastAsia="仿宋_GB2312" w:cs="仿宋_GB2312"/>
          <w:color w:val="auto"/>
          <w:sz w:val="32"/>
          <w:szCs w:val="32"/>
        </w:rPr>
      </w:pPr>
      <w:bookmarkStart w:id="54" w:name="_Toc16161"/>
      <w:bookmarkStart w:id="55" w:name="_Toc1323"/>
      <w:bookmarkStart w:id="56" w:name="_Toc593"/>
      <w:r>
        <w:rPr>
          <w:rFonts w:hint="eastAsia" w:ascii="仿宋_GB2312" w:hAnsi="仿宋_GB2312" w:eastAsia="仿宋_GB2312" w:cs="仿宋_GB2312"/>
          <w:color w:val="auto"/>
          <w:sz w:val="32"/>
          <w:szCs w:val="32"/>
        </w:rPr>
        <w:t>1.财政拨款收入：指单位从同级财政部门取得的财政预算资金。</w:t>
      </w:r>
      <w:bookmarkEnd w:id="54"/>
      <w:bookmarkEnd w:id="55"/>
      <w:bookmarkEnd w:id="56"/>
    </w:p>
    <w:p w14:paraId="11DA430B">
      <w:pPr>
        <w:pStyle w:val="3"/>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2.年初结转和结余：指以前年度尚未完成、结转到本年按有关规定继续使用的资金。</w:t>
      </w:r>
    </w:p>
    <w:p w14:paraId="60D26415">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.一般公共服务支出（类）政府办公厅（室）及相关机构事务（款）行政运行（项）：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反映行政单位（包括实行公务员管理的事业单位）的基本支出。</w:t>
      </w:r>
    </w:p>
    <w:p w14:paraId="7993362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.一般公共服务支出（类）政府办公厅（室）及相关机构事务（款）事业运行（项）：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反映事业单位的基本支出，不包括行政单位（包括实行公务员管理的事业单位）后勤服务中心、医务室等附属事业单位。</w:t>
      </w:r>
    </w:p>
    <w:p w14:paraId="04D9E562">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一般公共服务支出（类）政府办公厅（室）及相关机构事务（款）其他政府办公厅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及相关机构事务支出（项）：</w:t>
      </w:r>
      <w:r>
        <w:rPr>
          <w:rFonts w:hint="eastAsia" w:ascii="仿宋_GB2312" w:hAnsi="仿宋_GB2312" w:eastAsia="仿宋_GB2312" w:cs="仿宋_GB2312"/>
          <w:sz w:val="32"/>
          <w:szCs w:val="32"/>
          <w:lang w:eastAsia="zh-CN"/>
        </w:rPr>
        <w:t>指反映除上述项目以外的其他政府办公厅（室）及相关机构事务支出</w:t>
      </w:r>
      <w:r>
        <w:rPr>
          <w:rFonts w:hint="eastAsia" w:ascii="仿宋_GB2312" w:hAnsi="仿宋_GB2312" w:eastAsia="仿宋_GB2312" w:cs="仿宋_GB2312"/>
          <w:sz w:val="32"/>
          <w:szCs w:val="32"/>
        </w:rPr>
        <w:t>。</w:t>
      </w:r>
    </w:p>
    <w:p w14:paraId="3ED2D197">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.社会保障和就业支出（类）行政事业单位养老支出（款）机关事业单位基本养老保险缴费支出（项）：指机关事业单位实施养老保险制度</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单位缴纳的基本养老保险费支出。</w:t>
      </w:r>
    </w:p>
    <w:p w14:paraId="25640BE8">
      <w:pPr>
        <w:pageBreakBefore w:val="0"/>
        <w:kinsoku/>
        <w:wordWrap/>
        <w:overflowPunct/>
        <w:topLinePunct w:val="0"/>
        <w:autoSpaceDE w:val="0"/>
        <w:autoSpaceDN w:val="0"/>
        <w:bidi w:val="0"/>
        <w:adjustRightInd w:val="0"/>
        <w:snapToGrid w:val="0"/>
        <w:spacing w:line="353" w:lineRule="auto"/>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 行政单位医疗（项）：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6C8B9081">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（类）行政事业单位医疗支出（款）事业单位医疗（项）：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反映财政部门安排的事业单位基本医疗保险缴费经费，未参加医疗保险的事业单位的公费医疗经费，按国家规定享受离休人员待遇的医疗经费。</w:t>
      </w:r>
    </w:p>
    <w:p w14:paraId="4340265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（类）行政事业单位医疗支出（款）公务员医疗补助：</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反映财政部门安排的公务员医疗补助经费。</w:t>
      </w:r>
    </w:p>
    <w:p w14:paraId="12D2744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（类）行政事业单位医疗支出（款）其他行政事业单位医疗支出（项）：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反映除上述项目以外的其他用于行政事业单位医疗方面的支出。</w:t>
      </w:r>
    </w:p>
    <w:p w14:paraId="4D9F956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.城乡社区支出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国有土地使用权出让收入安排的支出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土地开发支出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反映新疆生产建设兵团和地方政府用于前期土地开发性支出以及与前期土地开发相关的费用等支出</w:t>
      </w:r>
      <w:r>
        <w:rPr>
          <w:rFonts w:hint="eastAsia" w:ascii="仿宋_GB2312" w:hAnsi="仿宋_GB2312" w:eastAsia="仿宋_GB2312" w:cs="仿宋_GB2312"/>
          <w:sz w:val="32"/>
          <w:szCs w:val="32"/>
        </w:rPr>
        <w:t>。</w:t>
      </w:r>
    </w:p>
    <w:p w14:paraId="74C829E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.住房保障支出（类）住房改革支出（款）住房公积金（项）：指行政事业单位按人力资源和社会保障部、财政部规定的基本工资和津贴补贴以及规定比例为职工缴纳的住房公积金。</w:t>
      </w:r>
    </w:p>
    <w:p w14:paraId="19FF481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.基本支出：指为保障机构正常运转、完成日常工作任务而发生的人员支出和公用支出。</w:t>
      </w:r>
    </w:p>
    <w:p w14:paraId="3528DCC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.项目支出：指在基本支出之外为完成特定行政任务和事业发展目标所发生的支出。</w:t>
      </w:r>
    </w:p>
    <w:p w14:paraId="6E21D2BD">
      <w:pPr>
        <w:pStyle w:val="3"/>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76F78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B2AF82">
      <w:pPr>
        <w:spacing w:line="600" w:lineRule="exact"/>
        <w:jc w:val="center"/>
        <w:rPr>
          <w:rStyle w:val="28"/>
          <w:rFonts w:hint="eastAsia" w:ascii="Times New Roman" w:hAnsi="Times New Roman" w:eastAsia="黑体"/>
          <w:b w:val="0"/>
          <w:color w:val="auto"/>
          <w:highlight w:val="none"/>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8"/>
    </w:p>
    <w:p w14:paraId="3357F5F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3CA88D5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2E7B3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0BF133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7"/>
      <w:bookmarkEnd w:id="59"/>
      <w:bookmarkStart w:id="60" w:name="_Toc15396619"/>
    </w:p>
    <w:p w14:paraId="6E368E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65AEC4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6C7B22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72694D8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6C2BA0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5F4746D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4C6682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5E8FE6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66151A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2A681B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7A9B92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1CF45D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1190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3702693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7DF05DE6">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E4A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BA1B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9BA1B0">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21E919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ED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63B1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663B1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1D1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60C5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860C5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825A22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B2C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2FB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D52FB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F8B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9F30E0"/>
    <w:rsid w:val="12E24EE2"/>
    <w:rsid w:val="13D50BC4"/>
    <w:rsid w:val="14B17F78"/>
    <w:rsid w:val="14BD54B5"/>
    <w:rsid w:val="165E0673"/>
    <w:rsid w:val="16B831D5"/>
    <w:rsid w:val="16BB723D"/>
    <w:rsid w:val="17E50567"/>
    <w:rsid w:val="186504BB"/>
    <w:rsid w:val="19A445FC"/>
    <w:rsid w:val="1BE8440E"/>
    <w:rsid w:val="1D155CEE"/>
    <w:rsid w:val="1D1638FE"/>
    <w:rsid w:val="1E312DEB"/>
    <w:rsid w:val="1E740ACF"/>
    <w:rsid w:val="1FF35744"/>
    <w:rsid w:val="1FF6BC77"/>
    <w:rsid w:val="208B64E2"/>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B20F38"/>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0D45CD"/>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5414</Words>
  <Characters>5849</Characters>
  <Lines>61</Lines>
  <Paragraphs>17</Paragraphs>
  <TotalTime>10</TotalTime>
  <ScaleCrop>false</ScaleCrop>
  <LinksUpToDate>false</LinksUpToDate>
  <CharactersWithSpaces>5907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风吹杨柳</cp:lastModifiedBy>
  <cp:lastPrinted>2025-08-06T17:34:00Z</cp:lastPrinted>
  <dcterms:modified xsi:type="dcterms:W3CDTF">2025-10-27T02:11:38Z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7C7BF0A616BC401D96EADC9B68DBA9BF_13</vt:lpwstr>
  </property>
  <property fmtid="{D5CDD505-2E9C-101B-9397-08002B2CF9AE}" pid="4" name="KSOTemplateDocerSaveRecord">
    <vt:lpwstr>eyJoZGlkIjoiZjYwNjAxZWJjZDEzZGRiYWE1MmYwNTM1Mjk2ZTNjMTIiLCJ1c2VySWQiOiIzNTU2ODEyOTkifQ==</vt:lpwstr>
  </property>
</Properties>
</file>