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7425"/>
      <w:bookmarkStart w:id="1" w:name="_Toc15396475"/>
      <w:bookmarkStart w:id="2" w:name="_Toc15378441"/>
      <w:bookmarkStart w:id="3" w:name="_Toc15377193"/>
      <w:bookmarkStart w:id="4" w:name="_Toc15396597"/>
      <w:bookmarkStart w:id="5" w:name="_Toc15306267"/>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77194"/>
      <w:bookmarkStart w:id="9" w:name="_Toc15396476"/>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p>
    <w:p>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攀枝花市西区社会保险事务中心</w:t>
      </w: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27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cstheme="minorBidi"/>
          <w:sz w:val="24"/>
          <w:szCs w:val="24"/>
        </w:rPr>
        <w:tab/>
      </w:r>
      <w:r>
        <w:rPr>
          <w:rFonts w:hint="eastAsia" w:cstheme="minorBidi"/>
          <w:sz w:val="24"/>
          <w:szCs w:val="24"/>
        </w:rPr>
        <w:t>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cstheme="minorBidi"/>
          <w:sz w:val="24"/>
          <w:szCs w:val="24"/>
        </w:rPr>
        <w:tab/>
      </w:r>
      <w:r>
        <w:rPr>
          <w:rFonts w:hint="eastAsia" w:cstheme="minorBidi"/>
          <w:sz w:val="24"/>
          <w:szCs w:val="24"/>
        </w:rPr>
        <w:t>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cstheme="minorBidi"/>
          <w:sz w:val="24"/>
          <w:szCs w:val="24"/>
        </w:rPr>
        <w:tab/>
      </w:r>
      <w:r>
        <w:rPr>
          <w:rFonts w:hint="eastAsia" w:cstheme="minorBidi"/>
          <w:sz w:val="24"/>
          <w:szCs w:val="24"/>
        </w:rPr>
        <w:t>4</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r>
        <w:rPr>
          <w:rFonts w:cstheme="minorBidi"/>
          <w:sz w:val="24"/>
          <w:szCs w:val="24"/>
        </w:rPr>
        <w:tab/>
      </w:r>
      <w:r>
        <w:rPr>
          <w:rFonts w:hint="eastAsia" w:cstheme="minorBidi"/>
          <w:sz w:val="24"/>
          <w:szCs w:val="24"/>
          <w:lang w:val="en-US" w:eastAsia="zh-CN"/>
        </w:rPr>
        <w:t>6</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一、收入支出决算总体情况说明</w:t>
      </w:r>
      <w:r>
        <w:rPr>
          <w:rFonts w:cstheme="minorBidi"/>
          <w:sz w:val="24"/>
          <w:szCs w:val="24"/>
        </w:rPr>
        <w:tab/>
      </w:r>
      <w:r>
        <w:rPr>
          <w:rFonts w:hint="eastAsia" w:cstheme="minorBidi"/>
          <w:sz w:val="24"/>
          <w:szCs w:val="24"/>
          <w:lang w:val="en-US" w:eastAsia="zh-CN"/>
        </w:rPr>
        <w:t>6</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二、收入决算情况说明</w:t>
      </w:r>
      <w:r>
        <w:rPr>
          <w:rFonts w:cstheme="minorBidi"/>
          <w:sz w:val="24"/>
          <w:szCs w:val="24"/>
        </w:rPr>
        <w:tab/>
      </w:r>
      <w:r>
        <w:rPr>
          <w:rFonts w:hint="eastAsia" w:cstheme="minorBidi"/>
          <w:sz w:val="24"/>
          <w:szCs w:val="24"/>
          <w:lang w:val="en-US" w:eastAsia="zh-CN"/>
        </w:rPr>
        <w:t>6</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三、支出决算情况说明</w:t>
      </w:r>
      <w:r>
        <w:rPr>
          <w:rFonts w:cstheme="minorBidi"/>
          <w:sz w:val="24"/>
          <w:szCs w:val="24"/>
        </w:rPr>
        <w:tab/>
      </w:r>
      <w:r>
        <w:rPr>
          <w:rFonts w:hint="eastAsia" w:cstheme="minorBidi"/>
          <w:sz w:val="24"/>
          <w:szCs w:val="24"/>
          <w:lang w:val="en-US" w:eastAsia="zh-CN"/>
        </w:rPr>
        <w:t>7</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cstheme="minorBidi"/>
          <w:sz w:val="24"/>
          <w:szCs w:val="24"/>
        </w:rPr>
        <w:tab/>
      </w:r>
      <w:r>
        <w:rPr>
          <w:rFonts w:hint="eastAsia" w:cstheme="minorBidi"/>
          <w:sz w:val="24"/>
          <w:szCs w:val="24"/>
          <w:lang w:val="en-US" w:eastAsia="zh-CN"/>
        </w:rPr>
        <w:t>7</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cstheme="minorBidi"/>
          <w:sz w:val="24"/>
          <w:szCs w:val="24"/>
        </w:rPr>
        <w:tab/>
      </w:r>
      <w:r>
        <w:rPr>
          <w:rFonts w:hint="eastAsia" w:cstheme="minorBidi"/>
          <w:sz w:val="24"/>
          <w:szCs w:val="24"/>
          <w:lang w:val="en-US" w:eastAsia="zh-CN"/>
        </w:rPr>
        <w:t>8</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cstheme="minorBidi"/>
          <w:sz w:val="24"/>
          <w:szCs w:val="24"/>
        </w:rPr>
        <w:tab/>
      </w:r>
      <w:r>
        <w:rPr>
          <w:rFonts w:hint="eastAsia" w:cstheme="minorBidi"/>
          <w:sz w:val="24"/>
          <w:szCs w:val="24"/>
          <w:lang w:val="en-US" w:eastAsia="zh-CN"/>
        </w:rPr>
        <w:t>11</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cstheme="minorBidi"/>
          <w:sz w:val="24"/>
          <w:szCs w:val="24"/>
        </w:rPr>
        <w:tab/>
      </w:r>
      <w:r>
        <w:rPr>
          <w:rFonts w:hint="eastAsia" w:cstheme="minorBidi"/>
          <w:sz w:val="24"/>
          <w:szCs w:val="24"/>
          <w:lang w:val="en-US" w:eastAsia="zh-CN"/>
        </w:rPr>
        <w:t>11</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cstheme="minorBidi"/>
          <w:sz w:val="24"/>
          <w:szCs w:val="24"/>
        </w:rPr>
        <w:tab/>
      </w:r>
      <w:r>
        <w:rPr>
          <w:rFonts w:hint="eastAsia" w:cstheme="minorBidi"/>
          <w:sz w:val="24"/>
          <w:szCs w:val="24"/>
          <w:lang w:val="en-US" w:eastAsia="zh-CN"/>
        </w:rPr>
        <w:t>13</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cstheme="minorBidi"/>
          <w:sz w:val="24"/>
          <w:szCs w:val="24"/>
        </w:rPr>
        <w:tab/>
      </w:r>
      <w:r>
        <w:rPr>
          <w:rFonts w:hint="eastAsia" w:cstheme="minorBidi"/>
          <w:sz w:val="24"/>
          <w:szCs w:val="24"/>
          <w:lang w:val="en-US" w:eastAsia="zh-CN"/>
        </w:rPr>
        <w:t>13</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cstheme="minorBidi"/>
          <w:sz w:val="24"/>
          <w:szCs w:val="24"/>
        </w:rPr>
        <w:tab/>
      </w:r>
      <w:r>
        <w:rPr>
          <w:rFonts w:hint="eastAsia" w:cstheme="minorBidi"/>
          <w:sz w:val="24"/>
          <w:szCs w:val="24"/>
          <w:lang w:val="en-US" w:eastAsia="zh-CN"/>
        </w:rPr>
        <w:t>13</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cstheme="minorBidi"/>
          <w:sz w:val="24"/>
          <w:szCs w:val="24"/>
        </w:rPr>
        <w:tab/>
      </w:r>
      <w:r>
        <w:rPr>
          <w:rFonts w:hint="eastAsia" w:cstheme="minorBidi"/>
          <w:sz w:val="24"/>
          <w:szCs w:val="24"/>
          <w:lang w:val="en-US" w:eastAsia="zh-CN"/>
        </w:rPr>
        <w:t>16</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cstheme="minorBidi"/>
          <w:sz w:val="24"/>
          <w:szCs w:val="24"/>
        </w:rPr>
        <w:tab/>
      </w:r>
      <w:r>
        <w:rPr>
          <w:rFonts w:hint="eastAsia" w:cstheme="minorBidi"/>
          <w:sz w:val="24"/>
          <w:szCs w:val="24"/>
          <w:lang w:val="en-US" w:eastAsia="zh-CN"/>
        </w:rPr>
        <w:t>19</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cstheme="minorBidi"/>
          <w:sz w:val="24"/>
          <w:szCs w:val="24"/>
        </w:rPr>
        <w:tab/>
      </w:r>
      <w:r>
        <w:rPr>
          <w:rFonts w:hint="eastAsia" w:cstheme="minorBidi"/>
          <w:sz w:val="24"/>
          <w:szCs w:val="24"/>
          <w:lang w:val="en-US" w:eastAsia="zh-CN"/>
        </w:rPr>
        <w:t>20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cstheme="minorBidi"/>
          <w:sz w:val="24"/>
          <w:szCs w:val="24"/>
        </w:rPr>
        <w:tab/>
      </w:r>
      <w:r>
        <w:rPr>
          <w:rFonts w:hint="eastAsia" w:cstheme="minorBidi"/>
          <w:sz w:val="24"/>
          <w:szCs w:val="24"/>
          <w:lang w:val="en-US" w:eastAsia="zh-CN"/>
        </w:rPr>
        <w:t>20</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12"/>
      <w:bookmarkEnd w:id="13"/>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主要职责</w:t>
      </w:r>
    </w:p>
    <w:p>
      <w:pPr>
        <w:ind w:firstLine="566" w:firstLineChars="177"/>
        <w:rPr>
          <w:rFonts w:ascii="仿宋_GB2312" w:eastAsia="仿宋_GB2312"/>
          <w:sz w:val="32"/>
          <w:szCs w:val="32"/>
        </w:rPr>
      </w:pPr>
      <w:r>
        <w:rPr>
          <w:rFonts w:hint="eastAsia" w:ascii="仿宋_GB2312" w:eastAsia="仿宋_GB2312"/>
          <w:sz w:val="32"/>
          <w:szCs w:val="32"/>
        </w:rPr>
        <w:t>1、贯彻执行党和国家有关社会保险的路线、方针、政策和法律、法规。</w:t>
      </w:r>
    </w:p>
    <w:p>
      <w:pPr>
        <w:ind w:firstLine="566" w:firstLineChars="177"/>
        <w:rPr>
          <w:rFonts w:ascii="仿宋_GB2312" w:eastAsia="仿宋_GB2312"/>
          <w:sz w:val="32"/>
          <w:szCs w:val="32"/>
        </w:rPr>
      </w:pPr>
      <w:r>
        <w:rPr>
          <w:rFonts w:hint="eastAsia" w:ascii="仿宋_GB2312" w:eastAsia="仿宋_GB2312"/>
          <w:sz w:val="32"/>
          <w:szCs w:val="32"/>
        </w:rPr>
        <w:t>2、负责辖区内参保单位和个人养老、工伤、生育、失业、医疗保险基金的征收、管理、拨付等工作；</w:t>
      </w:r>
    </w:p>
    <w:p>
      <w:pPr>
        <w:ind w:firstLine="566" w:firstLineChars="177"/>
        <w:rPr>
          <w:rFonts w:ascii="仿宋_GB2312" w:eastAsia="仿宋_GB2312"/>
          <w:sz w:val="32"/>
          <w:szCs w:val="32"/>
        </w:rPr>
      </w:pPr>
      <w:r>
        <w:rPr>
          <w:rFonts w:hint="eastAsia" w:ascii="仿宋_GB2312" w:eastAsia="仿宋_GB2312"/>
          <w:sz w:val="32"/>
          <w:szCs w:val="32"/>
        </w:rPr>
        <w:t>3、承办辖区参保单位社会保险登记、变更、注销，职工保险关系转移，灵活就业人员参保、续保工作；</w:t>
      </w:r>
    </w:p>
    <w:p>
      <w:pPr>
        <w:ind w:firstLine="566" w:firstLineChars="177"/>
        <w:rPr>
          <w:rFonts w:ascii="仿宋_GB2312" w:eastAsia="仿宋_GB2312"/>
          <w:sz w:val="32"/>
          <w:szCs w:val="32"/>
        </w:rPr>
      </w:pPr>
      <w:r>
        <w:rPr>
          <w:rFonts w:hint="eastAsia" w:ascii="仿宋_GB2312" w:eastAsia="仿宋_GB2312"/>
          <w:sz w:val="32"/>
          <w:szCs w:val="32"/>
        </w:rPr>
        <w:t>4、审核参保职工待遇享受条件、计算其待遇，按时足额发放各类社会保险金。指导、督促协调街镇搞好社会保险工作；</w:t>
      </w:r>
    </w:p>
    <w:p>
      <w:pPr>
        <w:ind w:firstLine="566" w:firstLineChars="177"/>
        <w:rPr>
          <w:rFonts w:ascii="仿宋_GB2312" w:eastAsia="仿宋_GB2312"/>
          <w:sz w:val="32"/>
          <w:szCs w:val="32"/>
        </w:rPr>
      </w:pPr>
      <w:r>
        <w:rPr>
          <w:rFonts w:hint="eastAsia" w:ascii="仿宋_GB2312" w:eastAsia="仿宋_GB2312"/>
          <w:sz w:val="32"/>
          <w:szCs w:val="32"/>
        </w:rPr>
        <w:t>5、负责社会保险数据、信息的处理和管理；</w:t>
      </w:r>
    </w:p>
    <w:p>
      <w:pPr>
        <w:ind w:firstLine="566" w:firstLineChars="177"/>
        <w:rPr>
          <w:rFonts w:ascii="仿宋_GB2312" w:eastAsia="仿宋_GB2312"/>
          <w:sz w:val="32"/>
          <w:szCs w:val="32"/>
        </w:rPr>
      </w:pPr>
      <w:r>
        <w:rPr>
          <w:rFonts w:hint="eastAsia" w:ascii="仿宋_GB2312" w:eastAsia="仿宋_GB2312"/>
          <w:sz w:val="32"/>
          <w:szCs w:val="32"/>
        </w:rPr>
        <w:t>6、为参保单位和个人提供有关社会保险政策宣传咨询服务，受理群众来信来访；</w:t>
      </w:r>
    </w:p>
    <w:p>
      <w:pPr>
        <w:ind w:firstLine="566" w:firstLineChars="177"/>
        <w:rPr>
          <w:rFonts w:hint="eastAsia"/>
          <w:lang w:eastAsia="zh-CN"/>
        </w:rPr>
      </w:pPr>
      <w:r>
        <w:rPr>
          <w:rFonts w:hint="eastAsia" w:ascii="仿宋_GB2312" w:eastAsia="仿宋_GB2312"/>
          <w:sz w:val="32"/>
          <w:szCs w:val="32"/>
        </w:rPr>
        <w:t>7、负责完成区委、区政府和上级部门交办的各项工作任务。</w:t>
      </w:r>
    </w:p>
    <w:p>
      <w:pPr>
        <w:pStyle w:val="4"/>
        <w:rPr>
          <w:rStyle w:val="31"/>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宋体" w:eastAsia="仿宋_GB2312" w:cs="仿宋_GB2312"/>
          <w:sz w:val="32"/>
          <w:szCs w:val="32"/>
        </w:rPr>
        <w:t>攀枝花市西区社会保险事务中心</w:t>
      </w:r>
      <w:r>
        <w:rPr>
          <w:rFonts w:hint="eastAsia" w:ascii="仿宋_GB2312" w:hAnsi="宋体" w:eastAsia="仿宋_GB2312" w:cs="仿宋_GB2312"/>
          <w:sz w:val="32"/>
          <w:szCs w:val="32"/>
          <w:lang w:eastAsia="zh-CN"/>
        </w:rPr>
        <w:t>是</w:t>
      </w:r>
      <w:r>
        <w:rPr>
          <w:rFonts w:hint="eastAsia" w:ascii="仿宋_GB2312" w:hAnsi="宋体" w:eastAsia="仿宋_GB2312" w:cs="仿宋_GB2312"/>
          <w:sz w:val="32"/>
          <w:szCs w:val="32"/>
        </w:rPr>
        <w:t>属于攀枝花市西区人力资源和社会保障局下属的二级单位，</w:t>
      </w:r>
      <w:r>
        <w:rPr>
          <w:rFonts w:hint="eastAsia" w:ascii="仿宋_GB2312" w:hAnsi="仿宋_GB2312" w:eastAsia="仿宋_GB2312" w:cs="仿宋_GB2312"/>
          <w:color w:val="auto"/>
          <w:sz w:val="32"/>
          <w:szCs w:val="32"/>
          <w:highlight w:val="none"/>
        </w:rPr>
        <w:t>攀枝花市西区社会保险事务中心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pStyle w:val="6"/>
        <w:adjustRightInd w:val="0"/>
        <w:snapToGrid w:val="0"/>
        <w:spacing w:before="93" w:line="6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攀枝花市西区社会保险事务中心</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val="en-US" w:eastAsia="zh-CN"/>
        </w:rPr>
        <w:t>0个。</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1320800</wp:posOffset>
            </wp:positionH>
            <wp:positionV relativeFrom="paragraph">
              <wp:posOffset>4189730</wp:posOffset>
            </wp:positionV>
            <wp:extent cx="2612390" cy="1780540"/>
            <wp:effectExtent l="4445" t="4445" r="12065" b="571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w:t>
      </w:r>
      <w:r>
        <w:rPr>
          <w:rFonts w:hint="eastAsia" w:ascii="仿宋" w:hAnsi="仿宋" w:eastAsia="仿宋"/>
          <w:sz w:val="32"/>
          <w:szCs w:val="32"/>
          <w:lang w:eastAsia="zh-CN"/>
        </w:rPr>
        <w:t>入、支出</w:t>
      </w:r>
      <w:r>
        <w:rPr>
          <w:rFonts w:hint="eastAsia" w:ascii="仿宋" w:hAnsi="仿宋" w:eastAsia="仿宋"/>
          <w:sz w:val="32"/>
          <w:szCs w:val="32"/>
        </w:rPr>
        <w:t>总计</w:t>
      </w:r>
      <w:r>
        <w:rPr>
          <w:rFonts w:hint="eastAsia" w:ascii="仿宋" w:hAnsi="仿宋" w:eastAsia="仿宋"/>
          <w:sz w:val="32"/>
          <w:szCs w:val="32"/>
          <w:lang w:eastAsia="zh-CN"/>
        </w:rPr>
        <w:t>均</w:t>
      </w:r>
      <w:r>
        <w:rPr>
          <w:rFonts w:hint="eastAsia" w:ascii="仿宋" w:hAnsi="仿宋" w:eastAsia="仿宋"/>
          <w:sz w:val="32"/>
          <w:szCs w:val="32"/>
        </w:rPr>
        <w:t>为</w:t>
      </w:r>
      <w:r>
        <w:rPr>
          <w:rFonts w:hint="eastAsia" w:ascii="仿宋" w:hAnsi="仿宋" w:eastAsia="仿宋"/>
          <w:sz w:val="32"/>
          <w:szCs w:val="32"/>
          <w:lang w:val="en-US" w:eastAsia="zh-CN"/>
        </w:rPr>
        <w:t>392.17万元（含安排存量资金11.57万元）</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年相比，收入</w:t>
      </w:r>
      <w:r>
        <w:rPr>
          <w:rFonts w:hint="eastAsia" w:ascii="仿宋" w:hAnsi="仿宋" w:eastAsia="仿宋"/>
          <w:sz w:val="32"/>
          <w:szCs w:val="32"/>
          <w:lang w:eastAsia="zh-CN"/>
        </w:rPr>
        <w:t>、支出均减少</w:t>
      </w:r>
      <w:r>
        <w:rPr>
          <w:rFonts w:hint="eastAsia" w:ascii="仿宋" w:hAnsi="仿宋" w:eastAsia="仿宋"/>
          <w:sz w:val="32"/>
          <w:szCs w:val="32"/>
          <w:lang w:val="en-US" w:eastAsia="zh-CN"/>
        </w:rPr>
        <w:t>25.29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6.06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受工资改革补发等偶然因素、人员结构变化以及</w:t>
      </w:r>
      <w:r>
        <w:rPr>
          <w:rFonts w:hint="eastAsia" w:ascii="仿宋_GB2312" w:hAnsi="宋体" w:eastAsia="仿宋_GB2312" w:cs="仿宋_GB2312"/>
          <w:sz w:val="32"/>
          <w:szCs w:val="32"/>
        </w:rPr>
        <w:t>正常的工资晋升及社保基数调整</w:t>
      </w:r>
      <w:r>
        <w:rPr>
          <w:rFonts w:hint="eastAsia" w:ascii="仿宋_GB2312" w:hAnsi="宋体" w:eastAsia="仿宋_GB2312" w:cs="仿宋_GB2312"/>
          <w:sz w:val="32"/>
          <w:szCs w:val="32"/>
          <w:lang w:eastAsia="zh-CN"/>
        </w:rPr>
        <w:t>等因素的综合影响</w:t>
      </w:r>
      <w:r>
        <w:rPr>
          <w:rFonts w:hint="eastAsia" w:ascii="仿宋_GB2312" w:hAnsi="宋体" w:eastAsia="仿宋_GB2312" w:cs="仿宋_GB2312"/>
          <w:sz w:val="32"/>
          <w:szCs w:val="32"/>
        </w:rPr>
        <w:t>，人员经费</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26.82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、公用经费减少</w:t>
      </w:r>
      <w:r>
        <w:rPr>
          <w:rFonts w:hint="eastAsia" w:ascii="仿宋_GB2312" w:hAnsi="宋体" w:eastAsia="仿宋_GB2312" w:cs="仿宋_GB2312"/>
          <w:sz w:val="32"/>
          <w:szCs w:val="32"/>
          <w:lang w:val="en-US" w:eastAsia="zh-CN"/>
        </w:rPr>
        <w:t>1.28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、项目经费</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2.81</w:t>
      </w:r>
      <w:r>
        <w:rPr>
          <w:rFonts w:hint="eastAsia" w:ascii="仿宋_GB2312" w:hAnsi="宋体" w:eastAsia="仿宋_GB2312" w:cs="仿宋_GB2312"/>
          <w:sz w:val="32"/>
          <w:szCs w:val="32"/>
        </w:rPr>
        <w:t>万元，其中：</w:t>
      </w:r>
      <w:r>
        <w:rPr>
          <w:rFonts w:hint="eastAsia" w:ascii="仿宋_GB2312" w:hAnsi="仿宋" w:eastAsia="仿宋_GB2312" w:cs="仿宋"/>
          <w:color w:val="000000"/>
          <w:sz w:val="32"/>
          <w:szCs w:val="32"/>
        </w:rPr>
        <w:t>城乡居民养老保险区级财政补助资金项目增加11.85万元；省级财政社保公共服务能力建设资金项目减少4.41万元；省级财政困难群众养老保险代缴资金项目减少3.15万元；困难群众城乡居民养老保险市级代缴补助资金项目减少1.48万元。</w:t>
      </w:r>
    </w:p>
    <w:p>
      <w:pPr>
        <w:pStyle w:val="2"/>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Times New Roman" w:hAnsi="Times New Roman" w:eastAsia="仿宋_GB2312" w:cs="仿宋_GB2312"/>
          <w:color w:val="auto"/>
          <w:sz w:val="32"/>
          <w:szCs w:val="32"/>
          <w:highlight w:val="none"/>
        </w:rPr>
      </w:pPr>
    </w:p>
    <w:p>
      <w:pPr>
        <w:spacing w:line="600" w:lineRule="exact"/>
        <w:ind w:firstLine="1280" w:firstLineChars="400"/>
        <w:rPr>
          <w:rFonts w:hint="eastAsia" w:ascii="仿宋" w:hAnsi="仿宋" w:eastAsia="仿宋"/>
          <w:sz w:val="32"/>
          <w:szCs w:val="32"/>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380.6万元，其中：一般公共预算财政拨款收入380.6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1013460</wp:posOffset>
            </wp:positionH>
            <wp:positionV relativeFrom="paragraph">
              <wp:posOffset>107950</wp:posOffset>
            </wp:positionV>
            <wp:extent cx="3104515" cy="2000250"/>
            <wp:effectExtent l="5080" t="5080" r="14605" b="1397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1440" w:firstLineChars="4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2"/>
      <w:bookmarkEnd w:id="2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392.17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305.71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77.95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86.46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 w:hAnsi="仿宋" w:eastAsia="仿宋"/>
          <w:sz w:val="32"/>
          <w:szCs w:val="32"/>
          <w:shd w:val="pct10" w:color="auto" w:fill="FFFFFF"/>
          <w:lang w:eastAsia="zh-CN"/>
        </w:rPr>
        <w:drawing>
          <wp:anchor distT="0" distB="0" distL="114300" distR="114300" simplePos="0" relativeHeight="251669504" behindDoc="0" locked="0" layoutInCell="1" allowOverlap="1">
            <wp:simplePos x="0" y="0"/>
            <wp:positionH relativeFrom="column">
              <wp:posOffset>988695</wp:posOffset>
            </wp:positionH>
            <wp:positionV relativeFrom="paragraph">
              <wp:posOffset>99695</wp:posOffset>
            </wp:positionV>
            <wp:extent cx="3383280" cy="1866265"/>
            <wp:effectExtent l="4445" t="4445" r="22225" b="1524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rPr>
          <w:rFonts w:hint="eastAsia" w:ascii="Times New Roman" w:hAnsi="Times New Roman" w:eastAsia="仿宋_GB2312" w:cs="仿宋_GB2312"/>
          <w:color w:val="auto"/>
          <w:sz w:val="32"/>
          <w:szCs w:val="32"/>
          <w:highlight w:val="none"/>
          <w:lang w:eastAsia="zh-CN"/>
        </w:rPr>
      </w:pPr>
    </w:p>
    <w:p>
      <w:pPr>
        <w:ind w:firstLine="2080" w:firstLineChars="6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spacing w:line="600" w:lineRule="exact"/>
        <w:ind w:firstLine="640" w:firstLineChars="200"/>
        <w:outlineLvl w:val="1"/>
        <w:rPr>
          <w:rStyle w:val="31"/>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392.17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25.29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6.06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受工资改革补发等偶然因素、人员结构变化以及</w:t>
      </w:r>
      <w:r>
        <w:rPr>
          <w:rFonts w:hint="eastAsia" w:ascii="仿宋_GB2312" w:hAnsi="宋体" w:eastAsia="仿宋_GB2312" w:cs="仿宋_GB2312"/>
          <w:sz w:val="32"/>
          <w:szCs w:val="32"/>
        </w:rPr>
        <w:t>正常的工资晋升及社保基数调整</w:t>
      </w:r>
      <w:r>
        <w:rPr>
          <w:rFonts w:hint="eastAsia" w:ascii="仿宋_GB2312" w:hAnsi="宋体" w:eastAsia="仿宋_GB2312" w:cs="仿宋_GB2312"/>
          <w:sz w:val="32"/>
          <w:szCs w:val="32"/>
          <w:lang w:eastAsia="zh-CN"/>
        </w:rPr>
        <w:t>等因素的综合影响</w:t>
      </w:r>
      <w:r>
        <w:rPr>
          <w:rFonts w:hint="eastAsia" w:ascii="仿宋_GB2312" w:hAnsi="宋体" w:eastAsia="仿宋_GB2312" w:cs="仿宋_GB2312"/>
          <w:sz w:val="32"/>
          <w:szCs w:val="32"/>
        </w:rPr>
        <w:t>，人员经费</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26.82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、公用经费减少</w:t>
      </w:r>
      <w:r>
        <w:rPr>
          <w:rFonts w:hint="eastAsia" w:ascii="仿宋_GB2312" w:hAnsi="宋体" w:eastAsia="仿宋_GB2312" w:cs="仿宋_GB2312"/>
          <w:sz w:val="32"/>
          <w:szCs w:val="32"/>
          <w:lang w:val="en-US" w:eastAsia="zh-CN"/>
        </w:rPr>
        <w:t>1.28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、项目经费</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2.81</w:t>
      </w:r>
      <w:r>
        <w:rPr>
          <w:rFonts w:hint="eastAsia" w:ascii="仿宋_GB2312" w:hAnsi="宋体" w:eastAsia="仿宋_GB2312" w:cs="仿宋_GB2312"/>
          <w:sz w:val="32"/>
          <w:szCs w:val="32"/>
        </w:rPr>
        <w:t>万元，其中：</w:t>
      </w:r>
      <w:r>
        <w:rPr>
          <w:rFonts w:hint="eastAsia" w:ascii="仿宋_GB2312" w:hAnsi="仿宋" w:eastAsia="仿宋_GB2312" w:cs="仿宋"/>
          <w:color w:val="000000"/>
          <w:sz w:val="32"/>
          <w:szCs w:val="32"/>
        </w:rPr>
        <w:t>城乡居民养老保险区级财政补助资金项目增加11.85万元；省级财政社保公共服务能力建设资金项目减少4.41万元；省级财政困难群众养老保险代缴资金项目减少3.15万元；困难群众城乡居民养老保险市级代缴补助资金项目减少1.48万元。</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drawing>
          <wp:anchor distT="0" distB="0" distL="114300" distR="114300" simplePos="0" relativeHeight="251671552" behindDoc="0" locked="0" layoutInCell="1" allowOverlap="1">
            <wp:simplePos x="0" y="0"/>
            <wp:positionH relativeFrom="column">
              <wp:posOffset>1151255</wp:posOffset>
            </wp:positionH>
            <wp:positionV relativeFrom="paragraph">
              <wp:posOffset>85725</wp:posOffset>
            </wp:positionV>
            <wp:extent cx="2612390" cy="1780540"/>
            <wp:effectExtent l="4445" t="4445" r="12065" b="571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firstLineChars="200"/>
        <w:outlineLvl w:val="1"/>
        <w:rPr>
          <w:rStyle w:val="31"/>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392.17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%。与2023年度相比，一般公共预算财政拨款支出减少25.29万元，下降6.06%。主要变动原因是</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受工资改革补发等偶然因素、人员结构变化以及</w:t>
      </w:r>
      <w:r>
        <w:rPr>
          <w:rFonts w:hint="eastAsia" w:ascii="仿宋_GB2312" w:hAnsi="宋体" w:eastAsia="仿宋_GB2312" w:cs="仿宋_GB2312"/>
          <w:sz w:val="32"/>
          <w:szCs w:val="32"/>
        </w:rPr>
        <w:t>正常的工资晋升及社保基数调整</w:t>
      </w:r>
      <w:r>
        <w:rPr>
          <w:rFonts w:hint="eastAsia" w:ascii="仿宋_GB2312" w:hAnsi="宋体" w:eastAsia="仿宋_GB2312" w:cs="仿宋_GB2312"/>
          <w:sz w:val="32"/>
          <w:szCs w:val="32"/>
          <w:lang w:eastAsia="zh-CN"/>
        </w:rPr>
        <w:t>等因素的综合影响</w:t>
      </w:r>
      <w:r>
        <w:rPr>
          <w:rFonts w:hint="eastAsia" w:ascii="仿宋_GB2312" w:hAnsi="宋体" w:eastAsia="仿宋_GB2312" w:cs="仿宋_GB2312"/>
          <w:sz w:val="32"/>
          <w:szCs w:val="32"/>
        </w:rPr>
        <w:t>，人员经费</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26.82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、公用经费减少</w:t>
      </w:r>
      <w:r>
        <w:rPr>
          <w:rFonts w:hint="eastAsia" w:ascii="仿宋_GB2312" w:hAnsi="宋体" w:eastAsia="仿宋_GB2312" w:cs="仿宋_GB2312"/>
          <w:sz w:val="32"/>
          <w:szCs w:val="32"/>
          <w:lang w:val="en-US" w:eastAsia="zh-CN"/>
        </w:rPr>
        <w:t>1.28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、项目经费</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2.81</w:t>
      </w:r>
      <w:r>
        <w:rPr>
          <w:rFonts w:hint="eastAsia" w:ascii="仿宋_GB2312" w:hAnsi="宋体" w:eastAsia="仿宋_GB2312" w:cs="仿宋_GB2312"/>
          <w:sz w:val="32"/>
          <w:szCs w:val="32"/>
        </w:rPr>
        <w:t>万元，其中：</w:t>
      </w:r>
      <w:r>
        <w:rPr>
          <w:rFonts w:hint="eastAsia" w:ascii="仿宋_GB2312" w:hAnsi="仿宋" w:eastAsia="仿宋_GB2312" w:cs="仿宋"/>
          <w:color w:val="000000"/>
          <w:sz w:val="32"/>
          <w:szCs w:val="32"/>
        </w:rPr>
        <w:t>城乡居民养老保险区级财政补助资金项目增加11.85万元；省级财政社保公共服务能力建设资金项目减少4.41万元；省级财政困难群众养老保险代缴资金项目减少3.15万元；困难群众城乡居民养老保险市级代缴补助资金项目减少1.48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rPr>
        <w:drawing>
          <wp:anchor distT="0" distB="0" distL="0" distR="0" simplePos="0" relativeHeight="251692032" behindDoc="0" locked="0" layoutInCell="1" allowOverlap="1">
            <wp:simplePos x="0" y="0"/>
            <wp:positionH relativeFrom="column">
              <wp:posOffset>857885</wp:posOffset>
            </wp:positionH>
            <wp:positionV relativeFrom="paragraph">
              <wp:posOffset>29845</wp:posOffset>
            </wp:positionV>
            <wp:extent cx="3619500" cy="1990725"/>
            <wp:effectExtent l="4445" t="4445" r="14605" b="5080"/>
            <wp:wrapNone/>
            <wp:docPr id="27"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392.17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344.66</w:t>
      </w:r>
      <w:r>
        <w:rPr>
          <w:rFonts w:hint="eastAsia" w:ascii="仿宋" w:hAnsi="仿宋" w:eastAsia="仿宋"/>
          <w:sz w:val="32"/>
          <w:szCs w:val="32"/>
        </w:rPr>
        <w:t>万元，占</w:t>
      </w:r>
      <w:r>
        <w:rPr>
          <w:rFonts w:hint="eastAsia" w:ascii="仿宋" w:hAnsi="仿宋" w:eastAsia="仿宋"/>
          <w:sz w:val="32"/>
          <w:szCs w:val="32"/>
          <w:lang w:val="en-US" w:eastAsia="zh-CN"/>
        </w:rPr>
        <w:t>87.89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25.02</w:t>
      </w:r>
      <w:r>
        <w:rPr>
          <w:rFonts w:hint="eastAsia" w:ascii="仿宋" w:hAnsi="仿宋" w:eastAsia="仿宋"/>
          <w:sz w:val="32"/>
          <w:szCs w:val="32"/>
        </w:rPr>
        <w:t>万元，占</w:t>
      </w:r>
      <w:r>
        <w:rPr>
          <w:rFonts w:hint="eastAsia" w:ascii="仿宋" w:hAnsi="仿宋" w:eastAsia="仿宋"/>
          <w:sz w:val="32"/>
          <w:szCs w:val="32"/>
          <w:lang w:val="en-US" w:eastAsia="zh-CN"/>
        </w:rPr>
        <w:t>6.38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22.49</w:t>
      </w:r>
      <w:r>
        <w:rPr>
          <w:rFonts w:hint="eastAsia" w:ascii="仿宋" w:hAnsi="仿宋" w:eastAsia="仿宋"/>
          <w:sz w:val="32"/>
          <w:szCs w:val="32"/>
        </w:rPr>
        <w:t>万元，占</w:t>
      </w:r>
      <w:r>
        <w:rPr>
          <w:rFonts w:hint="eastAsia" w:ascii="仿宋" w:hAnsi="仿宋" w:eastAsia="仿宋"/>
          <w:sz w:val="32"/>
          <w:szCs w:val="32"/>
          <w:lang w:val="en-US" w:eastAsia="zh-CN"/>
        </w:rPr>
        <w:t>5.73</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rPr>
        <w:drawing>
          <wp:anchor distT="0" distB="0" distL="0" distR="0" simplePos="0" relativeHeight="251699200" behindDoc="0" locked="0" layoutInCell="1" allowOverlap="1">
            <wp:simplePos x="0" y="0"/>
            <wp:positionH relativeFrom="column">
              <wp:posOffset>1071245</wp:posOffset>
            </wp:positionH>
            <wp:positionV relativeFrom="paragraph">
              <wp:posOffset>5715</wp:posOffset>
            </wp:positionV>
            <wp:extent cx="2877185" cy="1975485"/>
            <wp:effectExtent l="4445" t="4445" r="13970" b="20320"/>
            <wp:wrapNone/>
            <wp:docPr id="30"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392.17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3" w:firstLineChars="200"/>
        <w:rPr>
          <w:rFonts w:ascii="仿宋_GB2312" w:hAnsi="宋体" w:eastAsia="仿宋_GB2312"/>
          <w:sz w:val="32"/>
          <w:szCs w:val="32"/>
        </w:rPr>
      </w:pPr>
      <w:r>
        <w:rPr>
          <w:rStyle w:val="19"/>
          <w:rFonts w:ascii="仿宋" w:hAnsi="仿宋" w:eastAsia="仿宋" w:cs="仿宋"/>
          <w:sz w:val="32"/>
          <w:szCs w:val="32"/>
        </w:rPr>
        <w:t>1</w:t>
      </w:r>
      <w:r>
        <w:rPr>
          <w:rStyle w:val="19"/>
          <w:rFonts w:hint="eastAsia" w:ascii="仿宋" w:hAnsi="仿宋" w:eastAsia="仿宋" w:cs="仿宋"/>
          <w:sz w:val="32"/>
          <w:szCs w:val="32"/>
        </w:rPr>
        <w:t>、</w:t>
      </w:r>
      <w:r>
        <w:rPr>
          <w:rFonts w:hint="eastAsia" w:ascii="仿宋_GB2312" w:hAnsi="宋体" w:eastAsia="仿宋_GB2312" w:cs="仿宋_GB2312"/>
          <w:b/>
          <w:bCs/>
          <w:sz w:val="32"/>
          <w:szCs w:val="32"/>
        </w:rPr>
        <w:t>社会保障和就业（类）人力资源和社会保障管理事务（款）行政运行（项）</w:t>
      </w:r>
      <w:r>
        <w:rPr>
          <w:rFonts w:ascii="仿宋_GB2312" w:hAnsi="宋体" w:eastAsia="仿宋_GB2312" w:cs="仿宋_GB2312"/>
          <w:b/>
          <w:bCs/>
          <w:sz w:val="32"/>
          <w:szCs w:val="32"/>
        </w:rPr>
        <w:t>:</w:t>
      </w:r>
      <w:r>
        <w:rPr>
          <w:rFonts w:hint="eastAsia" w:ascii="仿宋_GB2312" w:hAnsi="宋体" w:eastAsia="仿宋_GB2312" w:cs="仿宋_GB2312"/>
          <w:sz w:val="32"/>
          <w:szCs w:val="32"/>
        </w:rPr>
        <w:t>支出决算为</w:t>
      </w:r>
      <w:r>
        <w:rPr>
          <w:rFonts w:hint="eastAsia" w:ascii="仿宋_GB2312" w:hAnsi="宋体" w:eastAsia="仿宋_GB2312" w:cs="仿宋_GB2312"/>
          <w:sz w:val="32"/>
          <w:szCs w:val="32"/>
          <w:lang w:val="en-US" w:eastAsia="zh-CN"/>
        </w:rPr>
        <w:t>215.4</w:t>
      </w:r>
      <w:r>
        <w:rPr>
          <w:rFonts w:hint="eastAsia" w:ascii="仿宋_GB2312" w:hAnsi="宋体" w:eastAsia="仿宋_GB2312" w:cs="仿宋_GB2312"/>
          <w:sz w:val="32"/>
          <w:szCs w:val="32"/>
        </w:rPr>
        <w:t>万元，完成预算</w:t>
      </w:r>
      <w:r>
        <w:rPr>
          <w:rFonts w:ascii="仿宋_GB2312" w:hAnsi="宋体" w:eastAsia="仿宋_GB2312" w:cs="仿宋_GB2312"/>
          <w:sz w:val="32"/>
          <w:szCs w:val="32"/>
        </w:rPr>
        <w:t>100%</w:t>
      </w:r>
      <w:r>
        <w:rPr>
          <w:rFonts w:hint="eastAsia" w:ascii="仿宋_GB2312" w:hAnsi="宋体" w:eastAsia="仿宋_GB2312" w:cs="仿宋_GB2312"/>
          <w:sz w:val="32"/>
          <w:szCs w:val="32"/>
        </w:rPr>
        <w:t>，</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社会保障和就业（类）人力资源和社会保障管理事务（款）社会保险经办机构（项）</w:t>
      </w:r>
      <w:r>
        <w:rPr>
          <w:rFonts w:ascii="仿宋_GB2312" w:hAnsi="宋体" w:eastAsia="仿宋_GB2312" w:cs="仿宋_GB2312"/>
          <w:b/>
          <w:bCs/>
          <w:sz w:val="32"/>
          <w:szCs w:val="32"/>
        </w:rPr>
        <w:t>:</w:t>
      </w:r>
      <w:r>
        <w:rPr>
          <w:rFonts w:hint="eastAsia" w:ascii="仿宋_GB2312" w:hAnsi="宋体" w:eastAsia="仿宋_GB2312" w:cs="仿宋_GB2312"/>
          <w:sz w:val="32"/>
          <w:szCs w:val="32"/>
        </w:rPr>
        <w:t>支出决算为</w:t>
      </w:r>
      <w:r>
        <w:rPr>
          <w:rFonts w:hint="eastAsia" w:ascii="仿宋_GB2312" w:hAnsi="宋体" w:eastAsia="仿宋_GB2312" w:cs="仿宋_GB2312"/>
          <w:sz w:val="32"/>
          <w:szCs w:val="32"/>
          <w:lang w:val="en-US" w:eastAsia="zh-CN"/>
        </w:rPr>
        <w:t>90.04</w:t>
      </w:r>
      <w:r>
        <w:rPr>
          <w:rFonts w:hint="eastAsia" w:ascii="仿宋_GB2312" w:hAnsi="宋体" w:eastAsia="仿宋_GB2312" w:cs="仿宋_GB2312"/>
          <w:sz w:val="32"/>
          <w:szCs w:val="32"/>
        </w:rPr>
        <w:t>万元，完成预算</w:t>
      </w:r>
      <w:r>
        <w:rPr>
          <w:rFonts w:ascii="仿宋_GB2312" w:hAnsi="宋体" w:eastAsia="仿宋_GB2312" w:cs="仿宋_GB2312"/>
          <w:sz w:val="32"/>
          <w:szCs w:val="32"/>
        </w:rPr>
        <w:t>100%</w:t>
      </w:r>
      <w:r>
        <w:rPr>
          <w:rFonts w:hint="eastAsia" w:ascii="仿宋_GB2312" w:hAnsi="宋体" w:eastAsia="仿宋_GB2312" w:cs="仿宋_GB2312"/>
          <w:sz w:val="32"/>
          <w:szCs w:val="32"/>
        </w:rPr>
        <w:t>，</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社会保障和就业（类）人力资源和社会保障管理事务（款）其他人力资源和社会保障管理事务支出（项）</w:t>
      </w:r>
      <w:r>
        <w:rPr>
          <w:rFonts w:ascii="仿宋_GB2312" w:hAnsi="宋体" w:eastAsia="仿宋_GB2312" w:cs="仿宋_GB2312"/>
          <w:b/>
          <w:bCs/>
          <w:sz w:val="32"/>
          <w:szCs w:val="32"/>
        </w:rPr>
        <w:t>:</w:t>
      </w:r>
      <w:r>
        <w:rPr>
          <w:rFonts w:hint="eastAsia" w:ascii="仿宋_GB2312" w:hAnsi="宋体" w:eastAsia="仿宋_GB2312" w:cs="仿宋_GB2312"/>
          <w:sz w:val="32"/>
          <w:szCs w:val="32"/>
        </w:rPr>
        <w:t>支出决算为</w:t>
      </w:r>
      <w:r>
        <w:rPr>
          <w:rFonts w:hint="eastAsia" w:ascii="仿宋_GB2312" w:hAnsi="宋体" w:eastAsia="仿宋_GB2312" w:cs="仿宋_GB2312"/>
          <w:sz w:val="32"/>
          <w:szCs w:val="32"/>
          <w:lang w:val="en-US" w:eastAsia="zh-CN"/>
        </w:rPr>
        <w:t>2.88</w:t>
      </w:r>
      <w:r>
        <w:rPr>
          <w:rFonts w:hint="eastAsia" w:ascii="仿宋_GB2312" w:hAnsi="宋体" w:eastAsia="仿宋_GB2312" w:cs="仿宋_GB2312"/>
          <w:sz w:val="32"/>
          <w:szCs w:val="32"/>
        </w:rPr>
        <w:t>万元，完成预算</w:t>
      </w:r>
      <w:r>
        <w:rPr>
          <w:rFonts w:ascii="仿宋_GB2312" w:hAnsi="宋体" w:eastAsia="仿宋_GB2312" w:cs="仿宋_GB2312"/>
          <w:sz w:val="32"/>
          <w:szCs w:val="32"/>
        </w:rPr>
        <w:t>100%</w:t>
      </w:r>
      <w:r>
        <w:rPr>
          <w:rFonts w:hint="eastAsia" w:ascii="仿宋_GB2312" w:hAnsi="宋体" w:eastAsia="仿宋_GB2312" w:cs="仿宋_GB2312"/>
          <w:sz w:val="32"/>
          <w:szCs w:val="32"/>
        </w:rPr>
        <w:t>，</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社会保障和就业（类）行政事业单位养老支出（款）行政单位离退休（项）</w:t>
      </w:r>
      <w:r>
        <w:rPr>
          <w:rFonts w:ascii="仿宋_GB2312" w:hAnsi="宋体" w:eastAsia="仿宋_GB2312" w:cs="仿宋_GB2312"/>
          <w:b/>
          <w:bCs/>
          <w:sz w:val="32"/>
          <w:szCs w:val="32"/>
        </w:rPr>
        <w:t>:</w:t>
      </w:r>
      <w:r>
        <w:rPr>
          <w:rFonts w:hint="eastAsia" w:ascii="仿宋_GB2312" w:hAnsi="宋体" w:eastAsia="仿宋_GB2312" w:cs="仿宋_GB2312"/>
          <w:sz w:val="32"/>
          <w:szCs w:val="32"/>
        </w:rPr>
        <w:t>支出决算为</w:t>
      </w:r>
      <w:r>
        <w:rPr>
          <w:rFonts w:hint="eastAsia" w:ascii="仿宋_GB2312" w:hAnsi="宋体" w:eastAsia="仿宋_GB2312" w:cs="仿宋_GB2312"/>
          <w:sz w:val="32"/>
          <w:szCs w:val="32"/>
          <w:lang w:val="en-US" w:eastAsia="zh-CN"/>
        </w:rPr>
        <w:t>2.03</w:t>
      </w:r>
      <w:r>
        <w:rPr>
          <w:rFonts w:hint="eastAsia" w:ascii="仿宋_GB2312" w:hAnsi="宋体" w:eastAsia="仿宋_GB2312" w:cs="仿宋_GB2312"/>
          <w:sz w:val="32"/>
          <w:szCs w:val="32"/>
        </w:rPr>
        <w:t>万元，完成预算</w:t>
      </w:r>
      <w:r>
        <w:rPr>
          <w:rFonts w:ascii="仿宋_GB2312" w:hAnsi="宋体" w:eastAsia="仿宋_GB2312" w:cs="仿宋_GB2312"/>
          <w:sz w:val="32"/>
          <w:szCs w:val="32"/>
        </w:rPr>
        <w:t>100%</w:t>
      </w:r>
      <w:r>
        <w:rPr>
          <w:rFonts w:hint="eastAsia" w:ascii="仿宋_GB2312" w:hAnsi="宋体" w:eastAsia="仿宋_GB2312" w:cs="仿宋_GB2312"/>
          <w:sz w:val="32"/>
          <w:szCs w:val="32"/>
        </w:rPr>
        <w:t>，</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社会保障和就业（类）行政事业单位养老支出（款）机关事业单位基本养老保险缴费支出（项）</w:t>
      </w:r>
      <w:r>
        <w:rPr>
          <w:rFonts w:ascii="仿宋_GB2312" w:hAnsi="宋体" w:eastAsia="仿宋_GB2312" w:cs="仿宋_GB2312"/>
          <w:b/>
          <w:bCs/>
          <w:sz w:val="32"/>
          <w:szCs w:val="32"/>
        </w:rPr>
        <w:t>:</w:t>
      </w:r>
      <w:r>
        <w:rPr>
          <w:rFonts w:hint="eastAsia" w:ascii="仿宋_GB2312" w:hAnsi="宋体" w:eastAsia="仿宋_GB2312" w:cs="仿宋_GB2312"/>
          <w:sz w:val="32"/>
          <w:szCs w:val="32"/>
        </w:rPr>
        <w:t>支出决算为</w:t>
      </w:r>
      <w:r>
        <w:rPr>
          <w:rFonts w:hint="eastAsia" w:ascii="仿宋_GB2312" w:hAnsi="宋体" w:eastAsia="仿宋_GB2312" w:cs="仿宋_GB2312"/>
          <w:sz w:val="32"/>
          <w:szCs w:val="32"/>
          <w:lang w:val="en-US" w:eastAsia="zh-CN"/>
        </w:rPr>
        <w:t>27.31</w:t>
      </w:r>
      <w:r>
        <w:rPr>
          <w:rFonts w:hint="eastAsia" w:ascii="仿宋_GB2312" w:hAnsi="宋体" w:eastAsia="仿宋_GB2312" w:cs="仿宋_GB2312"/>
          <w:sz w:val="32"/>
          <w:szCs w:val="32"/>
        </w:rPr>
        <w:t>万元，完成预算</w:t>
      </w:r>
      <w:r>
        <w:rPr>
          <w:rFonts w:ascii="仿宋_GB2312" w:hAnsi="宋体" w:eastAsia="仿宋_GB2312" w:cs="仿宋_GB2312"/>
          <w:sz w:val="32"/>
          <w:szCs w:val="32"/>
        </w:rPr>
        <w:t>100%</w:t>
      </w:r>
      <w:r>
        <w:rPr>
          <w:rFonts w:hint="eastAsia" w:ascii="仿宋_GB2312" w:hAnsi="宋体" w:eastAsia="仿宋_GB2312" w:cs="仿宋_GB2312"/>
          <w:sz w:val="32"/>
          <w:szCs w:val="32"/>
        </w:rPr>
        <w:t>，</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社会保障和就业（类）行政事业单位养老支出（款）财政代缴城乡居民基本养老保险费支出（项）</w:t>
      </w:r>
      <w:r>
        <w:rPr>
          <w:rFonts w:ascii="仿宋_GB2312" w:hAnsi="宋体" w:eastAsia="仿宋_GB2312" w:cs="仿宋_GB2312"/>
          <w:b/>
          <w:bCs/>
          <w:sz w:val="32"/>
          <w:szCs w:val="32"/>
        </w:rPr>
        <w:t>:</w:t>
      </w:r>
      <w:r>
        <w:rPr>
          <w:rFonts w:hint="eastAsia" w:ascii="仿宋_GB2312" w:hAnsi="宋体" w:eastAsia="仿宋_GB2312" w:cs="仿宋_GB2312"/>
          <w:sz w:val="32"/>
          <w:szCs w:val="32"/>
        </w:rPr>
        <w:t>支出决算为</w:t>
      </w:r>
      <w:r>
        <w:rPr>
          <w:rFonts w:hint="eastAsia" w:ascii="仿宋_GB2312" w:hAnsi="宋体" w:eastAsia="仿宋_GB2312" w:cs="仿宋_GB2312"/>
          <w:sz w:val="32"/>
          <w:szCs w:val="32"/>
          <w:lang w:val="en-US" w:eastAsia="zh-CN"/>
        </w:rPr>
        <w:t>7.01</w:t>
      </w:r>
      <w:r>
        <w:rPr>
          <w:rFonts w:hint="eastAsia" w:ascii="仿宋_GB2312" w:hAnsi="宋体" w:eastAsia="仿宋_GB2312" w:cs="仿宋_GB2312"/>
          <w:sz w:val="32"/>
          <w:szCs w:val="32"/>
        </w:rPr>
        <w:t>万元，完成预算</w:t>
      </w:r>
      <w:r>
        <w:rPr>
          <w:rFonts w:ascii="仿宋_GB2312" w:hAnsi="宋体" w:eastAsia="仿宋_GB2312" w:cs="仿宋_GB2312"/>
          <w:sz w:val="32"/>
          <w:szCs w:val="32"/>
        </w:rPr>
        <w:t>100%</w:t>
      </w:r>
      <w:r>
        <w:rPr>
          <w:rFonts w:hint="eastAsia" w:ascii="仿宋_GB2312" w:hAnsi="宋体" w:eastAsia="仿宋_GB2312" w:cs="仿宋_GB2312"/>
          <w:sz w:val="32"/>
          <w:szCs w:val="32"/>
        </w:rPr>
        <w:t>，</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Fonts w:hint="eastAsia" w:ascii="仿宋_GB2312" w:hAnsi="宋体" w:eastAsia="仿宋_GB2312" w:cs="仿宋_GB2312"/>
          <w:sz w:val="32"/>
          <w:szCs w:val="32"/>
        </w:rPr>
        <w:t>。</w:t>
      </w:r>
    </w:p>
    <w:p>
      <w:pPr>
        <w:spacing w:line="600" w:lineRule="exact"/>
        <w:ind w:firstLine="643" w:firstLineChars="200"/>
        <w:rPr>
          <w:rStyle w:val="19"/>
          <w:rFonts w:ascii="仿宋" w:hAnsi="仿宋" w:eastAsia="仿宋"/>
          <w:b w:val="0"/>
          <w:bCs/>
          <w:sz w:val="32"/>
          <w:szCs w:val="32"/>
        </w:rPr>
      </w:pPr>
      <w:r>
        <w:rPr>
          <w:rStyle w:val="19"/>
          <w:rFonts w:ascii="仿宋" w:hAnsi="仿宋" w:eastAsia="仿宋" w:cs="仿宋"/>
          <w:sz w:val="32"/>
          <w:szCs w:val="32"/>
        </w:rPr>
        <w:t>2.</w:t>
      </w:r>
      <w:r>
        <w:rPr>
          <w:rFonts w:hint="eastAsia" w:ascii="仿宋" w:hAnsi="仿宋" w:eastAsia="仿宋" w:cs="仿宋"/>
          <w:b/>
          <w:bCs/>
          <w:color w:val="000000"/>
          <w:sz w:val="32"/>
          <w:szCs w:val="32"/>
        </w:rPr>
        <w:t>卫生健康</w:t>
      </w:r>
      <w:r>
        <w:rPr>
          <w:rStyle w:val="19"/>
          <w:rFonts w:hint="eastAsia" w:ascii="仿宋" w:hAnsi="仿宋" w:eastAsia="仿宋" w:cs="仿宋"/>
          <w:color w:val="000000"/>
          <w:sz w:val="32"/>
          <w:szCs w:val="32"/>
        </w:rPr>
        <w:t>（类）行政事业单位医疗（款）行政单位医疗（项）</w:t>
      </w:r>
      <w:r>
        <w:rPr>
          <w:rStyle w:val="19"/>
          <w:rFonts w:ascii="仿宋" w:hAnsi="仿宋" w:eastAsia="仿宋" w:cs="仿宋"/>
          <w:color w:val="000000"/>
          <w:sz w:val="32"/>
          <w:szCs w:val="32"/>
        </w:rPr>
        <w:t>:</w:t>
      </w:r>
      <w:r>
        <w:rPr>
          <w:rStyle w:val="19"/>
          <w:rFonts w:hint="eastAsia" w:ascii="仿宋" w:hAnsi="仿宋" w:eastAsia="仿宋" w:cs="仿宋"/>
          <w:b w:val="0"/>
          <w:color w:val="000000"/>
          <w:sz w:val="32"/>
          <w:szCs w:val="32"/>
        </w:rPr>
        <w:t>支出决算为</w:t>
      </w:r>
      <w:r>
        <w:rPr>
          <w:rStyle w:val="19"/>
          <w:rFonts w:hint="eastAsia" w:ascii="仿宋" w:hAnsi="仿宋" w:eastAsia="仿宋" w:cs="仿宋"/>
          <w:b w:val="0"/>
          <w:color w:val="000000"/>
          <w:sz w:val="32"/>
          <w:szCs w:val="32"/>
          <w:lang w:val="en-US" w:eastAsia="zh-CN"/>
        </w:rPr>
        <w:t>13.37</w:t>
      </w:r>
      <w:r>
        <w:rPr>
          <w:rStyle w:val="19"/>
          <w:rFonts w:hint="eastAsia" w:ascii="仿宋" w:hAnsi="仿宋" w:eastAsia="仿宋" w:cs="仿宋"/>
          <w:b w:val="0"/>
          <w:color w:val="000000"/>
          <w:sz w:val="32"/>
          <w:szCs w:val="32"/>
        </w:rPr>
        <w:t>万元，完成预算</w:t>
      </w:r>
      <w:r>
        <w:rPr>
          <w:rStyle w:val="19"/>
          <w:rFonts w:ascii="仿宋" w:hAnsi="仿宋" w:eastAsia="仿宋" w:cs="仿宋"/>
          <w:b w:val="0"/>
          <w:color w:val="000000"/>
          <w:sz w:val="32"/>
          <w:szCs w:val="32"/>
        </w:rPr>
        <w:t>100%</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Style w:val="19"/>
          <w:rFonts w:hint="eastAsia" w:ascii="仿宋" w:hAnsi="仿宋" w:eastAsia="仿宋" w:cs="仿宋"/>
          <w:b w:val="0"/>
          <w:color w:val="000000"/>
          <w:sz w:val="32"/>
          <w:szCs w:val="32"/>
        </w:rPr>
        <w:t>；</w:t>
      </w:r>
      <w:r>
        <w:rPr>
          <w:rFonts w:hint="eastAsia" w:ascii="仿宋" w:hAnsi="仿宋" w:eastAsia="仿宋" w:cs="仿宋"/>
          <w:b/>
          <w:bCs/>
          <w:color w:val="000000"/>
          <w:sz w:val="32"/>
          <w:szCs w:val="32"/>
        </w:rPr>
        <w:t>卫生健康</w:t>
      </w:r>
      <w:r>
        <w:rPr>
          <w:rStyle w:val="19"/>
          <w:rFonts w:hint="eastAsia" w:ascii="仿宋" w:hAnsi="仿宋" w:eastAsia="仿宋" w:cs="仿宋"/>
          <w:color w:val="000000"/>
          <w:sz w:val="32"/>
          <w:szCs w:val="32"/>
        </w:rPr>
        <w:t>（类）行政事业单位医疗（款）事业单位医疗（项）</w:t>
      </w:r>
      <w:r>
        <w:rPr>
          <w:rStyle w:val="19"/>
          <w:rFonts w:ascii="仿宋" w:hAnsi="仿宋" w:eastAsia="仿宋" w:cs="仿宋"/>
          <w:color w:val="000000"/>
          <w:sz w:val="32"/>
          <w:szCs w:val="32"/>
        </w:rPr>
        <w:t>:</w:t>
      </w:r>
      <w:r>
        <w:rPr>
          <w:rStyle w:val="19"/>
          <w:rFonts w:hint="eastAsia" w:ascii="仿宋" w:hAnsi="仿宋" w:eastAsia="仿宋" w:cs="仿宋"/>
          <w:b w:val="0"/>
          <w:color w:val="000000"/>
          <w:sz w:val="32"/>
          <w:szCs w:val="32"/>
        </w:rPr>
        <w:t>支出决算为</w:t>
      </w:r>
      <w:r>
        <w:rPr>
          <w:rStyle w:val="19"/>
          <w:rFonts w:hint="eastAsia" w:ascii="仿宋" w:hAnsi="仿宋" w:eastAsia="仿宋" w:cs="仿宋"/>
          <w:b w:val="0"/>
          <w:color w:val="000000"/>
          <w:sz w:val="32"/>
          <w:szCs w:val="32"/>
          <w:lang w:val="en-US" w:eastAsia="zh-CN"/>
        </w:rPr>
        <w:t>1.16</w:t>
      </w:r>
      <w:r>
        <w:rPr>
          <w:rStyle w:val="19"/>
          <w:rFonts w:hint="eastAsia" w:ascii="仿宋" w:hAnsi="仿宋" w:eastAsia="仿宋" w:cs="仿宋"/>
          <w:b w:val="0"/>
          <w:color w:val="000000"/>
          <w:sz w:val="32"/>
          <w:szCs w:val="32"/>
        </w:rPr>
        <w:t>万元，完成预算</w:t>
      </w:r>
      <w:r>
        <w:rPr>
          <w:rStyle w:val="19"/>
          <w:rFonts w:ascii="仿宋" w:hAnsi="仿宋" w:eastAsia="仿宋" w:cs="仿宋"/>
          <w:b w:val="0"/>
          <w:color w:val="000000"/>
          <w:sz w:val="32"/>
          <w:szCs w:val="32"/>
        </w:rPr>
        <w:t>100%</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Style w:val="19"/>
          <w:rFonts w:hint="eastAsia" w:ascii="仿宋" w:hAnsi="仿宋" w:eastAsia="仿宋" w:cs="仿宋"/>
          <w:b w:val="0"/>
          <w:color w:val="000000"/>
          <w:sz w:val="32"/>
          <w:szCs w:val="32"/>
        </w:rPr>
        <w:t>；</w:t>
      </w:r>
      <w:r>
        <w:rPr>
          <w:rFonts w:hint="eastAsia" w:ascii="仿宋" w:hAnsi="仿宋" w:eastAsia="仿宋" w:cs="仿宋"/>
          <w:b/>
          <w:bCs/>
          <w:color w:val="000000"/>
          <w:sz w:val="32"/>
          <w:szCs w:val="32"/>
        </w:rPr>
        <w:t>卫生健康</w:t>
      </w:r>
      <w:r>
        <w:rPr>
          <w:rStyle w:val="19"/>
          <w:rFonts w:hint="eastAsia" w:ascii="仿宋" w:hAnsi="仿宋" w:eastAsia="仿宋" w:cs="仿宋"/>
          <w:color w:val="000000"/>
          <w:sz w:val="32"/>
          <w:szCs w:val="32"/>
        </w:rPr>
        <w:t>（类）行政事业单位医疗（款）公务员医疗补助（项）</w:t>
      </w:r>
      <w:r>
        <w:rPr>
          <w:rStyle w:val="19"/>
          <w:rFonts w:ascii="仿宋" w:hAnsi="仿宋" w:eastAsia="仿宋" w:cs="仿宋"/>
          <w:color w:val="000000"/>
          <w:sz w:val="32"/>
          <w:szCs w:val="32"/>
        </w:rPr>
        <w:t>:</w:t>
      </w:r>
      <w:r>
        <w:rPr>
          <w:rStyle w:val="19"/>
          <w:rFonts w:hint="eastAsia" w:ascii="仿宋" w:hAnsi="仿宋" w:eastAsia="仿宋" w:cs="仿宋"/>
          <w:b w:val="0"/>
          <w:color w:val="000000"/>
          <w:sz w:val="32"/>
          <w:szCs w:val="32"/>
        </w:rPr>
        <w:t>支出决算为</w:t>
      </w:r>
      <w:r>
        <w:rPr>
          <w:rStyle w:val="19"/>
          <w:rFonts w:hint="eastAsia" w:ascii="仿宋" w:hAnsi="仿宋" w:eastAsia="仿宋" w:cs="仿宋"/>
          <w:b w:val="0"/>
          <w:color w:val="000000"/>
          <w:sz w:val="32"/>
          <w:szCs w:val="32"/>
          <w:lang w:val="en-US" w:eastAsia="zh-CN"/>
        </w:rPr>
        <w:t>9.88</w:t>
      </w:r>
      <w:r>
        <w:rPr>
          <w:rStyle w:val="19"/>
          <w:rFonts w:hint="eastAsia" w:ascii="仿宋" w:hAnsi="仿宋" w:eastAsia="仿宋" w:cs="仿宋"/>
          <w:b w:val="0"/>
          <w:color w:val="000000"/>
          <w:sz w:val="32"/>
          <w:szCs w:val="32"/>
        </w:rPr>
        <w:t>万元，完成预算</w:t>
      </w:r>
      <w:r>
        <w:rPr>
          <w:rStyle w:val="19"/>
          <w:rFonts w:ascii="仿宋" w:hAnsi="仿宋" w:eastAsia="仿宋" w:cs="仿宋"/>
          <w:b w:val="0"/>
          <w:color w:val="000000"/>
          <w:sz w:val="32"/>
          <w:szCs w:val="32"/>
        </w:rPr>
        <w:t>100%</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Style w:val="19"/>
          <w:rFonts w:hint="eastAsia" w:ascii="仿宋" w:hAnsi="仿宋" w:eastAsia="仿宋" w:cs="仿宋"/>
          <w:b w:val="0"/>
          <w:color w:val="000000"/>
          <w:sz w:val="32"/>
          <w:szCs w:val="32"/>
        </w:rPr>
        <w:t>；</w:t>
      </w:r>
      <w:r>
        <w:rPr>
          <w:rFonts w:hint="eastAsia" w:ascii="仿宋" w:hAnsi="仿宋" w:eastAsia="仿宋" w:cs="仿宋"/>
          <w:b/>
          <w:bCs/>
          <w:color w:val="000000"/>
          <w:sz w:val="32"/>
          <w:szCs w:val="32"/>
        </w:rPr>
        <w:t>卫生健康</w:t>
      </w:r>
      <w:r>
        <w:rPr>
          <w:rStyle w:val="19"/>
          <w:rFonts w:hint="eastAsia" w:ascii="仿宋" w:hAnsi="仿宋" w:eastAsia="仿宋" w:cs="仿宋"/>
          <w:color w:val="000000"/>
          <w:sz w:val="32"/>
          <w:szCs w:val="32"/>
        </w:rPr>
        <w:t>（类）行政事业单位医疗（款）其他行政事业单位医疗支出（项）</w:t>
      </w:r>
      <w:r>
        <w:rPr>
          <w:rStyle w:val="19"/>
          <w:rFonts w:ascii="仿宋" w:hAnsi="仿宋" w:eastAsia="仿宋" w:cs="仿宋"/>
          <w:color w:val="000000"/>
          <w:sz w:val="32"/>
          <w:szCs w:val="32"/>
        </w:rPr>
        <w:t>:</w:t>
      </w:r>
      <w:r>
        <w:rPr>
          <w:rStyle w:val="19"/>
          <w:rFonts w:hint="eastAsia" w:ascii="仿宋" w:hAnsi="仿宋" w:eastAsia="仿宋" w:cs="仿宋"/>
          <w:b w:val="0"/>
          <w:color w:val="000000"/>
          <w:sz w:val="32"/>
          <w:szCs w:val="32"/>
        </w:rPr>
        <w:t>支出决算为</w:t>
      </w:r>
      <w:r>
        <w:rPr>
          <w:rStyle w:val="19"/>
          <w:rFonts w:hint="eastAsia" w:ascii="仿宋" w:hAnsi="仿宋" w:eastAsia="仿宋" w:cs="仿宋"/>
          <w:b w:val="0"/>
          <w:color w:val="000000"/>
          <w:sz w:val="32"/>
          <w:szCs w:val="32"/>
          <w:lang w:val="en-US" w:eastAsia="zh-CN"/>
        </w:rPr>
        <w:t>0.61</w:t>
      </w:r>
      <w:r>
        <w:rPr>
          <w:rStyle w:val="19"/>
          <w:rFonts w:hint="eastAsia" w:ascii="仿宋" w:hAnsi="仿宋" w:eastAsia="仿宋" w:cs="仿宋"/>
          <w:b w:val="0"/>
          <w:color w:val="000000"/>
          <w:sz w:val="32"/>
          <w:szCs w:val="32"/>
        </w:rPr>
        <w:t>万元，完成预算</w:t>
      </w:r>
      <w:r>
        <w:rPr>
          <w:rStyle w:val="19"/>
          <w:rFonts w:ascii="仿宋" w:hAnsi="仿宋" w:eastAsia="仿宋" w:cs="仿宋"/>
          <w:b w:val="0"/>
          <w:color w:val="000000"/>
          <w:sz w:val="32"/>
          <w:szCs w:val="32"/>
        </w:rPr>
        <w:t>100%</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Style w:val="19"/>
          <w:rFonts w:hint="eastAsia" w:ascii="仿宋" w:hAnsi="仿宋" w:eastAsia="仿宋" w:cs="仿宋"/>
          <w:b w:val="0"/>
          <w:color w:val="000000"/>
          <w:sz w:val="32"/>
          <w:szCs w:val="32"/>
        </w:rPr>
        <w:t>。</w:t>
      </w:r>
    </w:p>
    <w:p>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Style w:val="19"/>
          <w:rFonts w:ascii="仿宋" w:hAnsi="仿宋" w:eastAsia="仿宋" w:cs="仿宋"/>
          <w:sz w:val="32"/>
          <w:szCs w:val="32"/>
        </w:rPr>
        <w:t>3</w:t>
      </w:r>
      <w:r>
        <w:rPr>
          <w:rStyle w:val="19"/>
          <w:rFonts w:hint="eastAsia" w:ascii="仿宋" w:hAnsi="仿宋" w:eastAsia="仿宋" w:cs="仿宋"/>
          <w:sz w:val="32"/>
          <w:szCs w:val="32"/>
        </w:rPr>
        <w:t>、住房保障支出（类）住房改革支出（款）住房公积金（项）</w:t>
      </w:r>
      <w:r>
        <w:rPr>
          <w:rStyle w:val="19"/>
          <w:rFonts w:ascii="仿宋" w:hAnsi="仿宋" w:eastAsia="仿宋" w:cs="仿宋"/>
          <w:color w:val="000000"/>
          <w:sz w:val="32"/>
          <w:szCs w:val="32"/>
        </w:rPr>
        <w:t>:</w:t>
      </w:r>
      <w:r>
        <w:rPr>
          <w:rStyle w:val="19"/>
          <w:rFonts w:hint="eastAsia" w:ascii="仿宋" w:hAnsi="仿宋" w:eastAsia="仿宋" w:cs="仿宋"/>
          <w:b w:val="0"/>
          <w:color w:val="000000"/>
          <w:sz w:val="32"/>
          <w:szCs w:val="32"/>
        </w:rPr>
        <w:t>支出决算为</w:t>
      </w:r>
      <w:r>
        <w:rPr>
          <w:rStyle w:val="19"/>
          <w:rFonts w:hint="eastAsia" w:ascii="仿宋" w:hAnsi="仿宋" w:eastAsia="仿宋" w:cs="仿宋"/>
          <w:b w:val="0"/>
          <w:color w:val="000000"/>
          <w:sz w:val="32"/>
          <w:szCs w:val="32"/>
          <w:lang w:val="en-US" w:eastAsia="zh-CN"/>
        </w:rPr>
        <w:t>22.49</w:t>
      </w:r>
      <w:r>
        <w:rPr>
          <w:rStyle w:val="19"/>
          <w:rFonts w:hint="eastAsia" w:ascii="仿宋" w:hAnsi="仿宋" w:eastAsia="仿宋" w:cs="仿宋"/>
          <w:b w:val="0"/>
          <w:color w:val="000000"/>
          <w:sz w:val="32"/>
          <w:szCs w:val="32"/>
        </w:rPr>
        <w:t>万元，完成预算</w:t>
      </w:r>
      <w:r>
        <w:rPr>
          <w:rStyle w:val="19"/>
          <w:rFonts w:ascii="仿宋" w:hAnsi="仿宋" w:eastAsia="仿宋" w:cs="仿宋"/>
          <w:b w:val="0"/>
          <w:color w:val="000000"/>
          <w:sz w:val="32"/>
          <w:szCs w:val="32"/>
        </w:rPr>
        <w:t>100%</w:t>
      </w:r>
      <w:r>
        <w:rPr>
          <w:rStyle w:val="19"/>
          <w:rFonts w:hint="eastAsia" w:ascii="仿宋" w:hAnsi="仿宋" w:eastAsia="仿宋" w:cs="仿宋"/>
          <w:b w:val="0"/>
          <w:color w:val="000000"/>
          <w:sz w:val="32"/>
          <w:szCs w:val="32"/>
        </w:rPr>
        <w:t>，决算数</w:t>
      </w:r>
      <w:r>
        <w:rPr>
          <w:rStyle w:val="19"/>
          <w:rFonts w:hint="eastAsia" w:ascii="仿宋" w:hAnsi="仿宋" w:eastAsia="仿宋" w:cs="仿宋"/>
          <w:b w:val="0"/>
          <w:color w:val="000000"/>
          <w:sz w:val="32"/>
          <w:szCs w:val="32"/>
          <w:lang w:eastAsia="zh-CN"/>
        </w:rPr>
        <w:t>与</w:t>
      </w:r>
      <w:r>
        <w:rPr>
          <w:rStyle w:val="19"/>
          <w:rFonts w:hint="eastAsia" w:ascii="仿宋" w:hAnsi="仿宋" w:eastAsia="仿宋" w:cs="仿宋"/>
          <w:b w:val="0"/>
          <w:color w:val="000000"/>
          <w:sz w:val="32"/>
          <w:szCs w:val="32"/>
        </w:rPr>
        <w:t>预算数</w:t>
      </w:r>
      <w:r>
        <w:rPr>
          <w:rStyle w:val="19"/>
          <w:rFonts w:hint="eastAsia" w:ascii="仿宋" w:hAnsi="仿宋" w:eastAsia="仿宋" w:cs="仿宋"/>
          <w:b w:val="0"/>
          <w:color w:val="000000"/>
          <w:sz w:val="32"/>
          <w:szCs w:val="32"/>
          <w:lang w:eastAsia="zh-CN"/>
        </w:rPr>
        <w:t>持平</w:t>
      </w:r>
      <w:r>
        <w:rPr>
          <w:rStyle w:val="19"/>
          <w:rFonts w:hint="eastAsia" w:ascii="仿宋" w:hAnsi="仿宋" w:eastAsia="仿宋" w:cs="仿宋"/>
          <w:b w:val="0"/>
          <w:color w:val="000000"/>
          <w:sz w:val="32"/>
          <w:szCs w:val="32"/>
        </w:rPr>
        <w:t>。</w:t>
      </w:r>
    </w:p>
    <w:p>
      <w:pPr>
        <w:tabs>
          <w:tab w:val="right" w:pos="8306"/>
        </w:tabs>
        <w:spacing w:line="600" w:lineRule="exact"/>
        <w:ind w:firstLine="640"/>
        <w:outlineLvl w:val="1"/>
        <w:rPr>
          <w:rStyle w:val="31"/>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4"/>
      <w:bookmarkEnd w:id="35"/>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305.71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288.23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元，主要包括：基本工资、津贴补贴、奖金、绩效工资、机关事业单位基本养老保险缴费、其他社会保障缴费、其他工资福利支出、生活补助、奖励金、住房公积金等。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17.48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元，主要包括：办公费、邮电费、取暖费、差旅费、公务接待费、工会经费、福利费、其他交通费等。</w:t>
      </w:r>
    </w:p>
    <w:p>
      <w:pPr>
        <w:spacing w:line="600" w:lineRule="exact"/>
        <w:ind w:firstLine="640"/>
        <w:outlineLvl w:val="1"/>
        <w:rPr>
          <w:rStyle w:val="31"/>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2"/>
        <w:numPr>
          <w:ilvl w:val="0"/>
          <w:numId w:val="2"/>
        </w:numPr>
        <w:spacing w:before="0" w:after="0" w:line="240" w:lineRule="auto"/>
        <w:ind w:firstLine="482" w:firstLineChars="200"/>
        <w:rPr>
          <w:rFonts w:hint="eastAsia" w:ascii="仿宋_GB2312" w:hAnsi="仿宋_GB2312" w:eastAsia="仿宋_GB2312" w:cs="仿宋_GB2312"/>
          <w:b w:val="0"/>
          <w:color w:val="auto"/>
          <w:kern w:val="2"/>
          <w:sz w:val="32"/>
          <w:szCs w:val="32"/>
          <w:highlight w:val="none"/>
          <w:lang w:val="en-US" w:eastAsia="zh-CN" w:bidi="ar-SA"/>
        </w:rPr>
      </w:pPr>
      <w:r>
        <w:rPr>
          <w:rFonts w:hint="eastAsia"/>
          <w:lang w:val="en-US" w:eastAsia="zh-CN"/>
        </w:rPr>
        <w:drawing>
          <wp:anchor distT="0" distB="0" distL="114300" distR="114300" simplePos="0" relativeHeight="251700224" behindDoc="0" locked="0" layoutInCell="1" allowOverlap="1">
            <wp:simplePos x="0" y="0"/>
            <wp:positionH relativeFrom="column">
              <wp:posOffset>1218565</wp:posOffset>
            </wp:positionH>
            <wp:positionV relativeFrom="paragraph">
              <wp:posOffset>1176020</wp:posOffset>
            </wp:positionV>
            <wp:extent cx="2374265" cy="2096770"/>
            <wp:effectExtent l="4445" t="4445" r="21590" b="1333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b w:val="0"/>
          <w:color w:val="auto"/>
          <w:kern w:val="2"/>
          <w:sz w:val="32"/>
          <w:szCs w:val="32"/>
          <w:highlight w:val="none"/>
          <w:lang w:val="en-US" w:eastAsia="zh-CN" w:bidi="ar-SA"/>
        </w:rPr>
        <w:t>本年共发生公务接待一次，具体为2024年5月市人社局到西区开展社会保险基金管理巩固提升行动现场督导，产生公务接待费0.08万元。</w:t>
      </w:r>
    </w:p>
    <w:p>
      <w:pPr>
        <w:widowControl w:val="0"/>
        <w:numPr>
          <w:ilvl w:val="0"/>
          <w:numId w:val="0"/>
        </w:numPr>
        <w:jc w:val="both"/>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numPr>
          <w:ilvl w:val="0"/>
          <w:numId w:val="0"/>
        </w:numPr>
        <w:spacing w:line="600" w:lineRule="exact"/>
        <w:ind w:firstLine="643" w:firstLineChars="200"/>
        <w:rPr>
          <w:rFonts w:hint="eastAsia"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2023年无公务接待支出</w:t>
      </w:r>
      <w:r>
        <w:rPr>
          <w:rFonts w:hint="eastAsia" w:ascii="Times New Roman" w:hAnsi="Times New Roman" w:eastAsia="仿宋_GB2312" w:cs="仿宋_GB2312"/>
          <w:color w:val="auto"/>
          <w:kern w:val="2"/>
          <w:sz w:val="32"/>
          <w:szCs w:val="32"/>
          <w:highlight w:val="none"/>
          <w:lang w:val="en-US" w:eastAsia="zh-CN" w:bidi="ar-SA"/>
        </w:rPr>
        <w:t>。其中：</w:t>
      </w:r>
    </w:p>
    <w:p>
      <w:pPr>
        <w:pStyle w:val="2"/>
        <w:numPr>
          <w:ilvl w:val="0"/>
          <w:numId w:val="0"/>
        </w:numPr>
        <w:spacing w:before="0" w:after="0" w:line="240" w:lineRule="auto"/>
        <w:ind w:firstLine="640" w:firstLine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bCs/>
          <w:color w:val="auto"/>
          <w:kern w:val="2"/>
          <w:sz w:val="32"/>
          <w:szCs w:val="32"/>
          <w:highlight w:val="none"/>
          <w:lang w:val="en-US" w:eastAsia="zh-CN" w:bidi="ar-SA"/>
        </w:rPr>
        <w:t>国内公务接待支</w:t>
      </w:r>
      <w:r>
        <w:rPr>
          <w:rFonts w:hint="eastAsia" w:ascii="仿宋_GB2312" w:hAnsi="仿宋_GB2312" w:eastAsia="仿宋_GB2312" w:cs="仿宋_GB2312"/>
          <w:b w:val="0"/>
          <w:bCs/>
          <w:color w:val="auto"/>
          <w:kern w:val="2"/>
          <w:sz w:val="32"/>
          <w:szCs w:val="32"/>
          <w:highlight w:val="none"/>
          <w:lang w:val="en-US" w:eastAsia="zh-CN" w:bidi="ar-SA"/>
        </w:rPr>
        <w:t>出</w:t>
      </w:r>
      <w:r>
        <w:rPr>
          <w:rFonts w:hint="eastAsia" w:ascii="仿宋_GB2312" w:hAnsi="仿宋_GB2312" w:eastAsia="仿宋_GB2312" w:cs="仿宋_GB2312"/>
          <w:b w:val="0"/>
          <w:bCs/>
          <w:sz w:val="32"/>
          <w:szCs w:val="32"/>
        </w:rPr>
        <w:t>0.08</w:t>
      </w:r>
      <w:r>
        <w:rPr>
          <w:rFonts w:hint="eastAsia" w:ascii="仿宋_GB2312" w:hAnsi="仿宋_GB2312" w:eastAsia="仿宋_GB2312" w:cs="仿宋_GB2312"/>
          <w:b w:val="0"/>
          <w:bCs/>
          <w:color w:val="auto"/>
          <w:kern w:val="2"/>
          <w:sz w:val="32"/>
          <w:szCs w:val="32"/>
          <w:highlight w:val="none"/>
          <w:lang w:val="en-US" w:eastAsia="zh-CN" w:bidi="ar-SA"/>
        </w:rPr>
        <w:t>万</w:t>
      </w:r>
      <w:r>
        <w:rPr>
          <w:rFonts w:hint="eastAsia" w:ascii="Times New Roman" w:hAnsi="Times New Roman" w:eastAsia="仿宋_GB2312" w:cs="仿宋_GB2312"/>
          <w:b w:val="0"/>
          <w:bCs/>
          <w:color w:val="auto"/>
          <w:kern w:val="2"/>
          <w:sz w:val="32"/>
          <w:szCs w:val="32"/>
          <w:highlight w:val="none"/>
          <w:lang w:val="en-US" w:eastAsia="zh-CN" w:bidi="ar-SA"/>
        </w:rPr>
        <w:t>元，主要用于开展业务活动开支的用餐费等。国内公务接</w:t>
      </w:r>
      <w:r>
        <w:rPr>
          <w:rFonts w:hint="eastAsia" w:ascii="仿宋_GB2312" w:hAnsi="仿宋_GB2312" w:eastAsia="仿宋_GB2312" w:cs="仿宋_GB2312"/>
          <w:b w:val="0"/>
          <w:bCs/>
          <w:color w:val="auto"/>
          <w:kern w:val="2"/>
          <w:sz w:val="32"/>
          <w:szCs w:val="32"/>
          <w:highlight w:val="none"/>
          <w:lang w:val="en-US" w:eastAsia="zh-CN" w:bidi="ar-SA"/>
        </w:rPr>
        <w:t>待</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color w:val="auto"/>
          <w:kern w:val="2"/>
          <w:sz w:val="32"/>
          <w:szCs w:val="32"/>
          <w:highlight w:val="none"/>
          <w:lang w:val="en-US" w:eastAsia="zh-CN" w:bidi="ar-SA"/>
        </w:rPr>
        <w:t>批次，</w:t>
      </w:r>
      <w:r>
        <w:rPr>
          <w:rFonts w:hint="eastAsia" w:ascii="仿宋_GB2312" w:hAnsi="仿宋_GB2312" w:eastAsia="仿宋_GB2312" w:cs="仿宋_GB2312"/>
          <w:b w:val="0"/>
          <w:bCs/>
          <w:sz w:val="32"/>
          <w:szCs w:val="32"/>
          <w:lang w:val="en-US" w:eastAsia="zh-CN"/>
        </w:rPr>
        <w:t>7</w:t>
      </w:r>
      <w:r>
        <w:rPr>
          <w:rFonts w:hint="eastAsia" w:ascii="Times New Roman" w:hAnsi="Times New Roman" w:eastAsia="仿宋_GB2312" w:cs="仿宋_GB2312"/>
          <w:b w:val="0"/>
          <w:bCs/>
          <w:color w:val="auto"/>
          <w:kern w:val="2"/>
          <w:sz w:val="32"/>
          <w:szCs w:val="32"/>
          <w:highlight w:val="none"/>
          <w:lang w:val="en-US" w:eastAsia="zh-CN" w:bidi="ar-SA"/>
        </w:rPr>
        <w:t>人次（不包括陪同人员），共计支出</w:t>
      </w:r>
      <w:r>
        <w:rPr>
          <w:rFonts w:hint="eastAsia" w:ascii="仿宋_GB2312" w:hAnsi="仿宋_GB2312" w:eastAsia="仿宋_GB2312" w:cs="仿宋_GB2312"/>
          <w:b w:val="0"/>
          <w:bCs/>
          <w:sz w:val="32"/>
          <w:szCs w:val="32"/>
          <w:lang w:val="en-US" w:eastAsia="zh-CN"/>
        </w:rPr>
        <w:t>0.08</w:t>
      </w:r>
      <w:r>
        <w:rPr>
          <w:rFonts w:hint="eastAsia" w:ascii="Times New Roman" w:hAnsi="Times New Roman" w:eastAsia="仿宋_GB2312" w:cs="仿宋_GB2312"/>
          <w:b w:val="0"/>
          <w:bCs/>
          <w:color w:val="auto"/>
          <w:kern w:val="2"/>
          <w:sz w:val="32"/>
          <w:szCs w:val="32"/>
          <w:highlight w:val="none"/>
          <w:lang w:val="en-US" w:eastAsia="zh-CN" w:bidi="ar-SA"/>
        </w:rPr>
        <w:t>万元，具体内容包括：</w:t>
      </w:r>
      <w:r>
        <w:rPr>
          <w:rFonts w:hint="eastAsia" w:ascii="仿宋_GB2312" w:hAnsi="仿宋_GB2312" w:eastAsia="仿宋_GB2312" w:cs="仿宋_GB2312"/>
          <w:b w:val="0"/>
          <w:color w:val="auto"/>
          <w:kern w:val="2"/>
          <w:sz w:val="32"/>
          <w:szCs w:val="32"/>
          <w:highlight w:val="none"/>
          <w:lang w:val="en-US" w:eastAsia="zh-CN" w:bidi="ar-SA"/>
        </w:rPr>
        <w:t>2024年5月市人社局到西区开展社会保险基金管理巩固提升行动现场督导，产生公务接待费0.08万元。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outlineLvl w:val="1"/>
        <w:rPr>
          <w:rStyle w:val="31"/>
          <w:rFonts w:ascii="Times New Roman" w:hAnsi="Times New Roman" w:eastAsia="黑体"/>
          <w:color w:val="auto"/>
          <w:highlight w:val="none"/>
        </w:rPr>
      </w:pPr>
      <w:bookmarkStart w:id="40" w:name="_Toc15377218"/>
      <w:bookmarkStart w:id="41" w:name="_Toc15396610"/>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2" w:name="_Toc15396611"/>
      <w:bookmarkStart w:id="43"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4" w:name="_Toc15396612"/>
      <w:bookmarkStart w:id="45"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攀枝花市西区社会保险事务中心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17.48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1.28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6.82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办公用品及耗材费较</w:t>
      </w:r>
      <w:r>
        <w:rPr>
          <w:rFonts w:hint="eastAsia" w:ascii="仿宋_GB2312" w:eastAsia="仿宋_GB2312"/>
          <w:sz w:val="32"/>
          <w:szCs w:val="32"/>
          <w:lang w:val="en-US" w:eastAsia="zh-CN"/>
        </w:rPr>
        <w:t>2023年增加，外出培训差旅费、工会经费、福利费及公务交通补贴支出减少等因素影响。</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攀枝花市西区社会保险事务中心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攀枝花市西区社会保险事务中心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攀枝花市西区社会保险事务中心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eastAsia="仿宋_GB2312"/>
          <w:sz w:val="32"/>
          <w:szCs w:val="32"/>
        </w:rPr>
        <w:t>“城乡居民养老保险区级补助资金”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攀枝花市西区社会保险事务中心</w:t>
      </w:r>
      <w:r>
        <w:rPr>
          <w:rFonts w:hint="eastAsia" w:ascii="Times New Roman" w:hAnsi="Times New Roman" w:eastAsia="仿宋_GB2312" w:cs="仿宋_GB2312"/>
          <w:color w:val="auto"/>
          <w:kern w:val="2"/>
          <w:sz w:val="32"/>
          <w:szCs w:val="32"/>
          <w:highlight w:val="none"/>
          <w:lang w:val="en-US" w:eastAsia="zh-CN" w:bidi="ar-SA"/>
        </w:rPr>
        <w:t>部门整体绩效自评报告、</w:t>
      </w:r>
      <w:r>
        <w:rPr>
          <w:rFonts w:hint="eastAsia" w:ascii="仿宋_GB2312" w:eastAsia="仿宋_GB2312"/>
          <w:sz w:val="32"/>
          <w:szCs w:val="32"/>
        </w:rPr>
        <w:t>“城乡居民养老保险区级补助资金”</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攀枝花市西区社会保险事务中心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94.1</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zh-CN" w:eastAsia="zh-CN" w:bidi="ar-SA"/>
        </w:rPr>
        <w:t>攀枝花市西区社会保险事务中心</w:t>
      </w:r>
      <w:r>
        <w:rPr>
          <w:rFonts w:hint="eastAsia" w:ascii="Times New Roman" w:hAnsi="Times New Roman" w:eastAsia="仿宋_GB2312" w:cs="仿宋_GB2312"/>
          <w:color w:val="auto"/>
          <w:kern w:val="2"/>
          <w:sz w:val="32"/>
          <w:szCs w:val="32"/>
          <w:highlight w:val="none"/>
          <w:lang w:val="en-US" w:eastAsia="zh-CN" w:bidi="ar-SA"/>
        </w:rPr>
        <w:t>2024年部门预算整体绩效目标完成情况较好，各项目标基本达到预期，财政收支预算执行得到了良好的制度保障和实施效果，自评得分94.1分</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“城乡居民养老保险区级补助资金”</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96.5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：该项目目标任务完成，各项绩效指标达到预期。</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社会保障和就业支出：</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r>
        <w:rPr>
          <w:rFonts w:ascii="仿宋_GB2312" w:eastAsia="仿宋_GB2312" w:cs="仿宋_GB2312"/>
          <w:color w:val="000000"/>
          <w:sz w:val="32"/>
          <w:szCs w:val="32"/>
        </w:rPr>
        <w:t>2080101</w:t>
      </w:r>
      <w:r>
        <w:rPr>
          <w:rFonts w:hint="eastAsia" w:ascii="仿宋_GB2312" w:eastAsia="仿宋_GB2312" w:cs="仿宋_GB2312"/>
          <w:color w:val="000000"/>
          <w:sz w:val="32"/>
          <w:szCs w:val="32"/>
        </w:rPr>
        <w:t>（行政运行）：指行政单位（包括实行公务员管理的事业单位）的基本支出。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w:t>
      </w:r>
      <w:r>
        <w:rPr>
          <w:rFonts w:ascii="仿宋_GB2312" w:eastAsia="仿宋_GB2312" w:cs="仿宋_GB2312"/>
          <w:color w:val="000000"/>
          <w:sz w:val="32"/>
          <w:szCs w:val="32"/>
        </w:rPr>
        <w:t>2080109</w:t>
      </w:r>
      <w:r>
        <w:rPr>
          <w:rFonts w:hint="eastAsia" w:ascii="仿宋_GB2312" w:eastAsia="仿宋_GB2312" w:cs="仿宋_GB2312"/>
          <w:color w:val="000000"/>
          <w:sz w:val="32"/>
          <w:szCs w:val="32"/>
        </w:rPr>
        <w:t>（社会保险经办机构）：指社会保险经办机构开展业务工作的支出。</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w:t>
      </w:r>
      <w:r>
        <w:rPr>
          <w:rFonts w:ascii="仿宋_GB2312" w:eastAsia="仿宋_GB2312" w:cs="仿宋_GB2312"/>
          <w:color w:val="000000"/>
          <w:sz w:val="32"/>
          <w:szCs w:val="32"/>
        </w:rPr>
        <w:t>2080199</w:t>
      </w:r>
      <w:r>
        <w:rPr>
          <w:rFonts w:hint="eastAsia" w:ascii="仿宋_GB2312" w:eastAsia="仿宋_GB2312" w:cs="仿宋_GB2312"/>
          <w:color w:val="000000"/>
          <w:sz w:val="32"/>
          <w:szCs w:val="32"/>
        </w:rPr>
        <w:t>（其他人力资源和社会保障管理事务支出）：指其他用于人力资源和社会保障管理事务方面的支出。</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w:t>
      </w:r>
      <w:r>
        <w:rPr>
          <w:rFonts w:ascii="仿宋_GB2312" w:eastAsia="仿宋_GB2312" w:cs="仿宋_GB2312"/>
          <w:color w:val="000000"/>
          <w:sz w:val="32"/>
          <w:szCs w:val="32"/>
        </w:rPr>
        <w:t>208050</w:t>
      </w:r>
      <w:r>
        <w:rPr>
          <w:rFonts w:hint="eastAsia" w:ascii="仿宋_GB2312" w:eastAsia="仿宋_GB2312" w:cs="仿宋_GB2312"/>
          <w:color w:val="000000"/>
          <w:sz w:val="32"/>
          <w:szCs w:val="32"/>
        </w:rPr>
        <w:t>1（行政单位离退休）：指行政单位（包括实行公务员管理的事业单位）开支的离退休支出。</w:t>
      </w:r>
    </w:p>
    <w:p>
      <w:pPr>
        <w:pStyle w:val="28"/>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w:t>
      </w:r>
      <w:r>
        <w:rPr>
          <w:rFonts w:ascii="仿宋_GB2312" w:eastAsia="仿宋_GB2312" w:cs="仿宋_GB2312"/>
          <w:sz w:val="32"/>
          <w:szCs w:val="32"/>
        </w:rPr>
        <w:t>2080505</w:t>
      </w:r>
      <w:r>
        <w:rPr>
          <w:rFonts w:hint="eastAsia" w:ascii="仿宋_GB2312" w:eastAsia="仿宋_GB2312" w:cs="仿宋_GB2312"/>
          <w:sz w:val="32"/>
          <w:szCs w:val="32"/>
        </w:rPr>
        <w:t>（机关事业单位基本养老保险缴费支出）：指机关事业单位实施养老保险制度由单位缴纳的基本养老保险费支出。</w:t>
      </w:r>
    </w:p>
    <w:p>
      <w:pPr>
        <w:pStyle w:val="28"/>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（6）</w:t>
      </w:r>
      <w:r>
        <w:rPr>
          <w:rFonts w:ascii="仿宋_GB2312" w:eastAsia="仿宋_GB2312" w:cs="仿宋_GB2312"/>
          <w:sz w:val="32"/>
          <w:szCs w:val="32"/>
        </w:rPr>
        <w:t>2083001</w:t>
      </w:r>
      <w:r>
        <w:rPr>
          <w:rFonts w:hint="eastAsia" w:ascii="仿宋_GB2312" w:eastAsia="仿宋_GB2312" w:cs="仿宋_GB2312"/>
          <w:sz w:val="32"/>
          <w:szCs w:val="32"/>
        </w:rPr>
        <w:t>（财政代缴城乡居民基本养老保险费支出）：指财政为生活困难人员缴纳的城乡居民基本养老保险费支出。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卫生健康支出</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r>
        <w:rPr>
          <w:rFonts w:ascii="仿宋_GB2312" w:eastAsia="仿宋_GB2312" w:cs="仿宋_GB2312"/>
          <w:color w:val="000000"/>
          <w:sz w:val="32"/>
          <w:szCs w:val="32"/>
        </w:rPr>
        <w:t>2101101</w:t>
      </w:r>
      <w:r>
        <w:rPr>
          <w:rFonts w:hint="eastAsia" w:ascii="仿宋_GB2312" w:eastAsia="仿宋_GB2312" w:cs="仿宋_GB2312"/>
          <w:color w:val="000000"/>
          <w:sz w:val="32"/>
          <w:szCs w:val="32"/>
        </w:rPr>
        <w:t>（行政单位医疗）：指财政部门集中安排的行政单位基本医疗保险缴费经费。</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w:t>
      </w:r>
      <w:r>
        <w:rPr>
          <w:rFonts w:ascii="仿宋_GB2312" w:eastAsia="仿宋_GB2312" w:cs="仿宋_GB2312"/>
          <w:color w:val="000000"/>
          <w:sz w:val="32"/>
          <w:szCs w:val="32"/>
        </w:rPr>
        <w:t>2101102</w:t>
      </w:r>
      <w:r>
        <w:rPr>
          <w:rFonts w:hint="eastAsia" w:ascii="仿宋_GB2312" w:eastAsia="仿宋_GB2312" w:cs="仿宋_GB2312"/>
          <w:color w:val="000000"/>
          <w:sz w:val="32"/>
          <w:szCs w:val="32"/>
        </w:rPr>
        <w:t>（事业单位医疗）：指财政部门集中安排的事业单位基本医疗保险缴费经费。</w:t>
      </w:r>
    </w:p>
    <w:p>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w:t>
      </w:r>
      <w:r>
        <w:rPr>
          <w:rFonts w:ascii="仿宋_GB2312" w:eastAsia="仿宋_GB2312" w:cs="仿宋_GB2312"/>
          <w:color w:val="000000"/>
          <w:sz w:val="32"/>
          <w:szCs w:val="32"/>
        </w:rPr>
        <w:t>2101103</w:t>
      </w:r>
      <w:r>
        <w:rPr>
          <w:rFonts w:hint="eastAsia" w:ascii="仿宋_GB2312" w:eastAsia="仿宋_GB2312" w:cs="仿宋_GB2312"/>
          <w:color w:val="000000"/>
          <w:sz w:val="32"/>
          <w:szCs w:val="32"/>
        </w:rPr>
        <w:t>（公务员医疗补助）：指财政部门集中安排的公务员医疗补助经费。</w:t>
      </w:r>
    </w:p>
    <w:p>
      <w:pPr>
        <w:ind w:firstLine="640" w:firstLineChars="200"/>
        <w:rPr>
          <w:rFonts w:ascii="仿宋_GB2312" w:eastAsia="仿宋_GB2312"/>
          <w:sz w:val="32"/>
          <w:szCs w:val="32"/>
        </w:rPr>
      </w:pPr>
      <w:r>
        <w:rPr>
          <w:rFonts w:hint="eastAsia" w:ascii="仿宋_GB2312" w:eastAsia="仿宋_GB2312" w:cs="仿宋_GB2312"/>
          <w:color w:val="000000"/>
          <w:sz w:val="32"/>
          <w:szCs w:val="32"/>
        </w:rPr>
        <w:t>（4）</w:t>
      </w:r>
      <w:r>
        <w:rPr>
          <w:rFonts w:ascii="仿宋_GB2312" w:eastAsia="仿宋_GB2312" w:cs="仿宋_GB2312"/>
          <w:color w:val="000000"/>
          <w:sz w:val="32"/>
          <w:szCs w:val="32"/>
        </w:rPr>
        <w:t>21011</w:t>
      </w:r>
      <w:r>
        <w:rPr>
          <w:rFonts w:hint="eastAsia" w:ascii="仿宋_GB2312" w:eastAsia="仿宋_GB2312" w:cs="仿宋_GB2312"/>
          <w:color w:val="000000"/>
          <w:sz w:val="32"/>
          <w:szCs w:val="32"/>
        </w:rPr>
        <w:t>99（其他行政事业单位医疗支出）：指其他用于行政事业单位医疗方面的支出。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住房保障支出</w:t>
      </w:r>
    </w:p>
    <w:p>
      <w:pPr>
        <w:pStyle w:val="6"/>
        <w:spacing w:before="93"/>
        <w:ind w:firstLine="320" w:firstLineChars="100"/>
      </w:pPr>
      <w:r>
        <w:rPr>
          <w:rFonts w:hint="eastAsia" w:cs="仿宋_GB2312"/>
          <w:sz w:val="32"/>
          <w:szCs w:val="32"/>
        </w:rPr>
        <w:t>（</w:t>
      </w:r>
      <w:r>
        <w:rPr>
          <w:rFonts w:cs="仿宋_GB2312"/>
          <w:sz w:val="32"/>
          <w:szCs w:val="32"/>
        </w:rPr>
        <w:t>1</w:t>
      </w:r>
      <w:r>
        <w:rPr>
          <w:rFonts w:hint="eastAsia" w:cs="仿宋_GB2312"/>
          <w:sz w:val="32"/>
          <w:szCs w:val="32"/>
        </w:rPr>
        <w:t>）</w:t>
      </w:r>
      <w:r>
        <w:rPr>
          <w:rFonts w:cs="仿宋_GB2312"/>
          <w:sz w:val="32"/>
          <w:szCs w:val="32"/>
        </w:rPr>
        <w:t>2210201</w:t>
      </w:r>
      <w:r>
        <w:rPr>
          <w:rFonts w:hint="eastAsia" w:cs="仿宋_GB2312"/>
          <w:sz w:val="32"/>
          <w:szCs w:val="32"/>
        </w:rPr>
        <w:t>（住房公积金）：指行政事业单位按人力资源和社会保障部、财政部规定的基本工资和津贴补贴以及规定比例为职工缴纳的住房公积金。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8.项目支出：指在基本支出之外为完成特定行政任务和事业发展目标所发生的支出。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jc w:val="center"/>
        <w:rPr>
          <w:rStyle w:val="30"/>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spacing w:line="600" w:lineRule="exact"/>
        <w:jc w:val="center"/>
        <w:outlineLvl w:val="0"/>
        <w:rPr>
          <w:rFonts w:hint="eastAsia" w:ascii="宋体" w:hAnsi="宋体" w:eastAsia="宋体" w:cs="宋体"/>
          <w:kern w:val="0"/>
          <w:sz w:val="32"/>
          <w:szCs w:val="32"/>
          <w:lang w:val="en-US" w:eastAsia="zh-CN"/>
        </w:rPr>
      </w:pPr>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r>
        <w:rPr>
          <w:rFonts w:hint="eastAsia" w:ascii="宋体" w:hAnsi="宋体" w:cs="宋体"/>
          <w:kern w:val="0"/>
          <w:sz w:val="32"/>
          <w:szCs w:val="32"/>
        </w:rPr>
        <w:t>见附</w:t>
      </w:r>
      <w:r>
        <w:rPr>
          <w:rFonts w:hint="eastAsia" w:ascii="宋体" w:hAnsi="宋体" w:cs="宋体"/>
          <w:kern w:val="0"/>
          <w:sz w:val="32"/>
          <w:szCs w:val="32"/>
          <w:lang w:eastAsia="zh-CN"/>
        </w:rPr>
        <w:t>件</w:t>
      </w:r>
      <w:r>
        <w:rPr>
          <w:rFonts w:hint="eastAsia" w:ascii="宋体" w:hAnsi="宋体" w:cs="宋体"/>
          <w:kern w:val="0"/>
          <w:sz w:val="32"/>
          <w:szCs w:val="32"/>
          <w:lang w:val="en-US" w:eastAsia="zh-CN"/>
        </w:rPr>
        <w:t>3</w:t>
      </w:r>
    </w:p>
    <w:p>
      <w:pPr>
        <w:keepNext w:val="0"/>
        <w:keepLines w:val="0"/>
        <w:pageBreakBefore w:val="0"/>
        <w:kinsoku/>
        <w:wordWrap/>
        <w:overflowPunct/>
        <w:topLinePunct w:val="0"/>
        <w:autoSpaceDE/>
        <w:autoSpaceDN/>
        <w:bidi w:val="0"/>
        <w:spacing w:line="572" w:lineRule="exact"/>
        <w:ind w:left="1280" w:hanging="1280" w:hangingChars="400"/>
        <w:jc w:val="left"/>
        <w:textAlignment w:val="auto"/>
        <w:outlineLvl w:val="0"/>
        <w:rPr>
          <w:rFonts w:hint="eastAsia" w:ascii="仿宋_GB2312" w:hAnsi="仿宋_GB2312" w:eastAsia="仿宋_GB2312" w:cs="仿宋_GB2312"/>
          <w:color w:val="auto"/>
          <w:sz w:val="32"/>
          <w:szCs w:val="32"/>
          <w:highlight w:val="none"/>
        </w:rPr>
      </w:pPr>
    </w:p>
    <w:p>
      <w:pPr>
        <w:widowControl/>
        <w:jc w:val="center"/>
        <w:rPr>
          <w:rFonts w:hint="eastAsia" w:ascii="Times New Roman" w:hAnsi="Times New Roman" w:eastAsia="黑体"/>
          <w:color w:val="auto"/>
          <w:sz w:val="44"/>
          <w:szCs w:val="44"/>
          <w:highlight w:val="none"/>
        </w:rPr>
      </w:pPr>
      <w:bookmarkStart w:id="53" w:name="_Toc15396618"/>
      <w:bookmarkStart w:id="67" w:name="_GoBack"/>
      <w:bookmarkEnd w:id="67"/>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rPr>
          <w:rFonts w:hint="eastAsia"/>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1"/>
      <w:bookmarkEnd w:id="53"/>
      <w:bookmarkStart w:id="54"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21BFB"/>
    <w:multiLevelType w:val="singleLevel"/>
    <w:tmpl w:val="96221BFB"/>
    <w:lvl w:ilvl="0" w:tentative="0">
      <w:start w:val="1"/>
      <w:numFmt w:val="chineseCounting"/>
      <w:suff w:val="nothing"/>
      <w:lvlText w:val="%1、"/>
      <w:lvlJc w:val="left"/>
      <w:rPr>
        <w:rFonts w:hint="eastAsia"/>
      </w:rPr>
    </w:lvl>
  </w:abstractNum>
  <w:abstractNum w:abstractNumId="1">
    <w:nsid w:val="7FE7F2C3"/>
    <w:multiLevelType w:val="singleLevel"/>
    <w:tmpl w:val="7FE7F2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D7311D"/>
    <w:rsid w:val="0BD11E73"/>
    <w:rsid w:val="0CA8290A"/>
    <w:rsid w:val="0D35B1ED"/>
    <w:rsid w:val="0D432979"/>
    <w:rsid w:val="0E254B6B"/>
    <w:rsid w:val="0F98263C"/>
    <w:rsid w:val="101860EC"/>
    <w:rsid w:val="101F47CC"/>
    <w:rsid w:val="10C055FF"/>
    <w:rsid w:val="11694EBD"/>
    <w:rsid w:val="11772AA4"/>
    <w:rsid w:val="118107EC"/>
    <w:rsid w:val="12E24EE2"/>
    <w:rsid w:val="133A5F38"/>
    <w:rsid w:val="13D50BC4"/>
    <w:rsid w:val="14B17F78"/>
    <w:rsid w:val="165E0673"/>
    <w:rsid w:val="16B831D5"/>
    <w:rsid w:val="16BB723D"/>
    <w:rsid w:val="16FE4BFB"/>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275A83"/>
    <w:rsid w:val="281408E2"/>
    <w:rsid w:val="29FD04D3"/>
    <w:rsid w:val="2BB62E2E"/>
    <w:rsid w:val="2BFF7BC6"/>
    <w:rsid w:val="2C8A61B5"/>
    <w:rsid w:val="2DF04E50"/>
    <w:rsid w:val="2E586DFA"/>
    <w:rsid w:val="2F040D46"/>
    <w:rsid w:val="2F6B035B"/>
    <w:rsid w:val="2FAE5751"/>
    <w:rsid w:val="2FAF1497"/>
    <w:rsid w:val="2FB1A395"/>
    <w:rsid w:val="2FD9A7D8"/>
    <w:rsid w:val="2FDBF714"/>
    <w:rsid w:val="30AB6865"/>
    <w:rsid w:val="30C63922"/>
    <w:rsid w:val="319F7F4E"/>
    <w:rsid w:val="32BD1EF1"/>
    <w:rsid w:val="3304709D"/>
    <w:rsid w:val="33841796"/>
    <w:rsid w:val="33A773CB"/>
    <w:rsid w:val="349D6851"/>
    <w:rsid w:val="36AA5135"/>
    <w:rsid w:val="36BE0DA7"/>
    <w:rsid w:val="376B6AA6"/>
    <w:rsid w:val="376D39B2"/>
    <w:rsid w:val="37E16F03"/>
    <w:rsid w:val="37F53A3B"/>
    <w:rsid w:val="389B6C89"/>
    <w:rsid w:val="38D469F0"/>
    <w:rsid w:val="39627CCD"/>
    <w:rsid w:val="397BAF1F"/>
    <w:rsid w:val="39D110AA"/>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C092713"/>
    <w:rsid w:val="4D577224"/>
    <w:rsid w:val="4DB706EB"/>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5FFC5021"/>
    <w:rsid w:val="62BF3928"/>
    <w:rsid w:val="63B3701E"/>
    <w:rsid w:val="647F5392"/>
    <w:rsid w:val="65E66580"/>
    <w:rsid w:val="664B1D71"/>
    <w:rsid w:val="664B4E8E"/>
    <w:rsid w:val="67277B67"/>
    <w:rsid w:val="67A52B25"/>
    <w:rsid w:val="67AA3209"/>
    <w:rsid w:val="684335E4"/>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8F70B79"/>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0"/>
    <w:pPr>
      <w:keepNext w:val="0"/>
      <w:keepLines w:val="0"/>
      <w:widowControl w:val="0"/>
      <w:suppressLineNumbers w:val="0"/>
      <w:spacing w:beforeLines="0" w:beforeAutospacing="0" w:afterLines="0" w:afterAutospacing="0"/>
      <w:jc w:val="both"/>
    </w:pPr>
    <w:rPr>
      <w:rFonts w:hint="eastAsia" w:ascii="宋体" w:hAnsi="Courier New" w:eastAsia="宋体" w:cs="Times New Roman"/>
      <w:kern w:val="2"/>
      <w:sz w:val="21"/>
      <w:szCs w:val="21"/>
      <w:lang w:val="en-US" w:eastAsia="zh-CN" w:bidi="ar"/>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2023年</c:v>
                </c:pt>
              </c:strCache>
            </c:strRef>
          </c:tx>
          <c:spPr>
            <a:solidFill>
              <a:schemeClr val="accent1"/>
            </a:solidFill>
            <a:ln>
              <a:noFill/>
            </a:ln>
            <a:effectLst/>
          </c:spPr>
          <c:invertIfNegative val="0"/>
          <c:dLbls>
            <c:delete val="1"/>
          </c:dLbls>
          <c:cat>
            <c:numRef>
              <c:f>Sheet1!#REF!</c:f>
              <c:numCache>
                <c:ptCount val="0"/>
              </c:numCache>
            </c:numRef>
          </c:cat>
          <c:val>
            <c:numRef>
              <c:f>Sheet1!$A$2</c:f>
              <c:numCache>
                <c:formatCode>General</c:formatCode>
                <c:ptCount val="1"/>
                <c:pt idx="0">
                  <c:v>417.46</c:v>
                </c:pt>
              </c:numCache>
            </c:numRef>
          </c:val>
        </c:ser>
        <c:ser>
          <c:idx val="1"/>
          <c:order val="1"/>
          <c:tx>
            <c:strRef>
              <c:f>Sheet1!$B$1</c:f>
              <c:strCache>
                <c:ptCount val="1"/>
                <c:pt idx="0">
                  <c:v>2024年</c:v>
                </c:pt>
              </c:strCache>
            </c:strRef>
          </c:tx>
          <c:spPr>
            <a:solidFill>
              <a:schemeClr val="accent2"/>
            </a:solidFill>
            <a:ln>
              <a:noFill/>
            </a:ln>
            <a:effectLst/>
          </c:spPr>
          <c:invertIfNegative val="0"/>
          <c:dLbls>
            <c:delete val="1"/>
          </c:dLbls>
          <c:cat>
            <c:numRef>
              <c:f>Sheet1!#REF!</c:f>
              <c:numCache>
                <c:ptCount val="0"/>
              </c:numCache>
            </c:numRef>
          </c:cat>
          <c:val>
            <c:numRef>
              <c:f>Sheet1!$B$2</c:f>
              <c:numCache>
                <c:formatCode>General</c:formatCode>
                <c:ptCount val="1"/>
                <c:pt idx="0">
                  <c:v>392.17</c:v>
                </c:pt>
              </c:numCache>
            </c:numRef>
          </c:val>
        </c:ser>
        <c:ser>
          <c:idx val="2"/>
          <c:order val="2"/>
          <c:tx>
            <c:strRef>
              <c:f>Sheet1!$C$1</c:f>
              <c:strCache>
                <c:ptCount val="1"/>
                <c:pt idx="0">
                  <c:v>系列 3</c:v>
                </c:pt>
              </c:strCache>
            </c:strRef>
          </c:tx>
          <c:spPr>
            <a:solidFill>
              <a:schemeClr val="accent3"/>
            </a:solidFill>
            <a:ln>
              <a:noFill/>
            </a:ln>
            <a:effectLst/>
          </c:spPr>
          <c:invertIfNegative val="0"/>
          <c:dLbls>
            <c:delete val="1"/>
          </c:dLbls>
          <c:cat>
            <c:numRef>
              <c:f>Sheet1!#REF!</c:f>
              <c:numCache>
                <c:ptCount val="0"/>
              </c:numCache>
            </c:numRef>
          </c:cat>
          <c:val>
            <c:numRef>
              <c:f>Sheet1!$C$2</c:f>
            </c:numRef>
          </c:val>
        </c:ser>
        <c:dLbls>
          <c:showLegendKey val="0"/>
          <c:showVal val="0"/>
          <c:showCatName val="0"/>
          <c:showSerName val="0"/>
          <c:showPercent val="0"/>
          <c:showBubbleSize val="0"/>
        </c:dLbls>
        <c:gapWidth val="219"/>
        <c:overlap val="-27"/>
        <c:axId val="196782617"/>
        <c:axId val="267317921"/>
      </c:barChart>
      <c:catAx>
        <c:axId val="1967826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317921"/>
        <c:crosses val="autoZero"/>
        <c:auto val="1"/>
        <c:lblAlgn val="ctr"/>
        <c:lblOffset val="100"/>
        <c:noMultiLvlLbl val="0"/>
      </c:catAx>
      <c:valAx>
        <c:axId val="267317921"/>
        <c:scaling>
          <c:orientation val="minMax"/>
          <c:max val="4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82617"/>
        <c:crosses val="autoZero"/>
        <c:crossBetween val="between"/>
        <c:majorUnit val="50"/>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380.6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51687461648599"/>
          <c:y val="0.8365079365079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305.71</c:v>
                </c:pt>
                <c:pt idx="1">
                  <c:v>86.46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2023年</c:v>
                </c:pt>
              </c:strCache>
            </c:strRef>
          </c:tx>
          <c:spPr>
            <a:solidFill>
              <a:schemeClr val="accent1"/>
            </a:solidFill>
            <a:ln>
              <a:noFill/>
            </a:ln>
            <a:effectLst/>
          </c:spPr>
          <c:invertIfNegative val="0"/>
          <c:dLbls>
            <c:delete val="1"/>
          </c:dLbls>
          <c:cat>
            <c:numRef>
              <c:f>Sheet1!#REF!</c:f>
              <c:numCache>
                <c:ptCount val="0"/>
              </c:numCache>
            </c:numRef>
          </c:cat>
          <c:val>
            <c:numRef>
              <c:f>Sheet1!$A$2</c:f>
              <c:numCache>
                <c:formatCode>General</c:formatCode>
                <c:ptCount val="1"/>
                <c:pt idx="0">
                  <c:v>417.46</c:v>
                </c:pt>
              </c:numCache>
            </c:numRef>
          </c:val>
        </c:ser>
        <c:ser>
          <c:idx val="1"/>
          <c:order val="1"/>
          <c:tx>
            <c:strRef>
              <c:f>Sheet1!$B$1</c:f>
              <c:strCache>
                <c:ptCount val="1"/>
                <c:pt idx="0">
                  <c:v>2024年</c:v>
                </c:pt>
              </c:strCache>
            </c:strRef>
          </c:tx>
          <c:spPr>
            <a:solidFill>
              <a:schemeClr val="accent2"/>
            </a:solidFill>
            <a:ln>
              <a:noFill/>
            </a:ln>
            <a:effectLst/>
          </c:spPr>
          <c:invertIfNegative val="0"/>
          <c:dLbls>
            <c:delete val="1"/>
          </c:dLbls>
          <c:cat>
            <c:numRef>
              <c:f>Sheet1!#REF!</c:f>
              <c:numCache>
                <c:ptCount val="0"/>
              </c:numCache>
            </c:numRef>
          </c:cat>
          <c:val>
            <c:numRef>
              <c:f>Sheet1!$B$2</c:f>
              <c:numCache>
                <c:formatCode>General</c:formatCode>
                <c:ptCount val="1"/>
                <c:pt idx="0">
                  <c:v>392.17</c:v>
                </c:pt>
              </c:numCache>
            </c:numRef>
          </c:val>
        </c:ser>
        <c:ser>
          <c:idx val="2"/>
          <c:order val="2"/>
          <c:tx>
            <c:strRef>
              <c:f>Sheet1!$C$1</c:f>
              <c:strCache>
                <c:ptCount val="1"/>
                <c:pt idx="0">
                  <c:v>系列 3</c:v>
                </c:pt>
              </c:strCache>
            </c:strRef>
          </c:tx>
          <c:spPr>
            <a:solidFill>
              <a:schemeClr val="accent3"/>
            </a:solidFill>
            <a:ln>
              <a:noFill/>
            </a:ln>
            <a:effectLst/>
          </c:spPr>
          <c:invertIfNegative val="0"/>
          <c:dLbls>
            <c:delete val="1"/>
          </c:dLbls>
          <c:cat>
            <c:numRef>
              <c:f>Sheet1!#REF!</c:f>
              <c:numCache>
                <c:ptCount val="0"/>
              </c:numCache>
            </c:numRef>
          </c:cat>
          <c:val>
            <c:numRef>
              <c:f>Sheet1!$C$2</c:f>
            </c:numRef>
          </c:val>
        </c:ser>
        <c:dLbls>
          <c:showLegendKey val="0"/>
          <c:showVal val="0"/>
          <c:showCatName val="0"/>
          <c:showSerName val="0"/>
          <c:showPercent val="0"/>
          <c:showBubbleSize val="0"/>
        </c:dLbls>
        <c:gapWidth val="219"/>
        <c:overlap val="-27"/>
        <c:axId val="196782617"/>
        <c:axId val="267317921"/>
      </c:barChart>
      <c:catAx>
        <c:axId val="1967826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317921"/>
        <c:crosses val="autoZero"/>
        <c:auto val="1"/>
        <c:lblAlgn val="ctr"/>
        <c:lblOffset val="100"/>
        <c:noMultiLvlLbl val="0"/>
      </c:catAx>
      <c:valAx>
        <c:axId val="267317921"/>
        <c:scaling>
          <c:orientation val="minMax"/>
          <c:max val="4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82617"/>
        <c:crosses val="autoZero"/>
        <c:crossBetween val="between"/>
        <c:majorUnit val="50"/>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invertIfNegative val="0"/>
          <c:dLbls>
            <c:delete val="1"/>
          </c:dLbls>
          <c:cat>
            <c:strRef>
              <c:f>Sheet1!$A$2:$A$4</c:f>
              <c:strCache>
                <c:ptCount val="3"/>
                <c:pt idx="0">
                  <c:v>人员经费 </c:v>
                </c:pt>
                <c:pt idx="1">
                  <c:v>公用经费</c:v>
                </c:pt>
                <c:pt idx="2">
                  <c:v>项目经费</c:v>
                </c:pt>
              </c:strCache>
            </c:strRef>
          </c:cat>
          <c:val>
            <c:numRef>
              <c:f>Sheet1!$B$2:$B$4</c:f>
              <c:numCache>
                <c:formatCode>General</c:formatCode>
                <c:ptCount val="3"/>
                <c:pt idx="0">
                  <c:v>315.05</c:v>
                </c:pt>
                <c:pt idx="1">
                  <c:v>18.76</c:v>
                </c:pt>
                <c:pt idx="2">
                  <c:v>83.65</c:v>
                </c:pt>
              </c:numCache>
            </c:numRef>
          </c:val>
        </c:ser>
        <c:ser>
          <c:idx val="1"/>
          <c:order val="1"/>
          <c:tx>
            <c:strRef>
              <c:f>Sheet1!$C$1</c:f>
              <c:strCache>
                <c:ptCount val="1"/>
                <c:pt idx="0">
                  <c:v>2024年</c:v>
                </c:pt>
              </c:strCache>
            </c:strRef>
          </c:tx>
          <c:invertIfNegative val="0"/>
          <c:dLbls>
            <c:delete val="1"/>
          </c:dLbls>
          <c:cat>
            <c:strRef>
              <c:f>Sheet1!$A$2:$A$4</c:f>
              <c:strCache>
                <c:ptCount val="3"/>
                <c:pt idx="0">
                  <c:v>人员经费 </c:v>
                </c:pt>
                <c:pt idx="1">
                  <c:v>公用经费</c:v>
                </c:pt>
                <c:pt idx="2">
                  <c:v>项目经费</c:v>
                </c:pt>
              </c:strCache>
            </c:strRef>
          </c:cat>
          <c:val>
            <c:numRef>
              <c:f>Sheet1!$C$2:$C$4</c:f>
              <c:numCache>
                <c:formatCode>General</c:formatCode>
                <c:ptCount val="3"/>
                <c:pt idx="0">
                  <c:v>288.23</c:v>
                </c:pt>
                <c:pt idx="1">
                  <c:v>17.48</c:v>
                </c:pt>
                <c:pt idx="2">
                  <c:v>86.46</c:v>
                </c:pt>
              </c:numCache>
            </c:numRef>
          </c:val>
        </c:ser>
        <c:dLbls>
          <c:showLegendKey val="0"/>
          <c:showVal val="0"/>
          <c:showCatName val="0"/>
          <c:showSerName val="0"/>
          <c:showPercent val="0"/>
          <c:showBubbleSize val="0"/>
        </c:dLbls>
        <c:gapWidth val="150"/>
        <c:axId val="117578368"/>
        <c:axId val="117584256"/>
      </c:barChart>
      <c:catAx>
        <c:axId val="1175783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584256"/>
        <c:crosses val="autoZero"/>
        <c:auto val="1"/>
        <c:lblAlgn val="ctr"/>
        <c:lblOffset val="100"/>
        <c:noMultiLvlLbl val="0"/>
      </c:catAx>
      <c:valAx>
        <c:axId val="117584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5783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一般公共预算财政拨款支出决算结构图</c:v>
                </c:pt>
              </c:strCache>
            </c:strRef>
          </c:tx>
          <c:explosion val="0"/>
          <c:dPt>
            <c:idx val="0"/>
            <c:bubble3D val="0"/>
          </c:dPt>
          <c:dPt>
            <c:idx val="1"/>
            <c:bubble3D val="0"/>
          </c:dPt>
          <c:dPt>
            <c:idx val="2"/>
            <c:bubble3D val="0"/>
          </c:dPt>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344.66</c:v>
                </c:pt>
                <c:pt idx="1">
                  <c:v>25.02</c:v>
                </c:pt>
                <c:pt idx="2">
                  <c:v>22.49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公务接待费</c:v>
                </c:pt>
                <c:pt idx="1">
                  <c:v>因公出国（境）费</c:v>
                </c:pt>
                <c:pt idx="2">
                  <c:v>公务用车购置及运行维护费</c:v>
                </c:pt>
              </c:strCache>
            </c:strRef>
          </c:cat>
          <c:val>
            <c:numRef>
              <c:f>Sheet1!$B$2:$B$4</c:f>
              <c:numCache>
                <c:formatCode>General</c:formatCode>
                <c:ptCount val="3"/>
                <c:pt idx="0">
                  <c:v>0.08</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1299</Words>
  <Characters>7410</Characters>
  <Lines>1</Lines>
  <Paragraphs>1</Paragraphs>
  <TotalTime>106</TotalTime>
  <ScaleCrop>false</ScaleCrop>
  <LinksUpToDate>false</LinksUpToDate>
  <CharactersWithSpaces>8692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2025-10-27T02:22:46Z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04787F2533EB45DC91BCDE4AB213247F</vt:lpwstr>
  </property>
</Properties>
</file>