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1974C">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06267"/>
      <w:bookmarkStart w:id="3" w:name="_Toc15378441"/>
      <w:bookmarkStart w:id="4" w:name="_Toc15396475"/>
      <w:bookmarkStart w:id="5" w:name="_Toc15377425"/>
    </w:p>
    <w:p w14:paraId="318FD0C2">
      <w:pPr>
        <w:pStyle w:val="2"/>
        <w:rPr>
          <w:rFonts w:hint="eastAsia" w:ascii="Times New Roman" w:hAnsi="Times New Roman" w:eastAsia="方正小标宋简体" w:cs="Times New Roman"/>
          <w:color w:val="auto"/>
          <w:kern w:val="2"/>
          <w:sz w:val="72"/>
          <w:szCs w:val="72"/>
          <w:highlight w:val="none"/>
          <w:lang w:val="en-US" w:eastAsia="zh-CN" w:bidi="ar-SA"/>
        </w:rPr>
      </w:pPr>
    </w:p>
    <w:p w14:paraId="10D9C1C6">
      <w:pPr>
        <w:pStyle w:val="2"/>
        <w:rPr>
          <w:rFonts w:hint="eastAsia" w:ascii="Times New Roman" w:hAnsi="Times New Roman" w:eastAsia="方正小标宋简体" w:cs="Times New Roman"/>
          <w:color w:val="auto"/>
          <w:kern w:val="2"/>
          <w:sz w:val="72"/>
          <w:szCs w:val="72"/>
          <w:highlight w:val="none"/>
          <w:lang w:val="en-US" w:eastAsia="zh-CN" w:bidi="ar-SA"/>
        </w:rPr>
      </w:pPr>
    </w:p>
    <w:p w14:paraId="590C7237">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w:t>
      </w:r>
    </w:p>
    <w:p w14:paraId="6E267A34">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机关事务服务中心部门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2B04B7DA">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79B8CC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E589BE5">
      <w:pPr>
        <w:widowControl/>
        <w:jc w:val="center"/>
        <w:rPr>
          <w:rFonts w:ascii="Times New Roman" w:hAnsi="Times New Roman" w:eastAsia="黑体" w:cstheme="minorBidi"/>
          <w:color w:val="auto"/>
          <w:sz w:val="28"/>
          <w:szCs w:val="28"/>
          <w:highlight w:val="none"/>
        </w:rPr>
      </w:pPr>
    </w:p>
    <w:p w14:paraId="1DD04F0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66" w:name="_GoBack"/>
      <w:bookmarkEnd w:id="66"/>
      <w:r>
        <w:rPr>
          <w:rFonts w:hint="eastAsia" w:ascii="Times New Roman" w:hAnsi="Times New Roman" w:eastAsia="仿宋_GB2312" w:cs="仿宋_GB2312"/>
          <w:color w:val="auto"/>
          <w:sz w:val="32"/>
          <w:szCs w:val="32"/>
          <w:highlight w:val="none"/>
        </w:rPr>
        <w:t>日</w:t>
      </w:r>
    </w:p>
    <w:p w14:paraId="3146C220">
      <w:pPr>
        <w:rPr>
          <w:rFonts w:ascii="Times New Roman" w:hAnsi="Times New Roman"/>
          <w:color w:val="auto"/>
          <w:highlight w:val="none"/>
        </w:rPr>
      </w:pPr>
    </w:p>
    <w:p w14:paraId="6A184E26">
      <w:pPr>
        <w:pStyle w:val="36"/>
        <w:tabs>
          <w:tab w:val="right" w:leader="dot" w:pos="8306"/>
        </w:tabs>
        <w:rPr>
          <w:b/>
        </w:rPr>
      </w:pPr>
      <w:bookmarkStart w:id="6" w:name="_Toc15396599"/>
      <w:bookmarkStart w:id="7" w:name="_Toc15377196"/>
      <w:r>
        <w:rPr>
          <w:b/>
        </w:rPr>
        <w:fldChar w:fldCharType="begin"/>
      </w:r>
      <w:r>
        <w:rPr>
          <w:b/>
        </w:rPr>
        <w:instrText xml:space="preserve"> HYPERLINK \l _Toc32330 </w:instrText>
      </w:r>
      <w:r>
        <w:rPr>
          <w:b/>
        </w:rPr>
        <w:fldChar w:fldCharType="separate"/>
      </w:r>
      <w:r>
        <w:rPr>
          <w:rFonts w:hint="eastAsia" w:ascii="黑体" w:hAnsi="黑体" w:eastAsia="黑体"/>
          <w:b/>
          <w:highlight w:val="none"/>
        </w:rPr>
        <w:t>第一</w:t>
      </w:r>
      <w:r>
        <w:rPr>
          <w:rFonts w:hint="eastAsia" w:ascii="黑体" w:hAnsi="黑体" w:eastAsia="黑体"/>
          <w:b/>
          <w:highlight w:val="none"/>
          <w:lang w:val="en-US" w:eastAsia="zh-CN"/>
        </w:rPr>
        <w:t>部门</w:t>
      </w:r>
      <w:r>
        <w:rPr>
          <w:rFonts w:hint="eastAsia" w:ascii="黑体" w:hAnsi="黑体" w:eastAsia="黑体"/>
          <w:b/>
          <w:bCs w:val="0"/>
          <w:highlight w:val="none"/>
        </w:rPr>
        <w:t>概况</w:t>
      </w:r>
      <w:r>
        <w:rPr>
          <w:b/>
        </w:rPr>
        <w:tab/>
      </w:r>
      <w:r>
        <w:rPr>
          <w:rFonts w:hint="eastAsia"/>
          <w:b/>
          <w:lang w:val="en-US" w:eastAsia="zh-CN"/>
        </w:rPr>
        <w:t>2</w:t>
      </w:r>
      <w:r>
        <w:rPr>
          <w:b/>
        </w:rPr>
        <w:fldChar w:fldCharType="end"/>
      </w:r>
    </w:p>
    <w:p w14:paraId="3C1D1BAF">
      <w:pPr>
        <w:pStyle w:val="37"/>
        <w:tabs>
          <w:tab w:val="right" w:leader="dot" w:pos="8306"/>
        </w:tabs>
      </w:pPr>
      <w:r>
        <w:fldChar w:fldCharType="begin"/>
      </w:r>
      <w:r>
        <w:instrText xml:space="preserve"> HYPERLINK \l _Toc10246 </w:instrText>
      </w:r>
      <w:r>
        <w:fldChar w:fldCharType="separate"/>
      </w:r>
      <w:r>
        <w:rPr>
          <w:rFonts w:hint="eastAsia" w:ascii="黑体" w:hAnsi="黑体" w:eastAsia="黑体"/>
          <w:lang w:eastAsia="zh-CN"/>
        </w:rPr>
        <w:t xml:space="preserve">一、 </w:t>
      </w:r>
      <w:r>
        <w:rPr>
          <w:rFonts w:hint="eastAsia" w:ascii="黑体" w:hAnsi="黑体" w:eastAsia="黑体"/>
          <w:highlight w:val="none"/>
          <w:lang w:val="en-US" w:eastAsia="zh-CN"/>
        </w:rPr>
        <w:t>部门</w:t>
      </w:r>
      <w:r>
        <w:rPr>
          <w:rFonts w:hint="eastAsia" w:ascii="黑体" w:hAnsi="黑体" w:eastAsia="黑体"/>
          <w:highlight w:val="none"/>
          <w:lang w:eastAsia="zh-CN"/>
        </w:rPr>
        <w:t>职责</w:t>
      </w:r>
      <w:r>
        <w:tab/>
      </w:r>
      <w:r>
        <w:rPr>
          <w:rFonts w:hint="eastAsia"/>
          <w:lang w:val="en-US" w:eastAsia="zh-CN"/>
        </w:rPr>
        <w:t>2</w:t>
      </w:r>
      <w:r>
        <w:fldChar w:fldCharType="end"/>
      </w:r>
    </w:p>
    <w:p w14:paraId="7D8A9280">
      <w:pPr>
        <w:pStyle w:val="37"/>
        <w:tabs>
          <w:tab w:val="right" w:leader="dot" w:pos="8306"/>
        </w:tabs>
      </w:pPr>
      <w:r>
        <w:fldChar w:fldCharType="begin"/>
      </w:r>
      <w:r>
        <w:instrText xml:space="preserve"> HYPERLINK \l _Toc11255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2</w:t>
      </w:r>
      <w:r>
        <w:fldChar w:fldCharType="end"/>
      </w:r>
    </w:p>
    <w:p w14:paraId="2FFA93CD">
      <w:pPr>
        <w:pStyle w:val="36"/>
        <w:tabs>
          <w:tab w:val="right" w:leader="dot" w:pos="8306"/>
        </w:tabs>
        <w:rPr>
          <w:b/>
        </w:rPr>
      </w:pPr>
      <w:r>
        <w:rPr>
          <w:b/>
        </w:rPr>
        <w:fldChar w:fldCharType="begin"/>
      </w:r>
      <w:r>
        <w:rPr>
          <w:b/>
        </w:rPr>
        <w:instrText xml:space="preserve"> HYPERLINK \l _Toc4131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2024年度部门</w:t>
      </w:r>
      <w:r>
        <w:rPr>
          <w:rFonts w:hint="eastAsia" w:ascii="黑体" w:hAnsi="黑体" w:eastAsia="黑体"/>
          <w:b/>
          <w:bCs/>
          <w:highlight w:val="none"/>
        </w:rPr>
        <w:t>决算情况说明</w:t>
      </w:r>
      <w:r>
        <w:rPr>
          <w:b/>
        </w:rPr>
        <w:tab/>
      </w:r>
      <w:r>
        <w:rPr>
          <w:rFonts w:hint="eastAsia"/>
          <w:b/>
          <w:lang w:val="en-US" w:eastAsia="zh-CN"/>
        </w:rPr>
        <w:t>3</w:t>
      </w:r>
      <w:r>
        <w:rPr>
          <w:b/>
        </w:rPr>
        <w:fldChar w:fldCharType="end"/>
      </w:r>
    </w:p>
    <w:p w14:paraId="77A4A321">
      <w:pPr>
        <w:pStyle w:val="37"/>
        <w:tabs>
          <w:tab w:val="right" w:leader="dot" w:pos="8306"/>
        </w:tabs>
      </w:pPr>
      <w:r>
        <w:fldChar w:fldCharType="begin"/>
      </w:r>
      <w:r>
        <w:instrText xml:space="preserve"> HYPERLINK \l _Toc31063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3</w:t>
      </w:r>
      <w:r>
        <w:fldChar w:fldCharType="end"/>
      </w:r>
    </w:p>
    <w:p w14:paraId="18703250">
      <w:pPr>
        <w:pStyle w:val="37"/>
        <w:tabs>
          <w:tab w:val="right" w:leader="dot" w:pos="8306"/>
        </w:tabs>
      </w:pPr>
      <w:r>
        <w:fldChar w:fldCharType="begin"/>
      </w:r>
      <w:r>
        <w:instrText xml:space="preserve"> HYPERLINK \l _Toc2950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3</w:t>
      </w:r>
      <w:r>
        <w:fldChar w:fldCharType="end"/>
      </w:r>
    </w:p>
    <w:p w14:paraId="3FAE9CF9">
      <w:pPr>
        <w:pStyle w:val="37"/>
        <w:tabs>
          <w:tab w:val="right" w:leader="dot" w:pos="8306"/>
        </w:tabs>
      </w:pPr>
      <w:r>
        <w:fldChar w:fldCharType="begin"/>
      </w:r>
      <w:r>
        <w:instrText xml:space="preserve"> HYPERLINK \l _Toc11782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4</w:t>
      </w:r>
      <w:r>
        <w:fldChar w:fldCharType="end"/>
      </w:r>
    </w:p>
    <w:p w14:paraId="57C74E18">
      <w:pPr>
        <w:pStyle w:val="37"/>
        <w:tabs>
          <w:tab w:val="right" w:leader="dot" w:pos="8306"/>
        </w:tabs>
      </w:pPr>
      <w:r>
        <w:fldChar w:fldCharType="begin"/>
      </w:r>
      <w:r>
        <w:instrText xml:space="preserve"> HYPERLINK \l _Toc11055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_Toc11055 \h </w:instrText>
      </w:r>
      <w:r>
        <w:fldChar w:fldCharType="separate"/>
      </w:r>
      <w:r>
        <w:t>4</w:t>
      </w:r>
      <w:r>
        <w:fldChar w:fldCharType="end"/>
      </w:r>
      <w:r>
        <w:fldChar w:fldCharType="end"/>
      </w:r>
    </w:p>
    <w:p w14:paraId="689D8267">
      <w:pPr>
        <w:pStyle w:val="37"/>
        <w:tabs>
          <w:tab w:val="right" w:leader="dot" w:pos="8306"/>
        </w:tabs>
      </w:pPr>
      <w:r>
        <w:fldChar w:fldCharType="begin"/>
      </w:r>
      <w:r>
        <w:instrText xml:space="preserve"> HYPERLINK \l _Toc17063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5</w:t>
      </w:r>
      <w:r>
        <w:fldChar w:fldCharType="end"/>
      </w:r>
    </w:p>
    <w:p w14:paraId="271DC830">
      <w:pPr>
        <w:pStyle w:val="37"/>
        <w:tabs>
          <w:tab w:val="right" w:leader="dot" w:pos="8306"/>
        </w:tabs>
      </w:pPr>
      <w:r>
        <w:fldChar w:fldCharType="begin"/>
      </w:r>
      <w:r>
        <w:instrText xml:space="preserve"> HYPERLINK \l _Toc29691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_Toc29691 \h </w:instrText>
      </w:r>
      <w:r>
        <w:fldChar w:fldCharType="separate"/>
      </w:r>
      <w:r>
        <w:t>7</w:t>
      </w:r>
      <w:r>
        <w:fldChar w:fldCharType="end"/>
      </w:r>
      <w:r>
        <w:fldChar w:fldCharType="end"/>
      </w:r>
    </w:p>
    <w:p w14:paraId="5CA20497">
      <w:pPr>
        <w:pStyle w:val="37"/>
        <w:tabs>
          <w:tab w:val="right" w:leader="dot" w:pos="8306"/>
        </w:tabs>
      </w:pPr>
      <w:r>
        <w:fldChar w:fldCharType="begin"/>
      </w:r>
      <w:r>
        <w:instrText xml:space="preserve"> HYPERLINK \l _Toc29862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_Toc29862 \h </w:instrText>
      </w:r>
      <w:r>
        <w:fldChar w:fldCharType="separate"/>
      </w:r>
      <w:r>
        <w:t>8</w:t>
      </w:r>
      <w:r>
        <w:fldChar w:fldCharType="end"/>
      </w:r>
      <w:r>
        <w:fldChar w:fldCharType="end"/>
      </w:r>
    </w:p>
    <w:p w14:paraId="5C7337A8">
      <w:pPr>
        <w:pStyle w:val="37"/>
        <w:tabs>
          <w:tab w:val="right" w:leader="dot" w:pos="8306"/>
        </w:tabs>
      </w:pPr>
      <w:r>
        <w:fldChar w:fldCharType="begin"/>
      </w:r>
      <w:r>
        <w:instrText xml:space="preserve"> HYPERLINK \l _Toc31418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_Toc31418 \h </w:instrText>
      </w:r>
      <w:r>
        <w:fldChar w:fldCharType="separate"/>
      </w:r>
      <w:r>
        <w:t>9</w:t>
      </w:r>
      <w:r>
        <w:fldChar w:fldCharType="end"/>
      </w:r>
      <w:r>
        <w:fldChar w:fldCharType="end"/>
      </w:r>
    </w:p>
    <w:p w14:paraId="68B6A180">
      <w:pPr>
        <w:pStyle w:val="37"/>
        <w:tabs>
          <w:tab w:val="right" w:leader="dot" w:pos="8306"/>
        </w:tabs>
      </w:pPr>
      <w:r>
        <w:fldChar w:fldCharType="begin"/>
      </w:r>
      <w:r>
        <w:instrText xml:space="preserve"> HYPERLINK \l _Toc19634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_Toc19634 \h </w:instrText>
      </w:r>
      <w:r>
        <w:fldChar w:fldCharType="separate"/>
      </w:r>
      <w:r>
        <w:t>10</w:t>
      </w:r>
      <w:r>
        <w:fldChar w:fldCharType="end"/>
      </w:r>
      <w:r>
        <w:fldChar w:fldCharType="end"/>
      </w:r>
    </w:p>
    <w:p w14:paraId="23723DFD">
      <w:pPr>
        <w:pStyle w:val="37"/>
        <w:tabs>
          <w:tab w:val="right" w:leader="dot" w:pos="8306"/>
        </w:tabs>
      </w:pPr>
      <w:r>
        <w:fldChar w:fldCharType="begin"/>
      </w:r>
      <w:r>
        <w:instrText xml:space="preserve"> HYPERLINK \l _Toc29922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_Toc29922 \h </w:instrText>
      </w:r>
      <w:r>
        <w:fldChar w:fldCharType="separate"/>
      </w:r>
      <w:r>
        <w:t>10</w:t>
      </w:r>
      <w:r>
        <w:fldChar w:fldCharType="end"/>
      </w:r>
      <w:r>
        <w:fldChar w:fldCharType="end"/>
      </w:r>
    </w:p>
    <w:p w14:paraId="0B7FB262">
      <w:pPr>
        <w:pStyle w:val="36"/>
        <w:tabs>
          <w:tab w:val="right" w:leader="dot" w:pos="8306"/>
        </w:tabs>
        <w:rPr>
          <w:rFonts w:hint="eastAsia" w:eastAsia="宋体"/>
          <w:b/>
          <w:lang w:val="en-US" w:eastAsia="zh-CN"/>
        </w:rPr>
      </w:pPr>
      <w:r>
        <w:rPr>
          <w:b/>
        </w:rPr>
        <w:fldChar w:fldCharType="begin"/>
      </w:r>
      <w:r>
        <w:rPr>
          <w:b/>
        </w:rPr>
        <w:instrText xml:space="preserve"> HYPERLINK \l _Toc508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rFonts w:hint="eastAsia"/>
          <w:b/>
          <w:lang w:val="en-US" w:eastAsia="zh-CN"/>
        </w:rPr>
        <w:t>1</w:t>
      </w:r>
      <w:r>
        <w:rPr>
          <w:b/>
        </w:rPr>
        <w:fldChar w:fldCharType="end"/>
      </w:r>
      <w:r>
        <w:rPr>
          <w:rFonts w:hint="eastAsia"/>
          <w:b/>
          <w:lang w:val="en-US" w:eastAsia="zh-CN"/>
        </w:rPr>
        <w:t>2</w:t>
      </w:r>
    </w:p>
    <w:p w14:paraId="5E97D976">
      <w:pPr>
        <w:pStyle w:val="36"/>
        <w:tabs>
          <w:tab w:val="right" w:leader="dot" w:pos="8306"/>
        </w:tabs>
      </w:pPr>
      <w:r>
        <w:rPr>
          <w:b/>
        </w:rPr>
        <w:fldChar w:fldCharType="begin"/>
      </w:r>
      <w:r>
        <w:rPr>
          <w:b/>
        </w:rPr>
        <w:instrText xml:space="preserve"> HYPERLINK \l _Toc25622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_Toc25622 \h </w:instrText>
      </w:r>
      <w:r>
        <w:rPr>
          <w:b/>
        </w:rPr>
        <w:fldChar w:fldCharType="separate"/>
      </w:r>
      <w:r>
        <w:rPr>
          <w:b/>
        </w:rPr>
        <w:t>15</w:t>
      </w:r>
      <w:r>
        <w:rPr>
          <w:b/>
        </w:rPr>
        <w:fldChar w:fldCharType="end"/>
      </w:r>
      <w:r>
        <w:rPr>
          <w:b/>
        </w:rPr>
        <w:fldChar w:fldCharType="end"/>
      </w:r>
    </w:p>
    <w:p w14:paraId="4BBE0694">
      <w:pPr>
        <w:pStyle w:val="36"/>
        <w:tabs>
          <w:tab w:val="right" w:leader="dot" w:pos="8306"/>
        </w:tabs>
        <w:rPr>
          <w:rFonts w:hint="eastAsia" w:eastAsia="宋体"/>
          <w:b/>
          <w:lang w:val="en-US" w:eastAsia="zh-CN"/>
        </w:rPr>
      </w:pPr>
      <w:r>
        <w:rPr>
          <w:b/>
        </w:rPr>
        <w:fldChar w:fldCharType="begin"/>
      </w:r>
      <w:r>
        <w:rPr>
          <w:b/>
        </w:rPr>
        <w:instrText xml:space="preserve"> HYPERLINK \l _Toc30585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2</w:t>
      </w:r>
      <w:r>
        <w:rPr>
          <w:b/>
        </w:rPr>
        <w:fldChar w:fldCharType="end"/>
      </w:r>
      <w:r>
        <w:rPr>
          <w:rFonts w:hint="eastAsia"/>
          <w:b/>
          <w:lang w:val="en-US" w:eastAsia="zh-CN"/>
        </w:rPr>
        <w:t>2</w:t>
      </w:r>
    </w:p>
    <w:p w14:paraId="20D63F1C">
      <w:pPr>
        <w:pStyle w:val="37"/>
        <w:tabs>
          <w:tab w:val="right" w:leader="dot" w:pos="8306"/>
        </w:tabs>
        <w:rPr>
          <w:rFonts w:hint="eastAsia" w:eastAsia="宋体"/>
          <w:lang w:val="en-US" w:eastAsia="zh-CN"/>
        </w:rPr>
      </w:pPr>
      <w:r>
        <w:fldChar w:fldCharType="begin"/>
      </w:r>
      <w:r>
        <w:instrText xml:space="preserve"> HYPERLINK \l _Toc16705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2</w:t>
      </w:r>
      <w:r>
        <w:fldChar w:fldCharType="end"/>
      </w:r>
      <w:r>
        <w:rPr>
          <w:rFonts w:hint="eastAsia"/>
          <w:lang w:val="en-US" w:eastAsia="zh-CN"/>
        </w:rPr>
        <w:t>2</w:t>
      </w:r>
    </w:p>
    <w:p w14:paraId="11958FE9">
      <w:pPr>
        <w:pStyle w:val="37"/>
        <w:tabs>
          <w:tab w:val="right" w:leader="dot" w:pos="8306"/>
        </w:tabs>
        <w:rPr>
          <w:rFonts w:hint="eastAsia" w:eastAsia="宋体"/>
          <w:lang w:val="en-US" w:eastAsia="zh-CN"/>
        </w:rPr>
      </w:pPr>
      <w:r>
        <w:fldChar w:fldCharType="begin"/>
      </w:r>
      <w:r>
        <w:instrText xml:space="preserve"> HYPERLINK \l _Toc21821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2</w:t>
      </w:r>
      <w:r>
        <w:fldChar w:fldCharType="end"/>
      </w:r>
      <w:r>
        <w:rPr>
          <w:rFonts w:hint="eastAsia"/>
          <w:lang w:val="en-US" w:eastAsia="zh-CN"/>
        </w:rPr>
        <w:t>2</w:t>
      </w:r>
    </w:p>
    <w:p w14:paraId="775DA286">
      <w:pPr>
        <w:pStyle w:val="37"/>
        <w:tabs>
          <w:tab w:val="right" w:leader="dot" w:pos="8306"/>
        </w:tabs>
        <w:rPr>
          <w:rFonts w:hint="eastAsia" w:eastAsia="宋体"/>
          <w:lang w:val="en-US" w:eastAsia="zh-CN"/>
        </w:rPr>
      </w:pPr>
      <w:r>
        <w:fldChar w:fldCharType="begin"/>
      </w:r>
      <w:r>
        <w:instrText xml:space="preserve"> HYPERLINK \l _Toc27517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2</w:t>
      </w:r>
      <w:r>
        <w:fldChar w:fldCharType="end"/>
      </w:r>
      <w:r>
        <w:rPr>
          <w:rFonts w:hint="eastAsia"/>
          <w:lang w:val="en-US" w:eastAsia="zh-CN"/>
        </w:rPr>
        <w:t>2</w:t>
      </w:r>
    </w:p>
    <w:p w14:paraId="3B2EDF25">
      <w:pPr>
        <w:pStyle w:val="37"/>
        <w:tabs>
          <w:tab w:val="right" w:leader="dot" w:pos="8306"/>
        </w:tabs>
        <w:rPr>
          <w:rFonts w:hint="eastAsia" w:eastAsia="宋体"/>
          <w:lang w:val="en-US" w:eastAsia="zh-CN"/>
        </w:rPr>
      </w:pPr>
      <w:r>
        <w:fldChar w:fldCharType="begin"/>
      </w:r>
      <w:r>
        <w:instrText xml:space="preserve"> HYPERLINK \l _Toc32657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2</w:t>
      </w:r>
      <w:r>
        <w:fldChar w:fldCharType="end"/>
      </w:r>
      <w:r>
        <w:rPr>
          <w:rFonts w:hint="eastAsia"/>
          <w:lang w:val="en-US" w:eastAsia="zh-CN"/>
        </w:rPr>
        <w:t>2</w:t>
      </w:r>
    </w:p>
    <w:p w14:paraId="557AC320">
      <w:pPr>
        <w:pStyle w:val="37"/>
        <w:tabs>
          <w:tab w:val="right" w:leader="dot" w:pos="8306"/>
        </w:tabs>
        <w:rPr>
          <w:rFonts w:hint="eastAsia" w:eastAsia="宋体"/>
          <w:lang w:val="en-US" w:eastAsia="zh-CN"/>
        </w:rPr>
      </w:pPr>
      <w:r>
        <w:fldChar w:fldCharType="begin"/>
      </w:r>
      <w:r>
        <w:instrText xml:space="preserve"> HYPERLINK \l _Toc5774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2</w:t>
      </w:r>
      <w:r>
        <w:fldChar w:fldCharType="end"/>
      </w:r>
      <w:r>
        <w:rPr>
          <w:rFonts w:hint="eastAsia"/>
          <w:lang w:val="en-US" w:eastAsia="zh-CN"/>
        </w:rPr>
        <w:t>2</w:t>
      </w:r>
    </w:p>
    <w:p w14:paraId="6A1D4717">
      <w:pPr>
        <w:pStyle w:val="37"/>
        <w:tabs>
          <w:tab w:val="right" w:leader="dot" w:pos="8306"/>
        </w:tabs>
        <w:rPr>
          <w:rFonts w:hint="eastAsia" w:eastAsia="宋体"/>
          <w:lang w:val="en-US" w:eastAsia="zh-CN"/>
        </w:rPr>
      </w:pPr>
      <w:r>
        <w:fldChar w:fldCharType="begin"/>
      </w:r>
      <w:r>
        <w:instrText xml:space="preserve"> HYPERLINK \l _Toc4314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2</w:t>
      </w:r>
      <w:r>
        <w:fldChar w:fldCharType="end"/>
      </w:r>
      <w:r>
        <w:rPr>
          <w:rFonts w:hint="eastAsia"/>
          <w:lang w:val="en-US" w:eastAsia="zh-CN"/>
        </w:rPr>
        <w:t>2</w:t>
      </w:r>
    </w:p>
    <w:p w14:paraId="3EB592E3">
      <w:pPr>
        <w:pStyle w:val="37"/>
        <w:tabs>
          <w:tab w:val="right" w:leader="dot" w:pos="8306"/>
        </w:tabs>
        <w:rPr>
          <w:rFonts w:hint="eastAsia" w:eastAsia="宋体"/>
          <w:lang w:val="en-US" w:eastAsia="zh-CN"/>
        </w:rPr>
      </w:pPr>
      <w:r>
        <w:fldChar w:fldCharType="begin"/>
      </w:r>
      <w:r>
        <w:instrText xml:space="preserve"> HYPERLINK \l _Toc31066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2</w:t>
      </w:r>
      <w:r>
        <w:fldChar w:fldCharType="end"/>
      </w:r>
      <w:r>
        <w:rPr>
          <w:rFonts w:hint="eastAsia"/>
          <w:lang w:val="en-US" w:eastAsia="zh-CN"/>
        </w:rPr>
        <w:t>2</w:t>
      </w:r>
    </w:p>
    <w:p w14:paraId="490AE151">
      <w:pPr>
        <w:pStyle w:val="37"/>
        <w:tabs>
          <w:tab w:val="right" w:leader="dot" w:pos="8306"/>
        </w:tabs>
        <w:rPr>
          <w:rFonts w:hint="eastAsia" w:eastAsia="宋体"/>
          <w:lang w:val="en-US" w:eastAsia="zh-CN"/>
        </w:rPr>
      </w:pPr>
      <w:r>
        <w:fldChar w:fldCharType="begin"/>
      </w:r>
      <w:r>
        <w:instrText xml:space="preserve"> HYPERLINK \l _Toc14875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2</w:t>
      </w:r>
      <w:r>
        <w:fldChar w:fldCharType="end"/>
      </w:r>
      <w:r>
        <w:rPr>
          <w:rFonts w:hint="eastAsia"/>
          <w:lang w:val="en-US" w:eastAsia="zh-CN"/>
        </w:rPr>
        <w:t>2</w:t>
      </w:r>
    </w:p>
    <w:p w14:paraId="0EBA48D3">
      <w:pPr>
        <w:pStyle w:val="37"/>
        <w:tabs>
          <w:tab w:val="right" w:leader="dot" w:pos="8306"/>
        </w:tabs>
        <w:rPr>
          <w:rFonts w:hint="eastAsia" w:eastAsia="宋体"/>
          <w:lang w:val="en-US" w:eastAsia="zh-CN"/>
        </w:rPr>
      </w:pPr>
      <w:r>
        <w:fldChar w:fldCharType="begin"/>
      </w:r>
      <w:r>
        <w:instrText xml:space="preserve"> HYPERLINK \l _Toc18378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2</w:t>
      </w:r>
      <w:r>
        <w:fldChar w:fldCharType="end"/>
      </w:r>
      <w:r>
        <w:rPr>
          <w:rFonts w:hint="eastAsia"/>
          <w:lang w:val="en-US" w:eastAsia="zh-CN"/>
        </w:rPr>
        <w:t>2</w:t>
      </w:r>
    </w:p>
    <w:p w14:paraId="13E82266">
      <w:pPr>
        <w:pStyle w:val="37"/>
        <w:tabs>
          <w:tab w:val="right" w:leader="dot" w:pos="8306"/>
        </w:tabs>
        <w:rPr>
          <w:rFonts w:hint="eastAsia" w:eastAsia="宋体"/>
          <w:lang w:val="en-US" w:eastAsia="zh-CN"/>
        </w:rPr>
      </w:pPr>
      <w:r>
        <w:fldChar w:fldCharType="begin"/>
      </w:r>
      <w:r>
        <w:instrText xml:space="preserve"> HYPERLINK \l _Toc13020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2</w:t>
      </w:r>
      <w:r>
        <w:fldChar w:fldCharType="end"/>
      </w:r>
      <w:r>
        <w:rPr>
          <w:rFonts w:hint="eastAsia"/>
          <w:lang w:val="en-US" w:eastAsia="zh-CN"/>
        </w:rPr>
        <w:t>2</w:t>
      </w:r>
    </w:p>
    <w:p w14:paraId="5502A6C6">
      <w:pPr>
        <w:pStyle w:val="37"/>
        <w:tabs>
          <w:tab w:val="right" w:leader="dot" w:pos="8306"/>
        </w:tabs>
        <w:rPr>
          <w:rFonts w:hint="eastAsia" w:eastAsia="宋体"/>
          <w:lang w:val="en-US" w:eastAsia="zh-CN"/>
        </w:rPr>
      </w:pPr>
      <w:r>
        <w:fldChar w:fldCharType="begin"/>
      </w:r>
      <w:r>
        <w:instrText xml:space="preserve"> HYPERLINK \l _Toc26999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2</w:t>
      </w:r>
      <w:r>
        <w:fldChar w:fldCharType="end"/>
      </w:r>
      <w:r>
        <w:rPr>
          <w:rFonts w:hint="eastAsia"/>
          <w:lang w:val="en-US" w:eastAsia="zh-CN"/>
        </w:rPr>
        <w:t>2</w:t>
      </w:r>
    </w:p>
    <w:p w14:paraId="52E5C674">
      <w:pPr>
        <w:pStyle w:val="37"/>
        <w:tabs>
          <w:tab w:val="right" w:leader="dot" w:pos="8306"/>
        </w:tabs>
        <w:rPr>
          <w:rFonts w:hint="eastAsia" w:eastAsia="宋体"/>
          <w:lang w:val="en-US" w:eastAsia="zh-CN"/>
        </w:rPr>
      </w:pPr>
      <w:r>
        <w:fldChar w:fldCharType="begin"/>
      </w:r>
      <w:r>
        <w:instrText xml:space="preserve"> HYPERLINK \l _Toc415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2</w:t>
      </w:r>
      <w:r>
        <w:fldChar w:fldCharType="end"/>
      </w:r>
      <w:r>
        <w:rPr>
          <w:rFonts w:hint="eastAsia"/>
          <w:lang w:val="en-US" w:eastAsia="zh-CN"/>
        </w:rPr>
        <w:t>2</w:t>
      </w:r>
    </w:p>
    <w:p w14:paraId="258181E7">
      <w:pPr>
        <w:pStyle w:val="37"/>
        <w:tabs>
          <w:tab w:val="right" w:leader="dot" w:pos="8306"/>
        </w:tabs>
        <w:rPr>
          <w:rFonts w:hint="eastAsia" w:eastAsia="宋体"/>
          <w:lang w:val="en-US" w:eastAsia="zh-CN"/>
        </w:rPr>
      </w:pPr>
      <w:r>
        <w:fldChar w:fldCharType="begin"/>
      </w:r>
      <w:r>
        <w:instrText xml:space="preserve"> HYPERLINK \l _Toc23276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w:t>
      </w:r>
      <w:r>
        <w:tab/>
      </w:r>
      <w:r>
        <w:rPr>
          <w:rFonts w:hint="eastAsia"/>
          <w:lang w:val="en-US" w:eastAsia="zh-CN"/>
        </w:rPr>
        <w:t>2</w:t>
      </w:r>
      <w:r>
        <w:fldChar w:fldCharType="end"/>
      </w:r>
      <w:r>
        <w:rPr>
          <w:rFonts w:hint="eastAsia"/>
          <w:lang w:val="en-US" w:eastAsia="zh-CN"/>
        </w:rPr>
        <w:t>2</w:t>
      </w:r>
    </w:p>
    <w:p w14:paraId="5DCDEEF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BC644DD">
      <w:pPr>
        <w:pStyle w:val="4"/>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0D515114">
      <w:pPr>
        <w:widowControl/>
        <w:jc w:val="left"/>
        <w:rPr>
          <w:rFonts w:ascii="Times New Roman" w:hAnsi="Times New Roman" w:eastAsia="黑体"/>
          <w:color w:val="auto"/>
          <w:sz w:val="32"/>
          <w:szCs w:val="32"/>
          <w:highlight w:val="none"/>
        </w:rPr>
      </w:pPr>
    </w:p>
    <w:p w14:paraId="43FACC2D">
      <w:pPr>
        <w:pStyle w:val="5"/>
        <w:rPr>
          <w:rStyle w:val="30"/>
          <w:rFonts w:hint="eastAsia" w:ascii="Times New Roman" w:hAnsi="Times New Roman" w:eastAsia="黑体"/>
          <w:b w:val="0"/>
          <w:bCs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46CCAE4E">
      <w:pPr>
        <w:pStyle w:val="5"/>
        <w:rPr>
          <w:rFonts w:hint="eastAsia" w:ascii="Times New Roman" w:hAnsi="Times New Roman" w:eastAsia="仿宋_GB2312"/>
          <w:b w:val="0"/>
          <w:color w:val="auto"/>
          <w:highlight w:val="none"/>
          <w:lang w:val="en-US" w:eastAsia="zh-CN"/>
        </w:rPr>
      </w:pPr>
      <w:bookmarkStart w:id="10" w:name="_Toc15377200"/>
      <w:bookmarkStart w:id="11" w:name="_Toc15396601"/>
      <w:r>
        <w:rPr>
          <w:rFonts w:hint="eastAsia" w:ascii="仿宋_GB2312" w:hAnsi="仿宋_GB2312" w:eastAsia="仿宋_GB2312" w:cs="仿宋_GB2312"/>
          <w:b w:val="0"/>
          <w:bCs w:val="0"/>
          <w:sz w:val="32"/>
          <w:szCs w:val="32"/>
        </w:rPr>
        <w:t>承担全区机关后勤服务性、事务性工作</w:t>
      </w:r>
      <w:r>
        <w:rPr>
          <w:rFonts w:hint="eastAsia" w:ascii="仿宋_GB2312" w:hAnsi="仿宋_GB2312" w:eastAsia="仿宋_GB2312" w:cs="仿宋_GB2312"/>
          <w:b w:val="0"/>
          <w:bCs w:val="0"/>
          <w:sz w:val="32"/>
          <w:szCs w:val="32"/>
          <w:lang w:eastAsia="zh-CN"/>
        </w:rPr>
        <w:t>。</w:t>
      </w:r>
    </w:p>
    <w:p w14:paraId="20009564">
      <w:pPr>
        <w:pStyle w:val="5"/>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0"/>
      <w:bookmarkEnd w:id="11"/>
    </w:p>
    <w:p w14:paraId="33164CA4">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攀枝花市西区机关事务服务中心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62863BE">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eastAsia="zh-CN"/>
        </w:rPr>
      </w:pPr>
      <w:r>
        <w:rPr>
          <w:rFonts w:hint="eastAsia" w:ascii="Times New Roman" w:cs="仿宋_GB2312"/>
          <w:color w:val="auto"/>
          <w:sz w:val="32"/>
          <w:szCs w:val="32"/>
          <w:highlight w:val="none"/>
          <w:lang w:eastAsia="zh-CN"/>
        </w:rPr>
        <w:t>无</w:t>
      </w:r>
      <w:r>
        <w:rPr>
          <w:rFonts w:hint="eastAsia" w:ascii="Times New Roman" w:hAnsi="Times New Roman" w:eastAsia="仿宋_GB2312" w:cs="仿宋_GB2312"/>
          <w:color w:val="auto"/>
          <w:sz w:val="32"/>
          <w:szCs w:val="32"/>
          <w:highlight w:val="none"/>
        </w:rPr>
        <w:t>纳入</w:t>
      </w:r>
      <w:r>
        <w:rPr>
          <w:sz w:val="32"/>
          <w:szCs w:val="32"/>
        </w:rPr>
        <w:t>攀枝花市西区机关事务服务中心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eastAsia="zh-CN"/>
        </w:rPr>
        <w:t>。</w:t>
      </w:r>
    </w:p>
    <w:p w14:paraId="59289C1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792ADF3">
      <w:pPr>
        <w:pStyle w:val="4"/>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47234609">
      <w:pPr>
        <w:rPr>
          <w:rFonts w:ascii="Times New Roman" w:hAnsi="Times New Roman"/>
          <w:color w:val="auto"/>
          <w:highlight w:val="none"/>
        </w:rPr>
      </w:pPr>
    </w:p>
    <w:p w14:paraId="6E722C9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5D3727B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2056.85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1099.97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53.48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54379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207E094">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562475" cy="27051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4562475" cy="2705100"/>
                    </a:xfrm>
                    <a:prstGeom prst="rect">
                      <a:avLst/>
                    </a:prstGeom>
                    <a:noFill/>
                    <a:ln>
                      <a:noFill/>
                    </a:ln>
                  </pic:spPr>
                </pic:pic>
              </a:graphicData>
            </a:graphic>
          </wp:inline>
        </w:drawing>
      </w:r>
    </w:p>
    <w:p w14:paraId="3878CD7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0A03CCD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1786.54万元，其中：一般公共预算财政拨款收入1058.18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59.23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728.36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40.76%</w:t>
      </w:r>
      <w:r>
        <w:rPr>
          <w:rFonts w:hint="eastAsia" w:ascii="仿宋_GB2312" w:hAnsi="仿宋_GB2312" w:eastAsia="仿宋_GB2312" w:cs="仿宋_GB2312"/>
          <w:color w:val="auto"/>
          <w:sz w:val="32"/>
          <w:szCs w:val="32"/>
          <w:highlight w:val="none"/>
          <w:lang w:eastAsia="zh-CN"/>
        </w:rPr>
        <w:t>。</w:t>
      </w:r>
    </w:p>
    <w:p w14:paraId="32138EA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5DA23B2">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552700"/>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tretch>
                      <a:fillRect/>
                    </a:stretch>
                  </pic:blipFill>
                  <pic:spPr>
                    <a:xfrm>
                      <a:off x="0" y="0"/>
                      <a:ext cx="4705350" cy="2552700"/>
                    </a:xfrm>
                    <a:prstGeom prst="rect">
                      <a:avLst/>
                    </a:prstGeom>
                    <a:noFill/>
                    <a:ln>
                      <a:noFill/>
                    </a:ln>
                  </pic:spPr>
                </pic:pic>
              </a:graphicData>
            </a:graphic>
          </wp:inline>
        </w:drawing>
      </w:r>
    </w:p>
    <w:p w14:paraId="57F00A9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4C365FE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2056.85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768.18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37.34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1288.68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62.65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820483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0FDB30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038600" cy="269557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4038600" cy="2695575"/>
                    </a:xfrm>
                    <a:prstGeom prst="rect">
                      <a:avLst/>
                    </a:prstGeom>
                    <a:noFill/>
                    <a:ln>
                      <a:noFill/>
                    </a:ln>
                  </pic:spPr>
                </pic:pic>
              </a:graphicData>
            </a:graphic>
          </wp:inline>
        </w:drawing>
      </w:r>
    </w:p>
    <w:p w14:paraId="3CE69B4F">
      <w:pPr>
        <w:spacing w:line="600" w:lineRule="exact"/>
        <w:ind w:firstLine="640" w:firstLineChars="200"/>
        <w:outlineLvl w:val="1"/>
        <w:rPr>
          <w:rStyle w:val="30"/>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32FDDA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2056.85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1099.97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53.48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3EAAD20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F181007">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52925" cy="273367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2"/>
                    <a:stretch>
                      <a:fillRect/>
                    </a:stretch>
                  </pic:blipFill>
                  <pic:spPr>
                    <a:xfrm>
                      <a:off x="0" y="0"/>
                      <a:ext cx="4352925" cy="2733675"/>
                    </a:xfrm>
                    <a:prstGeom prst="rect">
                      <a:avLst/>
                    </a:prstGeom>
                    <a:noFill/>
                    <a:ln>
                      <a:noFill/>
                    </a:ln>
                  </pic:spPr>
                </pic:pic>
              </a:graphicData>
            </a:graphic>
          </wp:inline>
        </w:drawing>
      </w:r>
    </w:p>
    <w:p w14:paraId="0DC0AB4A">
      <w:pPr>
        <w:spacing w:line="600" w:lineRule="exact"/>
        <w:ind w:firstLine="640" w:firstLineChars="200"/>
        <w:outlineLvl w:val="1"/>
        <w:rPr>
          <w:rStyle w:val="30"/>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52F03B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025C1F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51.44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%。与2023年度相比，一般公共预算财政拨款支出增加200.93万元，增长18.98%。主要变动原因是项目经费增加。</w:t>
      </w:r>
    </w:p>
    <w:p w14:paraId="409276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D5C2428">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86275" cy="2705100"/>
            <wp:effectExtent l="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3"/>
                    <a:stretch>
                      <a:fillRect/>
                    </a:stretch>
                  </pic:blipFill>
                  <pic:spPr>
                    <a:xfrm>
                      <a:off x="0" y="0"/>
                      <a:ext cx="4486275" cy="2705100"/>
                    </a:xfrm>
                    <a:prstGeom prst="rect">
                      <a:avLst/>
                    </a:prstGeom>
                    <a:noFill/>
                    <a:ln>
                      <a:noFill/>
                    </a:ln>
                  </pic:spPr>
                </pic:pic>
              </a:graphicData>
            </a:graphic>
          </wp:inline>
        </w:drawing>
      </w:r>
    </w:p>
    <w:p w14:paraId="3095D0C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2F49E5C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978.64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92.48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34.05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27.46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75FCA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7E4D2A8">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p>
    <w:p w14:paraId="746519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0F2EA6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0B54A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688.64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EE01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2.一般公共服务支出（类）政府办公厅（室）及相关机构事务（款）其他政府办公厅（室）及相关机构事务支出（项）: 支出决算为</w:t>
      </w:r>
      <w:r>
        <w:rPr>
          <w:rFonts w:hint="eastAsia" w:eastAsia="仿宋_GB2312" w:cs="仿宋_GB2312"/>
          <w:color w:val="auto"/>
          <w:kern w:val="2"/>
          <w:sz w:val="32"/>
          <w:szCs w:val="32"/>
          <w:highlight w:val="none"/>
          <w:lang w:val="en-US" w:eastAsia="zh-CN" w:bidi="ar-SA"/>
        </w:rPr>
        <w:t>290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C93E3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16825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8A8B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1B59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B58B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B2E57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8D28CA">
      <w:pPr>
        <w:tabs>
          <w:tab w:val="right" w:pos="8306"/>
        </w:tabs>
        <w:spacing w:line="600" w:lineRule="exact"/>
        <w:ind w:firstLine="640"/>
        <w:outlineLvl w:val="1"/>
        <w:rPr>
          <w:rStyle w:val="30"/>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1C715E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768.18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02C298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573.98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元，主要包括：基本工资、津贴补贴、奖金、机关事业单位基本养老保险缴费、其他社会保障缴费、其他工资福利支出、生活补助、奖励金、住房公积金、其他对个人和家庭的补助支出等。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194.19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物业管理费、差旅费、维修（护）费、租赁费、劳务费、委托业务费、工会经费、福利费、公务用车运行维护费、其他交通费、其他商品和服务支出、办公设备购置等。</w:t>
      </w:r>
    </w:p>
    <w:p w14:paraId="74907D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38C87B">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5C08AC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86E9D5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w:t>
      </w:r>
      <w:r>
        <w:rPr>
          <w:rFonts w:hint="eastAsia" w:ascii="Times New Roman" w:hAnsi="Times New Roman" w:eastAsia="仿宋_GB2312" w:cs="仿宋_GB2312"/>
          <w:color w:val="auto"/>
          <w:kern w:val="2"/>
          <w:sz w:val="32"/>
          <w:szCs w:val="32"/>
          <w:highlight w:val="none"/>
          <w:lang w:val="en-US" w:eastAsia="zh-CN" w:bidi="ar-SA"/>
        </w:rPr>
        <w:t>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与预算数持平。</w:t>
      </w:r>
    </w:p>
    <w:p w14:paraId="1B4537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24659F6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93EB3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F3B0873">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52950" cy="2705100"/>
            <wp:effectExtent l="0" t="0" r="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4"/>
                    <a:stretch>
                      <a:fillRect/>
                    </a:stretch>
                  </pic:blipFill>
                  <pic:spPr>
                    <a:xfrm>
                      <a:off x="0" y="0"/>
                      <a:ext cx="4552950" cy="2705100"/>
                    </a:xfrm>
                    <a:prstGeom prst="rect">
                      <a:avLst/>
                    </a:prstGeom>
                    <a:noFill/>
                    <a:ln>
                      <a:noFill/>
                    </a:ln>
                  </pic:spPr>
                </pic:pic>
              </a:graphicData>
            </a:graphic>
          </wp:inline>
        </w:drawing>
      </w:r>
    </w:p>
    <w:p w14:paraId="17AC1846">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2024年度无因公出国（境）经费支出。</w:t>
      </w:r>
    </w:p>
    <w:p w14:paraId="20E808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30BCE0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比无变化</w:t>
      </w:r>
      <w:r>
        <w:rPr>
          <w:rFonts w:hint="eastAsia" w:ascii="Times New Roman" w:hAnsi="Times New Roman" w:eastAsia="仿宋_GB2312" w:cs="仿宋_GB2312"/>
          <w:color w:val="auto"/>
          <w:kern w:val="2"/>
          <w:sz w:val="32"/>
          <w:szCs w:val="32"/>
          <w:highlight w:val="none"/>
          <w:lang w:val="en-US" w:eastAsia="zh-CN" w:bidi="ar-SA"/>
        </w:rPr>
        <w:t>。</w:t>
      </w:r>
    </w:p>
    <w:p w14:paraId="5825C6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0万</w:t>
      </w:r>
      <w:r>
        <w:rPr>
          <w:rFonts w:hint="eastAsia" w:ascii="Times New Roman" w:hAnsi="Times New Roman" w:eastAsia="仿宋_GB2312" w:cs="仿宋_GB2312"/>
          <w:color w:val="auto"/>
          <w:kern w:val="2"/>
          <w:sz w:val="32"/>
          <w:szCs w:val="32"/>
          <w:highlight w:val="none"/>
          <w:lang w:val="en-US" w:eastAsia="zh-CN" w:bidi="ar-SA"/>
        </w:rPr>
        <w:t>元。截至2024年12月31日，单位共有公务用车</w:t>
      </w:r>
      <w:r>
        <w:rPr>
          <w:rFonts w:hint="eastAsia" w:eastAsia="仿宋_GB2312" w:cs="仿宋_GB2312"/>
          <w:color w:val="auto"/>
          <w:kern w:val="2"/>
          <w:sz w:val="32"/>
          <w:szCs w:val="32"/>
          <w:highlight w:val="none"/>
          <w:lang w:val="en-US" w:eastAsia="zh-CN" w:bidi="ar-SA"/>
        </w:rPr>
        <w:t>69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7B8ADC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sz w:val="32"/>
          <w:szCs w:val="32"/>
        </w:rPr>
        <w:t>保障全区公务出行</w:t>
      </w:r>
      <w:r>
        <w:rPr>
          <w:rFonts w:hint="eastAsia" w:ascii="仿宋_GB2312" w:eastAsia="仿宋_GB2312"/>
          <w:color w:val="auto"/>
          <w:sz w:val="32"/>
          <w:szCs w:val="32"/>
          <w:highlight w:val="none"/>
        </w:rPr>
        <w:t>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321488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34CF97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4D2459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04359B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96610"/>
      <w:bookmarkStart w:id="37" w:name="_Toc15377218"/>
    </w:p>
    <w:p w14:paraId="4EBFB7A9">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0541935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998.68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48.55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360.09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36.05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255D97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05FA65">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8" w:name="_Toc15396611"/>
      <w:bookmarkStart w:id="39"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59F088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07477E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BC406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77221"/>
      <w:bookmarkStart w:id="41"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06477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08C0E2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194.19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办公费减少。</w:t>
      </w:r>
    </w:p>
    <w:p w14:paraId="61441C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8D9F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6D80245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103.54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97.47</w:t>
      </w:r>
      <w:r>
        <w:rPr>
          <w:rFonts w:hint="eastAsia" w:ascii="仿宋_GB2312" w:hAnsi="仿宋_GB2312" w:eastAsia="仿宋_GB2312" w:cs="仿宋_GB2312"/>
          <w:color w:val="auto"/>
          <w:kern w:val="2"/>
          <w:sz w:val="32"/>
          <w:szCs w:val="32"/>
          <w:highlight w:val="none"/>
          <w:lang w:val="en-US" w:eastAsia="zh-CN" w:bidi="ar-SA"/>
        </w:rPr>
        <w:t>万元。主要用于代社工部采购复印机。授予中小企业合同金额</w:t>
      </w:r>
      <w:r>
        <w:rPr>
          <w:rFonts w:hint="eastAsia" w:ascii="仿宋_GB2312" w:hAnsi="仿宋_GB2312" w:eastAsia="仿宋_GB2312" w:cs="仿宋_GB2312"/>
          <w:sz w:val="32"/>
          <w:szCs w:val="32"/>
        </w:rPr>
        <w:t>103.54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5.85</w:t>
      </w:r>
      <w:r>
        <w:rPr>
          <w:rFonts w:hint="eastAsia" w:ascii="仿宋_GB2312" w:hAnsi="仿宋_GB2312" w:eastAsia="仿宋_GB2312" w:cs="仿宋_GB2312"/>
          <w:color w:val="auto"/>
          <w:kern w:val="2"/>
          <w:sz w:val="32"/>
          <w:szCs w:val="32"/>
          <w:highlight w:val="none"/>
          <w:lang w:val="en-US" w:eastAsia="zh-CN" w:bidi="ar-SA"/>
        </w:rPr>
        <w:t>%。</w:t>
      </w:r>
    </w:p>
    <w:p w14:paraId="441C7C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C6FF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78EBCA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69</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69</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FAFCA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F59A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713DD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对</w:t>
      </w:r>
      <w:bookmarkStart w:id="45" w:name="OLE_LINK10"/>
      <w:r>
        <w:rPr>
          <w:rFonts w:hint="eastAsia" w:ascii="仿宋_GB2312" w:hAnsi="仿宋_GB2312" w:eastAsia="仿宋_GB2312" w:cs="仿宋_GB2312"/>
          <w:sz w:val="32"/>
          <w:szCs w:val="32"/>
        </w:rPr>
        <w:t>公务用车运行维护经费项目、机关食堂运行经费、政府办公楼水电费、集中办公楼运行维护费用、保安执勤经费</w:t>
      </w:r>
      <w:bookmarkEnd w:id="4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机关食堂改造装修经费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6D124A9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w:t>
      </w:r>
      <w:r>
        <w:rPr>
          <w:rFonts w:hint="eastAsia" w:ascii="仿宋_GB2312" w:hAnsi="仿宋_GB2312" w:eastAsia="仿宋_GB2312" w:cs="仿宋_GB2312"/>
          <w:color w:val="auto"/>
          <w:sz w:val="32"/>
          <w:szCs w:val="32"/>
          <w:highlight w:val="none"/>
          <w:lang w:val="en-US" w:eastAsia="zh-CN"/>
        </w:rPr>
        <w:t>形成</w:t>
      </w:r>
      <w:r>
        <w:rPr>
          <w:rFonts w:hint="eastAsia" w:ascii="仿宋_GB2312" w:eastAsia="仿宋_GB2312"/>
          <w:sz w:val="32"/>
          <w:szCs w:val="32"/>
        </w:rPr>
        <w:t>攀枝花市西区机关事务服务中心</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公务用车运行维护经费项目、机关食堂运行经费、政府办公楼水电费、集中办公楼运行维护费用、保安执勤经费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sz w:val="32"/>
          <w:szCs w:val="32"/>
        </w:rPr>
        <w:t>攀枝花市西区机关事务服务中心</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绩效自评得分为97分，绩效自评综述：</w:t>
      </w:r>
      <w:r>
        <w:rPr>
          <w:rFonts w:eastAsia="仿宋_GB2312"/>
          <w:sz w:val="32"/>
          <w:szCs w:val="32"/>
        </w:rPr>
        <w:t>202</w:t>
      </w:r>
      <w:r>
        <w:rPr>
          <w:rFonts w:hint="eastAsia" w:eastAsia="仿宋_GB2312"/>
          <w:sz w:val="32"/>
          <w:szCs w:val="32"/>
          <w:lang w:val="en-US" w:eastAsia="zh-CN"/>
        </w:rPr>
        <w:t>4</w:t>
      </w:r>
      <w:r>
        <w:rPr>
          <w:rFonts w:eastAsia="仿宋_GB2312"/>
          <w:sz w:val="32"/>
          <w:szCs w:val="32"/>
        </w:rPr>
        <w:t>年，我</w:t>
      </w:r>
      <w:r>
        <w:rPr>
          <w:rFonts w:hint="eastAsia" w:eastAsia="仿宋_GB2312"/>
          <w:sz w:val="32"/>
          <w:szCs w:val="32"/>
          <w:lang w:val="en-US" w:eastAsia="zh-CN"/>
        </w:rPr>
        <w:t>中心</w:t>
      </w:r>
      <w:r>
        <w:rPr>
          <w:rFonts w:eastAsia="仿宋_GB2312"/>
          <w:sz w:val="32"/>
          <w:szCs w:val="32"/>
        </w:rPr>
        <w:t>部门整体支出绩效自查自评结果良好，全年基本支出保证了部门正常运转，项目支出保障了重点工作顺利开展</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2CB031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F3D1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FF20F0">
      <w:pPr>
        <w:pStyle w:val="14"/>
        <w:rPr>
          <w:rFonts w:hint="eastAsia" w:ascii="Times New Roman" w:hAnsi="Times New Roman" w:eastAsia="仿宋_GB2312" w:cs="仿宋_GB2312"/>
          <w:color w:val="auto"/>
          <w:kern w:val="2"/>
          <w:sz w:val="32"/>
          <w:szCs w:val="32"/>
          <w:highlight w:val="none"/>
          <w:lang w:val="en-US" w:eastAsia="zh-CN" w:bidi="ar-SA"/>
        </w:rPr>
      </w:pPr>
    </w:p>
    <w:p w14:paraId="050A67A5">
      <w:pPr>
        <w:pStyle w:val="8"/>
        <w:rPr>
          <w:rFonts w:hint="eastAsia" w:ascii="Times New Roman" w:hAnsi="Times New Roman" w:eastAsia="仿宋_GB2312" w:cs="仿宋_GB2312"/>
          <w:color w:val="auto"/>
          <w:kern w:val="2"/>
          <w:sz w:val="32"/>
          <w:szCs w:val="32"/>
          <w:highlight w:val="none"/>
          <w:lang w:val="en-US" w:eastAsia="zh-CN" w:bidi="ar-SA"/>
        </w:rPr>
      </w:pPr>
    </w:p>
    <w:p w14:paraId="07130B19">
      <w:pPr>
        <w:pStyle w:val="8"/>
        <w:rPr>
          <w:rFonts w:hint="eastAsia" w:ascii="Times New Roman" w:hAnsi="Times New Roman" w:eastAsia="仿宋_GB2312" w:cs="仿宋_GB2312"/>
          <w:color w:val="auto"/>
          <w:kern w:val="2"/>
          <w:sz w:val="32"/>
          <w:szCs w:val="32"/>
          <w:highlight w:val="none"/>
          <w:lang w:val="en-US" w:eastAsia="zh-CN" w:bidi="ar-SA"/>
        </w:rPr>
      </w:pPr>
    </w:p>
    <w:p w14:paraId="27F7259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77225"/>
      <w:bookmarkStart w:id="4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500C206E">
      <w:pPr>
        <w:spacing w:line="600" w:lineRule="exact"/>
        <w:jc w:val="left"/>
        <w:rPr>
          <w:rFonts w:ascii="Times New Roman" w:hAnsi="Times New Roman"/>
          <w:b/>
          <w:color w:val="auto"/>
          <w:sz w:val="44"/>
          <w:szCs w:val="44"/>
          <w:highlight w:val="none"/>
        </w:rPr>
      </w:pPr>
    </w:p>
    <w:p w14:paraId="058D64AE">
      <w:pPr>
        <w:pStyle w:val="27"/>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hAnsi="仿宋_GB2312" w:eastAsia="仿宋_GB2312" w:cs="仿宋_GB2312"/>
          <w:color w:val="auto"/>
          <w:sz w:val="32"/>
          <w:szCs w:val="32"/>
        </w:rPr>
      </w:pPr>
      <w:bookmarkStart w:id="48" w:name="_Toc27102"/>
      <w:r>
        <w:rPr>
          <w:rFonts w:hint="eastAsia" w:ascii="仿宋_GB2312" w:hAnsi="仿宋_GB2312" w:eastAsia="仿宋_GB2312" w:cs="仿宋_GB2312"/>
          <w:color w:val="auto"/>
          <w:sz w:val="32"/>
          <w:szCs w:val="32"/>
        </w:rPr>
        <w:t>1.财政拨款收入：指单位从同级财政部门取得的财政预算资金。</w:t>
      </w:r>
      <w:bookmarkEnd w:id="48"/>
    </w:p>
    <w:p w14:paraId="4F9CEA1D">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2.年初结转和结余：指以前年度尚未完成、结转到本年按有关规定继续使用的资金。 </w:t>
      </w:r>
    </w:p>
    <w:p w14:paraId="17F50B75">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3.一般公共服务支出（类）政府办公厅（室）及相关机构事务（款）行政运行（项）:指单位机关日常支出。</w:t>
      </w:r>
    </w:p>
    <w:p w14:paraId="3B9CAC83">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.一般公共服务支出（类）政府办公厅（室）及相关机构事务（款）其他政府办公厅（室）及相关机构事务支出（项）：指无纸化办公系统经费、党政高清视频会议系统建设费用支出</w:t>
      </w:r>
    </w:p>
    <w:p w14:paraId="4EA4599B">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.社会保障和就业支出（类）行政事业单位养老支出（款）行政单位离退休（项）：指单位按规定为行政单位退休人员支出的各项经费。</w:t>
      </w:r>
    </w:p>
    <w:p w14:paraId="11BCFCD6">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.社会保障和就业支出（类）行政事业单位养老支出（款）机关事业单位基本养老保险缴费支出（项）：指单位按规定缴纳的各项社保支出。</w:t>
      </w:r>
    </w:p>
    <w:p w14:paraId="33DD78C7">
      <w:pPr>
        <w:pStyle w:val="27"/>
        <w:keepNext w:val="0"/>
        <w:keepLines w:val="0"/>
        <w:pageBreakBefore w:val="0"/>
        <w:widowControl w:val="0"/>
        <w:tabs>
          <w:tab w:val="left" w:leader="dot" w:pos="6720"/>
        </w:tab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.住房保障支出（类）住房改革支出（款）住房公积金（项）：指单位为职工缴纳的公积金。</w:t>
      </w:r>
    </w:p>
    <w:p w14:paraId="3CD41242">
      <w:pPr>
        <w:pStyle w:val="27"/>
        <w:keepNext w:val="0"/>
        <w:keepLines w:val="0"/>
        <w:pageBreakBefore w:val="0"/>
        <w:widowControl w:val="0"/>
        <w:tabs>
          <w:tab w:val="left" w:leader="dot" w:pos="6720"/>
        </w:tab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.城乡社区支出（类）国有土地使用权出让收入安排的支出（款）土地开发支出（项）：指公务用车运行维护经费项目、机关食堂运行经费、政府办公楼水电费、集中办公楼运行维护费用、保安执勤经费等。</w:t>
      </w:r>
    </w:p>
    <w:p w14:paraId="241A3E12">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.卫生健康（类）行政事业单位（款）行政单位医疗（项）：指单位按规定缴纳的在职人员医疗保险支出。</w:t>
      </w:r>
    </w:p>
    <w:p w14:paraId="79C985BF">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.卫生健康（类）行政事业单位（款）公务员医疗补助（项）：指单位按规定缴纳的在职和退休人员公务员医疗补助支出。</w:t>
      </w:r>
    </w:p>
    <w:p w14:paraId="71F38FD1">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.基本支出：指为保障机构正常运转、完成日常工作任务而发生的人员支出和公用支出。</w:t>
      </w:r>
    </w:p>
    <w:p w14:paraId="5E742E4F">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590B9F67">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三公”经费：指部门用财政拨款安排的公务用车购置及运行费和公务接待费。其中公务用车购置及运行费反映单位公务用车车辆购置支出（含车辆购置税）及租用费、燃料费、维修费、过路过桥费、保险费等支出。</w:t>
      </w:r>
    </w:p>
    <w:p w14:paraId="3D463CE7">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14:paraId="5C6BC66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2D4EA2F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F82EE19">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cs="仿宋_GB2312"/>
          <w:color w:val="auto"/>
          <w:kern w:val="2"/>
          <w:sz w:val="32"/>
          <w:szCs w:val="32"/>
          <w:highlight w:val="none"/>
          <w:lang w:val="en-US" w:eastAsia="zh-CN" w:bidi="ar-SA"/>
        </w:rPr>
        <w:t>。</w:t>
      </w:r>
    </w:p>
    <w:p w14:paraId="532175AE">
      <w:pPr>
        <w:spacing w:line="600" w:lineRule="exact"/>
        <w:jc w:val="center"/>
        <w:rPr>
          <w:rStyle w:val="29"/>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5E6E540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AC7547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5B265F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1625B3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02A70D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2F227FA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91492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B2D63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03CAF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攀枝花市西区机关事务服务中心内设办公室、总务股、资产管理中心3个股室。</w:t>
      </w:r>
    </w:p>
    <w:p w14:paraId="55966C6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21A4FED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承担全区机关后勤服务性、事务性工作。</w:t>
      </w:r>
    </w:p>
    <w:p w14:paraId="4B62FA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41B614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西区机关事务服务中心在职参公编制数</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人，实有人数</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人；驾驶员临聘编制数70人，实有人数</w:t>
      </w:r>
      <w:r>
        <w:rPr>
          <w:rFonts w:hint="default"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lang w:val="en-US" w:eastAsia="zh-CN"/>
        </w:rPr>
        <w:t>人；临聘人员编制数17人，实有人数1</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人。</w:t>
      </w:r>
    </w:p>
    <w:p w14:paraId="689D29D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A66C3B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C93526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西区机关事务服务中心</w:t>
      </w: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年全年预算收入</w:t>
      </w:r>
      <w:r>
        <w:rPr>
          <w:rFonts w:hint="eastAsia" w:ascii="Times New Roman" w:hAnsi="Times New Roman" w:eastAsia="仿宋_GB2312" w:cs="Times New Roman"/>
          <w:sz w:val="32"/>
          <w:szCs w:val="32"/>
          <w:lang w:val="en-US" w:eastAsia="zh-CN"/>
        </w:rPr>
        <w:t>2056.86</w:t>
      </w:r>
      <w:r>
        <w:rPr>
          <w:rFonts w:hint="eastAsia" w:ascii="Times New Roman" w:hAnsi="Times New Roman" w:eastAsia="仿宋_GB2312" w:cs="Times New Roman"/>
          <w:sz w:val="32"/>
          <w:szCs w:val="32"/>
          <w:lang w:val="zh-CN" w:eastAsia="zh-CN"/>
        </w:rPr>
        <w:t>万元，其中：一般公共预算拨款收入</w:t>
      </w:r>
      <w:r>
        <w:rPr>
          <w:rFonts w:hint="eastAsia" w:ascii="Times New Roman" w:hAnsi="Times New Roman" w:eastAsia="仿宋_GB2312" w:cs="Times New Roman"/>
          <w:sz w:val="32"/>
          <w:szCs w:val="32"/>
          <w:lang w:val="en-US" w:eastAsia="zh-CN"/>
        </w:rPr>
        <w:t>1058.18</w:t>
      </w:r>
      <w:r>
        <w:rPr>
          <w:rFonts w:hint="eastAsia" w:ascii="Times New Roman" w:hAnsi="Times New Roman" w:eastAsia="仿宋_GB2312" w:cs="Times New Roman"/>
          <w:sz w:val="32"/>
          <w:szCs w:val="32"/>
          <w:lang w:val="zh-CN" w:eastAsia="zh-CN"/>
        </w:rPr>
        <w:t>万元，占总收入</w:t>
      </w:r>
      <w:r>
        <w:rPr>
          <w:rFonts w:hint="eastAsia" w:ascii="Times New Roman" w:hAnsi="Times New Roman" w:eastAsia="仿宋_GB2312" w:cs="Times New Roman"/>
          <w:sz w:val="32"/>
          <w:szCs w:val="32"/>
          <w:lang w:val="en-US" w:eastAsia="zh-CN"/>
        </w:rPr>
        <w:t>51.45</w:t>
      </w:r>
      <w:r>
        <w:rPr>
          <w:rFonts w:hint="eastAsia" w:ascii="Times New Roman" w:hAnsi="Times New Roman" w:eastAsia="仿宋_GB2312" w:cs="Times New Roman"/>
          <w:sz w:val="32"/>
          <w:szCs w:val="32"/>
          <w:lang w:val="zh-CN" w:eastAsia="zh-CN"/>
        </w:rPr>
        <w:t>%；政府性基金预算拨款支出</w:t>
      </w:r>
      <w:r>
        <w:rPr>
          <w:rFonts w:hint="eastAsia" w:ascii="Times New Roman" w:hAnsi="Times New Roman" w:eastAsia="仿宋_GB2312" w:cs="Times New Roman"/>
          <w:sz w:val="32"/>
          <w:szCs w:val="32"/>
          <w:lang w:val="en-US" w:eastAsia="zh-CN"/>
        </w:rPr>
        <w:t>998.68</w:t>
      </w:r>
      <w:r>
        <w:rPr>
          <w:rFonts w:hint="eastAsia" w:ascii="Times New Roman" w:hAnsi="Times New Roman" w:eastAsia="仿宋_GB2312" w:cs="Times New Roman"/>
          <w:sz w:val="32"/>
          <w:szCs w:val="32"/>
          <w:lang w:val="zh-CN" w:eastAsia="zh-CN"/>
        </w:rPr>
        <w:t>万元，占总收入</w:t>
      </w:r>
      <w:r>
        <w:rPr>
          <w:rFonts w:hint="eastAsia" w:ascii="Times New Roman" w:hAnsi="Times New Roman" w:eastAsia="仿宋_GB2312" w:cs="Times New Roman"/>
          <w:sz w:val="32"/>
          <w:szCs w:val="32"/>
          <w:lang w:val="en-US" w:eastAsia="zh-CN"/>
        </w:rPr>
        <w:t>48.55</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w:t>
      </w:r>
    </w:p>
    <w:p w14:paraId="056053D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p>
    <w:p w14:paraId="5B1058B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A2D402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年财政资金支出</w:t>
      </w:r>
      <w:r>
        <w:rPr>
          <w:rFonts w:hint="eastAsia" w:ascii="Times New Roman" w:hAnsi="Times New Roman" w:eastAsia="仿宋_GB2312" w:cs="Times New Roman"/>
          <w:sz w:val="32"/>
          <w:szCs w:val="32"/>
          <w:lang w:val="en-US" w:eastAsia="zh-CN"/>
        </w:rPr>
        <w:t>2056.85</w:t>
      </w:r>
      <w:r>
        <w:rPr>
          <w:rFonts w:hint="eastAsia" w:ascii="Times New Roman" w:hAnsi="Times New Roman" w:eastAsia="仿宋_GB2312" w:cs="Times New Roman"/>
          <w:sz w:val="32"/>
          <w:szCs w:val="32"/>
          <w:lang w:val="zh-CN" w:eastAsia="zh-CN"/>
        </w:rPr>
        <w:t>万元，其中：基本支出</w:t>
      </w:r>
      <w:r>
        <w:rPr>
          <w:rFonts w:hint="eastAsia" w:ascii="Times New Roman" w:hAnsi="Times New Roman" w:eastAsia="仿宋_GB2312" w:cs="Times New Roman"/>
          <w:sz w:val="32"/>
          <w:szCs w:val="32"/>
          <w:lang w:val="en-US" w:eastAsia="zh-CN"/>
        </w:rPr>
        <w:t>768.18</w:t>
      </w:r>
      <w:r>
        <w:rPr>
          <w:rFonts w:hint="eastAsia" w:ascii="Times New Roman" w:hAnsi="Times New Roman" w:eastAsia="仿宋_GB2312" w:cs="Times New Roman"/>
          <w:sz w:val="32"/>
          <w:szCs w:val="32"/>
          <w:lang w:val="zh-CN" w:eastAsia="zh-CN"/>
        </w:rPr>
        <w:t>万元，其中：人员经费</w:t>
      </w:r>
      <w:r>
        <w:rPr>
          <w:rFonts w:hint="eastAsia" w:ascii="Times New Roman" w:hAnsi="Times New Roman" w:eastAsia="仿宋_GB2312" w:cs="Times New Roman"/>
          <w:sz w:val="32"/>
          <w:szCs w:val="32"/>
          <w:lang w:val="en-US" w:eastAsia="zh-CN"/>
        </w:rPr>
        <w:t>573.98</w:t>
      </w:r>
      <w:r>
        <w:rPr>
          <w:rFonts w:hint="eastAsia" w:ascii="Times New Roman" w:hAnsi="Times New Roman" w:eastAsia="仿宋_GB2312" w:cs="Times New Roman"/>
          <w:sz w:val="32"/>
          <w:szCs w:val="32"/>
          <w:lang w:val="zh-CN" w:eastAsia="zh-CN"/>
        </w:rPr>
        <w:t>万元，公用经费</w:t>
      </w:r>
      <w:r>
        <w:rPr>
          <w:rFonts w:hint="eastAsia" w:ascii="Times New Roman" w:hAnsi="Times New Roman" w:eastAsia="仿宋_GB2312" w:cs="Times New Roman"/>
          <w:sz w:val="32"/>
          <w:szCs w:val="32"/>
          <w:lang w:val="en-US" w:eastAsia="zh-CN"/>
        </w:rPr>
        <w:t>194.19</w:t>
      </w:r>
      <w:r>
        <w:rPr>
          <w:rFonts w:hint="eastAsia" w:ascii="Times New Roman" w:hAnsi="Times New Roman" w:eastAsia="仿宋_GB2312" w:cs="Times New Roman"/>
          <w:sz w:val="32"/>
          <w:szCs w:val="32"/>
          <w:lang w:val="zh-CN" w:eastAsia="zh-CN"/>
        </w:rPr>
        <w:t>万元；项目经费支出</w:t>
      </w:r>
      <w:r>
        <w:rPr>
          <w:rFonts w:hint="eastAsia" w:ascii="Times New Roman" w:hAnsi="Times New Roman" w:eastAsia="仿宋_GB2312" w:cs="Times New Roman"/>
          <w:sz w:val="32"/>
          <w:szCs w:val="32"/>
          <w:lang w:val="en-US" w:eastAsia="zh-CN"/>
        </w:rPr>
        <w:t>1288.68</w:t>
      </w:r>
      <w:r>
        <w:rPr>
          <w:rFonts w:hint="eastAsia" w:ascii="Times New Roman" w:hAnsi="Times New Roman" w:eastAsia="仿宋_GB2312" w:cs="Times New Roman"/>
          <w:sz w:val="32"/>
          <w:szCs w:val="32"/>
          <w:lang w:val="zh-CN" w:eastAsia="zh-CN"/>
        </w:rPr>
        <w:t>万元。</w:t>
      </w:r>
    </w:p>
    <w:p w14:paraId="3132227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22B6640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西区机关事务服务中心2024年决算收回单位国库集中支付结余资金安排食堂运行维护经费70万元、公务用车平台运行维护经费0.76万元、保安执勤经费15.37万元、政府集中办公区域维护经费180.4万元、政府办公楼水电运行维护费用3.79万元。</w:t>
      </w:r>
    </w:p>
    <w:p w14:paraId="3AC163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19886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12959D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D74BF45">
      <w:pPr>
        <w:keepNext w:val="0"/>
        <w:keepLines w:val="0"/>
        <w:pageBreakBefore w:val="0"/>
        <w:kinsoku/>
        <w:wordWrap/>
        <w:overflowPunct/>
        <w:topLinePunct w:val="0"/>
        <w:autoSpaceDE/>
        <w:autoSpaceDN/>
        <w:bidi w:val="0"/>
        <w:spacing w:line="360" w:lineRule="auto"/>
        <w:ind w:firstLine="640" w:firstLineChars="200"/>
        <w:textAlignment w:val="auto"/>
        <w:rPr>
          <w:rFonts w:eastAsia="仿宋_GB2312"/>
          <w:kern w:val="0"/>
          <w:sz w:val="32"/>
          <w:szCs w:val="32"/>
        </w:rPr>
      </w:pPr>
      <w:r>
        <w:rPr>
          <w:rFonts w:eastAsia="仿宋_GB2312"/>
          <w:kern w:val="0"/>
          <w:sz w:val="32"/>
          <w:szCs w:val="32"/>
        </w:rPr>
        <w:t>深入推进服务精细化，把优质保障全区性大型会议作为首要政治任务，提升技术力量，加强设备维保和服务演练，提升应急处理水平，以极致追求细节的精神，确保服务零失误、零瑕疵。着力优化机关食堂运作模式，加强菜品采购管理，改善菜品结构，提升菜肴品质，确保在吃的安全的前提下逐步吃得更好，确保服务高品质。在严格执行办公用房政策和标准的前提下，通过置换、代建、租用等多种渠道增加办公用房面积，加大办公用房日常维护，不断改善办公用房条件。加强对政府主楼水电、卫生等日常维护工作，着力提升工作和生活环境。</w:t>
      </w:r>
    </w:p>
    <w:p w14:paraId="46F712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eastAsia="仿宋_GB2312"/>
          <w:sz w:val="32"/>
          <w:szCs w:val="32"/>
        </w:rPr>
        <w:t>进一步加强公务用车管理。加强车队管理，进一步完善管理制度，加强用车数据统计分析，做到精准调控，保障区委、区政府重点工作及区机关单位公务用车。进一步加强公房统一管理。加强党政机关及事业单位办公用房使用情况的监管检查，并依托大数据分析，科学合理统筹调配办公用房，着力提高公房资源使用效率。进一步加强公共机构节能管理。着力提高降耗减排工作科学化水平，加强统计工作，细化职责，完善能耗统计和报告制度，规范能耗统计台账，切实提升统计数据质量。着力发挥公共机构节能示范典型的引导作用，切实加强节能降耗、垃圾分类、光盘行动等宣传，深入开展垃圾分类示范单位，节约型、节水型单位等创建活动，通过开展载体活动，不断提高机关干部降耗减排、垃圾分类意识</w:t>
      </w:r>
      <w:r>
        <w:rPr>
          <w:rFonts w:hint="eastAsia"/>
          <w:sz w:val="32"/>
          <w:szCs w:val="32"/>
          <w:lang w:eastAsia="zh-CN"/>
        </w:rPr>
        <w:t>。</w:t>
      </w:r>
    </w:p>
    <w:p w14:paraId="4BB764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1E701A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zh-CN" w:eastAsia="zh-CN" w:bidi="ar-SA"/>
        </w:rPr>
        <w:t>西区</w:t>
      </w:r>
      <w:r>
        <w:rPr>
          <w:rFonts w:hint="eastAsia" w:ascii="Times New Roman" w:hAnsi="Times New Roman" w:eastAsia="仿宋_GB2312" w:cs="仿宋_GB2312"/>
          <w:color w:val="auto"/>
          <w:kern w:val="2"/>
          <w:sz w:val="32"/>
          <w:szCs w:val="32"/>
          <w:highlight w:val="none"/>
          <w:lang w:val="en-US" w:eastAsia="zh-CN" w:bidi="ar-SA"/>
        </w:rPr>
        <w:t>机关事务服务中心严格按照西区财政局预算编制通知和有关要求，按时按质完成报送决算编制等工作，并按时提交部门预算编制草案，不存在应编、未编、错误列编，西区财政局根据预算编制草案，进行审核，批复2024年部门预算收入1576.35万元，其中：工资福利支出532.45万元、日常公用支出199.29万元、对个人和家庭的补助支出13.61万元、项目支出831万元。</w:t>
      </w:r>
    </w:p>
    <w:p w14:paraId="2B1198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7851A22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630B8ED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1662B1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14:paraId="7ECCA49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268A729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6F3B94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22318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常年项目绩效分析。该类项目总数</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1288.68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45C47F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阶段（</w:t>
      </w:r>
      <w:r>
        <w:rPr>
          <w:rFonts w:hint="eastAsia" w:ascii="Times New Roman" w:hAnsi="Times New Roman" w:eastAsia="仿宋_GB2312" w:cs="仿宋_GB2312"/>
          <w:color w:val="auto"/>
          <w:kern w:val="2"/>
          <w:sz w:val="32"/>
          <w:szCs w:val="32"/>
          <w:highlight w:val="none"/>
          <w:lang w:val="zh-CN" w:eastAsia="zh-CN" w:bidi="ar-SA"/>
        </w:rPr>
        <w:t>含</w:t>
      </w:r>
      <w:r>
        <w:rPr>
          <w:rFonts w:hint="default" w:ascii="Times New Roman" w:hAnsi="Times New Roman" w:eastAsia="仿宋_GB2312" w:cs="仿宋_GB2312"/>
          <w:color w:val="auto"/>
          <w:kern w:val="2"/>
          <w:sz w:val="32"/>
          <w:szCs w:val="32"/>
          <w:highlight w:val="none"/>
          <w:lang w:val="zh-CN" w:eastAsia="zh-CN" w:bidi="ar-SA"/>
        </w:rPr>
        <w:t>一次性）项目绩效分析。该类项目总数</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1288.68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7FFC31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69E6B2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工作安排为参考，以202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年工作计划为依据，预算安排共计</w:t>
      </w:r>
      <w:r>
        <w:rPr>
          <w:rFonts w:hint="eastAsia" w:ascii="Times New Roman" w:hAnsi="Times New Roman" w:eastAsia="仿宋_GB2312" w:cs="仿宋_GB2312"/>
          <w:color w:val="auto"/>
          <w:kern w:val="2"/>
          <w:sz w:val="32"/>
          <w:szCs w:val="32"/>
          <w:highlight w:val="none"/>
          <w:lang w:val="en-US" w:eastAsia="zh-CN" w:bidi="ar-SA"/>
        </w:rPr>
        <w:t>2056.85</w:t>
      </w:r>
      <w:r>
        <w:rPr>
          <w:rFonts w:hint="eastAsia" w:ascii="Times New Roman" w:hAnsi="Times New Roman" w:eastAsia="仿宋_GB2312" w:cs="仿宋_GB2312"/>
          <w:color w:val="auto"/>
          <w:kern w:val="2"/>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color w:val="auto"/>
          <w:kern w:val="2"/>
          <w:sz w:val="32"/>
          <w:szCs w:val="32"/>
          <w:highlight w:val="none"/>
          <w:lang w:val="en-US" w:eastAsia="zh-CN" w:bidi="ar-SA"/>
        </w:rPr>
        <w:t>2056.85</w:t>
      </w:r>
      <w:r>
        <w:rPr>
          <w:rFonts w:hint="eastAsia" w:ascii="Times New Roman" w:hAnsi="Times New Roman" w:eastAsia="仿宋_GB2312" w:cs="仿宋_GB2312"/>
          <w:color w:val="auto"/>
          <w:kern w:val="2"/>
          <w:sz w:val="32"/>
          <w:szCs w:val="32"/>
          <w:highlight w:val="none"/>
          <w:lang w:val="zh-CN" w:eastAsia="zh-CN" w:bidi="ar-SA"/>
        </w:rPr>
        <w:t>万元，执行率</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p>
    <w:p w14:paraId="5F285C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。围绕资金执行同向、项目调整、执行结果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6F012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项目实施期限主为202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年1月至12月，由西区</w:t>
      </w:r>
      <w:r>
        <w:rPr>
          <w:rFonts w:hint="eastAsia" w:ascii="Times New Roman" w:hAnsi="Times New Roman" w:eastAsia="仿宋_GB2312" w:cs="仿宋_GB2312"/>
          <w:color w:val="auto"/>
          <w:kern w:val="2"/>
          <w:sz w:val="32"/>
          <w:szCs w:val="32"/>
          <w:highlight w:val="none"/>
          <w:lang w:val="en-US" w:eastAsia="zh-CN" w:bidi="ar-SA"/>
        </w:rPr>
        <w:t>机关事务服务中心</w:t>
      </w:r>
      <w:r>
        <w:rPr>
          <w:rFonts w:hint="eastAsia" w:ascii="Times New Roman" w:hAnsi="Times New Roman" w:eastAsia="仿宋_GB2312" w:cs="仿宋_GB2312"/>
          <w:color w:val="auto"/>
          <w:kern w:val="2"/>
          <w:sz w:val="32"/>
          <w:szCs w:val="32"/>
          <w:highlight w:val="none"/>
          <w:lang w:val="zh-CN" w:eastAsia="zh-CN" w:bidi="ar-SA"/>
        </w:rPr>
        <w:t>申报，西区财政局审核批复，主要用于保障</w:t>
      </w:r>
      <w:r>
        <w:rPr>
          <w:rFonts w:hint="eastAsia" w:ascii="Times New Roman" w:hAnsi="Times New Roman" w:eastAsia="仿宋_GB2312" w:cs="仿宋_GB2312"/>
          <w:color w:val="auto"/>
          <w:kern w:val="2"/>
          <w:sz w:val="32"/>
          <w:szCs w:val="32"/>
          <w:highlight w:val="none"/>
          <w:lang w:val="en-US" w:eastAsia="zh-CN" w:bidi="ar-SA"/>
        </w:rPr>
        <w:t>食堂运行维护经费</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公务用车平台运行维护经费</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保安执勤经费等项目</w:t>
      </w:r>
      <w:r>
        <w:rPr>
          <w:rFonts w:hint="eastAsia" w:ascii="Times New Roman" w:hAnsi="Times New Roman" w:eastAsia="仿宋_GB2312" w:cs="仿宋_GB2312"/>
          <w:color w:val="auto"/>
          <w:kern w:val="2"/>
          <w:sz w:val="32"/>
          <w:szCs w:val="32"/>
          <w:highlight w:val="none"/>
          <w:lang w:val="zh-CN" w:eastAsia="zh-CN" w:bidi="ar-SA"/>
        </w:rPr>
        <w:t>各项工作开展，加强项目实施过程中的监督审核，建立健全财政专项资金的公开机制、评审机制、跟踪检查机制，确保财政资金安全高效使用。</w:t>
      </w:r>
    </w:p>
    <w:p w14:paraId="1692E8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793268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2024年西区机关事务服务中心</w:t>
      </w:r>
      <w:r>
        <w:rPr>
          <w:rFonts w:hint="eastAsia" w:ascii="Times New Roman" w:hAnsi="Times New Roman" w:eastAsia="仿宋_GB2312" w:cs="仿宋_GB2312"/>
          <w:color w:val="auto"/>
          <w:kern w:val="2"/>
          <w:sz w:val="32"/>
          <w:szCs w:val="32"/>
          <w:highlight w:val="none"/>
          <w:lang w:val="zh-CN" w:eastAsia="zh-CN" w:bidi="ar-SA"/>
        </w:rPr>
        <w:t>预算资金</w:t>
      </w:r>
      <w:r>
        <w:rPr>
          <w:rFonts w:hint="eastAsia" w:ascii="Times New Roman" w:hAnsi="Times New Roman" w:eastAsia="仿宋_GB2312" w:cs="仿宋_GB2312"/>
          <w:color w:val="auto"/>
          <w:kern w:val="2"/>
          <w:sz w:val="32"/>
          <w:szCs w:val="32"/>
          <w:highlight w:val="none"/>
          <w:lang w:val="en-US" w:eastAsia="zh-CN" w:bidi="ar-SA"/>
        </w:rPr>
        <w:t>2056.86</w:t>
      </w:r>
      <w:r>
        <w:rPr>
          <w:rFonts w:hint="eastAsia" w:ascii="Times New Roman" w:hAnsi="Times New Roman" w:eastAsia="仿宋_GB2312" w:cs="仿宋_GB2312"/>
          <w:color w:val="auto"/>
          <w:kern w:val="2"/>
          <w:sz w:val="32"/>
          <w:szCs w:val="32"/>
          <w:highlight w:val="none"/>
          <w:lang w:val="zh-CN" w:eastAsia="zh-CN" w:bidi="ar-SA"/>
        </w:rPr>
        <w:t>万元由区财政局纳入一体化管理平台统一管理，专款专用，资金拨付执行审批程序，使用规范，入账手续齐全。</w:t>
      </w:r>
    </w:p>
    <w:p w14:paraId="63F11F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（1）项目的经济效益分析。</w:t>
      </w:r>
    </w:p>
    <w:p w14:paraId="642FF0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5CDD173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（2）项目的社会效益分析。</w:t>
      </w:r>
    </w:p>
    <w:p w14:paraId="795FDE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促进地方经济发展、促进社会进步、带动就业、提高人民生活水平，顺利完成工作任务，达到预期目标。</w:t>
      </w:r>
    </w:p>
    <w:p w14:paraId="30CE32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（3）项目的可持续性分析。</w:t>
      </w:r>
    </w:p>
    <w:p w14:paraId="6731F58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2024年度较好地完成了年初制定的工作目标任务，各个项目有序开展，整体支出平稳，较好地实现了社会效益和可持续效益目标。</w:t>
      </w:r>
    </w:p>
    <w:p w14:paraId="3B311519">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AFDE32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zh-CN" w:eastAsia="zh-CN" w:bidi="ar"/>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421705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C4FC20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6038078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2024年西区机关事务服务中心整体支出绩效自评较科学准确，真实地反映了本单位财政收支情况，较好完成年初绩效目标任务，自评优秀。评价得分97分,其中总体绩效62分，项目绩效35分。</w:t>
      </w:r>
    </w:p>
    <w:p w14:paraId="1C5A8C3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7CE66D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default" w:ascii="Times New Roman" w:hAnsi="Times New Roman" w:eastAsia="仿宋_GB2312" w:cs="Times New Roman"/>
          <w:sz w:val="32"/>
          <w:szCs w:val="32"/>
          <w:u w:val="none"/>
          <w:lang w:val="en-US" w:eastAsia="zh-CN" w:bidi="ar"/>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4B1CCC7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1" w:name="_Hlk110546638"/>
    </w:p>
    <w:bookmarkEnd w:id="51"/>
    <w:p w14:paraId="0032A6F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进一步完善和加强单位内部财务管理制度，加强预算编制的精准性及预算项目的可实施性，加强资金使用动态管理，确保资金使用效益最大化。</w:t>
      </w:r>
    </w:p>
    <w:p w14:paraId="07756E7A">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D0A022C">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00F6D6F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6549CCE">
      <w:pPr>
        <w:pStyle w:val="2"/>
        <w:rPr>
          <w:rFonts w:hint="eastAsia" w:ascii="Times New Roman" w:hAnsi="Times New Roman" w:cs="宋体"/>
          <w:color w:val="FF0000"/>
          <w:kern w:val="0"/>
          <w:sz w:val="32"/>
          <w:szCs w:val="32"/>
          <w:highlight w:val="yellow"/>
          <w:shd w:val="clear" w:color="auto" w:fill="FFFFFF"/>
          <w:lang w:val="zh-CN"/>
        </w:rPr>
      </w:pPr>
    </w:p>
    <w:p w14:paraId="65F96232">
      <w:pPr>
        <w:rPr>
          <w:rFonts w:hint="eastAsia" w:ascii="Times New Roman" w:hAnsi="Times New Roman" w:eastAsia="仿宋"/>
          <w:b w:val="0"/>
          <w:color w:val="auto"/>
          <w:highlight w:val="none"/>
        </w:rPr>
      </w:pPr>
      <w:bookmarkStart w:id="52"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9"/>
      <w:bookmarkEnd w:id="52"/>
      <w:bookmarkStart w:id="53" w:name="_Toc15396619"/>
    </w:p>
    <w:p w14:paraId="7C82AC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99FB40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68EF9C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2F61AF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2EE1C0A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3059D6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50842E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30AB6D2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06AD453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1DBC94A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5B833D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503BE1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B0BEF2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74A16E2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64738069">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4B6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EEBE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DEEBE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F5D047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2F5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B4EF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CB4EFB">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F780">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3568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A3568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673F69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6D2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E5E6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5E5E6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7C6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F169B9"/>
    <w:rsid w:val="09867E8F"/>
    <w:rsid w:val="0A2032A3"/>
    <w:rsid w:val="0CA8290A"/>
    <w:rsid w:val="0D131A73"/>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E13D84"/>
    <w:rsid w:val="4A627F82"/>
    <w:rsid w:val="4B0E749A"/>
    <w:rsid w:val="4B2477C4"/>
    <w:rsid w:val="4B4F25DA"/>
    <w:rsid w:val="4BE068DB"/>
    <w:rsid w:val="4D577224"/>
    <w:rsid w:val="4DBF1CEB"/>
    <w:rsid w:val="4DF0007C"/>
    <w:rsid w:val="4EAB630A"/>
    <w:rsid w:val="4ECE2238"/>
    <w:rsid w:val="4F833267"/>
    <w:rsid w:val="4FE9BD67"/>
    <w:rsid w:val="4FFB052F"/>
    <w:rsid w:val="50093FF1"/>
    <w:rsid w:val="537E6D0A"/>
    <w:rsid w:val="53F1637E"/>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CF75E8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styleId="3">
    <w:name w:val="Block Text"/>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7873</Words>
  <Characters>8535</Characters>
  <Lines>61</Lines>
  <Paragraphs>17</Paragraphs>
  <TotalTime>6</TotalTime>
  <ScaleCrop>false</ScaleCrop>
  <LinksUpToDate>false</LinksUpToDate>
  <CharactersWithSpaces>8591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2025-10-27T02:53:48Z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02D305A26B16422CA82F38031EB7F3D5</vt:lpwstr>
  </property>
  <property fmtid="{D5CDD505-2E9C-101B-9397-08002B2CF9AE}" pid="4" name="KSOTemplateDocerSaveRecord">
    <vt:lpwstr>eyJoZGlkIjoiMmY2YmUxZjk2NzRmYTg5MDQ2ZDU3YTM2YzM2MGI4ZDIiLCJ1c2VySWQiOiI1NzIwNzc5ODAifQ==</vt:lpwstr>
  </property>
</Properties>
</file>