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6BF66">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77425"/>
      <w:bookmarkStart w:id="2" w:name="_Toc15306267"/>
      <w:bookmarkStart w:id="3" w:name="_Toc15377193"/>
      <w:bookmarkStart w:id="4" w:name="_Toc15396475"/>
      <w:bookmarkStart w:id="5" w:name="_Toc15378441"/>
    </w:p>
    <w:p w14:paraId="3F8C78F2">
      <w:pPr>
        <w:pStyle w:val="2"/>
        <w:rPr>
          <w:rFonts w:hint="eastAsia" w:ascii="Times New Roman" w:hAnsi="Times New Roman" w:eastAsia="方正小标宋简体" w:cs="Times New Roman"/>
          <w:color w:val="auto"/>
          <w:kern w:val="2"/>
          <w:sz w:val="72"/>
          <w:szCs w:val="72"/>
          <w:highlight w:val="none"/>
          <w:lang w:val="en-US" w:eastAsia="zh-CN" w:bidi="ar-SA"/>
        </w:rPr>
      </w:pPr>
    </w:p>
    <w:p w14:paraId="54C4C775">
      <w:pPr>
        <w:pStyle w:val="2"/>
        <w:rPr>
          <w:rFonts w:hint="eastAsia" w:ascii="Times New Roman" w:hAnsi="Times New Roman" w:eastAsia="方正小标宋简体" w:cs="Times New Roman"/>
          <w:color w:val="auto"/>
          <w:kern w:val="2"/>
          <w:sz w:val="72"/>
          <w:szCs w:val="72"/>
          <w:highlight w:val="none"/>
          <w:lang w:val="en-US" w:eastAsia="zh-CN" w:bidi="ar-SA"/>
        </w:rPr>
      </w:pPr>
    </w:p>
    <w:p w14:paraId="56F9C682">
      <w:pPr>
        <w:pStyle w:val="2"/>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攀枝花市西区</w:t>
      </w:r>
    </w:p>
    <w:p w14:paraId="3FEB3C00">
      <w:pPr>
        <w:pStyle w:val="2"/>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机关事务服务中心单位</w:t>
      </w:r>
      <w:r>
        <w:rPr>
          <w:rFonts w:hint="eastAsia" w:ascii="Times New Roman" w:hAnsi="Times New Roman" w:eastAsia="方正小标宋简体" w:cs="Times New Roman"/>
          <w:color w:val="auto"/>
          <w:kern w:val="2"/>
          <w:sz w:val="44"/>
          <w:szCs w:val="44"/>
          <w:highlight w:val="none"/>
          <w:lang w:val="en-US" w:eastAsia="zh-CN" w:bidi="ar-SA"/>
        </w:rPr>
        <w:t>决算公开文字说明</w:t>
      </w:r>
    </w:p>
    <w:bookmarkEnd w:id="0"/>
    <w:bookmarkEnd w:id="1"/>
    <w:bookmarkEnd w:id="2"/>
    <w:bookmarkEnd w:id="3"/>
    <w:bookmarkEnd w:id="4"/>
    <w:bookmarkEnd w:id="5"/>
    <w:p w14:paraId="1DE64900">
      <w:pPr>
        <w:widowControl/>
        <w:jc w:val="center"/>
        <w:rPr>
          <w:rFonts w:hint="eastAsia" w:ascii="Times New Roman" w:hAnsi="Times New Roman" w:eastAsia="黑体"/>
          <w:color w:val="auto"/>
          <w:sz w:val="48"/>
          <w:szCs w:val="48"/>
          <w:highlight w:val="none"/>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34C70E14">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743C2857">
      <w:pPr>
        <w:widowControl/>
        <w:jc w:val="center"/>
        <w:rPr>
          <w:rFonts w:ascii="Times New Roman" w:hAnsi="Times New Roman" w:eastAsia="黑体" w:cstheme="minorBidi"/>
          <w:color w:val="auto"/>
          <w:sz w:val="28"/>
          <w:szCs w:val="28"/>
          <w:highlight w:val="none"/>
        </w:rPr>
      </w:pPr>
    </w:p>
    <w:p w14:paraId="4BD995B5">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24</w:t>
      </w:r>
      <w:bookmarkStart w:id="66" w:name="_GoBack"/>
      <w:bookmarkEnd w:id="66"/>
      <w:r>
        <w:rPr>
          <w:rFonts w:hint="eastAsia" w:ascii="Times New Roman" w:hAnsi="Times New Roman" w:eastAsia="仿宋_GB2312" w:cs="仿宋_GB2312"/>
          <w:color w:val="auto"/>
          <w:sz w:val="32"/>
          <w:szCs w:val="32"/>
          <w:highlight w:val="none"/>
        </w:rPr>
        <w:t>日</w:t>
      </w:r>
    </w:p>
    <w:p w14:paraId="0FC79C40">
      <w:pPr>
        <w:rPr>
          <w:rFonts w:ascii="Times New Roman" w:hAnsi="Times New Roman"/>
          <w:color w:val="auto"/>
          <w:highlight w:val="none"/>
        </w:rPr>
      </w:pPr>
    </w:p>
    <w:p w14:paraId="7D691EBE">
      <w:pPr>
        <w:pStyle w:val="36"/>
        <w:tabs>
          <w:tab w:val="right" w:leader="dot" w:pos="8306"/>
        </w:tabs>
        <w:rPr>
          <w:b/>
        </w:rPr>
      </w:pPr>
      <w:bookmarkStart w:id="6" w:name="_Toc15377196"/>
      <w:bookmarkStart w:id="7" w:name="_Toc15396599"/>
      <w:r>
        <w:rPr>
          <w:b/>
        </w:rPr>
        <w:fldChar w:fldCharType="begin"/>
      </w:r>
      <w:r>
        <w:rPr>
          <w:b/>
        </w:rPr>
        <w:instrText xml:space="preserve"> HYPERLINK \l _Toc32330 </w:instrText>
      </w:r>
      <w:r>
        <w:rPr>
          <w:b/>
        </w:rPr>
        <w:fldChar w:fldCharType="separate"/>
      </w:r>
      <w:r>
        <w:rPr>
          <w:rFonts w:hint="eastAsia" w:ascii="黑体" w:hAnsi="黑体" w:eastAsia="黑体"/>
          <w:b/>
          <w:highlight w:val="none"/>
        </w:rPr>
        <w:t>第一</w:t>
      </w:r>
      <w:r>
        <w:rPr>
          <w:rFonts w:hint="eastAsia" w:ascii="黑体" w:hAnsi="黑体" w:eastAsia="黑体"/>
          <w:b/>
          <w:highlight w:val="none"/>
          <w:lang w:val="en-US" w:eastAsia="zh-CN"/>
        </w:rPr>
        <w:t>单位</w:t>
      </w:r>
      <w:r>
        <w:rPr>
          <w:rFonts w:hint="eastAsia" w:ascii="黑体" w:hAnsi="黑体" w:eastAsia="黑体"/>
          <w:b/>
          <w:bCs w:val="0"/>
          <w:highlight w:val="none"/>
        </w:rPr>
        <w:t>概况</w:t>
      </w:r>
      <w:r>
        <w:rPr>
          <w:b/>
        </w:rPr>
        <w:tab/>
      </w:r>
      <w:r>
        <w:rPr>
          <w:rFonts w:hint="eastAsia"/>
          <w:b/>
          <w:lang w:val="en-US" w:eastAsia="zh-CN"/>
        </w:rPr>
        <w:t>2</w:t>
      </w:r>
      <w:r>
        <w:rPr>
          <w:b/>
        </w:rPr>
        <w:fldChar w:fldCharType="end"/>
      </w:r>
    </w:p>
    <w:p w14:paraId="07E494B6">
      <w:pPr>
        <w:pStyle w:val="37"/>
        <w:tabs>
          <w:tab w:val="right" w:leader="dot" w:pos="8306"/>
        </w:tabs>
      </w:pPr>
      <w:r>
        <w:fldChar w:fldCharType="begin"/>
      </w:r>
      <w:r>
        <w:instrText xml:space="preserve"> HYPERLINK \l _Toc10246 </w:instrText>
      </w:r>
      <w:r>
        <w:fldChar w:fldCharType="separate"/>
      </w:r>
      <w:r>
        <w:rPr>
          <w:rFonts w:hint="eastAsia" w:ascii="黑体" w:hAnsi="黑体" w:eastAsia="黑体"/>
          <w:lang w:eastAsia="zh-CN"/>
        </w:rPr>
        <w:t xml:space="preserve">一、 </w:t>
      </w:r>
      <w:r>
        <w:rPr>
          <w:rFonts w:hint="eastAsia" w:ascii="黑体" w:hAnsi="黑体" w:eastAsia="黑体"/>
          <w:highlight w:val="none"/>
          <w:lang w:val="en-US" w:eastAsia="zh-CN"/>
        </w:rPr>
        <w:t>单位</w:t>
      </w:r>
      <w:r>
        <w:rPr>
          <w:rFonts w:hint="eastAsia" w:ascii="黑体" w:hAnsi="黑体" w:eastAsia="黑体"/>
          <w:highlight w:val="none"/>
          <w:lang w:eastAsia="zh-CN"/>
        </w:rPr>
        <w:t>职责</w:t>
      </w:r>
      <w:r>
        <w:tab/>
      </w:r>
      <w:r>
        <w:rPr>
          <w:rFonts w:hint="eastAsia"/>
          <w:lang w:val="en-US" w:eastAsia="zh-CN"/>
        </w:rPr>
        <w:t>2</w:t>
      </w:r>
      <w:r>
        <w:fldChar w:fldCharType="end"/>
      </w:r>
    </w:p>
    <w:p w14:paraId="3BCBD678">
      <w:pPr>
        <w:pStyle w:val="37"/>
        <w:tabs>
          <w:tab w:val="right" w:leader="dot" w:pos="8306"/>
        </w:tabs>
      </w:pPr>
      <w:r>
        <w:fldChar w:fldCharType="begin"/>
      </w:r>
      <w:r>
        <w:instrText xml:space="preserve"> HYPERLINK \l _Toc11255 </w:instrText>
      </w:r>
      <w: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rPr>
          <w:rFonts w:hint="eastAsia"/>
          <w:lang w:val="en-US" w:eastAsia="zh-CN"/>
        </w:rPr>
        <w:t>2</w:t>
      </w:r>
      <w:r>
        <w:fldChar w:fldCharType="end"/>
      </w:r>
    </w:p>
    <w:p w14:paraId="73940325">
      <w:pPr>
        <w:pStyle w:val="36"/>
        <w:tabs>
          <w:tab w:val="right" w:leader="dot" w:pos="8306"/>
        </w:tabs>
        <w:rPr>
          <w:b/>
        </w:rPr>
      </w:pPr>
      <w:r>
        <w:rPr>
          <w:b/>
        </w:rPr>
        <w:fldChar w:fldCharType="begin"/>
      </w:r>
      <w:r>
        <w:rPr>
          <w:b/>
        </w:rPr>
        <w:instrText xml:space="preserve"> HYPERLINK \l _Toc4131 </w:instrText>
      </w:r>
      <w:r>
        <w:rPr>
          <w:b/>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2024年度单位</w:t>
      </w:r>
      <w:r>
        <w:rPr>
          <w:rFonts w:hint="eastAsia" w:ascii="黑体" w:hAnsi="黑体" w:eastAsia="黑体"/>
          <w:b/>
          <w:bCs/>
          <w:highlight w:val="none"/>
        </w:rPr>
        <w:t>决算情况说明</w:t>
      </w:r>
      <w:r>
        <w:rPr>
          <w:b/>
        </w:rPr>
        <w:tab/>
      </w:r>
      <w:r>
        <w:rPr>
          <w:rFonts w:hint="eastAsia"/>
          <w:b/>
          <w:lang w:val="en-US" w:eastAsia="zh-CN"/>
        </w:rPr>
        <w:t>3</w:t>
      </w:r>
      <w:r>
        <w:rPr>
          <w:b/>
        </w:rPr>
        <w:fldChar w:fldCharType="end"/>
      </w:r>
    </w:p>
    <w:p w14:paraId="3E82BB07">
      <w:pPr>
        <w:pStyle w:val="37"/>
        <w:tabs>
          <w:tab w:val="right" w:leader="dot" w:pos="8306"/>
        </w:tabs>
      </w:pPr>
      <w:r>
        <w:fldChar w:fldCharType="begin"/>
      </w:r>
      <w:r>
        <w:instrText xml:space="preserve"> HYPERLINK \l _Toc31063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rPr>
          <w:rFonts w:hint="eastAsia"/>
          <w:lang w:val="en-US" w:eastAsia="zh-CN"/>
        </w:rPr>
        <w:t>3</w:t>
      </w:r>
      <w:r>
        <w:fldChar w:fldCharType="end"/>
      </w:r>
    </w:p>
    <w:p w14:paraId="33651D00">
      <w:pPr>
        <w:pStyle w:val="37"/>
        <w:tabs>
          <w:tab w:val="right" w:leader="dot" w:pos="8306"/>
        </w:tabs>
      </w:pPr>
      <w:r>
        <w:fldChar w:fldCharType="begin"/>
      </w:r>
      <w:r>
        <w:instrText xml:space="preserve"> HYPERLINK \l _Toc2950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rPr>
          <w:rFonts w:hint="eastAsia"/>
          <w:lang w:val="en-US" w:eastAsia="zh-CN"/>
        </w:rPr>
        <w:t>3</w:t>
      </w:r>
      <w:r>
        <w:fldChar w:fldCharType="end"/>
      </w:r>
    </w:p>
    <w:p w14:paraId="2EF6D548">
      <w:pPr>
        <w:pStyle w:val="37"/>
        <w:tabs>
          <w:tab w:val="right" w:leader="dot" w:pos="8306"/>
        </w:tabs>
      </w:pPr>
      <w:r>
        <w:fldChar w:fldCharType="begin"/>
      </w:r>
      <w:r>
        <w:instrText xml:space="preserve"> HYPERLINK \l _Toc11782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rPr>
          <w:rFonts w:hint="eastAsia"/>
          <w:lang w:val="en-US" w:eastAsia="zh-CN"/>
        </w:rPr>
        <w:t>4</w:t>
      </w:r>
      <w:r>
        <w:fldChar w:fldCharType="end"/>
      </w:r>
    </w:p>
    <w:p w14:paraId="273CD645">
      <w:pPr>
        <w:pStyle w:val="37"/>
        <w:tabs>
          <w:tab w:val="right" w:leader="dot" w:pos="8306"/>
        </w:tabs>
      </w:pPr>
      <w:r>
        <w:fldChar w:fldCharType="begin"/>
      </w:r>
      <w:r>
        <w:instrText xml:space="preserve"> HYPERLINK \l _Toc11055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_Toc11055 \h </w:instrText>
      </w:r>
      <w:r>
        <w:fldChar w:fldCharType="separate"/>
      </w:r>
      <w:r>
        <w:t>4</w:t>
      </w:r>
      <w:r>
        <w:fldChar w:fldCharType="end"/>
      </w:r>
      <w:r>
        <w:fldChar w:fldCharType="end"/>
      </w:r>
    </w:p>
    <w:p w14:paraId="4E1C8BB7">
      <w:pPr>
        <w:pStyle w:val="37"/>
        <w:tabs>
          <w:tab w:val="right" w:leader="dot" w:pos="8306"/>
        </w:tabs>
      </w:pPr>
      <w:r>
        <w:fldChar w:fldCharType="begin"/>
      </w:r>
      <w:r>
        <w:instrText xml:space="preserve"> HYPERLINK \l _Toc17063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rPr>
          <w:rFonts w:hint="eastAsia"/>
          <w:lang w:val="en-US" w:eastAsia="zh-CN"/>
        </w:rPr>
        <w:t>5</w:t>
      </w:r>
      <w:r>
        <w:fldChar w:fldCharType="end"/>
      </w:r>
    </w:p>
    <w:p w14:paraId="3537233D">
      <w:pPr>
        <w:pStyle w:val="37"/>
        <w:tabs>
          <w:tab w:val="right" w:leader="dot" w:pos="8306"/>
        </w:tabs>
      </w:pPr>
      <w:r>
        <w:fldChar w:fldCharType="begin"/>
      </w:r>
      <w:r>
        <w:instrText xml:space="preserve"> HYPERLINK \l _Toc29691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_Toc29691 \h </w:instrText>
      </w:r>
      <w:r>
        <w:fldChar w:fldCharType="separate"/>
      </w:r>
      <w:r>
        <w:t>7</w:t>
      </w:r>
      <w:r>
        <w:fldChar w:fldCharType="end"/>
      </w:r>
      <w:r>
        <w:fldChar w:fldCharType="end"/>
      </w:r>
    </w:p>
    <w:p w14:paraId="0F38E37D">
      <w:pPr>
        <w:pStyle w:val="37"/>
        <w:tabs>
          <w:tab w:val="right" w:leader="dot" w:pos="8306"/>
        </w:tabs>
      </w:pPr>
      <w:r>
        <w:fldChar w:fldCharType="begin"/>
      </w:r>
      <w:r>
        <w:instrText xml:space="preserve"> HYPERLINK \l _Toc29862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_Toc29862 \h </w:instrText>
      </w:r>
      <w:r>
        <w:fldChar w:fldCharType="separate"/>
      </w:r>
      <w:r>
        <w:t>8</w:t>
      </w:r>
      <w:r>
        <w:fldChar w:fldCharType="end"/>
      </w:r>
      <w:r>
        <w:fldChar w:fldCharType="end"/>
      </w:r>
    </w:p>
    <w:p w14:paraId="328EC922">
      <w:pPr>
        <w:pStyle w:val="37"/>
        <w:tabs>
          <w:tab w:val="right" w:leader="dot" w:pos="8306"/>
        </w:tabs>
      </w:pPr>
      <w:r>
        <w:fldChar w:fldCharType="begin"/>
      </w:r>
      <w:r>
        <w:instrText xml:space="preserve"> HYPERLINK \l _Toc31418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_Toc31418 \h </w:instrText>
      </w:r>
      <w:r>
        <w:fldChar w:fldCharType="separate"/>
      </w:r>
      <w:r>
        <w:t>9</w:t>
      </w:r>
      <w:r>
        <w:fldChar w:fldCharType="end"/>
      </w:r>
      <w:r>
        <w:fldChar w:fldCharType="end"/>
      </w:r>
    </w:p>
    <w:p w14:paraId="1082D634">
      <w:pPr>
        <w:pStyle w:val="37"/>
        <w:tabs>
          <w:tab w:val="right" w:leader="dot" w:pos="8306"/>
        </w:tabs>
      </w:pPr>
      <w:r>
        <w:fldChar w:fldCharType="begin"/>
      </w:r>
      <w:r>
        <w:instrText xml:space="preserve"> HYPERLINK \l _Toc19634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_Toc19634 \h </w:instrText>
      </w:r>
      <w:r>
        <w:fldChar w:fldCharType="separate"/>
      </w:r>
      <w:r>
        <w:t>10</w:t>
      </w:r>
      <w:r>
        <w:fldChar w:fldCharType="end"/>
      </w:r>
      <w:r>
        <w:fldChar w:fldCharType="end"/>
      </w:r>
    </w:p>
    <w:p w14:paraId="0F258C22">
      <w:pPr>
        <w:pStyle w:val="37"/>
        <w:tabs>
          <w:tab w:val="right" w:leader="dot" w:pos="8306"/>
        </w:tabs>
      </w:pPr>
      <w:r>
        <w:fldChar w:fldCharType="begin"/>
      </w:r>
      <w:r>
        <w:instrText xml:space="preserve"> HYPERLINK \l _Toc29922 </w:instrText>
      </w:r>
      <w: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_Toc29922 \h </w:instrText>
      </w:r>
      <w:r>
        <w:fldChar w:fldCharType="separate"/>
      </w:r>
      <w:r>
        <w:t>10</w:t>
      </w:r>
      <w:r>
        <w:fldChar w:fldCharType="end"/>
      </w:r>
      <w:r>
        <w:fldChar w:fldCharType="end"/>
      </w:r>
    </w:p>
    <w:p w14:paraId="51A8284A">
      <w:pPr>
        <w:pStyle w:val="36"/>
        <w:tabs>
          <w:tab w:val="right" w:leader="dot" w:pos="8306"/>
        </w:tabs>
        <w:rPr>
          <w:rFonts w:hint="eastAsia" w:eastAsia="宋体"/>
          <w:b/>
          <w:lang w:val="en-US" w:eastAsia="zh-CN"/>
        </w:rPr>
      </w:pPr>
      <w:r>
        <w:rPr>
          <w:b/>
        </w:rPr>
        <w:fldChar w:fldCharType="begin"/>
      </w:r>
      <w:r>
        <w:rPr>
          <w:b/>
        </w:rPr>
        <w:instrText xml:space="preserve"> HYPERLINK \l _Toc508 </w:instrText>
      </w:r>
      <w:r>
        <w:rPr>
          <w:b/>
        </w:rPr>
        <w:fldChar w:fldCharType="separate"/>
      </w:r>
      <w:r>
        <w:rPr>
          <w:rFonts w:hint="eastAsia" w:ascii="黑体" w:hAnsi="黑体" w:eastAsia="黑体"/>
          <w:b/>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rFonts w:hint="eastAsia"/>
          <w:b/>
          <w:lang w:val="en-US" w:eastAsia="zh-CN"/>
        </w:rPr>
        <w:t>1</w:t>
      </w:r>
      <w:r>
        <w:rPr>
          <w:b/>
        </w:rPr>
        <w:fldChar w:fldCharType="end"/>
      </w:r>
      <w:r>
        <w:rPr>
          <w:rFonts w:hint="eastAsia"/>
          <w:b/>
          <w:lang w:val="en-US" w:eastAsia="zh-CN"/>
        </w:rPr>
        <w:t>2</w:t>
      </w:r>
    </w:p>
    <w:p w14:paraId="463A20F1">
      <w:pPr>
        <w:pStyle w:val="36"/>
        <w:tabs>
          <w:tab w:val="right" w:leader="dot" w:pos="8306"/>
        </w:tabs>
      </w:pPr>
      <w:r>
        <w:rPr>
          <w:b/>
        </w:rPr>
        <w:fldChar w:fldCharType="begin"/>
      </w:r>
      <w:r>
        <w:rPr>
          <w:b/>
        </w:rPr>
        <w:instrText xml:space="preserve"> HYPERLINK \l _Toc25622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_Toc25622 \h </w:instrText>
      </w:r>
      <w:r>
        <w:rPr>
          <w:b/>
        </w:rPr>
        <w:fldChar w:fldCharType="separate"/>
      </w:r>
      <w:r>
        <w:rPr>
          <w:b/>
        </w:rPr>
        <w:t>15</w:t>
      </w:r>
      <w:r>
        <w:rPr>
          <w:b/>
        </w:rPr>
        <w:fldChar w:fldCharType="end"/>
      </w:r>
      <w:r>
        <w:rPr>
          <w:b/>
        </w:rPr>
        <w:fldChar w:fldCharType="end"/>
      </w:r>
    </w:p>
    <w:p w14:paraId="649662B8">
      <w:pPr>
        <w:pStyle w:val="36"/>
        <w:tabs>
          <w:tab w:val="right" w:leader="dot" w:pos="8306"/>
        </w:tabs>
        <w:rPr>
          <w:rFonts w:hint="eastAsia" w:eastAsia="宋体"/>
          <w:b/>
          <w:lang w:val="en-US" w:eastAsia="zh-CN"/>
        </w:rPr>
      </w:pPr>
      <w:r>
        <w:rPr>
          <w:b/>
        </w:rPr>
        <w:fldChar w:fldCharType="begin"/>
      </w:r>
      <w:r>
        <w:rPr>
          <w:b/>
        </w:rPr>
        <w:instrText xml:space="preserve"> HYPERLINK \l _Toc30585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rFonts w:hint="eastAsia"/>
          <w:b/>
          <w:lang w:val="en-US" w:eastAsia="zh-CN"/>
        </w:rPr>
        <w:t>2</w:t>
      </w:r>
      <w:r>
        <w:rPr>
          <w:b/>
        </w:rPr>
        <w:fldChar w:fldCharType="end"/>
      </w:r>
      <w:r>
        <w:rPr>
          <w:rFonts w:hint="eastAsia"/>
          <w:b/>
          <w:lang w:val="en-US" w:eastAsia="zh-CN"/>
        </w:rPr>
        <w:t>2</w:t>
      </w:r>
    </w:p>
    <w:p w14:paraId="446BC503">
      <w:pPr>
        <w:pStyle w:val="37"/>
        <w:tabs>
          <w:tab w:val="right" w:leader="dot" w:pos="8306"/>
        </w:tabs>
        <w:rPr>
          <w:rFonts w:hint="eastAsia" w:eastAsia="宋体"/>
          <w:lang w:val="en-US" w:eastAsia="zh-CN"/>
        </w:rPr>
      </w:pPr>
      <w:r>
        <w:fldChar w:fldCharType="begin"/>
      </w:r>
      <w:r>
        <w:instrText xml:space="preserve"> HYPERLINK \l _Toc16705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rPr>
          <w:rFonts w:hint="eastAsia"/>
          <w:lang w:val="en-US" w:eastAsia="zh-CN"/>
        </w:rPr>
        <w:t>2</w:t>
      </w:r>
      <w:r>
        <w:fldChar w:fldCharType="end"/>
      </w:r>
      <w:r>
        <w:rPr>
          <w:rFonts w:hint="eastAsia"/>
          <w:lang w:val="en-US" w:eastAsia="zh-CN"/>
        </w:rPr>
        <w:t>2</w:t>
      </w:r>
    </w:p>
    <w:p w14:paraId="0D425973">
      <w:pPr>
        <w:pStyle w:val="37"/>
        <w:tabs>
          <w:tab w:val="right" w:leader="dot" w:pos="8306"/>
        </w:tabs>
        <w:rPr>
          <w:rFonts w:hint="eastAsia" w:eastAsia="宋体"/>
          <w:lang w:val="en-US" w:eastAsia="zh-CN"/>
        </w:rPr>
      </w:pPr>
      <w:r>
        <w:fldChar w:fldCharType="begin"/>
      </w:r>
      <w:r>
        <w:instrText xml:space="preserve"> HYPERLINK \l _Toc21821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rPr>
          <w:rFonts w:hint="eastAsia"/>
          <w:lang w:val="en-US" w:eastAsia="zh-CN"/>
        </w:rPr>
        <w:t>2</w:t>
      </w:r>
      <w:r>
        <w:fldChar w:fldCharType="end"/>
      </w:r>
      <w:r>
        <w:rPr>
          <w:rFonts w:hint="eastAsia"/>
          <w:lang w:val="en-US" w:eastAsia="zh-CN"/>
        </w:rPr>
        <w:t>2</w:t>
      </w:r>
    </w:p>
    <w:p w14:paraId="17EC38C4">
      <w:pPr>
        <w:pStyle w:val="37"/>
        <w:tabs>
          <w:tab w:val="right" w:leader="dot" w:pos="8306"/>
        </w:tabs>
        <w:rPr>
          <w:rFonts w:hint="eastAsia" w:eastAsia="宋体"/>
          <w:lang w:val="en-US" w:eastAsia="zh-CN"/>
        </w:rPr>
      </w:pPr>
      <w:r>
        <w:fldChar w:fldCharType="begin"/>
      </w:r>
      <w:r>
        <w:instrText xml:space="preserve"> HYPERLINK \l _Toc27517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rPr>
          <w:rFonts w:hint="eastAsia"/>
          <w:lang w:val="en-US" w:eastAsia="zh-CN"/>
        </w:rPr>
        <w:t>2</w:t>
      </w:r>
      <w:r>
        <w:fldChar w:fldCharType="end"/>
      </w:r>
      <w:r>
        <w:rPr>
          <w:rFonts w:hint="eastAsia"/>
          <w:lang w:val="en-US" w:eastAsia="zh-CN"/>
        </w:rPr>
        <w:t>2</w:t>
      </w:r>
    </w:p>
    <w:p w14:paraId="792B1E6A">
      <w:pPr>
        <w:pStyle w:val="37"/>
        <w:tabs>
          <w:tab w:val="right" w:leader="dot" w:pos="8306"/>
        </w:tabs>
        <w:rPr>
          <w:rFonts w:hint="eastAsia" w:eastAsia="宋体"/>
          <w:lang w:val="en-US" w:eastAsia="zh-CN"/>
        </w:rPr>
      </w:pPr>
      <w:r>
        <w:fldChar w:fldCharType="begin"/>
      </w:r>
      <w:r>
        <w:instrText xml:space="preserve"> HYPERLINK \l _Toc32657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rPr>
          <w:rFonts w:hint="eastAsia"/>
          <w:lang w:val="en-US" w:eastAsia="zh-CN"/>
        </w:rPr>
        <w:t>2</w:t>
      </w:r>
      <w:r>
        <w:fldChar w:fldCharType="end"/>
      </w:r>
      <w:r>
        <w:rPr>
          <w:rFonts w:hint="eastAsia"/>
          <w:lang w:val="en-US" w:eastAsia="zh-CN"/>
        </w:rPr>
        <w:t>2</w:t>
      </w:r>
    </w:p>
    <w:p w14:paraId="24C9733C">
      <w:pPr>
        <w:pStyle w:val="37"/>
        <w:tabs>
          <w:tab w:val="right" w:leader="dot" w:pos="8306"/>
        </w:tabs>
        <w:rPr>
          <w:rFonts w:hint="eastAsia" w:eastAsia="宋体"/>
          <w:lang w:val="en-US" w:eastAsia="zh-CN"/>
        </w:rPr>
      </w:pPr>
      <w:r>
        <w:fldChar w:fldCharType="begin"/>
      </w:r>
      <w:r>
        <w:instrText xml:space="preserve"> HYPERLINK \l _Toc5774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rPr>
          <w:rFonts w:hint="eastAsia"/>
          <w:lang w:val="en-US" w:eastAsia="zh-CN"/>
        </w:rPr>
        <w:t>2</w:t>
      </w:r>
      <w:r>
        <w:fldChar w:fldCharType="end"/>
      </w:r>
      <w:r>
        <w:rPr>
          <w:rFonts w:hint="eastAsia"/>
          <w:lang w:val="en-US" w:eastAsia="zh-CN"/>
        </w:rPr>
        <w:t>2</w:t>
      </w:r>
    </w:p>
    <w:p w14:paraId="14750E91">
      <w:pPr>
        <w:pStyle w:val="37"/>
        <w:tabs>
          <w:tab w:val="right" w:leader="dot" w:pos="8306"/>
        </w:tabs>
        <w:rPr>
          <w:rFonts w:hint="eastAsia" w:eastAsia="宋体"/>
          <w:lang w:val="en-US" w:eastAsia="zh-CN"/>
        </w:rPr>
      </w:pPr>
      <w:r>
        <w:fldChar w:fldCharType="begin"/>
      </w:r>
      <w:r>
        <w:instrText xml:space="preserve"> HYPERLINK \l _Toc4314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rPr>
          <w:rFonts w:hint="eastAsia"/>
          <w:lang w:val="en-US" w:eastAsia="zh-CN"/>
        </w:rPr>
        <w:t>2</w:t>
      </w:r>
      <w:r>
        <w:fldChar w:fldCharType="end"/>
      </w:r>
      <w:r>
        <w:rPr>
          <w:rFonts w:hint="eastAsia"/>
          <w:lang w:val="en-US" w:eastAsia="zh-CN"/>
        </w:rPr>
        <w:t>2</w:t>
      </w:r>
    </w:p>
    <w:p w14:paraId="380D7490">
      <w:pPr>
        <w:pStyle w:val="37"/>
        <w:tabs>
          <w:tab w:val="right" w:leader="dot" w:pos="8306"/>
        </w:tabs>
        <w:rPr>
          <w:rFonts w:hint="eastAsia" w:eastAsia="宋体"/>
          <w:lang w:val="en-US" w:eastAsia="zh-CN"/>
        </w:rPr>
      </w:pPr>
      <w:r>
        <w:fldChar w:fldCharType="begin"/>
      </w:r>
      <w:r>
        <w:instrText xml:space="preserve"> HYPERLINK \l _Toc31066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rPr>
          <w:rFonts w:hint="eastAsia"/>
          <w:lang w:val="en-US" w:eastAsia="zh-CN"/>
        </w:rPr>
        <w:t>2</w:t>
      </w:r>
      <w:r>
        <w:fldChar w:fldCharType="end"/>
      </w:r>
      <w:r>
        <w:rPr>
          <w:rFonts w:hint="eastAsia"/>
          <w:lang w:val="en-US" w:eastAsia="zh-CN"/>
        </w:rPr>
        <w:t>2</w:t>
      </w:r>
    </w:p>
    <w:p w14:paraId="1501B073">
      <w:pPr>
        <w:pStyle w:val="37"/>
        <w:tabs>
          <w:tab w:val="right" w:leader="dot" w:pos="8306"/>
        </w:tabs>
        <w:rPr>
          <w:rFonts w:hint="eastAsia" w:eastAsia="宋体"/>
          <w:lang w:val="en-US" w:eastAsia="zh-CN"/>
        </w:rPr>
      </w:pPr>
      <w:r>
        <w:fldChar w:fldCharType="begin"/>
      </w:r>
      <w:r>
        <w:instrText xml:space="preserve"> HYPERLINK \l _Toc14875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rPr>
          <w:rFonts w:hint="eastAsia"/>
          <w:lang w:val="en-US" w:eastAsia="zh-CN"/>
        </w:rPr>
        <w:t>2</w:t>
      </w:r>
      <w:r>
        <w:fldChar w:fldCharType="end"/>
      </w:r>
      <w:r>
        <w:rPr>
          <w:rFonts w:hint="eastAsia"/>
          <w:lang w:val="en-US" w:eastAsia="zh-CN"/>
        </w:rPr>
        <w:t>2</w:t>
      </w:r>
    </w:p>
    <w:p w14:paraId="69A28AB7">
      <w:pPr>
        <w:pStyle w:val="37"/>
        <w:tabs>
          <w:tab w:val="right" w:leader="dot" w:pos="8306"/>
        </w:tabs>
        <w:rPr>
          <w:rFonts w:hint="eastAsia" w:eastAsia="宋体"/>
          <w:lang w:val="en-US" w:eastAsia="zh-CN"/>
        </w:rPr>
      </w:pPr>
      <w:r>
        <w:fldChar w:fldCharType="begin"/>
      </w:r>
      <w:r>
        <w:instrText xml:space="preserve"> HYPERLINK \l _Toc18378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rPr>
          <w:rFonts w:hint="eastAsia"/>
          <w:lang w:val="en-US" w:eastAsia="zh-CN"/>
        </w:rPr>
        <w:t>2</w:t>
      </w:r>
      <w:r>
        <w:fldChar w:fldCharType="end"/>
      </w:r>
      <w:r>
        <w:rPr>
          <w:rFonts w:hint="eastAsia"/>
          <w:lang w:val="en-US" w:eastAsia="zh-CN"/>
        </w:rPr>
        <w:t>2</w:t>
      </w:r>
    </w:p>
    <w:p w14:paraId="5CEDBE18">
      <w:pPr>
        <w:pStyle w:val="37"/>
        <w:tabs>
          <w:tab w:val="right" w:leader="dot" w:pos="8306"/>
        </w:tabs>
        <w:rPr>
          <w:rFonts w:hint="eastAsia" w:eastAsia="宋体"/>
          <w:lang w:val="en-US" w:eastAsia="zh-CN"/>
        </w:rPr>
      </w:pPr>
      <w:r>
        <w:fldChar w:fldCharType="begin"/>
      </w:r>
      <w:r>
        <w:instrText xml:space="preserve"> HYPERLINK \l _Toc13020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rPr>
          <w:rFonts w:hint="eastAsia"/>
          <w:lang w:val="en-US" w:eastAsia="zh-CN"/>
        </w:rPr>
        <w:t>2</w:t>
      </w:r>
      <w:r>
        <w:fldChar w:fldCharType="end"/>
      </w:r>
      <w:r>
        <w:rPr>
          <w:rFonts w:hint="eastAsia"/>
          <w:lang w:val="en-US" w:eastAsia="zh-CN"/>
        </w:rPr>
        <w:t>2</w:t>
      </w:r>
    </w:p>
    <w:p w14:paraId="60F9228B">
      <w:pPr>
        <w:pStyle w:val="37"/>
        <w:tabs>
          <w:tab w:val="right" w:leader="dot" w:pos="8306"/>
        </w:tabs>
        <w:rPr>
          <w:rFonts w:hint="eastAsia" w:eastAsia="宋体"/>
          <w:lang w:val="en-US" w:eastAsia="zh-CN"/>
        </w:rPr>
      </w:pPr>
      <w:r>
        <w:fldChar w:fldCharType="begin"/>
      </w:r>
      <w:r>
        <w:instrText xml:space="preserve"> HYPERLINK \l _Toc26999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rPr>
          <w:rFonts w:hint="eastAsia"/>
          <w:lang w:val="en-US" w:eastAsia="zh-CN"/>
        </w:rPr>
        <w:t>2</w:t>
      </w:r>
      <w:r>
        <w:fldChar w:fldCharType="end"/>
      </w:r>
      <w:r>
        <w:rPr>
          <w:rFonts w:hint="eastAsia"/>
          <w:lang w:val="en-US" w:eastAsia="zh-CN"/>
        </w:rPr>
        <w:t>2</w:t>
      </w:r>
    </w:p>
    <w:p w14:paraId="3EF9F6CE">
      <w:pPr>
        <w:pStyle w:val="37"/>
        <w:tabs>
          <w:tab w:val="right" w:leader="dot" w:pos="8306"/>
        </w:tabs>
        <w:rPr>
          <w:rFonts w:hint="eastAsia" w:eastAsia="宋体"/>
          <w:lang w:val="en-US" w:eastAsia="zh-CN"/>
        </w:rPr>
      </w:pPr>
      <w:r>
        <w:fldChar w:fldCharType="begin"/>
      </w:r>
      <w:r>
        <w:instrText xml:space="preserve"> HYPERLINK \l _Toc415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rPr>
          <w:rFonts w:hint="eastAsia"/>
          <w:lang w:val="en-US" w:eastAsia="zh-CN"/>
        </w:rPr>
        <w:t>2</w:t>
      </w:r>
      <w:r>
        <w:fldChar w:fldCharType="end"/>
      </w:r>
      <w:r>
        <w:rPr>
          <w:rFonts w:hint="eastAsia"/>
          <w:lang w:val="en-US" w:eastAsia="zh-CN"/>
        </w:rPr>
        <w:t>2</w:t>
      </w:r>
    </w:p>
    <w:p w14:paraId="28343F3C">
      <w:pPr>
        <w:pStyle w:val="37"/>
        <w:tabs>
          <w:tab w:val="right" w:leader="dot" w:pos="8306"/>
        </w:tabs>
        <w:rPr>
          <w:rFonts w:hint="eastAsia" w:eastAsia="宋体"/>
          <w:lang w:val="en-US" w:eastAsia="zh-CN"/>
        </w:rPr>
      </w:pPr>
      <w:r>
        <w:fldChar w:fldCharType="begin"/>
      </w:r>
      <w:r>
        <w:instrText xml:space="preserve"> HYPERLINK \l _Toc23276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w:t>
      </w:r>
      <w:r>
        <w:tab/>
      </w:r>
      <w:r>
        <w:rPr>
          <w:rFonts w:hint="eastAsia"/>
          <w:lang w:val="en-US" w:eastAsia="zh-CN"/>
        </w:rPr>
        <w:t>2</w:t>
      </w:r>
      <w:r>
        <w:fldChar w:fldCharType="end"/>
      </w:r>
      <w:r>
        <w:rPr>
          <w:rFonts w:hint="eastAsia"/>
          <w:lang w:val="en-US" w:eastAsia="zh-CN"/>
        </w:rPr>
        <w:t>2</w:t>
      </w:r>
    </w:p>
    <w:p w14:paraId="5512A0B4">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551F00F8">
      <w:pPr>
        <w:pStyle w:val="4"/>
        <w:jc w:val="center"/>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eastAsia="方正小标宋简体" w:cs="方正小标宋简体"/>
          <w:b w:val="0"/>
          <w:bCs w:val="0"/>
          <w:color w:val="auto"/>
          <w:highlight w:val="none"/>
          <w:lang w:eastAsia="zh-CN"/>
        </w:rPr>
        <w:t>单位</w:t>
      </w:r>
      <w:r>
        <w:rPr>
          <w:rStyle w:val="29"/>
          <w:rFonts w:hint="eastAsia" w:ascii="Times New Roman" w:hAnsi="Times New Roman" w:eastAsia="方正小标宋简体" w:cs="方正小标宋简体"/>
          <w:b w:val="0"/>
          <w:bCs w:val="0"/>
          <w:color w:val="auto"/>
          <w:highlight w:val="none"/>
        </w:rPr>
        <w:t>概况</w:t>
      </w:r>
      <w:bookmarkEnd w:id="6"/>
      <w:bookmarkEnd w:id="7"/>
    </w:p>
    <w:p w14:paraId="4569E6F3">
      <w:pPr>
        <w:widowControl/>
        <w:jc w:val="left"/>
        <w:rPr>
          <w:rFonts w:ascii="Times New Roman" w:hAnsi="Times New Roman" w:eastAsia="黑体"/>
          <w:color w:val="auto"/>
          <w:sz w:val="32"/>
          <w:szCs w:val="32"/>
          <w:highlight w:val="none"/>
        </w:rPr>
      </w:pPr>
    </w:p>
    <w:p w14:paraId="4D4E9711">
      <w:pPr>
        <w:pStyle w:val="5"/>
        <w:rPr>
          <w:rStyle w:val="30"/>
          <w:rFonts w:hint="eastAsia" w:ascii="Times New Roman" w:hAnsi="Times New Roman" w:eastAsia="黑体"/>
          <w:b w:val="0"/>
          <w:bCs w:val="0"/>
          <w:color w:val="auto"/>
          <w:highlight w:val="none"/>
          <w:lang w:eastAsia="zh-CN"/>
        </w:rPr>
      </w:pPr>
      <w:bookmarkStart w:id="8" w:name="_Toc15396600"/>
      <w:bookmarkStart w:id="9" w:name="_Toc15377197"/>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单位职责</w:t>
      </w:r>
    </w:p>
    <w:p w14:paraId="396334BF">
      <w:pPr>
        <w:pStyle w:val="5"/>
        <w:rPr>
          <w:rFonts w:hint="eastAsia" w:ascii="Times New Roman" w:hAnsi="Times New Roman" w:eastAsia="仿宋_GB2312"/>
          <w:b w:val="0"/>
          <w:color w:val="auto"/>
          <w:highlight w:val="none"/>
          <w:lang w:val="en-US" w:eastAsia="zh-CN"/>
        </w:rPr>
      </w:pPr>
      <w:bookmarkStart w:id="10" w:name="_Toc15396601"/>
      <w:bookmarkStart w:id="11" w:name="_Toc15377200"/>
      <w:r>
        <w:rPr>
          <w:rFonts w:hint="eastAsia" w:ascii="仿宋_GB2312" w:hAnsi="仿宋_GB2312" w:eastAsia="仿宋_GB2312" w:cs="仿宋_GB2312"/>
          <w:b w:val="0"/>
          <w:bCs w:val="0"/>
          <w:sz w:val="32"/>
          <w:szCs w:val="32"/>
        </w:rPr>
        <w:t>承担全区机关后勤服务性、事务性工作</w:t>
      </w:r>
      <w:r>
        <w:rPr>
          <w:rFonts w:hint="eastAsia" w:ascii="仿宋_GB2312" w:hAnsi="仿宋_GB2312" w:eastAsia="仿宋_GB2312" w:cs="仿宋_GB2312"/>
          <w:b w:val="0"/>
          <w:bCs w:val="0"/>
          <w:sz w:val="32"/>
          <w:szCs w:val="32"/>
          <w:lang w:eastAsia="zh-CN"/>
        </w:rPr>
        <w:t>。</w:t>
      </w:r>
    </w:p>
    <w:p w14:paraId="6E24EC8C">
      <w:pPr>
        <w:pStyle w:val="5"/>
        <w:rPr>
          <w:rStyle w:val="30"/>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0"/>
      <w:bookmarkEnd w:id="11"/>
    </w:p>
    <w:p w14:paraId="40165FD1">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攀枝花市西区机关事务服务中心</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16C64AE4">
      <w:pPr>
        <w:pStyle w:val="2"/>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lang w:eastAsia="zh-CN"/>
        </w:rPr>
      </w:pPr>
      <w:r>
        <w:rPr>
          <w:rFonts w:hint="eastAsia" w:ascii="Times New Roman" w:cs="仿宋_GB2312"/>
          <w:color w:val="auto"/>
          <w:sz w:val="32"/>
          <w:szCs w:val="32"/>
          <w:highlight w:val="none"/>
          <w:lang w:eastAsia="zh-CN"/>
        </w:rPr>
        <w:t>无</w:t>
      </w:r>
      <w:r>
        <w:rPr>
          <w:rFonts w:hint="eastAsia" w:ascii="Times New Roman" w:hAnsi="Times New Roman" w:eastAsia="仿宋_GB2312" w:cs="仿宋_GB2312"/>
          <w:color w:val="auto"/>
          <w:sz w:val="32"/>
          <w:szCs w:val="32"/>
          <w:highlight w:val="none"/>
        </w:rPr>
        <w:t>纳入</w:t>
      </w:r>
      <w:r>
        <w:rPr>
          <w:sz w:val="32"/>
          <w:szCs w:val="32"/>
        </w:rPr>
        <w:t>攀枝花市西区机关事务服务中心</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w:t>
      </w:r>
      <w:r>
        <w:rPr>
          <w:rFonts w:hint="eastAsia" w:ascii="Times New Roman" w:cs="仿宋_GB2312"/>
          <w:color w:val="auto"/>
          <w:sz w:val="32"/>
          <w:szCs w:val="32"/>
          <w:highlight w:val="none"/>
          <w:lang w:eastAsia="zh-CN"/>
        </w:rPr>
        <w:t>。</w:t>
      </w:r>
    </w:p>
    <w:p w14:paraId="6FE85A48">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1D4433BB">
      <w:pPr>
        <w:pStyle w:val="4"/>
        <w:jc w:val="center"/>
        <w:rPr>
          <w:rFonts w:hint="eastAsia" w:ascii="Times New Roman" w:hAnsi="Times New Roman" w:eastAsia="方正小标宋简体" w:cs="方正小标宋简体"/>
          <w:b w:val="0"/>
          <w:color w:val="auto"/>
          <w:highlight w:val="none"/>
        </w:rPr>
      </w:pPr>
      <w:bookmarkStart w:id="12" w:name="_Toc15377204"/>
      <w:bookmarkStart w:id="13"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12"/>
      <w:bookmarkEnd w:id="13"/>
    </w:p>
    <w:p w14:paraId="4C17F50F">
      <w:pPr>
        <w:rPr>
          <w:rFonts w:ascii="Times New Roman" w:hAnsi="Times New Roman"/>
          <w:color w:val="auto"/>
          <w:highlight w:val="none"/>
        </w:rPr>
      </w:pPr>
    </w:p>
    <w:p w14:paraId="0033546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4" w:name="_Toc15377205"/>
      <w:bookmarkStart w:id="15"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4"/>
      <w:bookmarkEnd w:id="15"/>
    </w:p>
    <w:p w14:paraId="1112657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2056.85</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1099.97</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53.48</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项目经费增加。</w:t>
      </w:r>
    </w:p>
    <w:p w14:paraId="3B704D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4780FE5B">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4562475" cy="2705100"/>
            <wp:effectExtent l="0" t="0" r="9525"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9"/>
                    <a:stretch>
                      <a:fillRect/>
                    </a:stretch>
                  </pic:blipFill>
                  <pic:spPr>
                    <a:xfrm>
                      <a:off x="0" y="0"/>
                      <a:ext cx="4562475" cy="2705100"/>
                    </a:xfrm>
                    <a:prstGeom prst="rect">
                      <a:avLst/>
                    </a:prstGeom>
                    <a:noFill/>
                    <a:ln>
                      <a:noFill/>
                    </a:ln>
                  </pic:spPr>
                </pic:pic>
              </a:graphicData>
            </a:graphic>
          </wp:inline>
        </w:drawing>
      </w:r>
    </w:p>
    <w:p w14:paraId="6DD15BC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77206"/>
      <w:bookmarkStart w:id="17" w:name="_Toc15396604"/>
      <w:r>
        <w:rPr>
          <w:rFonts w:hint="eastAsia" w:ascii="Times New Roman" w:hAnsi="Times New Roman" w:eastAsia="黑体"/>
          <w:color w:val="auto"/>
          <w:sz w:val="32"/>
          <w:szCs w:val="32"/>
          <w:highlight w:val="none"/>
          <w:lang w:eastAsia="zh-CN"/>
        </w:rPr>
        <w:t>二、收入决算情况说明</w:t>
      </w:r>
      <w:bookmarkEnd w:id="16"/>
      <w:bookmarkEnd w:id="17"/>
    </w:p>
    <w:p w14:paraId="72B6307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1786.54万元，其中：一般公共预算财政拨款收入1058.18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59.23</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728.36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40.76%</w:t>
      </w:r>
      <w:r>
        <w:rPr>
          <w:rFonts w:hint="eastAsia" w:ascii="仿宋_GB2312" w:hAnsi="仿宋_GB2312" w:eastAsia="仿宋_GB2312" w:cs="仿宋_GB2312"/>
          <w:color w:val="auto"/>
          <w:sz w:val="32"/>
          <w:szCs w:val="32"/>
          <w:highlight w:val="none"/>
          <w:lang w:eastAsia="zh-CN"/>
        </w:rPr>
        <w:t>。</w:t>
      </w:r>
    </w:p>
    <w:p w14:paraId="43867978">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56FFEBFB">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705350" cy="2552700"/>
            <wp:effectExtent l="0" t="0" r="0" b="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0"/>
                    <a:stretch>
                      <a:fillRect/>
                    </a:stretch>
                  </pic:blipFill>
                  <pic:spPr>
                    <a:xfrm>
                      <a:off x="0" y="0"/>
                      <a:ext cx="4705350" cy="2552700"/>
                    </a:xfrm>
                    <a:prstGeom prst="rect">
                      <a:avLst/>
                    </a:prstGeom>
                    <a:noFill/>
                    <a:ln>
                      <a:noFill/>
                    </a:ln>
                  </pic:spPr>
                </pic:pic>
              </a:graphicData>
            </a:graphic>
          </wp:inline>
        </w:drawing>
      </w:r>
    </w:p>
    <w:p w14:paraId="2442B53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8" w:name="_Toc15396605"/>
      <w:bookmarkStart w:id="19"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18"/>
      <w:bookmarkEnd w:id="19"/>
    </w:p>
    <w:p w14:paraId="661FFFF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2056.85</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768.18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37.34</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1288.68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62.65</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47116AF3">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510567C2">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038600" cy="2695575"/>
            <wp:effectExtent l="0" t="0" r="0"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1"/>
                    <a:stretch>
                      <a:fillRect/>
                    </a:stretch>
                  </pic:blipFill>
                  <pic:spPr>
                    <a:xfrm>
                      <a:off x="0" y="0"/>
                      <a:ext cx="4038600" cy="2695575"/>
                    </a:xfrm>
                    <a:prstGeom prst="rect">
                      <a:avLst/>
                    </a:prstGeom>
                    <a:noFill/>
                    <a:ln>
                      <a:noFill/>
                    </a:ln>
                  </pic:spPr>
                </pic:pic>
              </a:graphicData>
            </a:graphic>
          </wp:inline>
        </w:drawing>
      </w:r>
    </w:p>
    <w:p w14:paraId="66E2963B">
      <w:pPr>
        <w:spacing w:line="600" w:lineRule="exact"/>
        <w:ind w:firstLine="640" w:firstLineChars="200"/>
        <w:outlineLvl w:val="1"/>
        <w:rPr>
          <w:rStyle w:val="30"/>
          <w:rFonts w:ascii="Times New Roman" w:hAnsi="Times New Roman" w:eastAsia="黑体"/>
          <w:b w:val="0"/>
          <w:color w:val="auto"/>
          <w:highlight w:val="none"/>
        </w:rPr>
      </w:pPr>
      <w:bookmarkStart w:id="20" w:name="_Toc15377208"/>
      <w:bookmarkStart w:id="21"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0"/>
      <w:bookmarkEnd w:id="21"/>
    </w:p>
    <w:p w14:paraId="0DE20B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2056.85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w:t>
      </w:r>
      <w:r>
        <w:rPr>
          <w:rFonts w:hint="eastAsia" w:ascii="Times New Roman" w:hAnsi="Times New Roman" w:eastAsia="仿宋_GB2312" w:cs="仿宋_GB2312"/>
          <w:color w:val="auto"/>
          <w:sz w:val="32"/>
          <w:szCs w:val="32"/>
          <w:highlight w:val="none"/>
        </w:rPr>
        <w:t>各增加</w:t>
      </w:r>
      <w:r>
        <w:rPr>
          <w:rFonts w:hint="eastAsia" w:eastAsia="仿宋_GB2312" w:cs="仿宋_GB2312"/>
          <w:color w:val="auto"/>
          <w:sz w:val="32"/>
          <w:szCs w:val="32"/>
          <w:highlight w:val="none"/>
          <w:lang w:val="en-US" w:eastAsia="zh-CN"/>
        </w:rPr>
        <w:t>1099.97</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53.48</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项目经费增加。</w:t>
      </w:r>
    </w:p>
    <w:p w14:paraId="09CA47AA">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2AD5911A">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352925" cy="273367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2"/>
                    <a:stretch>
                      <a:fillRect/>
                    </a:stretch>
                  </pic:blipFill>
                  <pic:spPr>
                    <a:xfrm>
                      <a:off x="0" y="0"/>
                      <a:ext cx="4352925" cy="2733675"/>
                    </a:xfrm>
                    <a:prstGeom prst="rect">
                      <a:avLst/>
                    </a:prstGeom>
                    <a:noFill/>
                    <a:ln>
                      <a:noFill/>
                    </a:ln>
                  </pic:spPr>
                </pic:pic>
              </a:graphicData>
            </a:graphic>
          </wp:inline>
        </w:drawing>
      </w:r>
    </w:p>
    <w:p w14:paraId="13ED7EDB">
      <w:pPr>
        <w:spacing w:line="600" w:lineRule="exact"/>
        <w:ind w:firstLine="640" w:firstLineChars="200"/>
        <w:outlineLvl w:val="1"/>
        <w:rPr>
          <w:rStyle w:val="30"/>
          <w:rFonts w:ascii="Times New Roman" w:hAnsi="Times New Roman" w:eastAsia="黑体"/>
          <w:b w:val="0"/>
          <w:color w:val="auto"/>
          <w:highlight w:val="none"/>
        </w:rPr>
      </w:pPr>
      <w:bookmarkStart w:id="22" w:name="_Toc15396607"/>
      <w:bookmarkStart w:id="23"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2"/>
      <w:bookmarkEnd w:id="23"/>
    </w:p>
    <w:p w14:paraId="40A0268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14:paraId="50B6806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1058.18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51.44</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%。与2023年度相比，一般公共预算财政拨款支出增加200.93万元，增长18.98%。主要变动原因是项目经费增加。</w:t>
      </w:r>
    </w:p>
    <w:p w14:paraId="26F45B9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0DC05C35">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486275" cy="2705100"/>
            <wp:effectExtent l="0" t="0" r="9525"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3"/>
                    <a:stretch>
                      <a:fillRect/>
                    </a:stretch>
                  </pic:blipFill>
                  <pic:spPr>
                    <a:xfrm>
                      <a:off x="0" y="0"/>
                      <a:ext cx="4486275" cy="2705100"/>
                    </a:xfrm>
                    <a:prstGeom prst="rect">
                      <a:avLst/>
                    </a:prstGeom>
                    <a:noFill/>
                    <a:ln>
                      <a:noFill/>
                    </a:ln>
                  </pic:spPr>
                </pic:pic>
              </a:graphicData>
            </a:graphic>
          </wp:inline>
        </w:drawing>
      </w:r>
    </w:p>
    <w:p w14:paraId="7E80183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14:paraId="397056B1">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1058.18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978.64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92.48</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34.05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3.22</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27.46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2.59</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18.04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1.71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7E6690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35A92B8C">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p>
    <w:p w14:paraId="3832E9C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14:paraId="6108E23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8460"/>
      <w:bookmarkStart w:id="28" w:name="_Toc15377213"/>
      <w:bookmarkStart w:id="29"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1058.18</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14:paraId="5BAE59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一般公共服务支出（类）政府办公厅（室）及相关机构事务（款）行政运行（项）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688.64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EE045B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2.一般公共服务支出（类）政府办公厅（室）及相关机构事务（款）其他政府办公厅（室）及相关机构事务支出（项）: 支出决算为</w:t>
      </w:r>
      <w:r>
        <w:rPr>
          <w:rFonts w:hint="eastAsia" w:eastAsia="仿宋_GB2312" w:cs="仿宋_GB2312"/>
          <w:color w:val="auto"/>
          <w:kern w:val="2"/>
          <w:sz w:val="32"/>
          <w:szCs w:val="32"/>
          <w:highlight w:val="none"/>
          <w:lang w:val="en-US" w:eastAsia="zh-CN" w:bidi="ar-SA"/>
        </w:rPr>
        <w:t>290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00DF50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3.社会保障和就业支出（类）行政事业单位养老支出（款）行政单位离退休（项）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549E57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4.社会保障和就业支出（类）行政事业单位养老支出（款）机关事业单位基本养老保险缴费支出（项）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22.55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60CED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5.卫生健康支出（类）行政事业单位医疗（款）行政单位医疗（项）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13.95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AF4A2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6.卫生健康支出（类）行政事业单位医疗（款）公务员医疗补助（项）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13.5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1070C3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13.5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1D44DF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441EE5E">
      <w:pPr>
        <w:tabs>
          <w:tab w:val="right" w:pos="8306"/>
        </w:tabs>
        <w:spacing w:line="600" w:lineRule="exact"/>
        <w:ind w:firstLine="640"/>
        <w:outlineLvl w:val="1"/>
        <w:rPr>
          <w:rStyle w:val="30"/>
          <w:rFonts w:ascii="Times New Roman" w:hAnsi="Times New Roman"/>
          <w:color w:val="auto"/>
          <w:highlight w:val="none"/>
        </w:rPr>
      </w:pPr>
      <w:bookmarkStart w:id="30" w:name="_Toc15377214"/>
      <w:bookmarkStart w:id="31"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0"/>
      <w:bookmarkEnd w:id="31"/>
      <w:r>
        <w:rPr>
          <w:rStyle w:val="30"/>
          <w:rFonts w:ascii="Times New Roman" w:hAnsi="Times New Roman" w:eastAsia="黑体"/>
          <w:b w:val="0"/>
          <w:color w:val="auto"/>
          <w:highlight w:val="none"/>
        </w:rPr>
        <w:tab/>
      </w:r>
    </w:p>
    <w:p w14:paraId="04DA40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768.18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A37BDFD">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573.98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元，主要包括：基本工资、津贴补贴、奖金、机关事业单位基本养老保险缴费、其他社会保障缴费、其他工资福利支出、生活补助、奖励金、住房公积金、其他对个人和家庭的补助支出等。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194.19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电费、邮电费、物业管理费、差旅费、维修（护）费、租赁费、劳务费、委托业务费、工会经费、福利费、公务用车运行维护费、其他交通费、其他商品和服务支出、办公设备购置等。</w:t>
      </w:r>
    </w:p>
    <w:p w14:paraId="2ABBDF5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C4C4E76">
      <w:pPr>
        <w:spacing w:line="600" w:lineRule="exact"/>
        <w:ind w:firstLine="640"/>
        <w:outlineLvl w:val="1"/>
        <w:rPr>
          <w:rStyle w:val="30"/>
          <w:rFonts w:ascii="Times New Roman" w:hAnsi="Times New Roman" w:eastAsia="黑体"/>
          <w:b w:val="0"/>
          <w:color w:val="auto"/>
          <w:highlight w:val="none"/>
        </w:rPr>
      </w:pPr>
      <w:bookmarkStart w:id="32" w:name="_Toc15396609"/>
      <w:bookmarkStart w:id="33"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2"/>
      <w:bookmarkEnd w:id="33"/>
    </w:p>
    <w:p w14:paraId="6F3403F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14:paraId="072E3069">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170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与2023</w:t>
      </w:r>
      <w:r>
        <w:rPr>
          <w:rFonts w:hint="eastAsia" w:ascii="Times New Roman" w:hAnsi="Times New Roman" w:eastAsia="仿宋_GB2312" w:cs="仿宋_GB2312"/>
          <w:color w:val="auto"/>
          <w:kern w:val="2"/>
          <w:sz w:val="32"/>
          <w:szCs w:val="32"/>
          <w:highlight w:val="none"/>
          <w:lang w:val="en-US" w:eastAsia="zh-CN" w:bidi="ar-SA"/>
        </w:rPr>
        <w:t>年度</w:t>
      </w:r>
      <w:r>
        <w:rPr>
          <w:rFonts w:hint="eastAsia" w:eastAsia="仿宋_GB2312" w:cs="仿宋_GB2312"/>
          <w:color w:val="auto"/>
          <w:kern w:val="2"/>
          <w:sz w:val="32"/>
          <w:szCs w:val="32"/>
          <w:highlight w:val="none"/>
          <w:lang w:val="en-US" w:eastAsia="zh-CN" w:bidi="ar-SA"/>
        </w:rPr>
        <w:t>无变化</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与预算数持平。</w:t>
      </w:r>
    </w:p>
    <w:p w14:paraId="5777FB8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14:paraId="3CBA39D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170</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3DD0814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46D1AAD9">
      <w:pPr>
        <w:spacing w:line="240" w:lineRule="auto"/>
        <w:ind w:firstLine="0"/>
        <w:jc w:val="center"/>
        <w:rPr>
          <w:rFonts w:hint="eastAsia" w:ascii="Times New Roman" w:hAnsi="Times New Roman" w:eastAsia="仿宋_GB2312" w:cs="仿宋_GB2312"/>
          <w:b/>
          <w:bCs/>
          <w:color w:val="auto"/>
          <w:kern w:val="2"/>
          <w:sz w:val="32"/>
          <w:szCs w:val="32"/>
          <w:highlight w:val="none"/>
          <w:lang w:val="en-US" w:eastAsia="zh-CN" w:bidi="ar-SA"/>
        </w:rPr>
      </w:pPr>
      <w:r>
        <w:drawing>
          <wp:inline distT="0" distB="0" distL="114300" distR="114300">
            <wp:extent cx="4552950" cy="2705100"/>
            <wp:effectExtent l="0" t="0" r="0" b="0"/>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14"/>
                    <a:stretch>
                      <a:fillRect/>
                    </a:stretch>
                  </pic:blipFill>
                  <pic:spPr>
                    <a:xfrm>
                      <a:off x="0" y="0"/>
                      <a:ext cx="4552950" cy="2705100"/>
                    </a:xfrm>
                    <a:prstGeom prst="rect">
                      <a:avLst/>
                    </a:prstGeom>
                    <a:noFill/>
                    <a:ln>
                      <a:noFill/>
                    </a:ln>
                  </pic:spPr>
                </pic:pic>
              </a:graphicData>
            </a:graphic>
          </wp:inline>
        </w:drawing>
      </w:r>
    </w:p>
    <w:p w14:paraId="6AB4CFE2">
      <w:pPr>
        <w:spacing w:line="600" w:lineRule="exact"/>
        <w:ind w:firstLine="640"/>
        <w:rPr>
          <w:rFonts w:hint="default"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2024年度无因公出国（境）经费支出。</w:t>
      </w:r>
    </w:p>
    <w:p w14:paraId="4739A59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开支内容包括：</w:t>
      </w:r>
      <w:r>
        <w:rPr>
          <w:rFonts w:hint="eastAsia" w:eastAsia="仿宋_GB2312" w:cs="仿宋_GB2312"/>
          <w:color w:val="auto"/>
          <w:kern w:val="2"/>
          <w:sz w:val="32"/>
          <w:szCs w:val="32"/>
          <w:highlight w:val="none"/>
          <w:lang w:val="en-US" w:eastAsia="zh-CN" w:bidi="ar-SA"/>
        </w:rPr>
        <w:t>无</w:t>
      </w:r>
    </w:p>
    <w:p w14:paraId="4E0FC8A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170万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比无变化</w:t>
      </w:r>
      <w:r>
        <w:rPr>
          <w:rFonts w:hint="eastAsia" w:ascii="Times New Roman" w:hAnsi="Times New Roman" w:eastAsia="仿宋_GB2312" w:cs="仿宋_GB2312"/>
          <w:color w:val="auto"/>
          <w:kern w:val="2"/>
          <w:sz w:val="32"/>
          <w:szCs w:val="32"/>
          <w:highlight w:val="none"/>
          <w:lang w:val="en-US" w:eastAsia="zh-CN" w:bidi="ar-SA"/>
        </w:rPr>
        <w:t>。</w:t>
      </w:r>
    </w:p>
    <w:p w14:paraId="0371013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0万</w:t>
      </w:r>
      <w:r>
        <w:rPr>
          <w:rFonts w:hint="eastAsia" w:ascii="Times New Roman" w:hAnsi="Times New Roman" w:eastAsia="仿宋_GB2312" w:cs="仿宋_GB2312"/>
          <w:color w:val="auto"/>
          <w:kern w:val="2"/>
          <w:sz w:val="32"/>
          <w:szCs w:val="32"/>
          <w:highlight w:val="none"/>
          <w:lang w:val="en-US" w:eastAsia="zh-CN" w:bidi="ar-SA"/>
        </w:rPr>
        <w:t>元。截至2024年12月31日，单位共有公务用车</w:t>
      </w:r>
      <w:r>
        <w:rPr>
          <w:rFonts w:hint="eastAsia" w:eastAsia="仿宋_GB2312" w:cs="仿宋_GB2312"/>
          <w:color w:val="auto"/>
          <w:kern w:val="2"/>
          <w:sz w:val="32"/>
          <w:szCs w:val="32"/>
          <w:highlight w:val="none"/>
          <w:lang w:val="en-US" w:eastAsia="zh-CN" w:bidi="ar-SA"/>
        </w:rPr>
        <w:t>69</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27</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39</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w:t>
      </w:r>
    </w:p>
    <w:p w14:paraId="123D7D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170</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ascii="仿宋_GB2312" w:hAnsi="仿宋_GB2312" w:eastAsia="仿宋_GB2312" w:cs="仿宋_GB2312"/>
          <w:sz w:val="32"/>
          <w:szCs w:val="32"/>
        </w:rPr>
        <w:t>保障全区公务出行</w:t>
      </w:r>
      <w:r>
        <w:rPr>
          <w:rFonts w:hint="eastAsia" w:ascii="仿宋_GB2312" w:eastAsia="仿宋_GB2312"/>
          <w:color w:val="auto"/>
          <w:sz w:val="32"/>
          <w:szCs w:val="32"/>
          <w:highlight w:val="none"/>
        </w:rPr>
        <w:t>所需的公务用车燃料费、维修费、过路过桥费、保险费等支出</w:t>
      </w:r>
      <w:r>
        <w:rPr>
          <w:rFonts w:hint="eastAsia" w:ascii="Times New Roman" w:hAnsi="Times New Roman" w:eastAsia="仿宋_GB2312" w:cs="仿宋_GB2312"/>
          <w:color w:val="auto"/>
          <w:kern w:val="2"/>
          <w:sz w:val="32"/>
          <w:szCs w:val="32"/>
          <w:highlight w:val="none"/>
          <w:lang w:val="en-US" w:eastAsia="zh-CN" w:bidi="ar-SA"/>
        </w:rPr>
        <w:t>。</w:t>
      </w:r>
    </w:p>
    <w:p w14:paraId="4522D2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w:t>
      </w:r>
    </w:p>
    <w:p w14:paraId="1F24ADB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p>
    <w:p w14:paraId="1AB74D1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14:paraId="5413917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6" w:name="_Toc15377218"/>
      <w:bookmarkStart w:id="37" w:name="_Toc15396610"/>
    </w:p>
    <w:p w14:paraId="362750A2">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36"/>
      <w:bookmarkEnd w:id="37"/>
    </w:p>
    <w:p w14:paraId="7C74EBA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998.68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48.55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360.09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36.05</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项目经费增加。</w:t>
      </w:r>
    </w:p>
    <w:p w14:paraId="7F1368E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D70C6FB">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38" w:name="_Toc15396611"/>
      <w:bookmarkStart w:id="39"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38"/>
      <w:bookmarkEnd w:id="39"/>
    </w:p>
    <w:p w14:paraId="52B083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38B4835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FDCEF59">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40" w:name="_Toc15396612"/>
      <w:bookmarkStart w:id="41" w:name="_Toc15377221"/>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0"/>
      <w:bookmarkEnd w:id="41"/>
    </w:p>
    <w:p w14:paraId="5C12C61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14:paraId="192276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攀枝花市西区机关事务服务中心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194.19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3.28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1.68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办公费减少。</w:t>
      </w:r>
    </w:p>
    <w:p w14:paraId="363E13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900509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14:paraId="42CF581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攀枝花市西区机关事务服务中心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103.54</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6.07</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97.47</w:t>
      </w:r>
      <w:r>
        <w:rPr>
          <w:rFonts w:hint="eastAsia" w:ascii="仿宋_GB2312" w:hAnsi="仿宋_GB2312" w:eastAsia="仿宋_GB2312" w:cs="仿宋_GB2312"/>
          <w:color w:val="auto"/>
          <w:kern w:val="2"/>
          <w:sz w:val="32"/>
          <w:szCs w:val="32"/>
          <w:highlight w:val="none"/>
          <w:lang w:val="en-US" w:eastAsia="zh-CN" w:bidi="ar-SA"/>
        </w:rPr>
        <w:t>万元。主要用于代社工部采购复印机。授予中小企业合同金额</w:t>
      </w:r>
      <w:r>
        <w:rPr>
          <w:rFonts w:hint="eastAsia" w:ascii="仿宋_GB2312" w:hAnsi="仿宋_GB2312" w:eastAsia="仿宋_GB2312" w:cs="仿宋_GB2312"/>
          <w:sz w:val="32"/>
          <w:szCs w:val="32"/>
        </w:rPr>
        <w:t>103.54</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6.07</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5.85</w:t>
      </w:r>
      <w:r>
        <w:rPr>
          <w:rFonts w:hint="eastAsia" w:ascii="仿宋_GB2312" w:hAnsi="仿宋_GB2312" w:eastAsia="仿宋_GB2312" w:cs="仿宋_GB2312"/>
          <w:color w:val="auto"/>
          <w:kern w:val="2"/>
          <w:sz w:val="32"/>
          <w:szCs w:val="32"/>
          <w:highlight w:val="none"/>
          <w:lang w:val="en-US" w:eastAsia="zh-CN" w:bidi="ar-SA"/>
        </w:rPr>
        <w:t>%。</w:t>
      </w:r>
    </w:p>
    <w:p w14:paraId="4F5F2E3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A3731F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14:paraId="0A5A82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攀枝花市西区机关事务服务中心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69</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69</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75B7946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022E22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FB62F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hAnsi="仿宋_GB2312" w:eastAsia="仿宋_GB2312" w:cs="仿宋_GB2312"/>
          <w:color w:val="auto"/>
          <w:sz w:val="32"/>
          <w:szCs w:val="32"/>
          <w:highlight w:val="none"/>
        </w:rPr>
        <w:t>本部门在</w:t>
      </w:r>
      <w:r>
        <w:rPr>
          <w:rFonts w:hint="eastAsia" w:ascii="仿宋_GB2312" w:hAnsi="仿宋_GB2312" w:eastAsia="仿宋_GB2312" w:cs="仿宋_GB2312"/>
          <w:color w:val="auto"/>
          <w:sz w:val="32"/>
          <w:szCs w:val="32"/>
          <w:highlight w:val="none"/>
          <w:lang w:val="en-US" w:eastAsia="zh-CN"/>
        </w:rPr>
        <w:t>2024年度</w:t>
      </w:r>
      <w:r>
        <w:rPr>
          <w:rFonts w:hint="eastAsia" w:ascii="仿宋_GB2312" w:hAnsi="仿宋_GB2312" w:eastAsia="仿宋_GB2312" w:cs="仿宋_GB2312"/>
          <w:color w:val="auto"/>
          <w:sz w:val="32"/>
          <w:szCs w:val="32"/>
          <w:highlight w:val="none"/>
        </w:rPr>
        <w:t>预算编制阶段，</w:t>
      </w:r>
      <w:r>
        <w:rPr>
          <w:rFonts w:hint="eastAsia" w:ascii="仿宋_GB2312" w:hAnsi="仿宋_GB2312" w:eastAsia="仿宋_GB2312" w:cs="仿宋_GB2312"/>
          <w:color w:val="auto"/>
          <w:sz w:val="32"/>
          <w:szCs w:val="32"/>
          <w:highlight w:val="none"/>
          <w:lang w:val="en-US" w:eastAsia="zh-CN"/>
        </w:rPr>
        <w:t>对</w:t>
      </w:r>
      <w:bookmarkStart w:id="45" w:name="OLE_LINK10"/>
      <w:r>
        <w:rPr>
          <w:rFonts w:hint="eastAsia" w:ascii="仿宋_GB2312" w:hAnsi="仿宋_GB2312" w:eastAsia="仿宋_GB2312" w:cs="仿宋_GB2312"/>
          <w:sz w:val="32"/>
          <w:szCs w:val="32"/>
        </w:rPr>
        <w:t>公务用车运行维护经费项目、机关食堂运行经费、政府办公楼水电费、集中办公楼运行维护费用、保安执勤经费</w:t>
      </w:r>
      <w:bookmarkEnd w:id="45"/>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机关食堂改造装修经费</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6个项目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个项目开展绩效监控</w:t>
      </w:r>
      <w:r>
        <w:rPr>
          <w:rFonts w:hint="eastAsia" w:ascii="Times New Roman" w:hAnsi="Times New Roman" w:eastAsia="仿宋_GB2312" w:cs="仿宋_GB2312"/>
          <w:color w:val="auto"/>
          <w:kern w:val="2"/>
          <w:sz w:val="32"/>
          <w:szCs w:val="32"/>
          <w:highlight w:val="none"/>
          <w:lang w:val="en-US" w:eastAsia="zh-CN" w:bidi="ar-SA"/>
        </w:rPr>
        <w:t>。</w:t>
      </w:r>
    </w:p>
    <w:p w14:paraId="65E65CE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组织对2024年度一般公共预算、政府性基金预算等全面开展绩效自评，</w:t>
      </w:r>
      <w:r>
        <w:rPr>
          <w:rFonts w:hint="eastAsia" w:ascii="仿宋_GB2312" w:hAnsi="仿宋_GB2312" w:eastAsia="仿宋_GB2312" w:cs="仿宋_GB2312"/>
          <w:color w:val="auto"/>
          <w:sz w:val="32"/>
          <w:szCs w:val="32"/>
          <w:highlight w:val="none"/>
          <w:lang w:val="en-US" w:eastAsia="zh-CN"/>
        </w:rPr>
        <w:t>形成</w:t>
      </w:r>
      <w:r>
        <w:rPr>
          <w:rFonts w:hint="eastAsia" w:ascii="仿宋_GB2312" w:eastAsia="仿宋_GB2312"/>
          <w:sz w:val="32"/>
          <w:szCs w:val="32"/>
        </w:rPr>
        <w:t>攀枝花市西区机关事务服务中心</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公务用车运行维护经费项目、机关食堂运行经费、政府办公楼水电费、集中办公楼运行维护费用、保安执勤经费</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绩效自评报告，其中，</w:t>
      </w:r>
      <w:r>
        <w:rPr>
          <w:rFonts w:hint="eastAsia" w:ascii="仿宋_GB2312" w:eastAsia="仿宋_GB2312"/>
          <w:sz w:val="32"/>
          <w:szCs w:val="32"/>
        </w:rPr>
        <w:t>攀枝花市西区机关事务服务中心</w:t>
      </w:r>
      <w:r>
        <w:rPr>
          <w:rFonts w:hint="eastAsia" w:ascii="仿宋_GB2312" w:hAnsi="仿宋_GB2312" w:eastAsia="仿宋_GB2312" w:cs="仿宋_GB2312"/>
          <w:color w:val="auto"/>
          <w:sz w:val="32"/>
          <w:szCs w:val="32"/>
          <w:highlight w:val="none"/>
          <w:lang w:val="en-US" w:eastAsia="zh-CN"/>
        </w:rPr>
        <w:t>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绩效自评得分为97分，绩效自评综述：</w:t>
      </w:r>
      <w:r>
        <w:rPr>
          <w:rFonts w:eastAsia="仿宋_GB2312"/>
          <w:sz w:val="32"/>
          <w:szCs w:val="32"/>
        </w:rPr>
        <w:t>202</w:t>
      </w:r>
      <w:r>
        <w:rPr>
          <w:rFonts w:hint="eastAsia" w:eastAsia="仿宋_GB2312"/>
          <w:sz w:val="32"/>
          <w:szCs w:val="32"/>
          <w:lang w:val="en-US" w:eastAsia="zh-CN"/>
        </w:rPr>
        <w:t>4</w:t>
      </w:r>
      <w:r>
        <w:rPr>
          <w:rFonts w:eastAsia="仿宋_GB2312"/>
          <w:sz w:val="32"/>
          <w:szCs w:val="32"/>
        </w:rPr>
        <w:t>年，我</w:t>
      </w:r>
      <w:r>
        <w:rPr>
          <w:rFonts w:hint="eastAsia" w:eastAsia="仿宋_GB2312"/>
          <w:sz w:val="32"/>
          <w:szCs w:val="32"/>
          <w:lang w:val="en-US" w:eastAsia="zh-CN"/>
        </w:rPr>
        <w:t>中心</w:t>
      </w:r>
      <w:r>
        <w:rPr>
          <w:rFonts w:eastAsia="仿宋_GB2312"/>
          <w:sz w:val="32"/>
          <w:szCs w:val="32"/>
        </w:rPr>
        <w:t>部门整体支出绩效自查自评结果良好，全年基本支出保证了部门正常运转，项目支出保障了重点工作顺利开展</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09285FC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AF9479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BC6EEC2">
      <w:pPr>
        <w:pStyle w:val="14"/>
        <w:rPr>
          <w:rFonts w:hint="eastAsia" w:ascii="Times New Roman" w:hAnsi="Times New Roman" w:eastAsia="仿宋_GB2312" w:cs="仿宋_GB2312"/>
          <w:color w:val="auto"/>
          <w:kern w:val="2"/>
          <w:sz w:val="32"/>
          <w:szCs w:val="32"/>
          <w:highlight w:val="none"/>
          <w:lang w:val="en-US" w:eastAsia="zh-CN" w:bidi="ar-SA"/>
        </w:rPr>
      </w:pPr>
    </w:p>
    <w:p w14:paraId="47EBC32D">
      <w:pPr>
        <w:pStyle w:val="8"/>
        <w:rPr>
          <w:rFonts w:hint="eastAsia" w:ascii="Times New Roman" w:hAnsi="Times New Roman" w:eastAsia="仿宋_GB2312" w:cs="仿宋_GB2312"/>
          <w:color w:val="auto"/>
          <w:kern w:val="2"/>
          <w:sz w:val="32"/>
          <w:szCs w:val="32"/>
          <w:highlight w:val="none"/>
          <w:lang w:val="en-US" w:eastAsia="zh-CN" w:bidi="ar-SA"/>
        </w:rPr>
      </w:pPr>
    </w:p>
    <w:p w14:paraId="1C0C252C">
      <w:pPr>
        <w:pStyle w:val="8"/>
        <w:rPr>
          <w:rFonts w:hint="eastAsia" w:ascii="Times New Roman" w:hAnsi="Times New Roman" w:eastAsia="仿宋_GB2312" w:cs="仿宋_GB2312"/>
          <w:color w:val="auto"/>
          <w:kern w:val="2"/>
          <w:sz w:val="32"/>
          <w:szCs w:val="32"/>
          <w:highlight w:val="none"/>
          <w:lang w:val="en-US" w:eastAsia="zh-CN" w:bidi="ar-SA"/>
        </w:rPr>
      </w:pPr>
    </w:p>
    <w:p w14:paraId="25989A82">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6" w:name="_Toc15377225"/>
      <w:bookmarkStart w:id="47"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6"/>
      <w:bookmarkEnd w:id="47"/>
    </w:p>
    <w:p w14:paraId="0B0594FE">
      <w:pPr>
        <w:spacing w:line="600" w:lineRule="exact"/>
        <w:jc w:val="left"/>
        <w:rPr>
          <w:rFonts w:ascii="Times New Roman" w:hAnsi="Times New Roman"/>
          <w:b/>
          <w:color w:val="auto"/>
          <w:sz w:val="44"/>
          <w:szCs w:val="44"/>
          <w:highlight w:val="none"/>
        </w:rPr>
      </w:pPr>
    </w:p>
    <w:p w14:paraId="7EDDBC46">
      <w:pPr>
        <w:pStyle w:val="27"/>
        <w:keepNext w:val="0"/>
        <w:keepLines w:val="0"/>
        <w:pageBreakBefore w:val="0"/>
        <w:widowControl w:val="0"/>
        <w:kinsoku/>
        <w:wordWrap/>
        <w:overflowPunct/>
        <w:topLinePunct w:val="0"/>
        <w:bidi w:val="0"/>
        <w:snapToGrid/>
        <w:spacing w:line="576" w:lineRule="exact"/>
        <w:ind w:firstLine="640" w:firstLineChars="200"/>
        <w:textAlignment w:val="auto"/>
        <w:outlineLvl w:val="1"/>
        <w:rPr>
          <w:rFonts w:hint="eastAsia" w:ascii="仿宋_GB2312" w:hAnsi="仿宋_GB2312" w:eastAsia="仿宋_GB2312" w:cs="仿宋_GB2312"/>
          <w:color w:val="auto"/>
          <w:sz w:val="32"/>
          <w:szCs w:val="32"/>
        </w:rPr>
      </w:pPr>
      <w:bookmarkStart w:id="48" w:name="_Toc27102"/>
      <w:r>
        <w:rPr>
          <w:rFonts w:hint="eastAsia" w:ascii="仿宋_GB2312" w:hAnsi="仿宋_GB2312" w:eastAsia="仿宋_GB2312" w:cs="仿宋_GB2312"/>
          <w:color w:val="auto"/>
          <w:sz w:val="32"/>
          <w:szCs w:val="32"/>
        </w:rPr>
        <w:t>1.财政拨款收入：指单位从同级财政部门取得的财政预算资金。</w:t>
      </w:r>
      <w:bookmarkEnd w:id="48"/>
    </w:p>
    <w:p w14:paraId="0170FDBE">
      <w:pPr>
        <w:pStyle w:val="27"/>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2.年初结转和结余：指以前年度尚未完成、结转到本年按有关规定继续使用的资金。 </w:t>
      </w:r>
    </w:p>
    <w:p w14:paraId="3B865AA2">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3.一般公共服务支出（类）政府办公厅（室）及相关机构事务（款）行政运行（项）:指单位机关日常支出。</w:t>
      </w:r>
    </w:p>
    <w:p w14:paraId="41EE701D">
      <w:pPr>
        <w:pStyle w:val="2"/>
        <w:keepNext w:val="0"/>
        <w:keepLines w:val="0"/>
        <w:pageBreakBefore w:val="0"/>
        <w:widowControl w:val="0"/>
        <w:kinsoku/>
        <w:wordWrap/>
        <w:overflowPunct/>
        <w:topLinePunct w:val="0"/>
        <w:bidi w:val="0"/>
        <w:snapToGrid/>
        <w:spacing w:before="93"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.一般公共服务支出（类）政府办公厅（室）及相关机构事务（款）其他政府办公厅（室）及相关机构事务支出（项）：指无纸化办公系统经费、党政高清视频会议系统建设费用支出</w:t>
      </w:r>
    </w:p>
    <w:p w14:paraId="38200416">
      <w:pPr>
        <w:pStyle w:val="2"/>
        <w:keepNext w:val="0"/>
        <w:keepLines w:val="0"/>
        <w:pageBreakBefore w:val="0"/>
        <w:widowControl w:val="0"/>
        <w:kinsoku/>
        <w:wordWrap/>
        <w:overflowPunct/>
        <w:topLinePunct w:val="0"/>
        <w:bidi w:val="0"/>
        <w:snapToGrid/>
        <w:spacing w:before="93"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.社会保障和就业支出（类）行政事业单位养老支出（款）行政单位离退休（项）：指单位按规定为行政单位退休人员支出的各项经费。</w:t>
      </w:r>
    </w:p>
    <w:p w14:paraId="66C5CCB2">
      <w:pPr>
        <w:pStyle w:val="2"/>
        <w:keepNext w:val="0"/>
        <w:keepLines w:val="0"/>
        <w:pageBreakBefore w:val="0"/>
        <w:widowControl w:val="0"/>
        <w:kinsoku/>
        <w:wordWrap/>
        <w:overflowPunct/>
        <w:topLinePunct w:val="0"/>
        <w:bidi w:val="0"/>
        <w:snapToGrid/>
        <w:spacing w:before="93"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.社会保障和就业支出（类）行政事业单位养老支出（款）机关事业单位基本养老保险缴费支出（项）：指单位按规定缴纳的各项社保支出。</w:t>
      </w:r>
    </w:p>
    <w:p w14:paraId="01C9C964">
      <w:pPr>
        <w:pStyle w:val="27"/>
        <w:keepNext w:val="0"/>
        <w:keepLines w:val="0"/>
        <w:pageBreakBefore w:val="0"/>
        <w:widowControl w:val="0"/>
        <w:tabs>
          <w:tab w:val="left" w:leader="dot" w:pos="6720"/>
        </w:tabs>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.住房保障支出（类）住房改革支出（款）住房公积金（项）：指单位为职工缴纳的公积金。</w:t>
      </w:r>
    </w:p>
    <w:p w14:paraId="78DD075F">
      <w:pPr>
        <w:pStyle w:val="27"/>
        <w:keepNext w:val="0"/>
        <w:keepLines w:val="0"/>
        <w:pageBreakBefore w:val="0"/>
        <w:widowControl w:val="0"/>
        <w:tabs>
          <w:tab w:val="left" w:leader="dot" w:pos="6720"/>
        </w:tabs>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.城乡社区支出（类）国有土地使用权出让收入安排的支出（款）土地开发支出（项）：指公务用车运行维护经费项目、机关食堂运行经费、政府办公楼水电费、集中办公楼运行维护费用、保安执勤经费等。</w:t>
      </w:r>
    </w:p>
    <w:p w14:paraId="2DB48CEB">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.卫生健康（类）行政事业单位（款）行政单位医疗（项）：指单位按规定缴纳的在职人员医疗保险支出。</w:t>
      </w:r>
    </w:p>
    <w:p w14:paraId="75DAD483">
      <w:pPr>
        <w:pStyle w:val="2"/>
        <w:keepNext w:val="0"/>
        <w:keepLines w:val="0"/>
        <w:pageBreakBefore w:val="0"/>
        <w:widowControl w:val="0"/>
        <w:kinsoku/>
        <w:wordWrap/>
        <w:overflowPunct/>
        <w:topLinePunct w:val="0"/>
        <w:bidi w:val="0"/>
        <w:snapToGrid/>
        <w:spacing w:before="93"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.卫生健康（类）行政事业单位（款）公务员医疗补助（项）：指单位按规定缴纳的在职和退休人员公务员医疗补助支出。</w:t>
      </w:r>
    </w:p>
    <w:p w14:paraId="671E4DCE">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.基本支出：指为保障机构正常运转、完成日常工作任务而发生的人员支出和公用支出。</w:t>
      </w:r>
    </w:p>
    <w:p w14:paraId="4CF9F385">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 xml:space="preserve">.项目支出：指在基本支出之外为完成特定行政任务和事业发展目标所发生的支出。 </w:t>
      </w:r>
    </w:p>
    <w:p w14:paraId="24BF98A2">
      <w:pPr>
        <w:pStyle w:val="27"/>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三公”经费：指部门用财政拨款安排的公务用车购置及运行费和公务接待费。其中公务用车购置及运行费反映单位公务用车车辆购置支出（含车辆购置税）及租用费、燃料费、维修费、过路过桥费、保险费等支出。</w:t>
      </w:r>
    </w:p>
    <w:p w14:paraId="3AD1CA7C">
      <w:pPr>
        <w:pStyle w:val="27"/>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公务用车运行维护费以及其他费用。</w:t>
      </w:r>
    </w:p>
    <w:p w14:paraId="03134B10">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27.</w:t>
      </w:r>
      <w:r>
        <w:rPr>
          <w:rFonts w:hint="eastAsia" w:ascii="仿宋_GB2312" w:eastAsia="仿宋_GB2312"/>
          <w:color w:val="auto"/>
          <w:sz w:val="32"/>
          <w:szCs w:val="32"/>
          <w:highlight w:val="none"/>
        </w:rPr>
        <w:t>基本支出：指为保障机构正常运转、完成日常工作任务而发生的人员支出和公用支出。</w:t>
      </w:r>
    </w:p>
    <w:p w14:paraId="10E7A927">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28.</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0B38710F">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eastAsia="仿宋_GB2312"/>
          <w:color w:val="auto"/>
          <w:sz w:val="32"/>
          <w:szCs w:val="32"/>
          <w:highlight w:val="none"/>
          <w:lang w:val="en-US" w:eastAsia="zh-CN"/>
        </w:rPr>
        <w:t>29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Times New Roman" w:hAnsi="Times New Roman" w:eastAsia="仿宋_GB2312" w:cs="仿宋_GB2312"/>
          <w:color w:val="auto"/>
          <w:kern w:val="2"/>
          <w:sz w:val="32"/>
          <w:szCs w:val="32"/>
          <w:highlight w:val="none"/>
          <w:lang w:val="en-US" w:eastAsia="zh-CN" w:bidi="ar-SA"/>
        </w:rPr>
        <w:t>。</w:t>
      </w:r>
    </w:p>
    <w:p w14:paraId="240A639F">
      <w:pPr>
        <w:spacing w:line="600" w:lineRule="exact"/>
        <w:jc w:val="center"/>
        <w:rPr>
          <w:rStyle w:val="29"/>
          <w:rFonts w:hint="eastAsia" w:ascii="Times New Roman" w:hAnsi="Times New Roman" w:eastAsia="黑体"/>
          <w:b w:val="0"/>
          <w:color w:val="auto"/>
          <w:highlight w:val="none"/>
          <w:lang w:eastAsia="zh-CN"/>
        </w:rPr>
      </w:pPr>
      <w:bookmarkStart w:id="49"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0"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0"/>
    </w:p>
    <w:p w14:paraId="66BCC6CC">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72C49325">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2027A260">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12E87DC7">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326FD624">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559A3771">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4992D7F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36517C4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64B53A9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攀枝花市西区机关事务服务中心内设办公室、总务股、资产管理中心3个股室。</w:t>
      </w:r>
    </w:p>
    <w:p w14:paraId="3EC0B081">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11E0DBC6">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承担全区机关后勤服务性、事务性工作。</w:t>
      </w:r>
    </w:p>
    <w:p w14:paraId="3A045E5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3A3E66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ascii="Times New Roman" w:hAnsi="Times New Roman" w:eastAsia="仿宋_GB2312" w:cs="Times New Roman"/>
          <w:sz w:val="32"/>
          <w:szCs w:val="32"/>
          <w:lang w:val="en-US" w:eastAsia="zh-CN"/>
        </w:rPr>
        <w:t>西区机关事务服务中心在职参公编制数</w:t>
      </w:r>
      <w:r>
        <w:rPr>
          <w:rFonts w:hint="default"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val="en-US" w:eastAsia="zh-CN"/>
        </w:rPr>
        <w:t>人，实有人数</w:t>
      </w:r>
      <w:r>
        <w:rPr>
          <w:rFonts w:hint="default"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lang w:val="en-US" w:eastAsia="zh-CN"/>
        </w:rPr>
        <w:t>人；驾驶员临聘编制数70人，实有人数</w:t>
      </w:r>
      <w:r>
        <w:rPr>
          <w:rFonts w:hint="default" w:ascii="Times New Roman" w:hAnsi="Times New Roman" w:eastAsia="仿宋_GB2312" w:cs="Times New Roman"/>
          <w:sz w:val="32"/>
          <w:szCs w:val="32"/>
          <w:lang w:val="en-US" w:eastAsia="zh-CN"/>
        </w:rPr>
        <w:t>54</w:t>
      </w:r>
      <w:r>
        <w:rPr>
          <w:rFonts w:hint="eastAsia" w:ascii="Times New Roman" w:hAnsi="Times New Roman" w:eastAsia="仿宋_GB2312" w:cs="Times New Roman"/>
          <w:sz w:val="32"/>
          <w:szCs w:val="32"/>
          <w:lang w:val="en-US" w:eastAsia="zh-CN"/>
        </w:rPr>
        <w:t>人；临聘人员编制数17人，实有人数1</w:t>
      </w:r>
      <w:r>
        <w:rPr>
          <w:rFonts w:hint="default"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人。</w:t>
      </w:r>
    </w:p>
    <w:p w14:paraId="013F408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26BB1F6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29C752F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西区机关事务服务中心</w:t>
      </w:r>
      <w:r>
        <w:rPr>
          <w:rFonts w:hint="eastAsia" w:ascii="Times New Roman" w:hAnsi="Times New Roman" w:eastAsia="仿宋_GB2312" w:cs="Times New Roman"/>
          <w:sz w:val="32"/>
          <w:szCs w:val="32"/>
          <w:lang w:val="zh-CN" w:eastAsia="zh-CN"/>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zh-CN" w:eastAsia="zh-CN"/>
        </w:rPr>
        <w:t>年全年预算收入</w:t>
      </w:r>
      <w:r>
        <w:rPr>
          <w:rFonts w:hint="eastAsia" w:ascii="Times New Roman" w:hAnsi="Times New Roman" w:eastAsia="仿宋_GB2312" w:cs="Times New Roman"/>
          <w:sz w:val="32"/>
          <w:szCs w:val="32"/>
          <w:lang w:val="en-US" w:eastAsia="zh-CN"/>
        </w:rPr>
        <w:t>2056.86</w:t>
      </w:r>
      <w:r>
        <w:rPr>
          <w:rFonts w:hint="eastAsia" w:ascii="Times New Roman" w:hAnsi="Times New Roman" w:eastAsia="仿宋_GB2312" w:cs="Times New Roman"/>
          <w:sz w:val="32"/>
          <w:szCs w:val="32"/>
          <w:lang w:val="zh-CN" w:eastAsia="zh-CN"/>
        </w:rPr>
        <w:t>万元，其中：一般公共预算拨款收入</w:t>
      </w:r>
      <w:r>
        <w:rPr>
          <w:rFonts w:hint="eastAsia" w:ascii="Times New Roman" w:hAnsi="Times New Roman" w:eastAsia="仿宋_GB2312" w:cs="Times New Roman"/>
          <w:sz w:val="32"/>
          <w:szCs w:val="32"/>
          <w:lang w:val="en-US" w:eastAsia="zh-CN"/>
        </w:rPr>
        <w:t>1058.18</w:t>
      </w:r>
      <w:r>
        <w:rPr>
          <w:rFonts w:hint="eastAsia" w:ascii="Times New Roman" w:hAnsi="Times New Roman" w:eastAsia="仿宋_GB2312" w:cs="Times New Roman"/>
          <w:sz w:val="32"/>
          <w:szCs w:val="32"/>
          <w:lang w:val="zh-CN" w:eastAsia="zh-CN"/>
        </w:rPr>
        <w:t>万元，占总收入</w:t>
      </w:r>
      <w:r>
        <w:rPr>
          <w:rFonts w:hint="eastAsia" w:ascii="Times New Roman" w:hAnsi="Times New Roman" w:eastAsia="仿宋_GB2312" w:cs="Times New Roman"/>
          <w:sz w:val="32"/>
          <w:szCs w:val="32"/>
          <w:lang w:val="en-US" w:eastAsia="zh-CN"/>
        </w:rPr>
        <w:t>51.45</w:t>
      </w:r>
      <w:r>
        <w:rPr>
          <w:rFonts w:hint="eastAsia" w:ascii="Times New Roman" w:hAnsi="Times New Roman" w:eastAsia="仿宋_GB2312" w:cs="Times New Roman"/>
          <w:sz w:val="32"/>
          <w:szCs w:val="32"/>
          <w:lang w:val="zh-CN" w:eastAsia="zh-CN"/>
        </w:rPr>
        <w:t>%；政府性基金预算拨款支出</w:t>
      </w:r>
      <w:r>
        <w:rPr>
          <w:rFonts w:hint="eastAsia" w:ascii="Times New Roman" w:hAnsi="Times New Roman" w:eastAsia="仿宋_GB2312" w:cs="Times New Roman"/>
          <w:sz w:val="32"/>
          <w:szCs w:val="32"/>
          <w:lang w:val="en-US" w:eastAsia="zh-CN"/>
        </w:rPr>
        <w:t>998.68</w:t>
      </w:r>
      <w:r>
        <w:rPr>
          <w:rFonts w:hint="eastAsia" w:ascii="Times New Roman" w:hAnsi="Times New Roman" w:eastAsia="仿宋_GB2312" w:cs="Times New Roman"/>
          <w:sz w:val="32"/>
          <w:szCs w:val="32"/>
          <w:lang w:val="zh-CN" w:eastAsia="zh-CN"/>
        </w:rPr>
        <w:t>万元，占总收入</w:t>
      </w:r>
      <w:r>
        <w:rPr>
          <w:rFonts w:hint="eastAsia" w:ascii="Times New Roman" w:hAnsi="Times New Roman" w:eastAsia="仿宋_GB2312" w:cs="Times New Roman"/>
          <w:sz w:val="32"/>
          <w:szCs w:val="32"/>
          <w:lang w:val="en-US" w:eastAsia="zh-CN"/>
        </w:rPr>
        <w:t>48.55</w:t>
      </w:r>
      <w:r>
        <w:rPr>
          <w:rFonts w:hint="eastAsia" w:ascii="Times New Roman" w:hAnsi="Times New Roman" w:eastAsia="仿宋_GB2312" w:cs="Times New Roman"/>
          <w:sz w:val="32"/>
          <w:szCs w:val="32"/>
          <w:lang w:val="zh-CN" w:eastAsia="zh-CN"/>
        </w:rPr>
        <w:t>%</w:t>
      </w:r>
      <w:r>
        <w:rPr>
          <w:rFonts w:hint="eastAsia" w:ascii="Times New Roman" w:hAnsi="Times New Roman" w:eastAsia="仿宋_GB2312" w:cs="Times New Roman"/>
          <w:sz w:val="32"/>
          <w:szCs w:val="32"/>
          <w:lang w:val="en-US" w:eastAsia="zh-CN"/>
        </w:rPr>
        <w:t>。</w:t>
      </w:r>
    </w:p>
    <w:p w14:paraId="7455536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p>
    <w:p w14:paraId="1E2F3DA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6EF1641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zh-CN" w:eastAsia="zh-CN"/>
        </w:rPr>
        <w:t>年财政资金支出</w:t>
      </w:r>
      <w:r>
        <w:rPr>
          <w:rFonts w:hint="eastAsia" w:ascii="Times New Roman" w:hAnsi="Times New Roman" w:eastAsia="仿宋_GB2312" w:cs="Times New Roman"/>
          <w:sz w:val="32"/>
          <w:szCs w:val="32"/>
          <w:lang w:val="en-US" w:eastAsia="zh-CN"/>
        </w:rPr>
        <w:t>2056.85</w:t>
      </w:r>
      <w:r>
        <w:rPr>
          <w:rFonts w:hint="eastAsia" w:ascii="Times New Roman" w:hAnsi="Times New Roman" w:eastAsia="仿宋_GB2312" w:cs="Times New Roman"/>
          <w:sz w:val="32"/>
          <w:szCs w:val="32"/>
          <w:lang w:val="zh-CN" w:eastAsia="zh-CN"/>
        </w:rPr>
        <w:t>万元，其中：基本支出</w:t>
      </w:r>
      <w:r>
        <w:rPr>
          <w:rFonts w:hint="eastAsia" w:ascii="Times New Roman" w:hAnsi="Times New Roman" w:eastAsia="仿宋_GB2312" w:cs="Times New Roman"/>
          <w:sz w:val="32"/>
          <w:szCs w:val="32"/>
          <w:lang w:val="en-US" w:eastAsia="zh-CN"/>
        </w:rPr>
        <w:t>768.18</w:t>
      </w:r>
      <w:r>
        <w:rPr>
          <w:rFonts w:hint="eastAsia" w:ascii="Times New Roman" w:hAnsi="Times New Roman" w:eastAsia="仿宋_GB2312" w:cs="Times New Roman"/>
          <w:sz w:val="32"/>
          <w:szCs w:val="32"/>
          <w:lang w:val="zh-CN" w:eastAsia="zh-CN"/>
        </w:rPr>
        <w:t>万元，其中：人员经费</w:t>
      </w:r>
      <w:r>
        <w:rPr>
          <w:rFonts w:hint="eastAsia" w:ascii="Times New Roman" w:hAnsi="Times New Roman" w:eastAsia="仿宋_GB2312" w:cs="Times New Roman"/>
          <w:sz w:val="32"/>
          <w:szCs w:val="32"/>
          <w:lang w:val="en-US" w:eastAsia="zh-CN"/>
        </w:rPr>
        <w:t>573.98</w:t>
      </w:r>
      <w:r>
        <w:rPr>
          <w:rFonts w:hint="eastAsia" w:ascii="Times New Roman" w:hAnsi="Times New Roman" w:eastAsia="仿宋_GB2312" w:cs="Times New Roman"/>
          <w:sz w:val="32"/>
          <w:szCs w:val="32"/>
          <w:lang w:val="zh-CN" w:eastAsia="zh-CN"/>
        </w:rPr>
        <w:t>万元，公用经费</w:t>
      </w:r>
      <w:r>
        <w:rPr>
          <w:rFonts w:hint="eastAsia" w:ascii="Times New Roman" w:hAnsi="Times New Roman" w:eastAsia="仿宋_GB2312" w:cs="Times New Roman"/>
          <w:sz w:val="32"/>
          <w:szCs w:val="32"/>
          <w:lang w:val="en-US" w:eastAsia="zh-CN"/>
        </w:rPr>
        <w:t>194.19</w:t>
      </w:r>
      <w:r>
        <w:rPr>
          <w:rFonts w:hint="eastAsia" w:ascii="Times New Roman" w:hAnsi="Times New Roman" w:eastAsia="仿宋_GB2312" w:cs="Times New Roman"/>
          <w:sz w:val="32"/>
          <w:szCs w:val="32"/>
          <w:lang w:val="zh-CN" w:eastAsia="zh-CN"/>
        </w:rPr>
        <w:t>万元；项目经费支出</w:t>
      </w:r>
      <w:r>
        <w:rPr>
          <w:rFonts w:hint="eastAsia" w:ascii="Times New Roman" w:hAnsi="Times New Roman" w:eastAsia="仿宋_GB2312" w:cs="Times New Roman"/>
          <w:sz w:val="32"/>
          <w:szCs w:val="32"/>
          <w:lang w:val="en-US" w:eastAsia="zh-CN"/>
        </w:rPr>
        <w:t>1288.68</w:t>
      </w:r>
      <w:r>
        <w:rPr>
          <w:rFonts w:hint="eastAsia" w:ascii="Times New Roman" w:hAnsi="Times New Roman" w:eastAsia="仿宋_GB2312" w:cs="Times New Roman"/>
          <w:sz w:val="32"/>
          <w:szCs w:val="32"/>
          <w:lang w:val="zh-CN" w:eastAsia="zh-CN"/>
        </w:rPr>
        <w:t>万元。</w:t>
      </w:r>
    </w:p>
    <w:p w14:paraId="523BBF23">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0F0C6CF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西区机关事务服务中心2024年决算收回单位国库集中支付结余资金安排食堂运行维护经费70万元、公务用车平台运行维护经费0.76万元、保安执勤经费15.37万元、政府集中办公区域维护经费180.4万元、政府办公楼水电运行维护费用3.79万元。</w:t>
      </w:r>
    </w:p>
    <w:p w14:paraId="7C55ABB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4D19A8E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14:paraId="18D09A8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p>
    <w:p w14:paraId="409B6B50">
      <w:pPr>
        <w:keepNext w:val="0"/>
        <w:keepLines w:val="0"/>
        <w:pageBreakBefore w:val="0"/>
        <w:kinsoku/>
        <w:wordWrap/>
        <w:overflowPunct/>
        <w:topLinePunct w:val="0"/>
        <w:autoSpaceDE/>
        <w:autoSpaceDN/>
        <w:bidi w:val="0"/>
        <w:spacing w:line="360" w:lineRule="auto"/>
        <w:ind w:firstLine="640" w:firstLineChars="200"/>
        <w:textAlignment w:val="auto"/>
        <w:rPr>
          <w:rFonts w:eastAsia="仿宋_GB2312"/>
          <w:kern w:val="0"/>
          <w:sz w:val="32"/>
          <w:szCs w:val="32"/>
        </w:rPr>
      </w:pPr>
      <w:r>
        <w:rPr>
          <w:rFonts w:eastAsia="仿宋_GB2312"/>
          <w:kern w:val="0"/>
          <w:sz w:val="32"/>
          <w:szCs w:val="32"/>
        </w:rPr>
        <w:t>深入推进服务精细化，把优质保障全区性大型会议作为首要政治任务，提升技术力量，加强设备维保和服务演练，提升应急处理水平，以极致追求细节的精神，确保服务零失误、零瑕疵。着力优化机关食堂运作模式，加强菜品采购管理，改善菜品结构，提升菜肴品质，确保在吃的安全的前提下逐步吃得更好，确保服务高品质。在严格执行办公用房政策和标准的前提下，通过置换、代建、租用等多种渠道增加办公用房面积，加大办公用房日常维护，不断改善办公用房条件。加强对政府主楼水电、卫生等日常维护工作，着力提升工作和生活环境。</w:t>
      </w:r>
    </w:p>
    <w:p w14:paraId="1405318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eastAsia="仿宋_GB2312"/>
          <w:sz w:val="32"/>
          <w:szCs w:val="32"/>
        </w:rPr>
        <w:t>进一步加强公务用车管理。加强车队管理，进一步完善管理制度，加强用车数据统计分析，做到精准调控，保障区委、区政府重点工作及区机关单位公务用车。进一步加强公房统一管理。加强党政机关及事业单位办公用房使用情况的监管检查，并依托大数据分析，科学合理统筹调配办公用房，着力提高公房资源使用效率。进一步加强公共机构节能管理。着力提高降耗减排工作科学化水平，加强统计工作，细化职责，完善能耗统计和报告制度，规范能耗统计台账，切实提升统计数据质量。着力发挥公共机构节能示范典型的引导作用，切实加强节能降耗、垃圾分类、光盘行动等宣传，深入开展垃圾分类示范单位，节约型、节水型单位等创建活动，通过开展载体活动，不断提高机关干部降耗减排、垃圾分类意识</w:t>
      </w:r>
      <w:r>
        <w:rPr>
          <w:rFonts w:hint="eastAsia"/>
          <w:sz w:val="32"/>
          <w:szCs w:val="32"/>
          <w:lang w:eastAsia="zh-CN"/>
        </w:rPr>
        <w:t>。</w:t>
      </w:r>
    </w:p>
    <w:p w14:paraId="379E883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p>
    <w:p w14:paraId="6ADA84B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w:t>
      </w:r>
      <w:r>
        <w:rPr>
          <w:rFonts w:hint="eastAsia" w:ascii="Times New Roman" w:hAnsi="Times New Roman" w:eastAsia="仿宋_GB2312" w:cs="仿宋_GB2312"/>
          <w:color w:val="auto"/>
          <w:kern w:val="2"/>
          <w:sz w:val="32"/>
          <w:szCs w:val="32"/>
          <w:highlight w:val="none"/>
          <w:lang w:val="zh-CN" w:eastAsia="zh-CN" w:bidi="ar-SA"/>
        </w:rPr>
        <w:t>西区</w:t>
      </w:r>
      <w:r>
        <w:rPr>
          <w:rFonts w:hint="eastAsia" w:ascii="Times New Roman" w:hAnsi="Times New Roman" w:eastAsia="仿宋_GB2312" w:cs="仿宋_GB2312"/>
          <w:color w:val="auto"/>
          <w:kern w:val="2"/>
          <w:sz w:val="32"/>
          <w:szCs w:val="32"/>
          <w:highlight w:val="none"/>
          <w:lang w:val="en-US" w:eastAsia="zh-CN" w:bidi="ar-SA"/>
        </w:rPr>
        <w:t>机关事务服务中心严格按照西区财政局预算编制通知和有关要求，按时按质完成报送决算编制等工作，并按时提交部门预算编制草案，不存在应编、未编、错误列编，西区财政局根据预算编制草案，进行审核，批复2024年部门预算收入1576.35万元，其中：工资福利支出532.45万元、日常公用支出199.29万元、对个人和家庭的补助支出13.61万元、项目支出831万元。</w:t>
      </w:r>
    </w:p>
    <w:p w14:paraId="307F290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p>
    <w:p w14:paraId="204007B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zh-CN" w:eastAsia="zh-CN" w:bidi="ar-SA"/>
        </w:rPr>
        <w:t>建立健全了财务管理制度，涵盖预算管理、收支管理、资产管理等方面，制度执行严格，确保财务工作有章可循；财务岗位设置科学分工，明确岗位权责，做到不相容岗位相互分离，避免兼岗带来的风险；资金使用规范上，严格把控资金审批流程，确保每一笔资金都按照规定用途、标准和程序使用，杜绝挪用、滥用等违规行为，保障财务工作有序进行，维护财务安全与规范</w:t>
      </w:r>
      <w:r>
        <w:rPr>
          <w:rFonts w:hint="eastAsia" w:ascii="Times New Roman" w:hAnsi="Times New Roman" w:eastAsia="仿宋_GB2312" w:cs="仿宋_GB2312"/>
          <w:color w:val="auto"/>
          <w:kern w:val="2"/>
          <w:sz w:val="32"/>
          <w:szCs w:val="32"/>
          <w:highlight w:val="none"/>
          <w:lang w:val="zh-CN" w:eastAsia="zh-CN" w:bidi="ar-SA"/>
        </w:rPr>
        <w:t>。</w:t>
      </w:r>
    </w:p>
    <w:p w14:paraId="39F4D29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p>
    <w:p w14:paraId="2378A56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zh-CN" w:eastAsia="zh-CN" w:bidi="ar-SA"/>
        </w:rPr>
        <w:t>高度重视闲置资产管理，建立动态清查机制，定期梳理闲置资产明细，通过内部调剂、共享使用等方式，将闲置设备、办公用品等调配至需求科室。同时，在资产系统内对固定资产及状态及时进行更新，优化资源配置，显著提升资产利用率，有效避免资源浪费，为机关高效运转提供有力保障。</w:t>
      </w:r>
    </w:p>
    <w:p w14:paraId="05092D8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p>
    <w:p w14:paraId="3D61820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仿宋_GB2312" w:cs="仿宋_GB2312"/>
          <w:color w:val="auto"/>
          <w:kern w:val="2"/>
          <w:sz w:val="32"/>
          <w:szCs w:val="32"/>
          <w:highlight w:val="none"/>
          <w:lang w:val="zh-CN" w:eastAsia="zh-CN" w:bidi="ar-SA"/>
        </w:rPr>
        <w:t>严格按照采购管理文件要求执行，采购前精准预算编制，结合实际需求科学规划；采购中坚持公开透明，严格执行采购程序；采购后加强验收与监督，确保物资质量达标，同时强化档案管理，保障采购全程留痕、规范有</w:t>
      </w:r>
      <w:r>
        <w:rPr>
          <w:rFonts w:hint="eastAsia" w:ascii="Times New Roman" w:hAnsi="Times New Roman" w:eastAsia="仿宋_GB2312" w:cs="仿宋_GB2312"/>
          <w:color w:val="auto"/>
          <w:kern w:val="2"/>
          <w:sz w:val="32"/>
          <w:szCs w:val="32"/>
          <w:highlight w:val="none"/>
          <w:lang w:val="zh-CN" w:eastAsia="zh-CN" w:bidi="ar-SA"/>
        </w:rPr>
        <w:t>序。</w:t>
      </w:r>
    </w:p>
    <w:p w14:paraId="0ED3010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2C0B16C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常年项目绩效分析。该类项目总数</w:t>
      </w:r>
      <w:r>
        <w:rPr>
          <w:rFonts w:hint="eastAsia" w:ascii="Times New Roman" w:hAnsi="Times New Roman" w:eastAsia="仿宋_GB2312" w:cs="仿宋_GB2312"/>
          <w:color w:val="auto"/>
          <w:kern w:val="2"/>
          <w:sz w:val="32"/>
          <w:szCs w:val="32"/>
          <w:highlight w:val="none"/>
          <w:lang w:val="en-US" w:eastAsia="zh-CN" w:bidi="ar-SA"/>
        </w:rPr>
        <w:t>6</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ascii="Times New Roman" w:hAnsi="Times New Roman" w:eastAsia="仿宋_GB2312" w:cs="仿宋_GB2312"/>
          <w:color w:val="auto"/>
          <w:kern w:val="2"/>
          <w:sz w:val="32"/>
          <w:szCs w:val="32"/>
          <w:highlight w:val="none"/>
          <w:lang w:val="en-US" w:eastAsia="zh-CN" w:bidi="ar-SA"/>
        </w:rPr>
        <w:t>1288.68</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12月预算执行总体进度为</w:t>
      </w:r>
      <w:r>
        <w:rPr>
          <w:rFonts w:hint="eastAsia" w:ascii="Times New Roman" w:hAnsi="Times New Roman"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%，其中：预算结余率大于10%的项目共计</w:t>
      </w:r>
      <w:r>
        <w:rPr>
          <w:rFonts w:hint="eastAsia" w:ascii="Times New Roman" w:hAnsi="Times New Roman"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14:paraId="14CDC16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阶段（</w:t>
      </w:r>
      <w:r>
        <w:rPr>
          <w:rFonts w:hint="eastAsia" w:ascii="Times New Roman" w:hAnsi="Times New Roman" w:eastAsia="仿宋_GB2312" w:cs="仿宋_GB2312"/>
          <w:color w:val="auto"/>
          <w:kern w:val="2"/>
          <w:sz w:val="32"/>
          <w:szCs w:val="32"/>
          <w:highlight w:val="none"/>
          <w:lang w:val="zh-CN" w:eastAsia="zh-CN" w:bidi="ar-SA"/>
        </w:rPr>
        <w:t>含</w:t>
      </w:r>
      <w:r>
        <w:rPr>
          <w:rFonts w:hint="default" w:ascii="Times New Roman" w:hAnsi="Times New Roman" w:eastAsia="仿宋_GB2312" w:cs="仿宋_GB2312"/>
          <w:color w:val="auto"/>
          <w:kern w:val="2"/>
          <w:sz w:val="32"/>
          <w:szCs w:val="32"/>
          <w:highlight w:val="none"/>
          <w:lang w:val="zh-CN" w:eastAsia="zh-CN" w:bidi="ar-SA"/>
        </w:rPr>
        <w:t>一次性）项目绩效分析。该类项目总数</w:t>
      </w:r>
      <w:r>
        <w:rPr>
          <w:rFonts w:hint="eastAsia" w:ascii="Times New Roman" w:hAnsi="Times New Roman" w:eastAsia="仿宋_GB2312" w:cs="仿宋_GB2312"/>
          <w:color w:val="auto"/>
          <w:kern w:val="2"/>
          <w:sz w:val="32"/>
          <w:szCs w:val="32"/>
          <w:highlight w:val="none"/>
          <w:lang w:val="en-US" w:eastAsia="zh-CN" w:bidi="ar-SA"/>
        </w:rPr>
        <w:t>6</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ascii="Times New Roman" w:hAnsi="Times New Roman" w:eastAsia="仿宋_GB2312" w:cs="仿宋_GB2312"/>
          <w:color w:val="auto"/>
          <w:kern w:val="2"/>
          <w:sz w:val="32"/>
          <w:szCs w:val="32"/>
          <w:highlight w:val="none"/>
          <w:lang w:val="en-US" w:eastAsia="zh-CN" w:bidi="ar-SA"/>
        </w:rPr>
        <w:t>1288.68</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12月预算执行总体进度为</w:t>
      </w:r>
      <w:r>
        <w:rPr>
          <w:rFonts w:hint="eastAsia" w:ascii="Times New Roman" w:hAnsi="Times New Roman"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%，其中：预算结余率大于10%的项目共计</w:t>
      </w:r>
      <w:r>
        <w:rPr>
          <w:rFonts w:hint="eastAsia" w:ascii="Times New Roman" w:hAnsi="Times New Roman"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14:paraId="0C096F2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w:t>
      </w:r>
    </w:p>
    <w:p w14:paraId="614F221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以202</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工作安排为参考，以202</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年工作计划为依据，预算安排共计</w:t>
      </w:r>
      <w:r>
        <w:rPr>
          <w:rFonts w:hint="eastAsia" w:ascii="Times New Roman" w:hAnsi="Times New Roman" w:eastAsia="仿宋_GB2312" w:cs="仿宋_GB2312"/>
          <w:color w:val="auto"/>
          <w:kern w:val="2"/>
          <w:sz w:val="32"/>
          <w:szCs w:val="32"/>
          <w:highlight w:val="none"/>
          <w:lang w:val="en-US" w:eastAsia="zh-CN" w:bidi="ar-SA"/>
        </w:rPr>
        <w:t>2056.85</w:t>
      </w:r>
      <w:r>
        <w:rPr>
          <w:rFonts w:hint="eastAsia" w:ascii="Times New Roman" w:hAnsi="Times New Roman" w:eastAsia="仿宋_GB2312" w:cs="仿宋_GB2312"/>
          <w:color w:val="auto"/>
          <w:kern w:val="2"/>
          <w:sz w:val="32"/>
          <w:szCs w:val="32"/>
          <w:highlight w:val="none"/>
          <w:lang w:val="zh-CN" w:eastAsia="zh-CN" w:bidi="ar-SA"/>
        </w:rPr>
        <w:t>万元，以不断提高服务对象满意度，及时发现工作存在的问题，提升工人服务质量，提高政策知晓率。投入成本与预期产出及效果相匹配，成本测算依据充分。同时在支出过程中，严格履行政府采购程序，合理控制成本，确保资金投入与支出比例合理。当年实际支出</w:t>
      </w:r>
      <w:r>
        <w:rPr>
          <w:rFonts w:hint="eastAsia" w:ascii="Times New Roman" w:hAnsi="Times New Roman" w:eastAsia="仿宋_GB2312" w:cs="仿宋_GB2312"/>
          <w:color w:val="auto"/>
          <w:kern w:val="2"/>
          <w:sz w:val="32"/>
          <w:szCs w:val="32"/>
          <w:highlight w:val="none"/>
          <w:lang w:val="en-US" w:eastAsia="zh-CN" w:bidi="ar-SA"/>
        </w:rPr>
        <w:t>2056.85</w:t>
      </w:r>
      <w:r>
        <w:rPr>
          <w:rFonts w:hint="eastAsia" w:ascii="Times New Roman" w:hAnsi="Times New Roman" w:eastAsia="仿宋_GB2312" w:cs="仿宋_GB2312"/>
          <w:color w:val="auto"/>
          <w:kern w:val="2"/>
          <w:sz w:val="32"/>
          <w:szCs w:val="32"/>
          <w:highlight w:val="none"/>
          <w:lang w:val="zh-CN" w:eastAsia="zh-CN" w:bidi="ar-SA"/>
        </w:rPr>
        <w:t>万元，执行率</w:t>
      </w:r>
      <w:r>
        <w:rPr>
          <w:rFonts w:hint="eastAsia" w:ascii="Times New Roman" w:hAnsi="Times New Roman"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zh-CN" w:eastAsia="zh-CN" w:bidi="ar-SA"/>
        </w:rPr>
        <w:t>%。</w:t>
      </w:r>
    </w:p>
    <w:p w14:paraId="53A0116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。围绕资金执行同向、项目调整、执行结果</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5D55C5D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项目实施期限主为202</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年1月至12月，由西区</w:t>
      </w:r>
      <w:r>
        <w:rPr>
          <w:rFonts w:hint="eastAsia" w:ascii="Times New Roman" w:hAnsi="Times New Roman" w:eastAsia="仿宋_GB2312" w:cs="仿宋_GB2312"/>
          <w:color w:val="auto"/>
          <w:kern w:val="2"/>
          <w:sz w:val="32"/>
          <w:szCs w:val="32"/>
          <w:highlight w:val="none"/>
          <w:lang w:val="en-US" w:eastAsia="zh-CN" w:bidi="ar-SA"/>
        </w:rPr>
        <w:t>机关事务服务中心</w:t>
      </w:r>
      <w:r>
        <w:rPr>
          <w:rFonts w:hint="eastAsia" w:ascii="Times New Roman" w:hAnsi="Times New Roman" w:eastAsia="仿宋_GB2312" w:cs="仿宋_GB2312"/>
          <w:color w:val="auto"/>
          <w:kern w:val="2"/>
          <w:sz w:val="32"/>
          <w:szCs w:val="32"/>
          <w:highlight w:val="none"/>
          <w:lang w:val="zh-CN" w:eastAsia="zh-CN" w:bidi="ar-SA"/>
        </w:rPr>
        <w:t>申报，西区财政局审核批复，主要用于保障</w:t>
      </w:r>
      <w:r>
        <w:rPr>
          <w:rFonts w:hint="eastAsia" w:ascii="Times New Roman" w:hAnsi="Times New Roman" w:eastAsia="仿宋_GB2312" w:cs="仿宋_GB2312"/>
          <w:color w:val="auto"/>
          <w:kern w:val="2"/>
          <w:sz w:val="32"/>
          <w:szCs w:val="32"/>
          <w:highlight w:val="none"/>
          <w:lang w:val="en-US" w:eastAsia="zh-CN" w:bidi="ar-SA"/>
        </w:rPr>
        <w:t>食堂运行维护经费</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公务用车平台运行维护经费</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保安执勤经费等项目</w:t>
      </w:r>
      <w:r>
        <w:rPr>
          <w:rFonts w:hint="eastAsia" w:ascii="Times New Roman" w:hAnsi="Times New Roman" w:eastAsia="仿宋_GB2312" w:cs="仿宋_GB2312"/>
          <w:color w:val="auto"/>
          <w:kern w:val="2"/>
          <w:sz w:val="32"/>
          <w:szCs w:val="32"/>
          <w:highlight w:val="none"/>
          <w:lang w:val="zh-CN" w:eastAsia="zh-CN" w:bidi="ar-SA"/>
        </w:rPr>
        <w:t>各项工作开展，加强项目实施过程中的监督审核，建立健全财政专项资金的公开机制、评审机制、跟踪检查机制，确保财政资金安全高效使用。</w:t>
      </w:r>
    </w:p>
    <w:p w14:paraId="320973B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目标实现。围绕目标完成、目标偏离、实现效果</w:t>
      </w:r>
      <w:r>
        <w:rPr>
          <w:rFonts w:hint="default" w:ascii="Times New Roman" w:hAnsi="Times New Roman" w:eastAsia="仿宋_GB2312" w:cs="仿宋_GB2312"/>
          <w:color w:val="auto"/>
          <w:kern w:val="2"/>
          <w:sz w:val="32"/>
          <w:szCs w:val="32"/>
          <w:highlight w:val="none"/>
          <w:lang w:val="zh-CN" w:eastAsia="zh-CN" w:bidi="ar-SA"/>
        </w:rPr>
        <w:t>进行绩效分析</w:t>
      </w:r>
      <w:r>
        <w:rPr>
          <w:rFonts w:hint="eastAsia" w:ascii="Times New Roman" w:hAnsi="Times New Roman" w:eastAsia="仿宋_GB2312" w:cs="仿宋_GB2312"/>
          <w:color w:val="auto"/>
          <w:kern w:val="2"/>
          <w:sz w:val="32"/>
          <w:szCs w:val="32"/>
          <w:highlight w:val="none"/>
          <w:lang w:val="zh-CN" w:eastAsia="zh-CN" w:bidi="ar-SA"/>
        </w:rPr>
        <w:t>。</w:t>
      </w:r>
    </w:p>
    <w:p w14:paraId="6D0F75D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2024年西区机关事务服务中心</w:t>
      </w:r>
      <w:r>
        <w:rPr>
          <w:rFonts w:hint="eastAsia" w:ascii="Times New Roman" w:hAnsi="Times New Roman" w:eastAsia="仿宋_GB2312" w:cs="仿宋_GB2312"/>
          <w:color w:val="auto"/>
          <w:kern w:val="2"/>
          <w:sz w:val="32"/>
          <w:szCs w:val="32"/>
          <w:highlight w:val="none"/>
          <w:lang w:val="zh-CN" w:eastAsia="zh-CN" w:bidi="ar-SA"/>
        </w:rPr>
        <w:t>预算资金</w:t>
      </w:r>
      <w:r>
        <w:rPr>
          <w:rFonts w:hint="eastAsia" w:ascii="Times New Roman" w:hAnsi="Times New Roman" w:eastAsia="仿宋_GB2312" w:cs="仿宋_GB2312"/>
          <w:color w:val="auto"/>
          <w:kern w:val="2"/>
          <w:sz w:val="32"/>
          <w:szCs w:val="32"/>
          <w:highlight w:val="none"/>
          <w:lang w:val="en-US" w:eastAsia="zh-CN" w:bidi="ar-SA"/>
        </w:rPr>
        <w:t>2056.86</w:t>
      </w:r>
      <w:r>
        <w:rPr>
          <w:rFonts w:hint="eastAsia" w:ascii="Times New Roman" w:hAnsi="Times New Roman" w:eastAsia="仿宋_GB2312" w:cs="仿宋_GB2312"/>
          <w:color w:val="auto"/>
          <w:kern w:val="2"/>
          <w:sz w:val="32"/>
          <w:szCs w:val="32"/>
          <w:highlight w:val="none"/>
          <w:lang w:val="zh-CN" w:eastAsia="zh-CN" w:bidi="ar-SA"/>
        </w:rPr>
        <w:t>万元由区财政局纳入一体化管理平台统一管理，专款专用，资金拨付执行审批程序，使用规范，入账手续齐全。</w:t>
      </w:r>
    </w:p>
    <w:p w14:paraId="45FF57D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（1）项目的经济效益分析。</w:t>
      </w:r>
    </w:p>
    <w:p w14:paraId="444750A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专项工作经费的预算符合国家财经法规和财务管理制度以及有关资金管理办法的规定，资金的拨付报帐有完整的审批程序和手续，资金使用符合项目预算批复，项目开展不超预算成本。严格执行项目管理制度，同时财务人员定期或不定期对资金使用、管理情况进行自查和检查，做到财务会计资料信息真实、及时、完整，资金的拨付有完整的审批程序和手续，各项制度执行落实较好，资金使用较为安全规范。项目开展控制在预算范围内。</w:t>
      </w:r>
    </w:p>
    <w:p w14:paraId="00B4F96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（2）项目的社会效益分析。</w:t>
      </w:r>
    </w:p>
    <w:p w14:paraId="21E46D9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促进地方经济发展、促进社会进步、带动就业、提高人民生活水平，顺利完成工作任务，达到预期目标。</w:t>
      </w:r>
    </w:p>
    <w:p w14:paraId="0BED558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（3）项目的可持续性分析。</w:t>
      </w:r>
    </w:p>
    <w:p w14:paraId="5192DE6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2024年度较好地完成了年初制定的工作目标任务，各个项目有序开展，整体支出平稳，较好地实现了社会效益和可持续效益目标。</w:t>
      </w:r>
    </w:p>
    <w:p w14:paraId="28692798">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none"/>
          <w:u w:val="none"/>
          <w:lang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089A3376">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szCs w:val="32"/>
          <w:highlight w:val="none"/>
          <w:u w:val="none"/>
          <w:lang w:val="en-US" w:eastAsia="zh-CN" w:bidi="ar"/>
        </w:rPr>
      </w:pPr>
      <w:r>
        <w:rPr>
          <w:rFonts w:hint="eastAsia" w:ascii="Times New Roman" w:hAnsi="Times New Roman" w:eastAsia="仿宋_GB2312" w:cs="Times New Roman"/>
          <w:sz w:val="32"/>
          <w:szCs w:val="32"/>
          <w:highlight w:val="none"/>
          <w:u w:val="none"/>
          <w:lang w:val="zh-CN" w:eastAsia="zh-CN" w:bidi="ar"/>
        </w:rPr>
        <w:t>本单位所有开支均按照财管管理制度执行，资金的使用严格把关，机关的日常工作运行基本得到保障。绩效评价对全年工作目标起到积极的促进作用。强调部门目标的层层分解与传递以明确岗位职责提高执行力，为明年的工作开展及实施奠定坚实的基础。我单位将绩效自评结果运用到下一年工作的统筹安排、项目资金划拨及按照工作任务的重要性来明确资金使用上，以提高工作效率保质保量完成区委区政府交办的各项工作任务。在绩效自评工作完成后将结果放在攀枝花市西区人民政府网站政务公开栏目中公开公示。</w:t>
      </w:r>
    </w:p>
    <w:p w14:paraId="448D5E9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2B10946B">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5D0135A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u w:val="none"/>
          <w:lang w:val="zh-CN" w:eastAsia="zh-CN" w:bidi="ar"/>
        </w:rPr>
      </w:pPr>
      <w:r>
        <w:rPr>
          <w:rFonts w:hint="eastAsia" w:ascii="Times New Roman" w:hAnsi="Times New Roman" w:eastAsia="仿宋_GB2312" w:cs="Times New Roman"/>
          <w:sz w:val="32"/>
          <w:szCs w:val="32"/>
          <w:u w:val="none"/>
          <w:lang w:val="en-US" w:eastAsia="zh-CN" w:bidi="ar"/>
        </w:rPr>
        <w:t>2024年西区机关事务服务中心整体支出绩效自评较科学准确，真实地反映了本单位财政收支情况，较好完成年初绩效目标任务，自评优秀。评价得分97分,其中总体绩效62分，项目绩效35分。</w:t>
      </w:r>
    </w:p>
    <w:p w14:paraId="4590F85A">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7B2BDDB5">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u w:val="none"/>
          <w:lang w:val="zh-CN" w:eastAsia="zh-CN" w:bidi="ar"/>
        </w:rPr>
      </w:pPr>
      <w:r>
        <w:rPr>
          <w:rFonts w:hint="default" w:ascii="Times New Roman" w:hAnsi="Times New Roman" w:eastAsia="仿宋_GB2312" w:cs="Times New Roman"/>
          <w:sz w:val="32"/>
          <w:szCs w:val="32"/>
          <w:u w:val="none"/>
          <w:lang w:val="en-US" w:eastAsia="zh-CN" w:bidi="ar"/>
        </w:rPr>
        <w:t>一是在资金安排和使用上仍有不可预见性：如在预算执行中，有时会因临时新增重要的工作任务或者人员增加发生新的费用，而年初预算时很难精确测算相关支出，导致预算执行中需要追加经费；二是因为个别专项工作需按照上级部门安排部署开展，本年度无法完成，导致项目资金结转下年</w:t>
      </w:r>
      <w:r>
        <w:rPr>
          <w:rFonts w:hint="eastAsia" w:ascii="Times New Roman" w:hAnsi="Times New Roman" w:eastAsia="仿宋_GB2312" w:cs="Times New Roman"/>
          <w:sz w:val="32"/>
          <w:szCs w:val="32"/>
          <w:u w:val="none"/>
          <w:lang w:val="en-US" w:eastAsia="zh-CN" w:bidi="ar"/>
        </w:rPr>
        <w:t>。</w:t>
      </w:r>
    </w:p>
    <w:p w14:paraId="10F6B6D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1" w:name="_Hlk110546638"/>
    </w:p>
    <w:bookmarkEnd w:id="51"/>
    <w:p w14:paraId="6BD2A0CF">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
        </w:rPr>
        <w:t>进一步完善和加强单位内部财务管理制度，加强预算编制的精准性及预算项目的可实施性，加强资金使用动态管理，确保资金使用效益最大化。</w:t>
      </w:r>
    </w:p>
    <w:p w14:paraId="47D99D27">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10B0F860">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p>
    <w:p w14:paraId="0A879506">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D55BA36">
      <w:pPr>
        <w:pStyle w:val="2"/>
        <w:rPr>
          <w:rFonts w:hint="eastAsia" w:ascii="Times New Roman" w:hAnsi="Times New Roman" w:cs="宋体"/>
          <w:color w:val="FF0000"/>
          <w:kern w:val="0"/>
          <w:sz w:val="32"/>
          <w:szCs w:val="32"/>
          <w:highlight w:val="yellow"/>
          <w:shd w:val="clear" w:color="auto" w:fill="FFFFFF"/>
          <w:lang w:val="zh-CN"/>
        </w:rPr>
      </w:pPr>
    </w:p>
    <w:p w14:paraId="1B37AA9A">
      <w:pPr>
        <w:rPr>
          <w:rFonts w:hint="eastAsia" w:ascii="Times New Roman" w:hAnsi="Times New Roman" w:eastAsia="仿宋"/>
          <w:b w:val="0"/>
          <w:color w:val="auto"/>
          <w:highlight w:val="none"/>
        </w:rPr>
      </w:pPr>
      <w:bookmarkStart w:id="52" w:name="_Toc15396618"/>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49"/>
      <w:bookmarkEnd w:id="52"/>
      <w:bookmarkStart w:id="53" w:name="_Toc15396619"/>
    </w:p>
    <w:p w14:paraId="2D27EFB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96A3C7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3"/>
    </w:p>
    <w:p w14:paraId="3769E43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0"/>
      <w:r>
        <w:rPr>
          <w:rFonts w:hint="eastAsia" w:ascii="Times New Roman" w:hAnsi="Times New Roman" w:eastAsia="仿宋_GB2312" w:cs="仿宋_GB2312"/>
          <w:color w:val="auto"/>
          <w:sz w:val="32"/>
          <w:szCs w:val="32"/>
          <w:highlight w:val="none"/>
        </w:rPr>
        <w:t>二、收入决算表</w:t>
      </w:r>
      <w:bookmarkEnd w:id="54"/>
    </w:p>
    <w:p w14:paraId="5D74523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1"/>
      <w:r>
        <w:rPr>
          <w:rFonts w:hint="eastAsia" w:ascii="Times New Roman" w:hAnsi="Times New Roman" w:eastAsia="仿宋_GB2312" w:cs="仿宋_GB2312"/>
          <w:color w:val="auto"/>
          <w:sz w:val="32"/>
          <w:szCs w:val="32"/>
          <w:highlight w:val="none"/>
        </w:rPr>
        <w:t>三、支出决算表</w:t>
      </w:r>
      <w:bookmarkEnd w:id="55"/>
    </w:p>
    <w:p w14:paraId="1193C45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2"/>
      <w:r>
        <w:rPr>
          <w:rFonts w:hint="eastAsia" w:ascii="Times New Roman" w:hAnsi="Times New Roman" w:eastAsia="仿宋_GB2312" w:cs="仿宋_GB2312"/>
          <w:color w:val="auto"/>
          <w:sz w:val="32"/>
          <w:szCs w:val="32"/>
          <w:highlight w:val="none"/>
        </w:rPr>
        <w:t>四、财政拨款收入支出决算总表</w:t>
      </w:r>
      <w:bookmarkEnd w:id="56"/>
    </w:p>
    <w:p w14:paraId="69F2A30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3"/>
      <w:r>
        <w:rPr>
          <w:rFonts w:hint="eastAsia" w:ascii="Times New Roman" w:hAnsi="Times New Roman" w:eastAsia="仿宋_GB2312" w:cs="仿宋_GB2312"/>
          <w:color w:val="auto"/>
          <w:sz w:val="32"/>
          <w:szCs w:val="32"/>
          <w:highlight w:val="none"/>
        </w:rPr>
        <w:t>五、财政拨款支出决算明细表</w:t>
      </w:r>
      <w:bookmarkEnd w:id="57"/>
      <w:bookmarkStart w:id="58" w:name="_Toc15396624"/>
    </w:p>
    <w:p w14:paraId="2EDB8ED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8"/>
    </w:p>
    <w:p w14:paraId="5407FD9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5"/>
      <w:r>
        <w:rPr>
          <w:rFonts w:hint="eastAsia" w:ascii="Times New Roman" w:hAnsi="Times New Roman" w:eastAsia="仿宋_GB2312" w:cs="仿宋_GB2312"/>
          <w:color w:val="auto"/>
          <w:sz w:val="32"/>
          <w:szCs w:val="32"/>
          <w:highlight w:val="none"/>
        </w:rPr>
        <w:t>七、一般公共预算财政拨款支出决算明细表</w:t>
      </w:r>
      <w:bookmarkEnd w:id="59"/>
    </w:p>
    <w:p w14:paraId="140877A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6"/>
      <w:r>
        <w:rPr>
          <w:rFonts w:hint="eastAsia" w:ascii="Times New Roman" w:hAnsi="Times New Roman" w:eastAsia="仿宋_GB2312" w:cs="仿宋_GB2312"/>
          <w:color w:val="auto"/>
          <w:sz w:val="32"/>
          <w:szCs w:val="32"/>
          <w:highlight w:val="none"/>
        </w:rPr>
        <w:t>八、一般公共预算财政拨款基本支出决算表</w:t>
      </w:r>
      <w:bookmarkEnd w:id="60"/>
    </w:p>
    <w:p w14:paraId="4AD5276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7"/>
      <w:r>
        <w:rPr>
          <w:rFonts w:hint="eastAsia" w:ascii="Times New Roman" w:hAnsi="Times New Roman" w:eastAsia="仿宋_GB2312" w:cs="仿宋_GB2312"/>
          <w:color w:val="auto"/>
          <w:sz w:val="32"/>
          <w:szCs w:val="32"/>
          <w:highlight w:val="none"/>
        </w:rPr>
        <w:t>九、一般公共预算财政拨款项目支出决算表</w:t>
      </w:r>
      <w:bookmarkEnd w:id="61"/>
    </w:p>
    <w:p w14:paraId="67AA2A0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8"/>
      <w:r>
        <w:rPr>
          <w:rFonts w:hint="eastAsia" w:ascii="Times New Roman" w:hAnsi="Times New Roman" w:eastAsia="仿宋_GB2312" w:cs="仿宋_GB2312"/>
          <w:color w:val="auto"/>
          <w:sz w:val="32"/>
          <w:szCs w:val="32"/>
          <w:highlight w:val="none"/>
        </w:rPr>
        <w:t>十、</w:t>
      </w:r>
      <w:bookmarkEnd w:id="62"/>
      <w:r>
        <w:rPr>
          <w:rFonts w:hint="eastAsia" w:ascii="Times New Roman" w:hAnsi="Times New Roman" w:eastAsia="仿宋_GB2312" w:cs="仿宋_GB2312"/>
          <w:color w:val="auto"/>
          <w:sz w:val="32"/>
          <w:szCs w:val="32"/>
          <w:highlight w:val="none"/>
        </w:rPr>
        <w:t>政府性基金预算财政拨款收入支出决算表</w:t>
      </w:r>
    </w:p>
    <w:p w14:paraId="7DF9AC5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9"/>
      <w:r>
        <w:rPr>
          <w:rFonts w:hint="eastAsia" w:ascii="Times New Roman" w:hAnsi="Times New Roman" w:eastAsia="仿宋_GB2312" w:cs="仿宋_GB2312"/>
          <w:color w:val="auto"/>
          <w:sz w:val="32"/>
          <w:szCs w:val="32"/>
          <w:highlight w:val="none"/>
        </w:rPr>
        <w:t>十一、</w:t>
      </w:r>
      <w:bookmarkEnd w:id="63"/>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610661A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30"/>
      <w:r>
        <w:rPr>
          <w:rFonts w:hint="eastAsia" w:ascii="Times New Roman" w:hAnsi="Times New Roman" w:eastAsia="仿宋_GB2312" w:cs="仿宋_GB2312"/>
          <w:color w:val="auto"/>
          <w:sz w:val="32"/>
          <w:szCs w:val="32"/>
          <w:highlight w:val="none"/>
        </w:rPr>
        <w:t>十二、</w:t>
      </w:r>
      <w:bookmarkEnd w:id="64"/>
      <w:r>
        <w:rPr>
          <w:rFonts w:hint="eastAsia" w:ascii="Times New Roman" w:hAnsi="Times New Roman" w:eastAsia="仿宋_GB2312" w:cs="仿宋_GB2312"/>
          <w:color w:val="auto"/>
          <w:sz w:val="32"/>
          <w:szCs w:val="32"/>
          <w:highlight w:val="none"/>
          <w:lang w:eastAsia="zh-CN"/>
        </w:rPr>
        <w:t>国有资本经营预算财政拨款支出决算表</w:t>
      </w:r>
    </w:p>
    <w:p w14:paraId="3A33934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5" w:name="_Toc15396631"/>
      <w:r>
        <w:rPr>
          <w:rFonts w:hint="eastAsia" w:ascii="Times New Roman" w:hAnsi="Times New Roman" w:eastAsia="仿宋_GB2312" w:cs="仿宋_GB2312"/>
          <w:color w:val="auto"/>
          <w:sz w:val="32"/>
          <w:szCs w:val="32"/>
          <w:highlight w:val="none"/>
        </w:rPr>
        <w:t>十三、</w:t>
      </w:r>
      <w:bookmarkEnd w:id="65"/>
      <w:r>
        <w:rPr>
          <w:rFonts w:hint="eastAsia" w:ascii="Times New Roman" w:hAnsi="Times New Roman" w:eastAsia="仿宋_GB2312" w:cs="仿宋_GB2312"/>
          <w:color w:val="auto"/>
          <w:sz w:val="32"/>
          <w:szCs w:val="32"/>
          <w:highlight w:val="none"/>
          <w:lang w:eastAsia="zh-CN"/>
        </w:rPr>
        <w:t>财政拨款“三公”经费支出决算表</w:t>
      </w:r>
    </w:p>
    <w:p w14:paraId="669938AB">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0E301">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CE890">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CCE890">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778CD8D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68FD4">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46F9BF">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846F9BF">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7326D">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60919">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FC60919">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45E3B4B1">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94654">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B083D">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16B083D">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AD1ED">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8F169B9"/>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A99017E"/>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9B1068"/>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CF75E80"/>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9A5192"/>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6"/>
    <w:qFormat/>
    <w:uiPriority w:val="99"/>
    <w:pPr>
      <w:spacing w:beforeLines="30"/>
    </w:pPr>
    <w:rPr>
      <w:rFonts w:ascii="仿宋_GB2312" w:eastAsia="仿宋_GB2312"/>
      <w:kern w:val="0"/>
      <w:sz w:val="30"/>
    </w:rPr>
  </w:style>
  <w:style w:type="paragraph" w:styleId="3">
    <w:name w:val="Block Text"/>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4"/>
    <w:qFormat/>
    <w:uiPriority w:val="9"/>
    <w:rPr>
      <w:rFonts w:ascii="Times New Roman" w:hAnsi="Times New Roman"/>
      <w:b/>
      <w:bCs/>
      <w:kern w:val="44"/>
      <w:sz w:val="44"/>
      <w:szCs w:val="44"/>
    </w:rPr>
  </w:style>
  <w:style w:type="character" w:customStyle="1" w:styleId="30">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6"/>
    <w:qFormat/>
    <w:uiPriority w:val="9"/>
    <w:rPr>
      <w:rFonts w:ascii="Times New Roman" w:hAnsi="Times New Roman"/>
      <w:b/>
      <w:bCs/>
      <w:kern w:val="2"/>
      <w:sz w:val="32"/>
      <w:szCs w:val="32"/>
    </w:r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7873</Words>
  <Characters>8535</Characters>
  <Lines>61</Lines>
  <Paragraphs>17</Paragraphs>
  <TotalTime>7</TotalTime>
  <ScaleCrop>false</ScaleCrop>
  <LinksUpToDate>false</LinksUpToDate>
  <CharactersWithSpaces>8591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玥凝</cp:lastModifiedBy>
  <cp:lastPrinted>2025-08-06T17:34:00Z</cp:lastPrinted>
  <dcterms:modified xsi:type="dcterms:W3CDTF">2025-10-27T02:54:21Z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eyJoZGlkIjoiMmY2YmUxZjk2NzRmYTg5MDQ2ZDU3YTM2YzM2MGI4ZDIiLCJ1c2VySWQiOiI1NzIwNzc5ODAifQ==</vt:lpwstr>
  </property>
</Properties>
</file>