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7425"/>
      <w:bookmarkStart w:id="3" w:name="_Toc15396597"/>
      <w:bookmarkStart w:id="4" w:name="_Toc15396475"/>
      <w:bookmarkStart w:id="5" w:name="_Toc15378441"/>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攀枝花市西区信访局</w:t>
      </w:r>
    </w:p>
    <w:p>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3" w:name="_GoBack"/>
      <w:bookmarkEnd w:id="63"/>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adjustRightInd w:val="0"/>
        <w:snapToGrid w:val="0"/>
        <w:spacing w:before="0" w:line="440" w:lineRule="exact"/>
        <w:jc w:val="left"/>
        <w:rPr>
          <w:rFonts w:hint="eastAsia" w:eastAsia="仿宋" w:cstheme="minorBidi"/>
          <w:sz w:val="24"/>
          <w:szCs w:val="24"/>
          <w:lang w:val="en-US" w:eastAsia="zh-CN"/>
        </w:rPr>
      </w:pPr>
      <w:bookmarkStart w:id="6" w:name="_Toc15377196"/>
      <w:bookmarkStart w:id="7" w:name="_Toc15396599"/>
      <w:r>
        <w:rPr>
          <w:rFonts w:hint="eastAsia"/>
          <w:sz w:val="24"/>
        </w:rPr>
        <w:t>第一部分</w:t>
      </w:r>
      <w:r>
        <w:rPr>
          <w:sz w:val="24"/>
        </w:rPr>
        <w:t xml:space="preserve"> </w:t>
      </w:r>
      <w:r>
        <w:rPr>
          <w:rFonts w:hint="eastAsia"/>
          <w:sz w:val="24"/>
          <w:lang w:eastAsia="zh-CN"/>
        </w:rPr>
        <w:t>单位</w:t>
      </w:r>
      <w:r>
        <w:rPr>
          <w:rFonts w:hint="eastAsia"/>
          <w:sz w:val="24"/>
        </w:rPr>
        <w:t>概况</w:t>
      </w:r>
      <w:r>
        <w:rPr>
          <w:rFonts w:cstheme="minorBidi"/>
          <w:sz w:val="24"/>
          <w:szCs w:val="24"/>
        </w:rPr>
        <w:tab/>
      </w:r>
      <w:r>
        <w:rPr>
          <w:rFonts w:hint="eastAsia" w:cstheme="minorBidi"/>
          <w:sz w:val="24"/>
          <w:szCs w:val="24"/>
          <w:lang w:val="en-US" w:eastAsia="zh-CN"/>
        </w:rPr>
        <w:t>3</w:t>
      </w:r>
    </w:p>
    <w:p>
      <w:pPr>
        <w:pStyle w:val="14"/>
        <w:adjustRightInd w:val="0"/>
        <w:snapToGrid w:val="0"/>
        <w:spacing w:line="440" w:lineRule="exact"/>
        <w:jc w:val="left"/>
        <w:rPr>
          <w:rFonts w:hint="eastAsia" w:ascii="仿宋" w:hAnsi="仿宋" w:eastAsia="仿宋" w:cstheme="minorBidi"/>
          <w:kern w:val="2"/>
          <w:sz w:val="24"/>
          <w:szCs w:val="24"/>
          <w:lang w:val="en-US" w:eastAsia="zh-CN" w:bidi="ar-SA"/>
        </w:rPr>
      </w:pPr>
      <w:r>
        <w:rPr>
          <w:rFonts w:hint="eastAsia"/>
          <w:sz w:val="24"/>
        </w:rPr>
        <w:t>一、主要职责</w:t>
      </w:r>
      <w:r>
        <w:rPr>
          <w:rFonts w:cstheme="minorBidi"/>
          <w:sz w:val="24"/>
          <w:szCs w:val="24"/>
        </w:rPr>
        <w:tab/>
      </w:r>
      <w:r>
        <w:rPr>
          <w:rFonts w:hint="eastAsia" w:ascii="仿宋" w:hAnsi="仿宋" w:eastAsia="仿宋" w:cstheme="minorBidi"/>
          <w:kern w:val="2"/>
          <w:sz w:val="24"/>
          <w:szCs w:val="24"/>
          <w:lang w:val="en-US" w:eastAsia="zh-CN" w:bidi="ar-SA"/>
        </w:rPr>
        <w:t>3</w:t>
      </w:r>
    </w:p>
    <w:p>
      <w:pPr>
        <w:pStyle w:val="14"/>
        <w:adjustRightInd w:val="0"/>
        <w:snapToGrid w:val="0"/>
        <w:spacing w:line="440" w:lineRule="exact"/>
        <w:jc w:val="left"/>
        <w:rPr>
          <w:rFonts w:hint="eastAsia" w:eastAsia="宋体"/>
          <w:lang w:val="en-US" w:eastAsia="zh-CN"/>
        </w:rPr>
      </w:pPr>
      <w:r>
        <w:rPr>
          <w:rFonts w:hint="eastAsia"/>
          <w:sz w:val="24"/>
        </w:rPr>
        <w:t>二、机构设置</w:t>
      </w:r>
      <w:r>
        <w:rPr>
          <w:rFonts w:cstheme="minorBidi"/>
          <w:sz w:val="24"/>
          <w:szCs w:val="24"/>
        </w:rPr>
        <w:tab/>
      </w:r>
      <w:r>
        <w:rPr>
          <w:rFonts w:hint="eastAsia" w:ascii="仿宋" w:hAnsi="仿宋" w:eastAsia="仿宋" w:cstheme="minorBidi"/>
          <w:kern w:val="2"/>
          <w:sz w:val="24"/>
          <w:szCs w:val="24"/>
          <w:lang w:val="en-US" w:eastAsia="zh-CN" w:bidi="ar-SA"/>
        </w:rPr>
        <w:t>4</w:t>
      </w:r>
    </w:p>
    <w:p>
      <w:pPr>
        <w:pStyle w:val="12"/>
        <w:adjustRightInd w:val="0"/>
        <w:snapToGrid w:val="0"/>
        <w:spacing w:before="0" w:line="440" w:lineRule="exact"/>
        <w:jc w:val="left"/>
        <w:rPr>
          <w:rFonts w:hint="eastAsia"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w:t>
      </w:r>
      <w:r>
        <w:rPr>
          <w:rFonts w:hint="eastAsia"/>
          <w:sz w:val="24"/>
          <w:lang w:eastAsia="zh-CN"/>
        </w:rPr>
        <w:t>单位</w:t>
      </w:r>
      <w:r>
        <w:rPr>
          <w:rFonts w:hint="eastAsia"/>
          <w:sz w:val="24"/>
        </w:rPr>
        <w:t>决算情况说明</w:t>
      </w:r>
      <w:r>
        <w:rPr>
          <w:rFonts w:cstheme="minorBidi"/>
          <w:sz w:val="24"/>
          <w:szCs w:val="24"/>
        </w:rPr>
        <w:tab/>
      </w:r>
      <w:r>
        <w:rPr>
          <w:rFonts w:hint="eastAsia"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cstheme="minorBidi"/>
          <w:sz w:val="24"/>
          <w:szCs w:val="24"/>
        </w:rPr>
        <w:tab/>
      </w:r>
      <w:r>
        <w:rPr>
          <w:rFonts w:hint="eastAsia" w:ascii="仿宋" w:hAnsi="仿宋" w:eastAsia="仿宋"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cstheme="minorBidi"/>
          <w:sz w:val="24"/>
          <w:szCs w:val="24"/>
        </w:rPr>
        <w:tab/>
      </w:r>
      <w:r>
        <w:rPr>
          <w:rFonts w:hint="eastAsia" w:ascii="仿宋" w:hAnsi="仿宋" w:eastAsia="仿宋"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cstheme="minorBidi"/>
          <w:sz w:val="24"/>
          <w:szCs w:val="24"/>
        </w:rPr>
        <w:tab/>
      </w:r>
      <w:r>
        <w:rPr>
          <w:rFonts w:hint="eastAsia" w:ascii="仿宋" w:hAnsi="仿宋" w:eastAsia="仿宋" w:cstheme="minorBidi"/>
          <w:kern w:val="2"/>
          <w:sz w:val="24"/>
          <w:szCs w:val="24"/>
          <w:lang w:val="en-US" w:eastAsia="zh-CN" w:bidi="ar-SA"/>
        </w:rPr>
        <w:t>6</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cstheme="minorBidi"/>
          <w:sz w:val="24"/>
          <w:szCs w:val="24"/>
        </w:rPr>
        <w:tab/>
      </w:r>
      <w:r>
        <w:rPr>
          <w:rFonts w:hint="eastAsia" w:ascii="仿宋" w:hAnsi="仿宋" w:eastAsia="仿宋" w:cstheme="minorBidi"/>
          <w:kern w:val="2"/>
          <w:sz w:val="24"/>
          <w:szCs w:val="24"/>
          <w:lang w:val="en-US" w:eastAsia="zh-CN" w:bidi="ar-SA"/>
        </w:rPr>
        <w:t>6</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cstheme="minorBidi"/>
          <w:sz w:val="24"/>
          <w:szCs w:val="24"/>
        </w:rPr>
        <w:tab/>
      </w:r>
      <w:r>
        <w:rPr>
          <w:rFonts w:hint="eastAsia" w:ascii="仿宋" w:hAnsi="仿宋" w:eastAsia="仿宋" w:cstheme="minorBidi"/>
          <w:kern w:val="2"/>
          <w:sz w:val="24"/>
          <w:szCs w:val="24"/>
          <w:lang w:val="en-US" w:eastAsia="zh-CN" w:bidi="ar-SA"/>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cstheme="minorBidi"/>
          <w:sz w:val="24"/>
          <w:szCs w:val="24"/>
        </w:rPr>
        <w:tab/>
      </w:r>
      <w:r>
        <w:rPr>
          <w:rFonts w:hint="eastAsia" w:ascii="仿宋" w:hAnsi="仿宋" w:eastAsia="仿宋" w:cstheme="minorBidi"/>
          <w:kern w:val="2"/>
          <w:sz w:val="24"/>
          <w:szCs w:val="24"/>
          <w:lang w:val="en-US" w:eastAsia="zh-CN" w:bidi="ar-SA"/>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cstheme="minorBidi"/>
          <w:sz w:val="24"/>
          <w:szCs w:val="24"/>
        </w:rPr>
        <w:tab/>
      </w:r>
      <w:r>
        <w:rPr>
          <w:rFonts w:hint="eastAsia" w:ascii="仿宋" w:hAnsi="仿宋" w:eastAsia="仿宋" w:cstheme="minorBidi"/>
          <w:kern w:val="2"/>
          <w:sz w:val="24"/>
          <w:szCs w:val="24"/>
          <w:lang w:val="en-US" w:eastAsia="zh-CN" w:bidi="ar-SA"/>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cstheme="minorBidi"/>
          <w:sz w:val="24"/>
          <w:szCs w:val="24"/>
        </w:rPr>
        <w:tab/>
      </w:r>
      <w:r>
        <w:rPr>
          <w:rFonts w:hint="eastAsia" w:ascii="仿宋" w:hAnsi="仿宋" w:eastAsia="仿宋" w:cstheme="minorBidi"/>
          <w:kern w:val="2"/>
          <w:sz w:val="24"/>
          <w:szCs w:val="24"/>
          <w:lang w:val="en-US" w:eastAsia="zh-CN" w:bidi="ar-SA"/>
        </w:rPr>
        <w:t>11</w:t>
      </w:r>
    </w:p>
    <w:p>
      <w:pPr>
        <w:pStyle w:val="14"/>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cstheme="minorBidi"/>
          <w:sz w:val="24"/>
          <w:szCs w:val="24"/>
        </w:rPr>
        <w:tab/>
      </w:r>
      <w:r>
        <w:rPr>
          <w:rFonts w:hint="eastAsia" w:ascii="仿宋" w:hAnsi="仿宋" w:eastAsia="仿宋" w:cstheme="minorBidi"/>
          <w:kern w:val="2"/>
          <w:sz w:val="24"/>
          <w:szCs w:val="24"/>
          <w:lang w:val="en-US" w:eastAsia="zh-CN" w:bidi="ar-SA"/>
        </w:rPr>
        <w:t>12</w:t>
      </w:r>
    </w:p>
    <w:p>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cstheme="minorBidi"/>
          <w:sz w:val="24"/>
          <w:szCs w:val="24"/>
        </w:rPr>
        <w:tab/>
      </w:r>
      <w:r>
        <w:rPr>
          <w:rFonts w:hint="eastAsia" w:ascii="仿宋" w:hAnsi="仿宋" w:eastAsia="仿宋" w:cstheme="minorBidi"/>
          <w:kern w:val="2"/>
          <w:sz w:val="24"/>
          <w:szCs w:val="24"/>
          <w:lang w:val="en-US" w:eastAsia="zh-CN" w:bidi="ar-SA"/>
        </w:rPr>
        <w:t>12</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eastAsia" w:cstheme="minorBidi"/>
          <w:sz w:val="24"/>
          <w:szCs w:val="24"/>
          <w:lang w:val="en-US" w:eastAsia="zh-CN"/>
        </w:rPr>
        <w:t>14</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17</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cstheme="minorBidi"/>
          <w:sz w:val="24"/>
          <w:szCs w:val="24"/>
        </w:rPr>
        <w:tab/>
      </w:r>
      <w:r>
        <w:rPr>
          <w:rFonts w:hint="eastAsia" w:cstheme="minorBidi"/>
          <w:sz w:val="24"/>
          <w:szCs w:val="24"/>
          <w:lang w:val="en-US" w:eastAsia="zh-CN"/>
        </w:rPr>
        <w:t>18</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bookmarkStart w:id="10" w:name="_Toc15396601"/>
      <w:bookmarkStart w:id="11" w:name="_Toc15377200"/>
      <w:r>
        <w:rPr>
          <w:rFonts w:hint="eastAsia" w:ascii="Times New Roman" w:hAnsi="Times New Roman" w:eastAsia="仿宋_GB2312" w:cs="仿宋_GB2312"/>
          <w:color w:val="auto"/>
          <w:kern w:val="2"/>
          <w:sz w:val="32"/>
          <w:szCs w:val="32"/>
          <w:highlight w:val="none"/>
          <w:lang w:val="en-US" w:eastAsia="zh-CN" w:bidi="ar-SA"/>
        </w:rPr>
        <w:t>1.贯彻执行党和国家关于信访工作的方针、政策、法律、法规以及各级党委、政府的决策部署；提出改进和加强信访工作的建议；负责本系统、本部门依法行政工作。</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2.负责向区委、区政府反映来信来电来访中提出的重要建议、意见和问题，综合研判信访信息，开展调查研究，提出制定修改完善有关政策法规的建议。</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3.指导全区信访工作，督促检查镇、街道和区级各部门（单位）的信访工作，并总结推广信访工作经验，牵头完成信访工作宣传和信息发布。</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4.负责处理区内外群众、境外人士、法人及其他组织通过信访渠道给区委、区政府及领导同志涉及本辖区权限内的来信来电，接待来访。</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5.承担处理群众进京赴省到市、区集体上访和非接待场所上访的责任。</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6.承担上级批示交办信访事项，向镇、街道及区级各部门（单位）转办、交办信访事项，督促检查重要信访事项的处理和落实。</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7.制定信访信息汇集分析机制，指导全区信访信息化建设和应用。</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8.承担区信访工作联席会议、区政府信访事项复查复核委员会日常工作，监督落实有关事项。</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9.负责职责范围内的安全生产和职业健康、生态环境保护、审批服务便民化工作。</w:t>
      </w:r>
    </w:p>
    <w:p>
      <w:pPr>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Times New Roman" w:hAnsi="Times New Roman" w:eastAsia="黑体"/>
          <w:b w:val="0"/>
          <w:color w:val="auto"/>
          <w:highlight w:val="none"/>
        </w:rPr>
      </w:pPr>
      <w:r>
        <w:rPr>
          <w:rFonts w:hint="eastAsia" w:ascii="Times New Roman" w:hAnsi="Times New Roman" w:eastAsia="仿宋_GB2312" w:cs="仿宋_GB2312"/>
          <w:color w:val="auto"/>
          <w:kern w:val="2"/>
          <w:sz w:val="32"/>
          <w:szCs w:val="32"/>
          <w:highlight w:val="none"/>
          <w:lang w:val="en-US" w:eastAsia="zh-CN" w:bidi="ar-SA"/>
        </w:rPr>
        <w:t>10.完成区委和区政府交办的其他任务。</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攀枝花市西区信访局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攀枝花市西区信访局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 w:hAnsi="仿宋" w:eastAsia="仿宋"/>
          <w:sz w:val="32"/>
          <w:szCs w:val="32"/>
          <w:lang w:eastAsia="zh-CN"/>
        </w:rPr>
        <w:t>攀枝花市</w:t>
      </w:r>
      <w:r>
        <w:rPr>
          <w:rFonts w:hint="eastAsia" w:ascii="仿宋_GB2312" w:hAnsi="仿宋" w:eastAsia="仿宋_GB2312"/>
          <w:sz w:val="32"/>
          <w:szCs w:val="32"/>
        </w:rPr>
        <w:t>西区群众工作中心</w:t>
      </w:r>
    </w:p>
    <w:p>
      <w:pPr>
        <w:pStyle w:val="2"/>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257.44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362450" cy="2781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62450" cy="278130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252.2万元，其中：一般公共预算财政拨款收入252.2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67125" cy="25717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3667125" cy="25717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257.41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90.44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24.59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514725" cy="271462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514725" cy="271462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257.4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52950" cy="27241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52950" cy="272415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%。与2023年度相比，一般公共预算财政拨款支出增加42.44万元，增长16.49%。主要变动原因是人员经费、项目经费增加。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14825" cy="272415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314825" cy="272415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169.02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65.66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57.73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22.43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17.72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12.94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29150" cy="262890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629150" cy="262890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78.34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2.一般公共服务支出（类）信访事务（款）一般行政管理事务（项）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22.59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一般公共服务支出（类）信访事务（款）信访业务（项）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一般公共服务支出（类）信访事务（款）其他信访事务支出（项）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66.09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8.社会保障和就业支出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 支出决算为</w:t>
      </w:r>
      <w:r>
        <w:rPr>
          <w:rFonts w:hint="eastAsia" w:eastAsia="仿宋_GB2312" w:cs="仿宋_GB2312"/>
          <w:color w:val="auto"/>
          <w:kern w:val="2"/>
          <w:sz w:val="32"/>
          <w:szCs w:val="32"/>
          <w:highlight w:val="none"/>
          <w:lang w:val="en-US" w:eastAsia="zh-CN" w:bidi="ar-SA"/>
        </w:rPr>
        <w:t>4.68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 支出决算为</w:t>
      </w:r>
      <w:r>
        <w:rPr>
          <w:rFonts w:hint="eastAsia" w:eastAsia="仿宋_GB2312" w:cs="仿宋_GB2312"/>
          <w:color w:val="auto"/>
          <w:kern w:val="2"/>
          <w:sz w:val="32"/>
          <w:szCs w:val="32"/>
          <w:highlight w:val="none"/>
          <w:lang w:val="en-US" w:eastAsia="zh-CN" w:bidi="ar-SA"/>
        </w:rPr>
        <w:t>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 支出决算为</w:t>
      </w:r>
      <w:r>
        <w:rPr>
          <w:rFonts w:hint="eastAsia" w:eastAsia="仿宋_GB2312" w:cs="仿宋_GB2312"/>
          <w:color w:val="auto"/>
          <w:kern w:val="2"/>
          <w:sz w:val="32"/>
          <w:szCs w:val="32"/>
          <w:highlight w:val="none"/>
          <w:lang w:val="en-US" w:eastAsia="zh-CN" w:bidi="ar-SA"/>
        </w:rPr>
        <w:t>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 支出决算为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 支出决算为</w:t>
      </w:r>
      <w:r>
        <w:rPr>
          <w:rFonts w:hint="eastAsia" w:eastAsia="仿宋_GB2312" w:cs="仿宋_GB2312"/>
          <w:color w:val="auto"/>
          <w:kern w:val="2"/>
          <w:sz w:val="32"/>
          <w:szCs w:val="32"/>
          <w:highlight w:val="none"/>
          <w:lang w:val="en-US" w:eastAsia="zh-CN" w:bidi="ar-SA"/>
        </w:rPr>
        <w:t>12.94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232.82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221.82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元，主要包括：办公费、水费、邮电费、差旅费、维修（护）费、培训费、劳务费、委托业务费、工会经费、福利费、其他交通费、其他商品和服务支出、办公设备购置。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与2023年度持平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20.56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本年度未安排政府性基金预算财政拨款。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1.36</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是办公费增加。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接访业务费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攀枝花市西区信访局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攀枝花市西区信访局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bookmarkStart w:id="47" w:name="_Toc15377226"/>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sz w:val="32"/>
          <w:szCs w:val="32"/>
          <w:lang w:eastAsia="zh-CN"/>
        </w:rPr>
        <w:t>银行存款利息收入</w:t>
      </w:r>
      <w:r>
        <w:rPr>
          <w:rFonts w:hint="eastAsia" w:ascii="仿宋_GB2312" w:eastAsia="仿宋_GB2312"/>
          <w:color w:val="auto"/>
          <w:sz w:val="32"/>
          <w:szCs w:val="32"/>
        </w:rPr>
        <w:t>。</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olor w:val="000000"/>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color w:val="000000"/>
          <w:sz w:val="32"/>
          <w:szCs w:val="32"/>
        </w:rPr>
        <w:t>一般公共服务（类）</w:t>
      </w:r>
      <w:r>
        <w:rPr>
          <w:rFonts w:hint="eastAsia" w:ascii="仿宋" w:hAnsi="仿宋" w:eastAsia="仿宋"/>
          <w:color w:val="000000"/>
          <w:sz w:val="32"/>
          <w:szCs w:val="32"/>
        </w:rPr>
        <w:t>政府办公厅（室）及相关机构事务（款）行政运行（项）：反映行政单位（包括实行公务员管理的事业单位）的基本支出；信访事务（项）：反映各级政府用于接待群众来信来访方面的支出；事业运行（项）：反映事业单位的基本支出，不包括行政单位（包括实行公务员管理的事业单位）后勤服务中心、医务室等附属事业单</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.社会保障和就业支出（类）行政事业单位养老支出（款）</w:t>
      </w:r>
      <w:r>
        <w:rPr>
          <w:rFonts w:hint="eastAsia" w:ascii="仿宋" w:hAnsi="仿宋" w:eastAsia="仿宋"/>
          <w:color w:val="000000"/>
          <w:sz w:val="32"/>
          <w:szCs w:val="32"/>
        </w:rPr>
        <w:t>行政单位离退休（项）：反映行政单位（包括实行公务员管理的事业单位）开支的离退休经费；</w:t>
      </w:r>
      <w:r>
        <w:rPr>
          <w:rFonts w:hint="eastAsia" w:ascii="仿宋_GB2312" w:eastAsia="仿宋_GB2312"/>
          <w:color w:val="000000"/>
          <w:sz w:val="32"/>
          <w:szCs w:val="32"/>
        </w:rPr>
        <w:t>机关事业单位基本养老保险缴费支出（项）：反映机关事业单位实施养老保险制度由单位缴纳的基本养老保险费支出。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 w:hAnsi="仿宋" w:eastAsia="仿宋"/>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w:t>
      </w:r>
      <w:r>
        <w:rPr>
          <w:rFonts w:hint="eastAsia" w:ascii="仿宋" w:hAnsi="仿宋" w:eastAsia="仿宋"/>
          <w:color w:val="000000"/>
          <w:sz w:val="32"/>
          <w:szCs w:val="32"/>
        </w:rPr>
        <w:t>事业单位医疗（项）：反映财政部门集中安排的事业单位基本医疗保险缴费经费，未参加医疗保险的事业单位公费医疗经费，按国家规定享受离休人员待遇人员的医疗经费；</w:t>
      </w:r>
      <w:r>
        <w:rPr>
          <w:rFonts w:hint="eastAsia" w:ascii="仿宋_GB2312" w:eastAsia="仿宋_GB2312"/>
          <w:color w:val="000000"/>
          <w:sz w:val="32"/>
          <w:szCs w:val="32"/>
        </w:rPr>
        <w:t>公务员医疗补助（项）：反映财政部门集中安排的公务员医疗补助经费</w:t>
      </w:r>
      <w:r>
        <w:rPr>
          <w:rFonts w:hint="eastAsia" w:ascii="仿宋_GB2312" w:eastAsia="仿宋_GB2312"/>
          <w:color w:val="000000"/>
          <w:sz w:val="32"/>
          <w:szCs w:val="32"/>
          <w:lang w:eastAsia="zh-CN"/>
        </w:rPr>
        <w:t>；其他行政事业单位医疗支出</w:t>
      </w:r>
      <w:r>
        <w:rPr>
          <w:rFonts w:hint="eastAsia" w:ascii="仿宋" w:hAnsi="仿宋" w:eastAsia="仿宋"/>
          <w:color w:val="000000"/>
          <w:sz w:val="32"/>
          <w:szCs w:val="32"/>
        </w:rPr>
        <w:t>（项）：反映</w:t>
      </w:r>
      <w:r>
        <w:rPr>
          <w:rFonts w:hint="eastAsia" w:ascii="仿宋" w:hAnsi="仿宋" w:eastAsia="仿宋"/>
          <w:color w:val="000000"/>
          <w:sz w:val="32"/>
          <w:szCs w:val="32"/>
          <w:lang w:eastAsia="zh-CN"/>
        </w:rPr>
        <w:t>除上述项目以外其他用于行政事业单位医疗方面的支</w:t>
      </w:r>
      <w:r>
        <w:rPr>
          <w:rFonts w:hint="eastAsia" w:hAnsi="仿宋"/>
          <w:color w:val="000000"/>
          <w:sz w:val="32"/>
          <w:szCs w:val="32"/>
          <w:lang w:eastAsia="zh-CN"/>
        </w:rPr>
        <w:t>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hAnsi="仿宋"/>
          <w:color w:val="000000"/>
          <w:sz w:val="32"/>
          <w:szCs w:val="32"/>
          <w:lang w:val="en-US" w:eastAsia="zh-CN"/>
        </w:rPr>
        <w:t>11.</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Style w:val="28"/>
          <w:rFonts w:hint="eastAsia" w:ascii="Times New Roman" w:hAnsi="Times New Roman" w:eastAsia="黑体"/>
          <w:b w:val="0"/>
          <w:color w:val="auto"/>
          <w:highlight w:val="none"/>
          <w:lang w:eastAsia="zh-CN"/>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eastAsia" w:ascii="仿宋_GB2312" w:eastAsia="仿宋_GB2312"/>
          <w:color w:val="auto"/>
          <w:sz w:val="32"/>
          <w:szCs w:val="32"/>
          <w:lang w:eastAsia="zh-CN"/>
        </w:rPr>
        <w:t>以</w:t>
      </w:r>
      <w:r>
        <w:rPr>
          <w:rFonts w:hint="eastAsia" w:ascii="仿宋_GB2312" w:eastAsia="仿宋_GB2312"/>
          <w:color w:val="auto"/>
          <w:sz w:val="32"/>
          <w:szCs w:val="32"/>
        </w:rPr>
        <w:t>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adjustRightInd w:val="0"/>
        <w:snapToGrid w:val="0"/>
        <w:spacing w:line="560" w:lineRule="exact"/>
        <w:ind w:firstLine="660" w:firstLineChars="200"/>
        <w:rPr>
          <w:rFonts w:hint="eastAsia" w:ascii="方正仿宋简体" w:hAnsi="Times New Roman" w:eastAsia="方正仿宋简体" w:cs="方正仿宋简体"/>
          <w:color w:val="auto"/>
          <w:kern w:val="2"/>
          <w:sz w:val="33"/>
          <w:szCs w:val="33"/>
          <w:u w:val="none"/>
          <w:lang w:val="zh-CN" w:eastAsia="zh-CN" w:bidi="ar-SA"/>
        </w:rPr>
      </w:pPr>
      <w:r>
        <w:rPr>
          <w:rFonts w:hint="eastAsia" w:ascii="方正仿宋简体" w:hAnsi="Times New Roman" w:eastAsia="方正仿宋简体" w:cs="方正仿宋简体"/>
          <w:color w:val="auto"/>
          <w:kern w:val="2"/>
          <w:sz w:val="33"/>
          <w:szCs w:val="33"/>
          <w:u w:val="none"/>
          <w:lang w:val="zh-CN" w:eastAsia="zh-CN" w:bidi="ar-SA"/>
        </w:rPr>
        <w:t>附表：部门预算项目支出绩效自评表（20</w:t>
      </w:r>
      <w:r>
        <w:rPr>
          <w:rFonts w:hint="eastAsia" w:ascii="方正仿宋简体" w:eastAsia="方正仿宋简体" w:cs="方正仿宋简体"/>
          <w:color w:val="auto"/>
          <w:kern w:val="2"/>
          <w:sz w:val="33"/>
          <w:szCs w:val="33"/>
          <w:u w:val="none"/>
          <w:lang w:val="en-US" w:eastAsia="zh-CN" w:bidi="ar-SA"/>
        </w:rPr>
        <w:t>2</w:t>
      </w:r>
      <w:r>
        <w:rPr>
          <w:rFonts w:hint="eastAsia" w:ascii="方正仿宋简体" w:hAnsi="Times New Roman" w:eastAsia="方正仿宋简体" w:cs="方正仿宋简体"/>
          <w:color w:val="auto"/>
          <w:kern w:val="2"/>
          <w:sz w:val="33"/>
          <w:szCs w:val="33"/>
          <w:u w:val="none"/>
          <w:lang w:val="en-US" w:eastAsia="zh-CN" w:bidi="ar-SA"/>
        </w:rPr>
        <w:t>4</w:t>
      </w:r>
      <w:r>
        <w:rPr>
          <w:rFonts w:hint="eastAsia" w:ascii="方正仿宋简体" w:hAnsi="Times New Roman" w:eastAsia="方正仿宋简体" w:cs="方正仿宋简体"/>
          <w:color w:val="auto"/>
          <w:kern w:val="2"/>
          <w:sz w:val="33"/>
          <w:szCs w:val="33"/>
          <w:u w:val="none"/>
          <w:lang w:val="zh-CN" w:eastAsia="zh-CN" w:bidi="ar-SA"/>
        </w:rPr>
        <w:t>年度）</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WFjNGJhMDNhMWU2M2RlNGIyZTViZmMzZjF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8150E0"/>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D13911"/>
    <w:rsid w:val="5A4B1F5F"/>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E128D0"/>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2C621C"/>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5484</Words>
  <Characters>5912</Characters>
  <Lines>61</Lines>
  <Paragraphs>17</Paragraphs>
  <TotalTime>0</TotalTime>
  <ScaleCrop>false</ScaleCrop>
  <LinksUpToDate>false</LinksUpToDate>
  <CharactersWithSpaces>5987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2025-10-27T01:42:10Z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57FDE6035BC04E669BD769C2A160D51D_13</vt:lpwstr>
  </property>
  <property fmtid="{D5CDD505-2E9C-101B-9397-08002B2CF9AE}" pid="4" name="KSOTemplateDocerSaveRecord">
    <vt:lpwstr>eyJoZGlkIjoiNmFjYjIzMjc3NzgwMDBhMDQ5MWE4NDg4YzVlOGNmMTAiLCJ1c2VySWQiOiI1NjY2NzMwMjAifQ==</vt:lpwstr>
  </property>
</Properties>
</file>