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351D2">
      <w:pPr>
        <w:spacing w:line="600" w:lineRule="exact"/>
        <w:jc w:val="left"/>
        <w:outlineLvl w:val="0"/>
        <w:rPr>
          <w:rFonts w:ascii="方正小标宋简体" w:hAnsi="宋体" w:eastAsia="方正小标宋简体"/>
          <w:szCs w:val="21"/>
        </w:rPr>
      </w:pPr>
      <w:bookmarkStart w:id="0" w:name="_Toc15306267"/>
    </w:p>
    <w:p w14:paraId="6EDF329B">
      <w:pPr>
        <w:pStyle w:val="6"/>
        <w:spacing w:before="93"/>
      </w:pPr>
    </w:p>
    <w:p w14:paraId="700DC50B">
      <w:pPr>
        <w:spacing w:line="600" w:lineRule="exact"/>
        <w:jc w:val="center"/>
        <w:outlineLvl w:val="0"/>
        <w:rPr>
          <w:rFonts w:ascii="方正小标宋简体" w:hAnsi="宋体" w:eastAsia="方正小标宋简体"/>
          <w:sz w:val="72"/>
          <w:szCs w:val="72"/>
        </w:rPr>
      </w:pPr>
    </w:p>
    <w:p w14:paraId="0685D817">
      <w:pPr>
        <w:spacing w:line="600" w:lineRule="exact"/>
        <w:jc w:val="center"/>
        <w:outlineLvl w:val="0"/>
        <w:rPr>
          <w:rFonts w:ascii="方正小标宋简体" w:hAnsi="宋体" w:eastAsia="方正小标宋简体"/>
          <w:sz w:val="72"/>
          <w:szCs w:val="72"/>
        </w:rPr>
      </w:pPr>
    </w:p>
    <w:p w14:paraId="6D5D4CA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425"/>
      <w:bookmarkStart w:id="3" w:name="_Toc15378441"/>
      <w:bookmarkStart w:id="4" w:name="_Toc15377193"/>
      <w:bookmarkStart w:id="5" w:name="_Toc10328"/>
      <w:bookmarkStart w:id="6" w:name="_Toc15396597"/>
      <w:r>
        <w:rPr>
          <w:rFonts w:hint="eastAsia" w:ascii="方正小标宋简体" w:hAnsi="方正小标宋简体" w:eastAsia="方正小标宋简体" w:cs="方正小标宋简体"/>
          <w:sz w:val="72"/>
          <w:szCs w:val="72"/>
        </w:rPr>
        <w:t>2024年度</w:t>
      </w:r>
      <w:bookmarkEnd w:id="1"/>
      <w:bookmarkEnd w:id="2"/>
      <w:bookmarkEnd w:id="3"/>
      <w:bookmarkEnd w:id="4"/>
      <w:bookmarkEnd w:id="5"/>
      <w:bookmarkEnd w:id="6"/>
    </w:p>
    <w:p w14:paraId="4D4912F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21656"/>
      <w:bookmarkStart w:id="9" w:name="_Toc15377194"/>
      <w:bookmarkStart w:id="10" w:name="_Toc15396476"/>
      <w:bookmarkStart w:id="11" w:name="_Toc15396598"/>
      <w:bookmarkStart w:id="12" w:name="_Toc15378442"/>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rPr>
        <w:t>攀枝花市西区农业农村和交通运输局决算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sz w:val="72"/>
          <w:szCs w:val="72"/>
        </w:rPr>
        <w:t>公开编制说明</w:t>
      </w:r>
    </w:p>
    <w:p w14:paraId="6BEEAF63">
      <w:pPr>
        <w:widowControl/>
        <w:jc w:val="center"/>
        <w:rPr>
          <w:rFonts w:ascii="黑体" w:hAnsi="黑体" w:eastAsia="黑体"/>
          <w:sz w:val="48"/>
          <w:szCs w:val="48"/>
        </w:rPr>
        <w:sectPr>
          <w:headerReference r:id="rId3" w:type="default"/>
          <w:footerReference r:id="rId4" w:type="default"/>
          <w:pgSz w:w="11906" w:h="16838"/>
          <w:pgMar w:top="1440" w:right="1800" w:bottom="1440" w:left="1800" w:header="851" w:footer="992" w:gutter="0"/>
          <w:pgNumType w:start="1" w:chapStyle="1"/>
          <w:cols w:space="425" w:num="1"/>
          <w:docGrid w:type="lines" w:linePitch="312" w:charSpace="0"/>
        </w:sectPr>
      </w:pPr>
    </w:p>
    <w:p w14:paraId="34B04F34">
      <w:pPr>
        <w:widowControl/>
        <w:jc w:val="center"/>
        <w:rPr>
          <w:rFonts w:ascii="黑体" w:hAnsi="黑体" w:eastAsia="黑体"/>
          <w:sz w:val="48"/>
          <w:szCs w:val="48"/>
        </w:rPr>
      </w:pPr>
      <w:r>
        <w:rPr>
          <w:rFonts w:hint="eastAsia" w:ascii="黑体" w:hAnsi="黑体" w:eastAsia="黑体"/>
          <w:sz w:val="48"/>
          <w:szCs w:val="48"/>
        </w:rPr>
        <w:t>目录</w:t>
      </w:r>
    </w:p>
    <w:p w14:paraId="06002227">
      <w:pPr>
        <w:widowControl/>
        <w:jc w:val="center"/>
        <w:rPr>
          <w:rFonts w:ascii="黑体" w:hAnsi="黑体" w:eastAsia="黑体" w:cstheme="minorBidi"/>
          <w:sz w:val="28"/>
          <w:szCs w:val="28"/>
        </w:rPr>
      </w:pPr>
    </w:p>
    <w:p w14:paraId="3D444ED6">
      <w:pPr>
        <w:pStyle w:val="12"/>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27</w:t>
      </w:r>
      <w:bookmarkStart w:id="110" w:name="_GoBack"/>
      <w:bookmarkEnd w:id="110"/>
      <w:r>
        <w:rPr>
          <w:rFonts w:hint="eastAsia"/>
        </w:rPr>
        <w:t>日</w:t>
      </w:r>
    </w:p>
    <w:p w14:paraId="35B29492"/>
    <w:sdt>
      <w:sdtPr>
        <w:rPr>
          <w:rFonts w:ascii="宋体" w:hAnsi="宋体"/>
        </w:rPr>
        <w:id w:val="147475831"/>
        <w:docPartObj>
          <w:docPartGallery w:val="Table of Contents"/>
          <w:docPartUnique/>
        </w:docPartObj>
      </w:sdtPr>
      <w:sdtEndPr>
        <w:rPr>
          <w:rFonts w:ascii="Times New Roman" w:hAnsi="Times New Roman"/>
        </w:rPr>
      </w:sdtEndPr>
      <w:sdtContent>
        <w:p w14:paraId="4FE495EA">
          <w:pPr>
            <w:jc w:val="center"/>
          </w:pPr>
        </w:p>
        <w:p w14:paraId="482FADE0">
          <w:pPr>
            <w:pStyle w:val="12"/>
            <w:tabs>
              <w:tab w:val="right" w:leader="dot" w:pos="8306"/>
              <w:tab w:val="clear" w:pos="8296"/>
            </w:tabs>
          </w:pPr>
          <w:r>
            <w:fldChar w:fldCharType="begin"/>
          </w:r>
          <w:r>
            <w:instrText xml:space="preserve">TOC \o "1-3" \h \u </w:instrText>
          </w:r>
          <w:r>
            <w:fldChar w:fldCharType="separate"/>
          </w:r>
        </w:p>
        <w:p w14:paraId="18984E5D">
          <w:pPr>
            <w:pStyle w:val="12"/>
            <w:tabs>
              <w:tab w:val="right" w:leader="dot" w:pos="8306"/>
              <w:tab w:val="clear" w:pos="8296"/>
            </w:tabs>
          </w:pPr>
          <w:r>
            <w:fldChar w:fldCharType="begin"/>
          </w:r>
          <w:r>
            <w:instrText xml:space="preserve"> HYPERLINK \l "_Toc17678" </w:instrText>
          </w:r>
          <w:r>
            <w:fldChar w:fldCharType="separate"/>
          </w:r>
          <w:r>
            <w:rPr>
              <w:rFonts w:hint="eastAsia" w:ascii="Times New Roman" w:hAnsi="Times New Roman" w:eastAsia="宋体"/>
              <w:sz w:val="21"/>
              <w:szCs w:val="24"/>
            </w:rPr>
            <w:t>第一部分 单位概况</w:t>
          </w:r>
          <w:r>
            <w:rPr>
              <w:rFonts w:ascii="Times New Roman" w:hAnsi="Times New Roman" w:eastAsia="宋体"/>
              <w:sz w:val="21"/>
              <w:szCs w:val="24"/>
            </w:rPr>
            <w:tab/>
          </w:r>
          <w:r>
            <w:rPr>
              <w:rFonts w:hint="eastAsia" w:ascii="Times New Roman" w:hAnsi="Times New Roman" w:eastAsia="宋体"/>
              <w:sz w:val="21"/>
              <w:szCs w:val="24"/>
            </w:rPr>
            <w:t>-</w:t>
          </w:r>
          <w:r>
            <w:rPr>
              <w:rFonts w:ascii="Times New Roman" w:hAnsi="Times New Roman" w:eastAsia="宋体"/>
              <w:sz w:val="21"/>
              <w:szCs w:val="24"/>
            </w:rPr>
            <w:fldChar w:fldCharType="begin"/>
          </w:r>
          <w:r>
            <w:rPr>
              <w:rFonts w:ascii="Times New Roman" w:hAnsi="Times New Roman" w:eastAsia="宋体"/>
              <w:sz w:val="21"/>
              <w:szCs w:val="24"/>
            </w:rPr>
            <w:instrText xml:space="preserve"> PAGEREF _Toc17678 \h </w:instrText>
          </w:r>
          <w:r>
            <w:rPr>
              <w:rFonts w:ascii="Times New Roman" w:hAnsi="Times New Roman" w:eastAsia="宋体"/>
              <w:sz w:val="21"/>
              <w:szCs w:val="24"/>
            </w:rPr>
            <w:fldChar w:fldCharType="separate"/>
          </w:r>
          <w:r>
            <w:rPr>
              <w:rFonts w:ascii="Times New Roman" w:hAnsi="Times New Roman" w:eastAsia="宋体"/>
              <w:sz w:val="21"/>
              <w:szCs w:val="24"/>
            </w:rPr>
            <w:t>1</w:t>
          </w:r>
          <w:r>
            <w:rPr>
              <w:rFonts w:ascii="Times New Roman" w:hAnsi="Times New Roman" w:eastAsia="宋体"/>
              <w:sz w:val="21"/>
              <w:szCs w:val="24"/>
            </w:rPr>
            <w:fldChar w:fldCharType="end"/>
          </w:r>
          <w:r>
            <w:rPr>
              <w:rFonts w:ascii="Times New Roman" w:hAnsi="Times New Roman" w:eastAsia="宋体"/>
              <w:sz w:val="21"/>
              <w:szCs w:val="24"/>
            </w:rPr>
            <w:fldChar w:fldCharType="end"/>
          </w:r>
          <w:r>
            <w:rPr>
              <w:rFonts w:hint="eastAsia" w:ascii="Times New Roman" w:hAnsi="Times New Roman" w:eastAsia="宋体"/>
              <w:sz w:val="21"/>
              <w:szCs w:val="24"/>
            </w:rPr>
            <w:t>-</w:t>
          </w:r>
        </w:p>
        <w:p w14:paraId="685C2C01">
          <w:pPr>
            <w:pStyle w:val="12"/>
            <w:tabs>
              <w:tab w:val="right" w:leader="dot" w:pos="8306"/>
              <w:tab w:val="clear" w:pos="8296"/>
            </w:tabs>
            <w:rPr>
              <w:rFonts w:ascii="Times New Roman" w:hAnsi="Times New Roman" w:eastAsia="宋体"/>
              <w:sz w:val="21"/>
              <w:szCs w:val="24"/>
            </w:rPr>
          </w:pPr>
          <w:r>
            <w:fldChar w:fldCharType="begin"/>
          </w:r>
          <w:r>
            <w:instrText xml:space="preserve"> HYPERLINK \l "_Toc2934" </w:instrText>
          </w:r>
          <w:r>
            <w:fldChar w:fldCharType="separate"/>
          </w:r>
          <w:r>
            <w:rPr>
              <w:rFonts w:hint="eastAsia" w:ascii="Times New Roman" w:hAnsi="Times New Roman" w:eastAsia="宋体"/>
              <w:sz w:val="21"/>
              <w:szCs w:val="24"/>
            </w:rPr>
            <w:t>一、主要职责</w:t>
          </w:r>
          <w:r>
            <w:rPr>
              <w:rFonts w:ascii="Times New Roman" w:hAnsi="Times New Roman" w:eastAsia="宋体"/>
              <w:sz w:val="21"/>
              <w:szCs w:val="24"/>
            </w:rPr>
            <w:tab/>
          </w:r>
          <w:r>
            <w:rPr>
              <w:rFonts w:hint="eastAsia" w:ascii="Times New Roman" w:hAnsi="Times New Roman" w:eastAsia="宋体"/>
              <w:sz w:val="21"/>
              <w:szCs w:val="24"/>
            </w:rPr>
            <w:t>-</w:t>
          </w:r>
          <w:r>
            <w:rPr>
              <w:rFonts w:ascii="Times New Roman" w:hAnsi="Times New Roman" w:eastAsia="宋体"/>
              <w:sz w:val="21"/>
              <w:szCs w:val="24"/>
            </w:rPr>
            <w:fldChar w:fldCharType="begin"/>
          </w:r>
          <w:r>
            <w:rPr>
              <w:rFonts w:ascii="Times New Roman" w:hAnsi="Times New Roman" w:eastAsia="宋体"/>
              <w:sz w:val="21"/>
              <w:szCs w:val="24"/>
            </w:rPr>
            <w:instrText xml:space="preserve"> PAGEREF _Toc2934 \h </w:instrText>
          </w:r>
          <w:r>
            <w:rPr>
              <w:rFonts w:ascii="Times New Roman" w:hAnsi="Times New Roman" w:eastAsia="宋体"/>
              <w:sz w:val="21"/>
              <w:szCs w:val="24"/>
            </w:rPr>
            <w:fldChar w:fldCharType="separate"/>
          </w:r>
          <w:r>
            <w:rPr>
              <w:rFonts w:ascii="Times New Roman" w:hAnsi="Times New Roman" w:eastAsia="宋体"/>
              <w:sz w:val="21"/>
              <w:szCs w:val="24"/>
            </w:rPr>
            <w:t>1</w:t>
          </w:r>
          <w:r>
            <w:rPr>
              <w:rFonts w:ascii="Times New Roman" w:hAnsi="Times New Roman" w:eastAsia="宋体"/>
              <w:sz w:val="21"/>
              <w:szCs w:val="24"/>
            </w:rPr>
            <w:fldChar w:fldCharType="end"/>
          </w:r>
          <w:r>
            <w:rPr>
              <w:rFonts w:ascii="Times New Roman" w:hAnsi="Times New Roman" w:eastAsia="宋体"/>
              <w:sz w:val="21"/>
              <w:szCs w:val="24"/>
            </w:rPr>
            <w:fldChar w:fldCharType="end"/>
          </w:r>
          <w:r>
            <w:rPr>
              <w:rFonts w:hint="eastAsia" w:ascii="Times New Roman" w:hAnsi="Times New Roman" w:eastAsia="宋体"/>
              <w:sz w:val="21"/>
              <w:szCs w:val="24"/>
            </w:rPr>
            <w:t>-</w:t>
          </w:r>
        </w:p>
        <w:p w14:paraId="3D6DEC46">
          <w:pPr>
            <w:pStyle w:val="13"/>
            <w:tabs>
              <w:tab w:val="right" w:leader="dot" w:pos="8306"/>
              <w:tab w:val="clear" w:pos="8296"/>
            </w:tabs>
          </w:pPr>
          <w:r>
            <w:fldChar w:fldCharType="begin"/>
          </w:r>
          <w:r>
            <w:instrText xml:space="preserve"> HYPERLINK \l "_Toc19086" </w:instrText>
          </w:r>
          <w:r>
            <w:fldChar w:fldCharType="separate"/>
          </w:r>
          <w:r>
            <w:rPr>
              <w:rFonts w:hint="eastAsia" w:ascii="黑体" w:hAnsi="黑体" w:eastAsia="黑体"/>
            </w:rPr>
            <w:t>二、机构设置</w:t>
          </w:r>
          <w:r>
            <w:tab/>
          </w:r>
          <w:r>
            <w:rPr>
              <w:rFonts w:hint="eastAsia"/>
            </w:rPr>
            <w:t>-</w:t>
          </w:r>
          <w:r>
            <w:fldChar w:fldCharType="begin"/>
          </w:r>
          <w:r>
            <w:instrText xml:space="preserve"> PAGEREF _Toc19086 \h </w:instrText>
          </w:r>
          <w:r>
            <w:fldChar w:fldCharType="separate"/>
          </w:r>
          <w:r>
            <w:t>4</w:t>
          </w:r>
          <w:r>
            <w:fldChar w:fldCharType="end"/>
          </w:r>
          <w:r>
            <w:fldChar w:fldCharType="end"/>
          </w:r>
          <w:r>
            <w:rPr>
              <w:rFonts w:hint="eastAsia"/>
            </w:rPr>
            <w:t>-</w:t>
          </w:r>
        </w:p>
        <w:p w14:paraId="2B111681">
          <w:pPr>
            <w:pStyle w:val="12"/>
            <w:tabs>
              <w:tab w:val="right" w:leader="dot" w:pos="8306"/>
              <w:tab w:val="clear" w:pos="8296"/>
            </w:tabs>
            <w:rPr>
              <w:rFonts w:ascii="Times New Roman" w:hAnsi="Times New Roman" w:eastAsia="宋体"/>
              <w:sz w:val="21"/>
              <w:szCs w:val="24"/>
            </w:rPr>
          </w:pPr>
          <w:r>
            <w:fldChar w:fldCharType="begin"/>
          </w:r>
          <w:r>
            <w:instrText xml:space="preserve"> HYPERLINK \l "_Toc2374" </w:instrText>
          </w:r>
          <w:r>
            <w:fldChar w:fldCharType="separate"/>
          </w:r>
          <w:r>
            <w:rPr>
              <w:rFonts w:hint="eastAsia" w:ascii="Times New Roman" w:hAnsi="Times New Roman" w:eastAsia="宋体"/>
              <w:sz w:val="21"/>
              <w:szCs w:val="24"/>
            </w:rPr>
            <w:t>第二部分 2024年度单位决算情况说明</w:t>
          </w:r>
          <w:r>
            <w:rPr>
              <w:rFonts w:ascii="Times New Roman" w:hAnsi="Times New Roman" w:eastAsia="宋体"/>
              <w:sz w:val="21"/>
              <w:szCs w:val="24"/>
            </w:rPr>
            <w:tab/>
          </w:r>
          <w:r>
            <w:rPr>
              <w:rFonts w:hint="eastAsia" w:ascii="Times New Roman" w:hAnsi="Times New Roman" w:eastAsia="宋体"/>
              <w:sz w:val="21"/>
              <w:szCs w:val="24"/>
            </w:rPr>
            <w:t>-</w:t>
          </w:r>
          <w:r>
            <w:rPr>
              <w:rFonts w:ascii="Times New Roman" w:hAnsi="Times New Roman" w:eastAsia="宋体"/>
              <w:sz w:val="21"/>
              <w:szCs w:val="24"/>
            </w:rPr>
            <w:fldChar w:fldCharType="begin"/>
          </w:r>
          <w:r>
            <w:rPr>
              <w:rFonts w:ascii="Times New Roman" w:hAnsi="Times New Roman" w:eastAsia="宋体"/>
              <w:sz w:val="21"/>
              <w:szCs w:val="24"/>
            </w:rPr>
            <w:instrText xml:space="preserve"> PAGEREF _Toc2374 \h </w:instrText>
          </w:r>
          <w:r>
            <w:rPr>
              <w:rFonts w:ascii="Times New Roman" w:hAnsi="Times New Roman" w:eastAsia="宋体"/>
              <w:sz w:val="21"/>
              <w:szCs w:val="24"/>
            </w:rPr>
            <w:fldChar w:fldCharType="separate"/>
          </w:r>
          <w:r>
            <w:rPr>
              <w:rFonts w:ascii="Times New Roman" w:hAnsi="Times New Roman" w:eastAsia="宋体"/>
              <w:sz w:val="21"/>
              <w:szCs w:val="24"/>
            </w:rPr>
            <w:t>5</w:t>
          </w:r>
          <w:r>
            <w:rPr>
              <w:rFonts w:ascii="Times New Roman" w:hAnsi="Times New Roman" w:eastAsia="宋体"/>
              <w:sz w:val="21"/>
              <w:szCs w:val="24"/>
            </w:rPr>
            <w:fldChar w:fldCharType="end"/>
          </w:r>
          <w:r>
            <w:rPr>
              <w:rFonts w:ascii="Times New Roman" w:hAnsi="Times New Roman" w:eastAsia="宋体"/>
              <w:sz w:val="21"/>
              <w:szCs w:val="24"/>
            </w:rPr>
            <w:fldChar w:fldCharType="end"/>
          </w:r>
          <w:r>
            <w:rPr>
              <w:rFonts w:hint="eastAsia" w:ascii="Times New Roman" w:hAnsi="Times New Roman" w:eastAsia="宋体"/>
              <w:sz w:val="21"/>
              <w:szCs w:val="24"/>
            </w:rPr>
            <w:t>-</w:t>
          </w:r>
        </w:p>
        <w:p w14:paraId="71EEC5DA">
          <w:pPr>
            <w:pStyle w:val="13"/>
            <w:tabs>
              <w:tab w:val="right" w:leader="dot" w:pos="8306"/>
              <w:tab w:val="clear" w:pos="8296"/>
            </w:tabs>
          </w:pPr>
          <w:r>
            <w:fldChar w:fldCharType="begin"/>
          </w:r>
          <w:r>
            <w:instrText xml:space="preserve"> HYPERLINK \l "_Toc78"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rPr>
            <w:t>-</w:t>
          </w:r>
          <w:r>
            <w:fldChar w:fldCharType="begin"/>
          </w:r>
          <w:r>
            <w:instrText xml:space="preserve"> PAGEREF _Toc78 \h </w:instrText>
          </w:r>
          <w:r>
            <w:fldChar w:fldCharType="separate"/>
          </w:r>
          <w:r>
            <w:t>5</w:t>
          </w:r>
          <w:r>
            <w:fldChar w:fldCharType="end"/>
          </w:r>
          <w:r>
            <w:fldChar w:fldCharType="end"/>
          </w:r>
          <w:r>
            <w:rPr>
              <w:rFonts w:hint="eastAsia"/>
            </w:rPr>
            <w:t>-</w:t>
          </w:r>
        </w:p>
        <w:p w14:paraId="5547CFA4">
          <w:pPr>
            <w:pStyle w:val="13"/>
            <w:tabs>
              <w:tab w:val="right" w:leader="dot" w:pos="8306"/>
              <w:tab w:val="clear" w:pos="8296"/>
            </w:tabs>
          </w:pPr>
          <w:r>
            <w:fldChar w:fldCharType="begin"/>
          </w:r>
          <w:r>
            <w:instrText xml:space="preserve"> HYPERLINK \l "_Toc19479"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rPr>
            <w:t>-</w:t>
          </w:r>
          <w:r>
            <w:fldChar w:fldCharType="begin"/>
          </w:r>
          <w:r>
            <w:instrText xml:space="preserve"> PAGEREF _Toc19479 \h </w:instrText>
          </w:r>
          <w:r>
            <w:fldChar w:fldCharType="separate"/>
          </w:r>
          <w:r>
            <w:t>5</w:t>
          </w:r>
          <w:r>
            <w:fldChar w:fldCharType="end"/>
          </w:r>
          <w:r>
            <w:fldChar w:fldCharType="end"/>
          </w:r>
          <w:r>
            <w:rPr>
              <w:rFonts w:hint="eastAsia"/>
            </w:rPr>
            <w:t>-</w:t>
          </w:r>
        </w:p>
        <w:p w14:paraId="61889E45">
          <w:pPr>
            <w:pStyle w:val="13"/>
            <w:tabs>
              <w:tab w:val="right" w:leader="dot" w:pos="8306"/>
              <w:tab w:val="clear" w:pos="8296"/>
            </w:tabs>
          </w:pPr>
          <w:r>
            <w:fldChar w:fldCharType="begin"/>
          </w:r>
          <w:r>
            <w:instrText xml:space="preserve"> HYPERLINK \l "_Toc14028"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rPr>
            <w:t>-</w:t>
          </w:r>
          <w:r>
            <w:fldChar w:fldCharType="begin"/>
          </w:r>
          <w:r>
            <w:instrText xml:space="preserve"> PAGEREF _Toc14028 \h </w:instrText>
          </w:r>
          <w:r>
            <w:fldChar w:fldCharType="separate"/>
          </w:r>
          <w:r>
            <w:t>6</w:t>
          </w:r>
          <w:r>
            <w:fldChar w:fldCharType="end"/>
          </w:r>
          <w:r>
            <w:fldChar w:fldCharType="end"/>
          </w:r>
          <w:r>
            <w:rPr>
              <w:rFonts w:hint="eastAsia"/>
            </w:rPr>
            <w:t>-</w:t>
          </w:r>
        </w:p>
        <w:p w14:paraId="208F14C6">
          <w:pPr>
            <w:pStyle w:val="13"/>
            <w:tabs>
              <w:tab w:val="right" w:leader="dot" w:pos="8306"/>
              <w:tab w:val="clear" w:pos="8296"/>
            </w:tabs>
          </w:pPr>
          <w:r>
            <w:fldChar w:fldCharType="begin"/>
          </w:r>
          <w:r>
            <w:instrText xml:space="preserve"> HYPERLINK \l "_Toc6763"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rPr>
            <w:t>-</w:t>
          </w:r>
          <w:r>
            <w:fldChar w:fldCharType="begin"/>
          </w:r>
          <w:r>
            <w:instrText xml:space="preserve"> PAGEREF _Toc6763 \h </w:instrText>
          </w:r>
          <w:r>
            <w:fldChar w:fldCharType="separate"/>
          </w:r>
          <w:r>
            <w:t>6</w:t>
          </w:r>
          <w:r>
            <w:fldChar w:fldCharType="end"/>
          </w:r>
          <w:r>
            <w:fldChar w:fldCharType="end"/>
          </w:r>
          <w:r>
            <w:rPr>
              <w:rFonts w:hint="eastAsia"/>
            </w:rPr>
            <w:t>-</w:t>
          </w:r>
        </w:p>
        <w:p w14:paraId="49A15722">
          <w:pPr>
            <w:pStyle w:val="13"/>
            <w:tabs>
              <w:tab w:val="right" w:leader="dot" w:pos="8306"/>
              <w:tab w:val="clear" w:pos="8296"/>
            </w:tabs>
          </w:pPr>
          <w:r>
            <w:fldChar w:fldCharType="begin"/>
          </w:r>
          <w:r>
            <w:instrText xml:space="preserve"> HYPERLINK \l "_Toc30521"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rPr>
            <w:t>-</w:t>
          </w:r>
          <w:r>
            <w:fldChar w:fldCharType="begin"/>
          </w:r>
          <w:r>
            <w:instrText xml:space="preserve"> PAGEREF _Toc30521 \h </w:instrText>
          </w:r>
          <w:r>
            <w:fldChar w:fldCharType="separate"/>
          </w:r>
          <w:r>
            <w:t>7</w:t>
          </w:r>
          <w:r>
            <w:fldChar w:fldCharType="end"/>
          </w:r>
          <w:r>
            <w:fldChar w:fldCharType="end"/>
          </w:r>
          <w:r>
            <w:rPr>
              <w:rFonts w:hint="eastAsia"/>
            </w:rPr>
            <w:t>-</w:t>
          </w:r>
        </w:p>
        <w:p w14:paraId="1164DCF9">
          <w:pPr>
            <w:pStyle w:val="8"/>
            <w:tabs>
              <w:tab w:val="right" w:leader="dot" w:pos="8306"/>
              <w:tab w:val="clear" w:pos="8296"/>
            </w:tabs>
          </w:pPr>
          <w:r>
            <w:fldChar w:fldCharType="begin"/>
          </w:r>
          <w:r>
            <w:instrText xml:space="preserve"> HYPERLINK \l "_Toc29241" </w:instrText>
          </w:r>
          <w:r>
            <w:fldChar w:fldCharType="separate"/>
          </w:r>
          <w:r>
            <w:rPr>
              <w:rFonts w:hint="eastAsia" w:ascii="楷体_GB2312" w:hAnsi="仿宋" w:eastAsia="楷体_GB2312"/>
              <w:szCs w:val="32"/>
            </w:rPr>
            <w:t>（一）一般公共预算财政拨款支出决算总体情况</w:t>
          </w:r>
          <w:r>
            <w:tab/>
          </w:r>
          <w:r>
            <w:rPr>
              <w:rFonts w:hint="eastAsia"/>
            </w:rPr>
            <w:t>-</w:t>
          </w:r>
          <w:r>
            <w:fldChar w:fldCharType="begin"/>
          </w:r>
          <w:r>
            <w:instrText xml:space="preserve"> PAGEREF _Toc29241 \h </w:instrText>
          </w:r>
          <w:r>
            <w:fldChar w:fldCharType="separate"/>
          </w:r>
          <w:r>
            <w:t>7</w:t>
          </w:r>
          <w:r>
            <w:fldChar w:fldCharType="end"/>
          </w:r>
          <w:r>
            <w:fldChar w:fldCharType="end"/>
          </w:r>
          <w:r>
            <w:rPr>
              <w:rFonts w:hint="eastAsia"/>
            </w:rPr>
            <w:t>-</w:t>
          </w:r>
        </w:p>
        <w:p w14:paraId="3B52B127">
          <w:pPr>
            <w:pStyle w:val="8"/>
            <w:tabs>
              <w:tab w:val="right" w:leader="dot" w:pos="8306"/>
              <w:tab w:val="clear" w:pos="8296"/>
            </w:tabs>
          </w:pPr>
          <w:r>
            <w:fldChar w:fldCharType="begin"/>
          </w:r>
          <w:r>
            <w:instrText xml:space="preserve"> HYPERLINK \l "_Toc17902" </w:instrText>
          </w:r>
          <w:r>
            <w:fldChar w:fldCharType="separate"/>
          </w:r>
          <w:r>
            <w:rPr>
              <w:rFonts w:hint="eastAsia" w:ascii="楷体_GB2312" w:hAnsi="仿宋" w:eastAsia="楷体_GB2312"/>
              <w:szCs w:val="32"/>
            </w:rPr>
            <w:t>（二）一般公共预算财政拨款支出决算结构情况</w:t>
          </w:r>
          <w:r>
            <w:tab/>
          </w:r>
          <w:r>
            <w:rPr>
              <w:rFonts w:hint="eastAsia"/>
            </w:rPr>
            <w:t>-</w:t>
          </w:r>
          <w:r>
            <w:fldChar w:fldCharType="begin"/>
          </w:r>
          <w:r>
            <w:instrText xml:space="preserve"> PAGEREF _Toc17902 \h </w:instrText>
          </w:r>
          <w:r>
            <w:fldChar w:fldCharType="separate"/>
          </w:r>
          <w:r>
            <w:t>7</w:t>
          </w:r>
          <w:r>
            <w:fldChar w:fldCharType="end"/>
          </w:r>
          <w:r>
            <w:fldChar w:fldCharType="end"/>
          </w:r>
          <w:r>
            <w:rPr>
              <w:rFonts w:hint="eastAsia"/>
            </w:rPr>
            <w:t>-</w:t>
          </w:r>
        </w:p>
        <w:p w14:paraId="0632521F">
          <w:pPr>
            <w:pStyle w:val="8"/>
            <w:tabs>
              <w:tab w:val="right" w:leader="dot" w:pos="8306"/>
              <w:tab w:val="clear" w:pos="8296"/>
            </w:tabs>
          </w:pPr>
          <w:r>
            <w:fldChar w:fldCharType="begin"/>
          </w:r>
          <w:r>
            <w:instrText xml:space="preserve"> HYPERLINK \l "_Toc20965" </w:instrText>
          </w:r>
          <w:r>
            <w:fldChar w:fldCharType="separate"/>
          </w:r>
          <w:r>
            <w:rPr>
              <w:rFonts w:hint="eastAsia" w:ascii="楷体_GB2312" w:hAnsi="仿宋" w:eastAsia="楷体_GB2312"/>
              <w:szCs w:val="32"/>
            </w:rPr>
            <w:t>（三）一般公共预算财政拨款支出决算具体情况</w:t>
          </w:r>
          <w:r>
            <w:tab/>
          </w:r>
          <w:r>
            <w:rPr>
              <w:rFonts w:hint="eastAsia"/>
            </w:rPr>
            <w:t>-</w:t>
          </w:r>
          <w:r>
            <w:fldChar w:fldCharType="begin"/>
          </w:r>
          <w:r>
            <w:instrText xml:space="preserve"> PAGEREF _Toc20965 \h </w:instrText>
          </w:r>
          <w:r>
            <w:fldChar w:fldCharType="separate"/>
          </w:r>
          <w:r>
            <w:t>8</w:t>
          </w:r>
          <w:r>
            <w:fldChar w:fldCharType="end"/>
          </w:r>
          <w:r>
            <w:fldChar w:fldCharType="end"/>
          </w:r>
          <w:r>
            <w:rPr>
              <w:rFonts w:hint="eastAsia"/>
            </w:rPr>
            <w:t>-</w:t>
          </w:r>
        </w:p>
        <w:p w14:paraId="3632B235">
          <w:pPr>
            <w:pStyle w:val="13"/>
            <w:tabs>
              <w:tab w:val="right" w:leader="dot" w:pos="8306"/>
              <w:tab w:val="clear" w:pos="8296"/>
            </w:tabs>
          </w:pPr>
          <w:r>
            <w:fldChar w:fldCharType="begin"/>
          </w:r>
          <w:r>
            <w:instrText xml:space="preserve"> HYPERLINK \l "_Toc16497"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rPr>
            <w:t>-</w:t>
          </w:r>
          <w:r>
            <w:fldChar w:fldCharType="begin"/>
          </w:r>
          <w:r>
            <w:instrText xml:space="preserve"> PAGEREF _Toc16497 \h </w:instrText>
          </w:r>
          <w:r>
            <w:fldChar w:fldCharType="separate"/>
          </w:r>
          <w:r>
            <w:t>11</w:t>
          </w:r>
          <w:r>
            <w:fldChar w:fldCharType="end"/>
          </w:r>
          <w:r>
            <w:fldChar w:fldCharType="end"/>
          </w:r>
          <w:r>
            <w:rPr>
              <w:rFonts w:hint="eastAsia"/>
            </w:rPr>
            <w:t>-</w:t>
          </w:r>
        </w:p>
        <w:p w14:paraId="2EF54C84">
          <w:pPr>
            <w:pStyle w:val="13"/>
            <w:tabs>
              <w:tab w:val="right" w:leader="dot" w:pos="8306"/>
              <w:tab w:val="clear" w:pos="8296"/>
            </w:tabs>
          </w:pPr>
          <w:r>
            <w:fldChar w:fldCharType="begin"/>
          </w:r>
          <w:r>
            <w:instrText xml:space="preserve"> HYPERLINK \l "_Toc22329"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rPr>
              <w:rFonts w:hint="eastAsia"/>
            </w:rPr>
            <w:t>-</w:t>
          </w:r>
          <w:r>
            <w:fldChar w:fldCharType="begin"/>
          </w:r>
          <w:r>
            <w:instrText xml:space="preserve"> PAGEREF _Toc22329 \h </w:instrText>
          </w:r>
          <w:r>
            <w:fldChar w:fldCharType="separate"/>
          </w:r>
          <w:r>
            <w:t>12</w:t>
          </w:r>
          <w:r>
            <w:fldChar w:fldCharType="end"/>
          </w:r>
          <w:r>
            <w:fldChar w:fldCharType="end"/>
          </w:r>
          <w:r>
            <w:rPr>
              <w:rFonts w:hint="eastAsia"/>
            </w:rPr>
            <w:t>-</w:t>
          </w:r>
        </w:p>
        <w:p w14:paraId="2DF7EDCE">
          <w:pPr>
            <w:pStyle w:val="8"/>
            <w:tabs>
              <w:tab w:val="right" w:leader="dot" w:pos="8306"/>
              <w:tab w:val="clear" w:pos="8296"/>
            </w:tabs>
          </w:pPr>
          <w:r>
            <w:fldChar w:fldCharType="begin"/>
          </w:r>
          <w:r>
            <w:instrText xml:space="preserve"> HYPERLINK \l "_Toc8547" </w:instrText>
          </w:r>
          <w:r>
            <w:fldChar w:fldCharType="separate"/>
          </w:r>
          <w:r>
            <w:rPr>
              <w:rFonts w:hint="eastAsia" w:ascii="楷体_GB2312" w:hAnsi="仿宋" w:eastAsia="楷体_GB2312"/>
              <w:szCs w:val="32"/>
            </w:rPr>
            <w:t>（一）“三公”经费财政拨款支出决算总体情况说明</w:t>
          </w:r>
          <w:r>
            <w:tab/>
          </w:r>
          <w:r>
            <w:rPr>
              <w:rFonts w:hint="eastAsia"/>
            </w:rPr>
            <w:t>-</w:t>
          </w:r>
          <w:r>
            <w:fldChar w:fldCharType="begin"/>
          </w:r>
          <w:r>
            <w:instrText xml:space="preserve"> PAGEREF _Toc8547 \h </w:instrText>
          </w:r>
          <w:r>
            <w:fldChar w:fldCharType="separate"/>
          </w:r>
          <w:r>
            <w:t>12</w:t>
          </w:r>
          <w:r>
            <w:fldChar w:fldCharType="end"/>
          </w:r>
          <w:r>
            <w:fldChar w:fldCharType="end"/>
          </w:r>
          <w:r>
            <w:rPr>
              <w:rFonts w:hint="eastAsia"/>
            </w:rPr>
            <w:t>-</w:t>
          </w:r>
        </w:p>
        <w:p w14:paraId="175C88A2">
          <w:pPr>
            <w:pStyle w:val="8"/>
            <w:tabs>
              <w:tab w:val="right" w:leader="dot" w:pos="8306"/>
              <w:tab w:val="clear" w:pos="8296"/>
            </w:tabs>
          </w:pPr>
          <w:r>
            <w:fldChar w:fldCharType="begin"/>
          </w:r>
          <w:r>
            <w:instrText xml:space="preserve"> HYPERLINK \l "_Toc31440" </w:instrText>
          </w:r>
          <w:r>
            <w:fldChar w:fldCharType="separate"/>
          </w:r>
          <w:r>
            <w:rPr>
              <w:rFonts w:hint="eastAsia" w:ascii="楷体_GB2312" w:hAnsi="仿宋" w:eastAsia="楷体_GB2312"/>
              <w:szCs w:val="32"/>
            </w:rPr>
            <w:t>（二）“三公”经费财政拨款支出决算具体情况说明</w:t>
          </w:r>
          <w:r>
            <w:tab/>
          </w:r>
          <w:r>
            <w:rPr>
              <w:rFonts w:hint="eastAsia"/>
            </w:rPr>
            <w:t>-</w:t>
          </w:r>
          <w:r>
            <w:fldChar w:fldCharType="begin"/>
          </w:r>
          <w:r>
            <w:instrText xml:space="preserve"> PAGEREF _Toc31440 \h </w:instrText>
          </w:r>
          <w:r>
            <w:fldChar w:fldCharType="separate"/>
          </w:r>
          <w:r>
            <w:t>12</w:t>
          </w:r>
          <w:r>
            <w:fldChar w:fldCharType="end"/>
          </w:r>
          <w:r>
            <w:fldChar w:fldCharType="end"/>
          </w:r>
          <w:r>
            <w:rPr>
              <w:rFonts w:hint="eastAsia"/>
            </w:rPr>
            <w:t>-</w:t>
          </w:r>
        </w:p>
        <w:p w14:paraId="2AE40BCC">
          <w:pPr>
            <w:pStyle w:val="13"/>
            <w:tabs>
              <w:tab w:val="right" w:leader="dot" w:pos="8306"/>
              <w:tab w:val="clear" w:pos="8296"/>
            </w:tabs>
          </w:pPr>
          <w:r>
            <w:fldChar w:fldCharType="begin"/>
          </w:r>
          <w:r>
            <w:instrText xml:space="preserve"> HYPERLINK \l "_Toc23677"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rPr>
            <w:t>-</w:t>
          </w:r>
          <w:r>
            <w:fldChar w:fldCharType="begin"/>
          </w:r>
          <w:r>
            <w:instrText xml:space="preserve"> PAGEREF _Toc23677 \h </w:instrText>
          </w:r>
          <w:r>
            <w:fldChar w:fldCharType="separate"/>
          </w:r>
          <w:r>
            <w:t>14</w:t>
          </w:r>
          <w:r>
            <w:fldChar w:fldCharType="end"/>
          </w:r>
          <w:r>
            <w:fldChar w:fldCharType="end"/>
          </w:r>
          <w:r>
            <w:rPr>
              <w:rFonts w:hint="eastAsia"/>
            </w:rPr>
            <w:t>-</w:t>
          </w:r>
        </w:p>
        <w:p w14:paraId="78758070">
          <w:pPr>
            <w:pStyle w:val="13"/>
            <w:tabs>
              <w:tab w:val="right" w:leader="dot" w:pos="8306"/>
              <w:tab w:val="clear" w:pos="8296"/>
            </w:tabs>
          </w:pPr>
          <w:r>
            <w:fldChar w:fldCharType="begin"/>
          </w:r>
          <w:r>
            <w:instrText xml:space="preserve"> HYPERLINK \l "_Toc27788" </w:instrText>
          </w:r>
          <w:r>
            <w:fldChar w:fldCharType="separate"/>
          </w:r>
          <w:r>
            <w:rPr>
              <w:rFonts w:hint="eastAsia" w:eastAsia="黑体"/>
            </w:rPr>
            <w:t xml:space="preserve">九、 </w:t>
          </w:r>
          <w:r>
            <w:rPr>
              <w:rFonts w:eastAsia="黑体"/>
            </w:rPr>
            <w:t>国有资本经营预算支出决算情况说明</w:t>
          </w:r>
          <w:r>
            <w:tab/>
          </w:r>
          <w:r>
            <w:rPr>
              <w:rFonts w:hint="eastAsia"/>
            </w:rPr>
            <w:t>-</w:t>
          </w:r>
          <w:r>
            <w:fldChar w:fldCharType="begin"/>
          </w:r>
          <w:r>
            <w:instrText xml:space="preserve"> PAGEREF _Toc27788 \h </w:instrText>
          </w:r>
          <w:r>
            <w:fldChar w:fldCharType="separate"/>
          </w:r>
          <w:r>
            <w:t>14</w:t>
          </w:r>
          <w:r>
            <w:fldChar w:fldCharType="end"/>
          </w:r>
          <w:r>
            <w:fldChar w:fldCharType="end"/>
          </w:r>
          <w:r>
            <w:rPr>
              <w:rFonts w:hint="eastAsia"/>
            </w:rPr>
            <w:t>-</w:t>
          </w:r>
        </w:p>
        <w:p w14:paraId="171808D7">
          <w:pPr>
            <w:pStyle w:val="13"/>
            <w:tabs>
              <w:tab w:val="right" w:leader="dot" w:pos="8306"/>
              <w:tab w:val="clear" w:pos="8296"/>
            </w:tabs>
          </w:pPr>
          <w:r>
            <w:fldChar w:fldCharType="begin"/>
          </w:r>
          <w:r>
            <w:instrText xml:space="preserve"> HYPERLINK \l "_Toc24650" </w:instrText>
          </w:r>
          <w:r>
            <w:fldChar w:fldCharType="separate"/>
          </w:r>
          <w:r>
            <w:rPr>
              <w:rFonts w:hint="eastAsia" w:eastAsia="黑体"/>
            </w:rPr>
            <w:t xml:space="preserve">十、 </w:t>
          </w:r>
          <w:r>
            <w:rPr>
              <w:rFonts w:hAnsi="黑体" w:eastAsia="黑体"/>
            </w:rPr>
            <w:t>其他重要事项的情况说明</w:t>
          </w:r>
          <w:r>
            <w:tab/>
          </w:r>
          <w:r>
            <w:rPr>
              <w:rFonts w:hint="eastAsia"/>
            </w:rPr>
            <w:t>-</w:t>
          </w:r>
          <w:r>
            <w:fldChar w:fldCharType="begin"/>
          </w:r>
          <w:r>
            <w:instrText xml:space="preserve"> PAGEREF _Toc24650 \h </w:instrText>
          </w:r>
          <w:r>
            <w:fldChar w:fldCharType="separate"/>
          </w:r>
          <w:r>
            <w:t>14</w:t>
          </w:r>
          <w:r>
            <w:fldChar w:fldCharType="end"/>
          </w:r>
          <w:r>
            <w:fldChar w:fldCharType="end"/>
          </w:r>
          <w:r>
            <w:rPr>
              <w:rFonts w:hint="eastAsia"/>
            </w:rPr>
            <w:t>-</w:t>
          </w:r>
        </w:p>
        <w:p w14:paraId="764ABC78">
          <w:pPr>
            <w:pStyle w:val="8"/>
            <w:tabs>
              <w:tab w:val="right" w:leader="dot" w:pos="8306"/>
              <w:tab w:val="clear" w:pos="8296"/>
            </w:tabs>
          </w:pPr>
          <w:r>
            <w:fldChar w:fldCharType="begin"/>
          </w:r>
          <w:r>
            <w:instrText xml:space="preserve"> HYPERLINK \l "_Toc4031" </w:instrText>
          </w:r>
          <w:r>
            <w:fldChar w:fldCharType="separate"/>
          </w:r>
          <w:r>
            <w:rPr>
              <w:rFonts w:hint="eastAsia" w:ascii="楷体_GB2312" w:hAnsi="仿宋" w:eastAsia="楷体_GB2312"/>
              <w:szCs w:val="32"/>
            </w:rPr>
            <w:t>（一）机关运行经费支出情况</w:t>
          </w:r>
          <w:r>
            <w:tab/>
          </w:r>
          <w:r>
            <w:rPr>
              <w:rFonts w:hint="eastAsia"/>
            </w:rPr>
            <w:t>-</w:t>
          </w:r>
          <w:r>
            <w:fldChar w:fldCharType="begin"/>
          </w:r>
          <w:r>
            <w:instrText xml:space="preserve"> PAGEREF _Toc4031 \h </w:instrText>
          </w:r>
          <w:r>
            <w:fldChar w:fldCharType="separate"/>
          </w:r>
          <w:r>
            <w:t>14</w:t>
          </w:r>
          <w:r>
            <w:fldChar w:fldCharType="end"/>
          </w:r>
          <w:r>
            <w:fldChar w:fldCharType="end"/>
          </w:r>
          <w:r>
            <w:rPr>
              <w:rFonts w:hint="eastAsia"/>
            </w:rPr>
            <w:t>-</w:t>
          </w:r>
        </w:p>
        <w:p w14:paraId="124F9B04">
          <w:pPr>
            <w:pStyle w:val="8"/>
            <w:tabs>
              <w:tab w:val="right" w:leader="dot" w:pos="8306"/>
              <w:tab w:val="clear" w:pos="8296"/>
            </w:tabs>
          </w:pPr>
          <w:r>
            <w:fldChar w:fldCharType="begin"/>
          </w:r>
          <w:r>
            <w:instrText xml:space="preserve"> HYPERLINK \l "_Toc15874" </w:instrText>
          </w:r>
          <w:r>
            <w:fldChar w:fldCharType="separate"/>
          </w:r>
          <w:r>
            <w:rPr>
              <w:rFonts w:hint="eastAsia" w:ascii="楷体_GB2312" w:hAnsi="仿宋" w:eastAsia="楷体_GB2312"/>
              <w:szCs w:val="32"/>
            </w:rPr>
            <w:t>（二）政府采购支出情况</w:t>
          </w:r>
          <w:r>
            <w:tab/>
          </w:r>
          <w:r>
            <w:rPr>
              <w:rFonts w:hint="eastAsia"/>
            </w:rPr>
            <w:t>-</w:t>
          </w:r>
          <w:r>
            <w:fldChar w:fldCharType="begin"/>
          </w:r>
          <w:r>
            <w:instrText xml:space="preserve"> PAGEREF _Toc15874 \h </w:instrText>
          </w:r>
          <w:r>
            <w:fldChar w:fldCharType="separate"/>
          </w:r>
          <w:r>
            <w:t>14</w:t>
          </w:r>
          <w:r>
            <w:fldChar w:fldCharType="end"/>
          </w:r>
          <w:r>
            <w:fldChar w:fldCharType="end"/>
          </w:r>
          <w:r>
            <w:rPr>
              <w:rFonts w:hint="eastAsia"/>
            </w:rPr>
            <w:t>-</w:t>
          </w:r>
        </w:p>
        <w:p w14:paraId="5EFC3ADA">
          <w:pPr>
            <w:pStyle w:val="8"/>
            <w:tabs>
              <w:tab w:val="right" w:leader="dot" w:pos="8306"/>
              <w:tab w:val="clear" w:pos="8296"/>
            </w:tabs>
          </w:pPr>
          <w:r>
            <w:fldChar w:fldCharType="begin"/>
          </w:r>
          <w:r>
            <w:instrText xml:space="preserve"> HYPERLINK \l "_Toc10052" </w:instrText>
          </w:r>
          <w:r>
            <w:fldChar w:fldCharType="separate"/>
          </w:r>
          <w:r>
            <w:rPr>
              <w:rFonts w:hint="eastAsia" w:ascii="楷体_GB2312" w:hAnsi="仿宋" w:eastAsia="楷体_GB2312"/>
              <w:szCs w:val="32"/>
            </w:rPr>
            <w:t>（三）国有资产占有使用情况</w:t>
          </w:r>
          <w:r>
            <w:tab/>
          </w:r>
          <w:r>
            <w:rPr>
              <w:rFonts w:hint="eastAsia"/>
            </w:rPr>
            <w:t>-</w:t>
          </w:r>
          <w:r>
            <w:fldChar w:fldCharType="begin"/>
          </w:r>
          <w:r>
            <w:instrText xml:space="preserve"> PAGEREF _Toc10052 \h </w:instrText>
          </w:r>
          <w:r>
            <w:fldChar w:fldCharType="separate"/>
          </w:r>
          <w:r>
            <w:t>14</w:t>
          </w:r>
          <w:r>
            <w:fldChar w:fldCharType="end"/>
          </w:r>
          <w:r>
            <w:fldChar w:fldCharType="end"/>
          </w:r>
          <w:r>
            <w:rPr>
              <w:rFonts w:hint="eastAsia"/>
            </w:rPr>
            <w:t>-</w:t>
          </w:r>
        </w:p>
        <w:p w14:paraId="0887DC28">
          <w:pPr>
            <w:pStyle w:val="8"/>
            <w:tabs>
              <w:tab w:val="right" w:leader="dot" w:pos="8306"/>
              <w:tab w:val="clear" w:pos="8296"/>
            </w:tabs>
          </w:pPr>
          <w:r>
            <w:fldChar w:fldCharType="begin"/>
          </w:r>
          <w:r>
            <w:instrText xml:space="preserve"> HYPERLINK \l "_Toc20878" </w:instrText>
          </w:r>
          <w:r>
            <w:fldChar w:fldCharType="separate"/>
          </w:r>
          <w:r>
            <w:rPr>
              <w:rFonts w:hint="eastAsia" w:ascii="楷体_GB2312" w:hAnsi="仿宋" w:eastAsia="楷体_GB2312"/>
              <w:szCs w:val="32"/>
            </w:rPr>
            <w:t>（四）预算绩效管理情况</w:t>
          </w:r>
          <w:r>
            <w:tab/>
          </w:r>
          <w:r>
            <w:rPr>
              <w:rFonts w:hint="eastAsia"/>
            </w:rPr>
            <w:t>-</w:t>
          </w:r>
          <w:r>
            <w:fldChar w:fldCharType="begin"/>
          </w:r>
          <w:r>
            <w:instrText xml:space="preserve"> PAGEREF _Toc20878 \h </w:instrText>
          </w:r>
          <w:r>
            <w:fldChar w:fldCharType="separate"/>
          </w:r>
          <w:r>
            <w:t>14</w:t>
          </w:r>
          <w:r>
            <w:fldChar w:fldCharType="end"/>
          </w:r>
          <w:r>
            <w:fldChar w:fldCharType="end"/>
          </w:r>
          <w:r>
            <w:rPr>
              <w:rFonts w:hint="eastAsia"/>
            </w:rPr>
            <w:t>-</w:t>
          </w:r>
        </w:p>
        <w:p w14:paraId="1179FD83">
          <w:pPr>
            <w:pStyle w:val="12"/>
            <w:tabs>
              <w:tab w:val="right" w:leader="dot" w:pos="8306"/>
              <w:tab w:val="clear" w:pos="8296"/>
            </w:tabs>
            <w:rPr>
              <w:rFonts w:ascii="Times New Roman" w:hAnsi="Times New Roman" w:eastAsia="宋体"/>
              <w:sz w:val="21"/>
              <w:szCs w:val="24"/>
            </w:rPr>
          </w:pPr>
          <w:r>
            <w:fldChar w:fldCharType="begin"/>
          </w:r>
          <w:r>
            <w:instrText xml:space="preserve"> HYPERLINK \l "_Toc6640" </w:instrText>
          </w:r>
          <w:r>
            <w:fldChar w:fldCharType="separate"/>
          </w:r>
          <w:r>
            <w:rPr>
              <w:rFonts w:hint="eastAsia" w:ascii="Times New Roman" w:hAnsi="Times New Roman" w:eastAsia="宋体"/>
              <w:sz w:val="21"/>
              <w:szCs w:val="24"/>
            </w:rPr>
            <w:t>第三部分 名词解释</w:t>
          </w:r>
          <w:r>
            <w:rPr>
              <w:rFonts w:ascii="Times New Roman" w:hAnsi="Times New Roman" w:eastAsia="宋体"/>
              <w:sz w:val="21"/>
              <w:szCs w:val="24"/>
            </w:rPr>
            <w:tab/>
          </w:r>
          <w:r>
            <w:rPr>
              <w:rFonts w:hint="eastAsia" w:ascii="Times New Roman" w:hAnsi="Times New Roman" w:eastAsia="宋体"/>
              <w:sz w:val="21"/>
              <w:szCs w:val="24"/>
            </w:rPr>
            <w:t>-</w:t>
          </w:r>
          <w:r>
            <w:rPr>
              <w:rFonts w:ascii="Times New Roman" w:hAnsi="Times New Roman" w:eastAsia="宋体"/>
              <w:sz w:val="21"/>
              <w:szCs w:val="24"/>
            </w:rPr>
            <w:fldChar w:fldCharType="begin"/>
          </w:r>
          <w:r>
            <w:rPr>
              <w:rFonts w:ascii="Times New Roman" w:hAnsi="Times New Roman" w:eastAsia="宋体"/>
              <w:sz w:val="21"/>
              <w:szCs w:val="24"/>
            </w:rPr>
            <w:instrText xml:space="preserve"> PAGEREF _Toc6640 \h </w:instrText>
          </w:r>
          <w:r>
            <w:rPr>
              <w:rFonts w:ascii="Times New Roman" w:hAnsi="Times New Roman" w:eastAsia="宋体"/>
              <w:sz w:val="21"/>
              <w:szCs w:val="24"/>
            </w:rPr>
            <w:fldChar w:fldCharType="separate"/>
          </w:r>
          <w:r>
            <w:rPr>
              <w:rFonts w:ascii="Times New Roman" w:hAnsi="Times New Roman" w:eastAsia="宋体"/>
              <w:sz w:val="21"/>
              <w:szCs w:val="24"/>
            </w:rPr>
            <w:t>16</w:t>
          </w:r>
          <w:r>
            <w:rPr>
              <w:rFonts w:ascii="Times New Roman" w:hAnsi="Times New Roman" w:eastAsia="宋体"/>
              <w:sz w:val="21"/>
              <w:szCs w:val="24"/>
            </w:rPr>
            <w:fldChar w:fldCharType="end"/>
          </w:r>
          <w:r>
            <w:rPr>
              <w:rFonts w:ascii="Times New Roman" w:hAnsi="Times New Roman" w:eastAsia="宋体"/>
              <w:sz w:val="21"/>
              <w:szCs w:val="24"/>
            </w:rPr>
            <w:fldChar w:fldCharType="end"/>
          </w:r>
          <w:r>
            <w:rPr>
              <w:rFonts w:hint="eastAsia" w:ascii="Times New Roman" w:hAnsi="Times New Roman" w:eastAsia="宋体"/>
              <w:sz w:val="21"/>
              <w:szCs w:val="24"/>
            </w:rPr>
            <w:t>-</w:t>
          </w:r>
        </w:p>
        <w:p w14:paraId="365BA213">
          <w:pPr>
            <w:pStyle w:val="12"/>
            <w:tabs>
              <w:tab w:val="right" w:leader="dot" w:pos="8306"/>
              <w:tab w:val="clear" w:pos="8296"/>
            </w:tabs>
          </w:pPr>
          <w:r>
            <w:fldChar w:fldCharType="begin"/>
          </w:r>
          <w:r>
            <w:instrText xml:space="preserve"> HYPERLINK \l "_Toc16056" </w:instrText>
          </w:r>
          <w:r>
            <w:fldChar w:fldCharType="separate"/>
          </w:r>
          <w:r>
            <w:rPr>
              <w:rFonts w:hint="eastAsia" w:ascii="Times New Roman" w:hAnsi="Times New Roman" w:eastAsia="宋体"/>
              <w:sz w:val="21"/>
              <w:szCs w:val="24"/>
            </w:rPr>
            <w:t>第四部分 附件</w:t>
          </w:r>
          <w:r>
            <w:rPr>
              <w:rFonts w:ascii="Times New Roman" w:hAnsi="Times New Roman" w:eastAsia="宋体"/>
              <w:sz w:val="21"/>
              <w:szCs w:val="24"/>
            </w:rPr>
            <w:tab/>
          </w:r>
          <w:r>
            <w:rPr>
              <w:rFonts w:hint="eastAsia" w:ascii="Times New Roman" w:hAnsi="Times New Roman" w:eastAsia="宋体"/>
              <w:sz w:val="21"/>
              <w:szCs w:val="24"/>
            </w:rPr>
            <w:t>-</w:t>
          </w:r>
          <w:r>
            <w:rPr>
              <w:rFonts w:ascii="Times New Roman" w:hAnsi="Times New Roman" w:eastAsia="宋体"/>
              <w:sz w:val="21"/>
              <w:szCs w:val="24"/>
            </w:rPr>
            <w:fldChar w:fldCharType="begin"/>
          </w:r>
          <w:r>
            <w:rPr>
              <w:rFonts w:ascii="Times New Roman" w:hAnsi="Times New Roman" w:eastAsia="宋体"/>
              <w:sz w:val="21"/>
              <w:szCs w:val="24"/>
            </w:rPr>
            <w:instrText xml:space="preserve"> PAGEREF _Toc16056 \h </w:instrText>
          </w:r>
          <w:r>
            <w:rPr>
              <w:rFonts w:ascii="Times New Roman" w:hAnsi="Times New Roman" w:eastAsia="宋体"/>
              <w:sz w:val="21"/>
              <w:szCs w:val="24"/>
            </w:rPr>
            <w:fldChar w:fldCharType="separate"/>
          </w:r>
          <w:r>
            <w:rPr>
              <w:rFonts w:ascii="Times New Roman" w:hAnsi="Times New Roman" w:eastAsia="宋体"/>
              <w:sz w:val="21"/>
              <w:szCs w:val="24"/>
            </w:rPr>
            <w:t>21</w:t>
          </w:r>
          <w:r>
            <w:rPr>
              <w:rFonts w:ascii="Times New Roman" w:hAnsi="Times New Roman" w:eastAsia="宋体"/>
              <w:sz w:val="21"/>
              <w:szCs w:val="24"/>
            </w:rPr>
            <w:fldChar w:fldCharType="end"/>
          </w:r>
          <w:r>
            <w:rPr>
              <w:rFonts w:ascii="Times New Roman" w:hAnsi="Times New Roman" w:eastAsia="宋体"/>
              <w:sz w:val="21"/>
              <w:szCs w:val="24"/>
            </w:rPr>
            <w:fldChar w:fldCharType="end"/>
          </w:r>
          <w:r>
            <w:rPr>
              <w:rFonts w:hint="eastAsia" w:ascii="Times New Roman" w:hAnsi="Times New Roman" w:eastAsia="宋体"/>
              <w:sz w:val="21"/>
              <w:szCs w:val="24"/>
            </w:rPr>
            <w:t>-</w:t>
          </w:r>
        </w:p>
        <w:p w14:paraId="593192A3">
          <w:pPr>
            <w:pStyle w:val="12"/>
            <w:tabs>
              <w:tab w:val="right" w:leader="dot" w:pos="8306"/>
              <w:tab w:val="clear" w:pos="8296"/>
            </w:tabs>
            <w:rPr>
              <w:rFonts w:ascii="Times New Roman" w:hAnsi="Times New Roman" w:eastAsia="宋体"/>
              <w:sz w:val="21"/>
              <w:szCs w:val="24"/>
            </w:rPr>
          </w:pPr>
          <w:r>
            <w:fldChar w:fldCharType="begin"/>
          </w:r>
          <w:r>
            <w:instrText xml:space="preserve"> HYPERLINK \l "_Toc5321" </w:instrText>
          </w:r>
          <w:r>
            <w:fldChar w:fldCharType="separate"/>
          </w:r>
          <w:r>
            <w:rPr>
              <w:rFonts w:hint="eastAsia" w:ascii="Times New Roman" w:hAnsi="Times New Roman" w:eastAsia="宋体"/>
              <w:sz w:val="21"/>
              <w:szCs w:val="24"/>
            </w:rPr>
            <w:t>第五部分 附表</w:t>
          </w:r>
          <w:r>
            <w:rPr>
              <w:rFonts w:ascii="Times New Roman" w:hAnsi="Times New Roman" w:eastAsia="宋体"/>
              <w:sz w:val="21"/>
              <w:szCs w:val="24"/>
            </w:rPr>
            <w:tab/>
          </w:r>
          <w:r>
            <w:rPr>
              <w:rFonts w:hint="eastAsia" w:ascii="Times New Roman" w:hAnsi="Times New Roman" w:eastAsia="宋体"/>
              <w:sz w:val="21"/>
              <w:szCs w:val="24"/>
            </w:rPr>
            <w:t>-</w:t>
          </w:r>
          <w:r>
            <w:rPr>
              <w:rFonts w:ascii="Times New Roman" w:hAnsi="Times New Roman" w:eastAsia="宋体"/>
              <w:sz w:val="21"/>
              <w:szCs w:val="24"/>
            </w:rPr>
            <w:fldChar w:fldCharType="begin"/>
          </w:r>
          <w:r>
            <w:rPr>
              <w:rFonts w:ascii="Times New Roman" w:hAnsi="Times New Roman" w:eastAsia="宋体"/>
              <w:sz w:val="21"/>
              <w:szCs w:val="24"/>
            </w:rPr>
            <w:instrText xml:space="preserve"> PAGEREF _Toc5321 \h </w:instrText>
          </w:r>
          <w:r>
            <w:rPr>
              <w:rFonts w:ascii="Times New Roman" w:hAnsi="Times New Roman" w:eastAsia="宋体"/>
              <w:sz w:val="21"/>
              <w:szCs w:val="24"/>
            </w:rPr>
            <w:fldChar w:fldCharType="separate"/>
          </w:r>
          <w:r>
            <w:rPr>
              <w:rFonts w:ascii="Times New Roman" w:hAnsi="Times New Roman" w:eastAsia="宋体"/>
              <w:sz w:val="21"/>
              <w:szCs w:val="24"/>
            </w:rPr>
            <w:t>22</w:t>
          </w:r>
          <w:r>
            <w:rPr>
              <w:rFonts w:ascii="Times New Roman" w:hAnsi="Times New Roman" w:eastAsia="宋体"/>
              <w:sz w:val="21"/>
              <w:szCs w:val="24"/>
            </w:rPr>
            <w:fldChar w:fldCharType="end"/>
          </w:r>
          <w:r>
            <w:rPr>
              <w:rFonts w:ascii="Times New Roman" w:hAnsi="Times New Roman" w:eastAsia="宋体"/>
              <w:sz w:val="21"/>
              <w:szCs w:val="24"/>
            </w:rPr>
            <w:fldChar w:fldCharType="end"/>
          </w:r>
          <w:r>
            <w:rPr>
              <w:rFonts w:hint="eastAsia" w:ascii="Times New Roman" w:hAnsi="Times New Roman" w:eastAsia="宋体"/>
              <w:sz w:val="21"/>
              <w:szCs w:val="24"/>
            </w:rPr>
            <w:t>-</w:t>
          </w:r>
        </w:p>
        <w:p w14:paraId="227C4C3E">
          <w:pPr>
            <w:pStyle w:val="13"/>
            <w:tabs>
              <w:tab w:val="right" w:leader="dot" w:pos="8306"/>
              <w:tab w:val="clear" w:pos="8296"/>
            </w:tabs>
          </w:pPr>
          <w:r>
            <w:fldChar w:fldCharType="begin"/>
          </w:r>
          <w:r>
            <w:instrText xml:space="preserve"> HYPERLINK \l "_Toc26215" </w:instrText>
          </w:r>
          <w:r>
            <w:fldChar w:fldCharType="separate"/>
          </w:r>
          <w:r>
            <w:rPr>
              <w:rFonts w:hint="eastAsia" w:ascii="楷体_GB2312" w:hAnsi="仿宋" w:eastAsia="楷体_GB2312"/>
              <w:szCs w:val="32"/>
            </w:rPr>
            <w:t>一、收入支出决算总表</w:t>
          </w:r>
          <w:r>
            <w:tab/>
          </w:r>
          <w:r>
            <w:rPr>
              <w:rFonts w:hint="eastAsia"/>
            </w:rPr>
            <w:t>-</w:t>
          </w:r>
          <w:r>
            <w:fldChar w:fldCharType="begin"/>
          </w:r>
          <w:r>
            <w:instrText xml:space="preserve"> PAGEREF _Toc26215 \h </w:instrText>
          </w:r>
          <w:r>
            <w:fldChar w:fldCharType="separate"/>
          </w:r>
          <w:r>
            <w:t>22</w:t>
          </w:r>
          <w:r>
            <w:fldChar w:fldCharType="end"/>
          </w:r>
          <w:r>
            <w:fldChar w:fldCharType="end"/>
          </w:r>
          <w:r>
            <w:rPr>
              <w:rFonts w:hint="eastAsia"/>
            </w:rPr>
            <w:t>-</w:t>
          </w:r>
        </w:p>
        <w:p w14:paraId="1E1E074C">
          <w:pPr>
            <w:pStyle w:val="13"/>
            <w:tabs>
              <w:tab w:val="right" w:leader="dot" w:pos="8306"/>
              <w:tab w:val="clear" w:pos="8296"/>
            </w:tabs>
          </w:pPr>
          <w:r>
            <w:fldChar w:fldCharType="begin"/>
          </w:r>
          <w:r>
            <w:instrText xml:space="preserve"> HYPERLINK \l "_Toc13342" </w:instrText>
          </w:r>
          <w:r>
            <w:fldChar w:fldCharType="separate"/>
          </w:r>
          <w:r>
            <w:rPr>
              <w:rFonts w:hint="eastAsia" w:ascii="楷体_GB2312" w:hAnsi="仿宋" w:eastAsia="楷体_GB2312"/>
              <w:szCs w:val="32"/>
            </w:rPr>
            <w:t>二、收入决算表</w:t>
          </w:r>
          <w:r>
            <w:tab/>
          </w:r>
          <w:r>
            <w:rPr>
              <w:rFonts w:hint="eastAsia"/>
            </w:rPr>
            <w:t>-</w:t>
          </w:r>
          <w:r>
            <w:fldChar w:fldCharType="begin"/>
          </w:r>
          <w:r>
            <w:instrText xml:space="preserve"> PAGEREF _Toc13342 \h </w:instrText>
          </w:r>
          <w:r>
            <w:fldChar w:fldCharType="separate"/>
          </w:r>
          <w:r>
            <w:t>22</w:t>
          </w:r>
          <w:r>
            <w:fldChar w:fldCharType="end"/>
          </w:r>
          <w:r>
            <w:fldChar w:fldCharType="end"/>
          </w:r>
          <w:r>
            <w:rPr>
              <w:rFonts w:hint="eastAsia"/>
            </w:rPr>
            <w:t>-</w:t>
          </w:r>
        </w:p>
        <w:p w14:paraId="1DDD472B">
          <w:pPr>
            <w:pStyle w:val="13"/>
            <w:tabs>
              <w:tab w:val="right" w:leader="dot" w:pos="8306"/>
              <w:tab w:val="clear" w:pos="8296"/>
            </w:tabs>
          </w:pPr>
          <w:r>
            <w:fldChar w:fldCharType="begin"/>
          </w:r>
          <w:r>
            <w:instrText xml:space="preserve"> HYPERLINK \l "_Toc21295" </w:instrText>
          </w:r>
          <w:r>
            <w:fldChar w:fldCharType="separate"/>
          </w:r>
          <w:r>
            <w:rPr>
              <w:rFonts w:hint="eastAsia" w:ascii="楷体_GB2312" w:hAnsi="仿宋" w:eastAsia="楷体_GB2312"/>
              <w:szCs w:val="32"/>
            </w:rPr>
            <w:t>三、支出决算表</w:t>
          </w:r>
          <w:r>
            <w:tab/>
          </w:r>
          <w:r>
            <w:rPr>
              <w:rFonts w:hint="eastAsia"/>
            </w:rPr>
            <w:t>-</w:t>
          </w:r>
          <w:r>
            <w:fldChar w:fldCharType="begin"/>
          </w:r>
          <w:r>
            <w:instrText xml:space="preserve"> PAGEREF _Toc21295 \h </w:instrText>
          </w:r>
          <w:r>
            <w:fldChar w:fldCharType="separate"/>
          </w:r>
          <w:r>
            <w:t>22</w:t>
          </w:r>
          <w:r>
            <w:fldChar w:fldCharType="end"/>
          </w:r>
          <w:r>
            <w:fldChar w:fldCharType="end"/>
          </w:r>
          <w:r>
            <w:rPr>
              <w:rFonts w:hint="eastAsia"/>
            </w:rPr>
            <w:t>-</w:t>
          </w:r>
        </w:p>
        <w:p w14:paraId="7E90F8B7">
          <w:pPr>
            <w:pStyle w:val="13"/>
            <w:tabs>
              <w:tab w:val="right" w:leader="dot" w:pos="8306"/>
              <w:tab w:val="clear" w:pos="8296"/>
            </w:tabs>
          </w:pPr>
          <w:r>
            <w:fldChar w:fldCharType="begin"/>
          </w:r>
          <w:r>
            <w:instrText xml:space="preserve"> HYPERLINK \l "_Toc11658" </w:instrText>
          </w:r>
          <w:r>
            <w:fldChar w:fldCharType="separate"/>
          </w:r>
          <w:r>
            <w:rPr>
              <w:rFonts w:hint="eastAsia" w:ascii="楷体_GB2312" w:hAnsi="仿宋" w:eastAsia="楷体_GB2312"/>
              <w:szCs w:val="32"/>
            </w:rPr>
            <w:t>四、财政拨款收入支出决算总表</w:t>
          </w:r>
          <w:r>
            <w:tab/>
          </w:r>
          <w:r>
            <w:rPr>
              <w:rFonts w:hint="eastAsia"/>
            </w:rPr>
            <w:t>-</w:t>
          </w:r>
          <w:r>
            <w:fldChar w:fldCharType="begin"/>
          </w:r>
          <w:r>
            <w:instrText xml:space="preserve"> PAGEREF _Toc11658 \h </w:instrText>
          </w:r>
          <w:r>
            <w:fldChar w:fldCharType="separate"/>
          </w:r>
          <w:r>
            <w:t>22</w:t>
          </w:r>
          <w:r>
            <w:fldChar w:fldCharType="end"/>
          </w:r>
          <w:r>
            <w:fldChar w:fldCharType="end"/>
          </w:r>
          <w:r>
            <w:rPr>
              <w:rFonts w:hint="eastAsia"/>
            </w:rPr>
            <w:t>-</w:t>
          </w:r>
        </w:p>
        <w:p w14:paraId="241F079C">
          <w:pPr>
            <w:pStyle w:val="13"/>
            <w:tabs>
              <w:tab w:val="right" w:leader="dot" w:pos="8306"/>
              <w:tab w:val="clear" w:pos="8296"/>
            </w:tabs>
          </w:pPr>
          <w:r>
            <w:fldChar w:fldCharType="begin"/>
          </w:r>
          <w:r>
            <w:instrText xml:space="preserve"> HYPERLINK \l "_Toc18243" </w:instrText>
          </w:r>
          <w:r>
            <w:fldChar w:fldCharType="separate"/>
          </w:r>
          <w:r>
            <w:rPr>
              <w:rFonts w:hint="eastAsia" w:ascii="楷体_GB2312" w:hAnsi="仿宋" w:eastAsia="楷体_GB2312"/>
              <w:szCs w:val="32"/>
            </w:rPr>
            <w:t>五、财政拨款支出决算明细表</w:t>
          </w:r>
          <w:r>
            <w:tab/>
          </w:r>
          <w:r>
            <w:rPr>
              <w:rFonts w:hint="eastAsia"/>
            </w:rPr>
            <w:t>-</w:t>
          </w:r>
          <w:r>
            <w:fldChar w:fldCharType="begin"/>
          </w:r>
          <w:r>
            <w:instrText xml:space="preserve"> PAGEREF _Toc18243 \h </w:instrText>
          </w:r>
          <w:r>
            <w:fldChar w:fldCharType="separate"/>
          </w:r>
          <w:r>
            <w:t>22</w:t>
          </w:r>
          <w:r>
            <w:fldChar w:fldCharType="end"/>
          </w:r>
          <w:r>
            <w:fldChar w:fldCharType="end"/>
          </w:r>
          <w:r>
            <w:rPr>
              <w:rFonts w:hint="eastAsia"/>
            </w:rPr>
            <w:t>-</w:t>
          </w:r>
        </w:p>
        <w:p w14:paraId="63365A1B">
          <w:pPr>
            <w:pStyle w:val="13"/>
            <w:tabs>
              <w:tab w:val="right" w:leader="dot" w:pos="8306"/>
              <w:tab w:val="clear" w:pos="8296"/>
            </w:tabs>
          </w:pPr>
          <w:r>
            <w:fldChar w:fldCharType="begin"/>
          </w:r>
          <w:r>
            <w:instrText xml:space="preserve"> HYPERLINK \l "_Toc20845" </w:instrText>
          </w:r>
          <w:r>
            <w:fldChar w:fldCharType="separate"/>
          </w:r>
          <w:r>
            <w:rPr>
              <w:rFonts w:hint="eastAsia" w:ascii="楷体_GB2312" w:hAnsi="仿宋" w:eastAsia="楷体_GB2312"/>
              <w:szCs w:val="32"/>
            </w:rPr>
            <w:t>六、一般公共预算财政拨款支出决算表</w:t>
          </w:r>
          <w:r>
            <w:tab/>
          </w:r>
          <w:r>
            <w:rPr>
              <w:rFonts w:hint="eastAsia"/>
            </w:rPr>
            <w:t>-</w:t>
          </w:r>
          <w:r>
            <w:fldChar w:fldCharType="begin"/>
          </w:r>
          <w:r>
            <w:instrText xml:space="preserve"> PAGEREF _Toc20845 \h </w:instrText>
          </w:r>
          <w:r>
            <w:fldChar w:fldCharType="separate"/>
          </w:r>
          <w:r>
            <w:t>22</w:t>
          </w:r>
          <w:r>
            <w:fldChar w:fldCharType="end"/>
          </w:r>
          <w:r>
            <w:fldChar w:fldCharType="end"/>
          </w:r>
          <w:r>
            <w:rPr>
              <w:rFonts w:hint="eastAsia"/>
            </w:rPr>
            <w:t>-</w:t>
          </w:r>
        </w:p>
        <w:p w14:paraId="64A48310">
          <w:pPr>
            <w:pStyle w:val="13"/>
            <w:tabs>
              <w:tab w:val="right" w:leader="dot" w:pos="8306"/>
              <w:tab w:val="clear" w:pos="8296"/>
            </w:tabs>
            <w:sectPr>
              <w:footerReference r:id="rId5" w:type="default"/>
              <w:footerReference r:id="rId6" w:type="even"/>
              <w:pgSz w:w="11906" w:h="16838"/>
              <w:pgMar w:top="1440" w:right="1800" w:bottom="1440" w:left="1800" w:header="851" w:footer="992" w:gutter="0"/>
              <w:pgNumType w:start="1" w:chapStyle="1"/>
              <w:cols w:space="425" w:num="1"/>
              <w:docGrid w:type="lines" w:linePitch="312" w:charSpace="0"/>
            </w:sectPr>
          </w:pPr>
        </w:p>
        <w:p w14:paraId="48B61650">
          <w:pPr>
            <w:pStyle w:val="13"/>
            <w:tabs>
              <w:tab w:val="right" w:leader="dot" w:pos="8306"/>
              <w:tab w:val="clear" w:pos="8296"/>
            </w:tabs>
          </w:pPr>
          <w:r>
            <w:fldChar w:fldCharType="begin"/>
          </w:r>
          <w:r>
            <w:instrText xml:space="preserve"> HYPERLINK \l "_Toc30686" </w:instrText>
          </w:r>
          <w:r>
            <w:fldChar w:fldCharType="separate"/>
          </w:r>
          <w:r>
            <w:rPr>
              <w:rFonts w:hint="eastAsia" w:ascii="楷体_GB2312" w:hAnsi="仿宋" w:eastAsia="楷体_GB2312"/>
              <w:szCs w:val="32"/>
            </w:rPr>
            <w:t>七、一般公共预算财政拨款支出决算明细表</w:t>
          </w:r>
          <w:r>
            <w:tab/>
          </w:r>
          <w:r>
            <w:rPr>
              <w:rFonts w:hint="eastAsia"/>
            </w:rPr>
            <w:t>-</w:t>
          </w:r>
          <w:r>
            <w:fldChar w:fldCharType="begin"/>
          </w:r>
          <w:r>
            <w:instrText xml:space="preserve"> PAGEREF _Toc30686 \h </w:instrText>
          </w:r>
          <w:r>
            <w:fldChar w:fldCharType="separate"/>
          </w:r>
          <w:r>
            <w:t>22</w:t>
          </w:r>
          <w:r>
            <w:fldChar w:fldCharType="end"/>
          </w:r>
          <w:r>
            <w:fldChar w:fldCharType="end"/>
          </w:r>
          <w:r>
            <w:rPr>
              <w:rFonts w:hint="eastAsia"/>
            </w:rPr>
            <w:t>-</w:t>
          </w:r>
        </w:p>
        <w:p w14:paraId="5146A222">
          <w:pPr>
            <w:pStyle w:val="13"/>
            <w:tabs>
              <w:tab w:val="right" w:leader="dot" w:pos="8306"/>
              <w:tab w:val="clear" w:pos="8296"/>
            </w:tabs>
          </w:pPr>
          <w:r>
            <w:fldChar w:fldCharType="begin"/>
          </w:r>
          <w:r>
            <w:instrText xml:space="preserve"> HYPERLINK \l "_Toc5359" </w:instrText>
          </w:r>
          <w:r>
            <w:fldChar w:fldCharType="separate"/>
          </w:r>
          <w:r>
            <w:rPr>
              <w:rFonts w:hint="eastAsia" w:ascii="楷体_GB2312" w:hAnsi="仿宋" w:eastAsia="楷体_GB2312"/>
              <w:szCs w:val="32"/>
            </w:rPr>
            <w:t>八、一般公共预算财政拨款基本支出决算表</w:t>
          </w:r>
          <w:r>
            <w:tab/>
          </w:r>
          <w:r>
            <w:rPr>
              <w:rFonts w:hint="eastAsia"/>
            </w:rPr>
            <w:t>-</w:t>
          </w:r>
          <w:r>
            <w:fldChar w:fldCharType="begin"/>
          </w:r>
          <w:r>
            <w:instrText xml:space="preserve"> PAGEREF _Toc5359 \h </w:instrText>
          </w:r>
          <w:r>
            <w:fldChar w:fldCharType="separate"/>
          </w:r>
          <w:r>
            <w:t>22</w:t>
          </w:r>
          <w:r>
            <w:fldChar w:fldCharType="end"/>
          </w:r>
          <w:r>
            <w:fldChar w:fldCharType="end"/>
          </w:r>
          <w:r>
            <w:rPr>
              <w:rFonts w:hint="eastAsia"/>
            </w:rPr>
            <w:t>-</w:t>
          </w:r>
        </w:p>
        <w:p w14:paraId="6F50F929">
          <w:pPr>
            <w:pStyle w:val="13"/>
            <w:tabs>
              <w:tab w:val="right" w:leader="dot" w:pos="8306"/>
              <w:tab w:val="clear" w:pos="8296"/>
            </w:tabs>
          </w:pPr>
          <w:r>
            <w:fldChar w:fldCharType="begin"/>
          </w:r>
          <w:r>
            <w:instrText xml:space="preserve"> HYPERLINK \l "_Toc12028" </w:instrText>
          </w:r>
          <w:r>
            <w:fldChar w:fldCharType="separate"/>
          </w:r>
          <w:r>
            <w:rPr>
              <w:rFonts w:hint="eastAsia" w:ascii="楷体_GB2312" w:hAnsi="仿宋" w:eastAsia="楷体_GB2312"/>
              <w:szCs w:val="32"/>
            </w:rPr>
            <w:t>九、一般公共预算财政拨款项目支出决算表</w:t>
          </w:r>
          <w:r>
            <w:tab/>
          </w:r>
          <w:r>
            <w:rPr>
              <w:rFonts w:hint="eastAsia"/>
            </w:rPr>
            <w:t>-</w:t>
          </w:r>
          <w:r>
            <w:fldChar w:fldCharType="begin"/>
          </w:r>
          <w:r>
            <w:instrText xml:space="preserve"> PAGEREF _Toc12028 \h </w:instrText>
          </w:r>
          <w:r>
            <w:fldChar w:fldCharType="separate"/>
          </w:r>
          <w:r>
            <w:t>22</w:t>
          </w:r>
          <w:r>
            <w:fldChar w:fldCharType="end"/>
          </w:r>
          <w:r>
            <w:fldChar w:fldCharType="end"/>
          </w:r>
          <w:r>
            <w:rPr>
              <w:rFonts w:hint="eastAsia"/>
            </w:rPr>
            <w:t>-</w:t>
          </w:r>
        </w:p>
        <w:p w14:paraId="6E26F619">
          <w:pPr>
            <w:pStyle w:val="13"/>
            <w:tabs>
              <w:tab w:val="right" w:leader="dot" w:pos="8306"/>
              <w:tab w:val="clear" w:pos="8296"/>
            </w:tabs>
          </w:pPr>
          <w:r>
            <w:fldChar w:fldCharType="begin"/>
          </w:r>
          <w:r>
            <w:instrText xml:space="preserve"> HYPERLINK \l "_Toc26058" </w:instrText>
          </w:r>
          <w:r>
            <w:fldChar w:fldCharType="separate"/>
          </w:r>
          <w:r>
            <w:rPr>
              <w:rFonts w:hint="eastAsia" w:ascii="楷体_GB2312" w:hAnsi="仿宋" w:eastAsia="楷体_GB2312"/>
              <w:szCs w:val="32"/>
            </w:rPr>
            <w:t>十、政府性基金预算财政拨款收入支出决算表</w:t>
          </w:r>
          <w:r>
            <w:tab/>
          </w:r>
          <w:r>
            <w:rPr>
              <w:rFonts w:hint="eastAsia"/>
            </w:rPr>
            <w:t>-</w:t>
          </w:r>
          <w:r>
            <w:fldChar w:fldCharType="begin"/>
          </w:r>
          <w:r>
            <w:instrText xml:space="preserve"> PAGEREF _Toc26058 \h </w:instrText>
          </w:r>
          <w:r>
            <w:fldChar w:fldCharType="separate"/>
          </w:r>
          <w:r>
            <w:t>22</w:t>
          </w:r>
          <w:r>
            <w:fldChar w:fldCharType="end"/>
          </w:r>
          <w:r>
            <w:fldChar w:fldCharType="end"/>
          </w:r>
          <w:r>
            <w:rPr>
              <w:rFonts w:hint="eastAsia"/>
            </w:rPr>
            <w:t>-</w:t>
          </w:r>
        </w:p>
        <w:p w14:paraId="4AD5B8F9">
          <w:pPr>
            <w:pStyle w:val="13"/>
            <w:tabs>
              <w:tab w:val="right" w:leader="dot" w:pos="8306"/>
              <w:tab w:val="clear" w:pos="8296"/>
            </w:tabs>
          </w:pPr>
          <w:r>
            <w:fldChar w:fldCharType="begin"/>
          </w:r>
          <w:r>
            <w:instrText xml:space="preserve"> HYPERLINK \l "_Toc26737" </w:instrText>
          </w:r>
          <w:r>
            <w:fldChar w:fldCharType="separate"/>
          </w:r>
          <w:r>
            <w:rPr>
              <w:rFonts w:hint="eastAsia" w:ascii="楷体_GB2312" w:hAnsi="仿宋" w:eastAsia="楷体_GB2312"/>
              <w:szCs w:val="32"/>
            </w:rPr>
            <w:t>十一、国有资本经营预算财政拨款收入支出决算表</w:t>
          </w:r>
          <w:r>
            <w:tab/>
          </w:r>
          <w:r>
            <w:rPr>
              <w:rFonts w:hint="eastAsia"/>
            </w:rPr>
            <w:t>-</w:t>
          </w:r>
          <w:r>
            <w:fldChar w:fldCharType="begin"/>
          </w:r>
          <w:r>
            <w:instrText xml:space="preserve"> PAGEREF _Toc26737 \h </w:instrText>
          </w:r>
          <w:r>
            <w:fldChar w:fldCharType="separate"/>
          </w:r>
          <w:r>
            <w:t>22</w:t>
          </w:r>
          <w:r>
            <w:fldChar w:fldCharType="end"/>
          </w:r>
          <w:r>
            <w:fldChar w:fldCharType="end"/>
          </w:r>
          <w:r>
            <w:rPr>
              <w:rFonts w:hint="eastAsia"/>
            </w:rPr>
            <w:t>-</w:t>
          </w:r>
        </w:p>
        <w:p w14:paraId="2A81677C">
          <w:pPr>
            <w:pStyle w:val="13"/>
            <w:tabs>
              <w:tab w:val="right" w:leader="dot" w:pos="8306"/>
              <w:tab w:val="clear" w:pos="8296"/>
            </w:tabs>
          </w:pPr>
          <w:r>
            <w:fldChar w:fldCharType="begin"/>
          </w:r>
          <w:r>
            <w:instrText xml:space="preserve"> HYPERLINK \l "_Toc2422" </w:instrText>
          </w:r>
          <w:r>
            <w:fldChar w:fldCharType="separate"/>
          </w:r>
          <w:r>
            <w:rPr>
              <w:rFonts w:hint="eastAsia" w:ascii="楷体_GB2312" w:hAnsi="仿宋" w:eastAsia="楷体_GB2312"/>
              <w:szCs w:val="32"/>
            </w:rPr>
            <w:t>十二、国有资本经营预算财政拨款支出决算表</w:t>
          </w:r>
          <w:r>
            <w:tab/>
          </w:r>
          <w:r>
            <w:rPr>
              <w:rFonts w:hint="eastAsia"/>
            </w:rPr>
            <w:t>-</w:t>
          </w:r>
          <w:r>
            <w:fldChar w:fldCharType="begin"/>
          </w:r>
          <w:r>
            <w:instrText xml:space="preserve"> PAGEREF _Toc2422 \h </w:instrText>
          </w:r>
          <w:r>
            <w:fldChar w:fldCharType="separate"/>
          </w:r>
          <w:r>
            <w:t>22</w:t>
          </w:r>
          <w:r>
            <w:fldChar w:fldCharType="end"/>
          </w:r>
          <w:r>
            <w:fldChar w:fldCharType="end"/>
          </w:r>
          <w:r>
            <w:rPr>
              <w:rFonts w:hint="eastAsia"/>
            </w:rPr>
            <w:t>-</w:t>
          </w:r>
        </w:p>
        <w:p w14:paraId="3A29B946">
          <w:pPr>
            <w:pStyle w:val="13"/>
            <w:tabs>
              <w:tab w:val="right" w:leader="dot" w:pos="8306"/>
              <w:tab w:val="clear" w:pos="8296"/>
            </w:tabs>
          </w:pPr>
          <w:r>
            <w:fldChar w:fldCharType="begin"/>
          </w:r>
          <w:r>
            <w:instrText xml:space="preserve"> HYPERLINK \l "_Toc4329" </w:instrText>
          </w:r>
          <w:r>
            <w:fldChar w:fldCharType="separate"/>
          </w:r>
          <w:r>
            <w:rPr>
              <w:rFonts w:hint="eastAsia" w:ascii="楷体_GB2312" w:hAnsi="仿宋" w:eastAsia="楷体_GB2312"/>
              <w:szCs w:val="32"/>
            </w:rPr>
            <w:t>十三、财政拨款“三公”经费支出决算表</w:t>
          </w:r>
          <w:r>
            <w:tab/>
          </w:r>
          <w:r>
            <w:rPr>
              <w:rFonts w:hint="eastAsia"/>
            </w:rPr>
            <w:t>-</w:t>
          </w:r>
          <w:r>
            <w:fldChar w:fldCharType="begin"/>
          </w:r>
          <w:r>
            <w:instrText xml:space="preserve"> PAGEREF _Toc4329 \h </w:instrText>
          </w:r>
          <w:r>
            <w:fldChar w:fldCharType="separate"/>
          </w:r>
          <w:r>
            <w:t>22</w:t>
          </w:r>
          <w:r>
            <w:fldChar w:fldCharType="end"/>
          </w:r>
          <w:r>
            <w:fldChar w:fldCharType="end"/>
          </w:r>
          <w:r>
            <w:rPr>
              <w:rFonts w:hint="eastAsia"/>
            </w:rPr>
            <w:t>-</w:t>
          </w:r>
        </w:p>
        <w:p w14:paraId="74B74133">
          <w:r>
            <w:fldChar w:fldCharType="end"/>
          </w:r>
        </w:p>
      </w:sdtContent>
    </w:sdt>
    <w:p w14:paraId="0C2FF404">
      <w:pPr>
        <w:pStyle w:val="2"/>
        <w:sectPr>
          <w:footerReference r:id="rId7" w:type="default"/>
          <w:footerReference r:id="rId8" w:type="even"/>
          <w:pgSz w:w="11906" w:h="16838"/>
          <w:pgMar w:top="1440" w:right="1800" w:bottom="1440" w:left="1800" w:header="851" w:footer="992" w:gutter="0"/>
          <w:pgNumType w:start="1" w:chapStyle="1"/>
          <w:cols w:space="425" w:num="1"/>
          <w:docGrid w:type="lines" w:linePitch="312" w:charSpace="0"/>
        </w:sectPr>
      </w:pPr>
    </w:p>
    <w:p w14:paraId="2CE891BE"/>
    <w:p w14:paraId="073A8632">
      <w:pPr>
        <w:pStyle w:val="3"/>
        <w:jc w:val="center"/>
        <w:rPr>
          <w:rStyle w:val="27"/>
          <w:rFonts w:ascii="黑体" w:hAnsi="黑体" w:eastAsia="黑体"/>
          <w:b w:val="0"/>
          <w:bCs w:val="0"/>
        </w:rPr>
      </w:pPr>
      <w:bookmarkStart w:id="14" w:name="_Toc17678"/>
      <w:r>
        <w:rPr>
          <w:rFonts w:hint="eastAsia" w:ascii="黑体" w:hAnsi="黑体" w:eastAsia="黑体"/>
          <w:b w:val="0"/>
        </w:rPr>
        <w:t>第一部分 单位</w:t>
      </w:r>
      <w:r>
        <w:rPr>
          <w:rStyle w:val="27"/>
          <w:rFonts w:hint="eastAsia" w:ascii="黑体" w:hAnsi="黑体" w:eastAsia="黑体"/>
          <w:b w:val="0"/>
          <w:bCs w:val="0"/>
        </w:rPr>
        <w:t>概况</w:t>
      </w:r>
      <w:bookmarkEnd w:id="14"/>
      <w:bookmarkStart w:id="15" w:name="_Toc15377197"/>
      <w:bookmarkStart w:id="16" w:name="_Toc15396600"/>
    </w:p>
    <w:p w14:paraId="57D1FEC9">
      <w:pPr>
        <w:pStyle w:val="3"/>
        <w:ind w:firstLine="627" w:firstLineChars="200"/>
        <w:rPr>
          <w:rFonts w:ascii="黑体" w:hAnsi="黑体" w:eastAsia="黑体"/>
          <w:bCs w:val="0"/>
        </w:rPr>
      </w:pPr>
      <w:bookmarkStart w:id="17" w:name="_Toc2934"/>
      <w:r>
        <w:rPr>
          <w:rFonts w:hint="eastAsia" w:ascii="黑体" w:hAnsi="黑体" w:eastAsia="黑体"/>
          <w:spacing w:val="-4"/>
          <w:sz w:val="32"/>
          <w:szCs w:val="32"/>
        </w:rPr>
        <w:t>一、主要职责</w:t>
      </w:r>
      <w:bookmarkEnd w:id="17"/>
    </w:p>
    <w:p w14:paraId="590F18AD">
      <w:pPr>
        <w:spacing w:line="353" w:lineRule="auto"/>
        <w:ind w:firstLine="624" w:firstLineChars="200"/>
        <w:rPr>
          <w:rFonts w:eastAsia="仿宋_GB2312"/>
          <w:spacing w:val="-4"/>
          <w:sz w:val="32"/>
          <w:szCs w:val="32"/>
        </w:rPr>
      </w:pPr>
      <w:r>
        <w:rPr>
          <w:rFonts w:eastAsia="仿宋_GB2312"/>
          <w:spacing w:val="-4"/>
          <w:sz w:val="32"/>
          <w:szCs w:val="32"/>
        </w:rPr>
        <w:t xml:space="preserve">1.贯彻执行国家有关种植业、畜牧业、渔业、农业机械化、农垦等农业领域工作的法律、法规、政策以及区委、区政府关于“三农”方面的决策部署，组织拟订全区“三农”有关政策。    </w:t>
      </w:r>
    </w:p>
    <w:p w14:paraId="01205A52">
      <w:pPr>
        <w:spacing w:line="353" w:lineRule="auto"/>
        <w:ind w:firstLine="624" w:firstLineChars="200"/>
        <w:rPr>
          <w:rFonts w:eastAsia="仿宋_GB2312"/>
          <w:spacing w:val="-4"/>
          <w:sz w:val="32"/>
          <w:szCs w:val="32"/>
        </w:rPr>
      </w:pPr>
      <w:r>
        <w:rPr>
          <w:rFonts w:eastAsia="仿宋_GB2312"/>
          <w:spacing w:val="-4"/>
          <w:sz w:val="32"/>
          <w:szCs w:val="32"/>
        </w:rPr>
        <w:t>2.统筹实施乡村振兴战略，牵头组织改善全区农村人居环境。</w:t>
      </w:r>
    </w:p>
    <w:p w14:paraId="4F0F2786">
      <w:pPr>
        <w:spacing w:line="353" w:lineRule="auto"/>
        <w:ind w:firstLine="624" w:firstLineChars="200"/>
        <w:rPr>
          <w:rFonts w:eastAsia="仿宋_GB2312"/>
          <w:spacing w:val="-4"/>
          <w:sz w:val="32"/>
          <w:szCs w:val="32"/>
        </w:rPr>
      </w:pPr>
      <w:r>
        <w:rPr>
          <w:rFonts w:eastAsia="仿宋_GB2312"/>
          <w:spacing w:val="-4"/>
          <w:sz w:val="32"/>
          <w:szCs w:val="32"/>
        </w:rPr>
        <w:t>3.负责农民承包地管理和改革有关工作。负责农村集体产权制度改革。</w:t>
      </w:r>
    </w:p>
    <w:p w14:paraId="32D572C6">
      <w:pPr>
        <w:spacing w:line="353" w:lineRule="auto"/>
        <w:ind w:firstLine="624" w:firstLineChars="200"/>
        <w:rPr>
          <w:rFonts w:eastAsia="仿宋_GB2312"/>
          <w:spacing w:val="-4"/>
          <w:sz w:val="32"/>
          <w:szCs w:val="32"/>
        </w:rPr>
      </w:pPr>
      <w:r>
        <w:rPr>
          <w:rFonts w:eastAsia="仿宋_GB2312"/>
          <w:spacing w:val="-4"/>
          <w:sz w:val="32"/>
          <w:szCs w:val="32"/>
        </w:rPr>
        <w:t>4.指导全区乡村特色产业、农产品加工业（产地初加工）、休闲农业和乡村企业发展工作。负责农业信息体系建设，推动数字农业发展。</w:t>
      </w:r>
    </w:p>
    <w:p w14:paraId="146FFD01">
      <w:pPr>
        <w:spacing w:line="353" w:lineRule="auto"/>
        <w:ind w:firstLine="624" w:firstLineChars="200"/>
        <w:rPr>
          <w:rFonts w:eastAsia="仿宋_GB2312"/>
          <w:spacing w:val="-4"/>
          <w:sz w:val="32"/>
          <w:szCs w:val="32"/>
        </w:rPr>
      </w:pPr>
      <w:r>
        <w:rPr>
          <w:rFonts w:eastAsia="仿宋_GB2312"/>
          <w:spacing w:val="-4"/>
          <w:sz w:val="32"/>
          <w:szCs w:val="32"/>
        </w:rPr>
        <w:t>5.负责全区种植业、畜牧业（草原牧业）、渔业、农垦、农业机械化等农业各产业的监督管理。</w:t>
      </w:r>
    </w:p>
    <w:p w14:paraId="0E14C0D5">
      <w:pPr>
        <w:spacing w:line="353" w:lineRule="auto"/>
        <w:ind w:firstLine="624" w:firstLineChars="200"/>
        <w:rPr>
          <w:rFonts w:eastAsia="仿宋_GB2312"/>
          <w:spacing w:val="-4"/>
          <w:sz w:val="32"/>
          <w:szCs w:val="32"/>
        </w:rPr>
      </w:pPr>
      <w:r>
        <w:rPr>
          <w:rFonts w:eastAsia="仿宋_GB2312"/>
          <w:spacing w:val="-4"/>
          <w:sz w:val="32"/>
          <w:szCs w:val="32"/>
        </w:rPr>
        <w:t>6.负责制定全区农业全产业机械化、智能化、数字化发展规划并组织实施。指导设施农业、农机库棚、机电提灌、机耕道等基础设施建设。</w:t>
      </w:r>
    </w:p>
    <w:p w14:paraId="65B36770">
      <w:pPr>
        <w:spacing w:line="353" w:lineRule="auto"/>
        <w:ind w:firstLine="624" w:firstLineChars="200"/>
        <w:rPr>
          <w:rFonts w:eastAsia="仿宋_GB2312"/>
          <w:spacing w:val="-4"/>
          <w:sz w:val="32"/>
          <w:szCs w:val="32"/>
        </w:rPr>
      </w:pPr>
      <w:r>
        <w:rPr>
          <w:rFonts w:eastAsia="仿宋_GB2312"/>
          <w:spacing w:val="-4"/>
          <w:sz w:val="32"/>
          <w:szCs w:val="32"/>
        </w:rPr>
        <w:t>7.负责全区农产品质量安全监督管理。依法组织实施符合安全标准的农产品生产基地认定、产品认证、农产品地理标志登记保护和监督管理。</w:t>
      </w:r>
    </w:p>
    <w:p w14:paraId="54CA9D80">
      <w:pPr>
        <w:spacing w:line="353" w:lineRule="auto"/>
        <w:ind w:firstLine="624" w:firstLineChars="200"/>
        <w:rPr>
          <w:rFonts w:eastAsia="仿宋_GB2312"/>
          <w:spacing w:val="-4"/>
          <w:sz w:val="32"/>
          <w:szCs w:val="32"/>
        </w:rPr>
      </w:pPr>
      <w:r>
        <w:rPr>
          <w:rFonts w:eastAsia="仿宋_GB2312"/>
          <w:spacing w:val="-4"/>
          <w:sz w:val="32"/>
          <w:szCs w:val="32"/>
        </w:rPr>
        <w:t>8.组织开展全区农业资源区划和资源保护工作。</w:t>
      </w:r>
    </w:p>
    <w:p w14:paraId="729AECA8">
      <w:pPr>
        <w:spacing w:line="353" w:lineRule="auto"/>
        <w:ind w:firstLine="624" w:firstLineChars="200"/>
        <w:rPr>
          <w:rFonts w:eastAsia="仿宋_GB2312"/>
          <w:spacing w:val="-4"/>
          <w:sz w:val="32"/>
          <w:szCs w:val="32"/>
        </w:rPr>
      </w:pPr>
      <w:r>
        <w:rPr>
          <w:rFonts w:eastAsia="仿宋_GB2312"/>
          <w:spacing w:val="-4"/>
          <w:sz w:val="32"/>
          <w:szCs w:val="32"/>
        </w:rPr>
        <w:t>9.负责全区有关农业生产资料和农业投入品的监督管理。组织兽医医政、兽药（鱼药）药政药检工作，负责执业兽医和兽禽屠宰行业管理。</w:t>
      </w:r>
    </w:p>
    <w:p w14:paraId="06B0516D">
      <w:pPr>
        <w:spacing w:line="353" w:lineRule="auto"/>
        <w:ind w:firstLine="624" w:firstLineChars="200"/>
        <w:rPr>
          <w:rFonts w:eastAsia="仿宋_GB2312"/>
          <w:spacing w:val="-4"/>
          <w:sz w:val="32"/>
          <w:szCs w:val="32"/>
        </w:rPr>
      </w:pPr>
      <w:r>
        <w:rPr>
          <w:rFonts w:eastAsia="仿宋_GB2312"/>
          <w:spacing w:val="-4"/>
          <w:sz w:val="32"/>
          <w:szCs w:val="32"/>
        </w:rPr>
        <w:t>10.负责全区农业防灾减灾、农作物重大病虫害防治工作。指导动植物防疫检疫体系建设，组织监督管理全区动植物防疫检疫工作，发布疫情并组织扑灭。组织植物检疫性有害生物普查。</w:t>
      </w:r>
    </w:p>
    <w:p w14:paraId="5BE21315">
      <w:pPr>
        <w:spacing w:line="353" w:lineRule="auto"/>
        <w:ind w:firstLine="624" w:firstLineChars="200"/>
        <w:rPr>
          <w:rFonts w:eastAsia="仿宋_GB2312"/>
          <w:spacing w:val="-4"/>
          <w:sz w:val="32"/>
          <w:szCs w:val="32"/>
        </w:rPr>
      </w:pPr>
      <w:r>
        <w:rPr>
          <w:rFonts w:eastAsia="仿宋_GB2312"/>
          <w:spacing w:val="-4"/>
          <w:sz w:val="32"/>
          <w:szCs w:val="32"/>
        </w:rPr>
        <w:t>11.负责全区农业投资管理。按规定权限审批农业投资项目，负责农业投资项目资金安排和监督管理。负责农业综合开发项目工作。</w:t>
      </w:r>
    </w:p>
    <w:p w14:paraId="486875ED">
      <w:pPr>
        <w:spacing w:line="353" w:lineRule="auto"/>
        <w:ind w:firstLine="624" w:firstLineChars="200"/>
        <w:rPr>
          <w:rFonts w:eastAsia="仿宋_GB2312"/>
          <w:spacing w:val="-4"/>
          <w:sz w:val="32"/>
          <w:szCs w:val="32"/>
        </w:rPr>
      </w:pPr>
      <w:r>
        <w:rPr>
          <w:rFonts w:eastAsia="仿宋_GB2312"/>
          <w:spacing w:val="-4"/>
          <w:sz w:val="32"/>
          <w:szCs w:val="32"/>
        </w:rPr>
        <w:t>12.负责全区农田建设管理、高标准农田建设和耕地质量管理。</w:t>
      </w:r>
    </w:p>
    <w:p w14:paraId="44D31FBA">
      <w:pPr>
        <w:spacing w:line="353" w:lineRule="auto"/>
        <w:ind w:firstLine="624" w:firstLineChars="200"/>
        <w:rPr>
          <w:rFonts w:eastAsia="仿宋_GB2312"/>
          <w:spacing w:val="-4"/>
          <w:sz w:val="32"/>
          <w:szCs w:val="32"/>
        </w:rPr>
      </w:pPr>
      <w:r>
        <w:rPr>
          <w:rFonts w:eastAsia="仿宋_GB2312"/>
          <w:spacing w:val="-4"/>
          <w:sz w:val="32"/>
          <w:szCs w:val="32"/>
        </w:rPr>
        <w:t>13.拟订全区农业科研、农技推广的规划、计划和有关政策并组织实施，牵头推动农业科技体制改革和农业科技创新体系建设。指导农业产业技术体系和农技推广体系建设，组织农作物、家禽、水产养殖等新品种育种公关和农业先进技术引进、实验、转化、示范、推广。</w:t>
      </w:r>
    </w:p>
    <w:p w14:paraId="4F72736F">
      <w:pPr>
        <w:spacing w:line="353" w:lineRule="auto"/>
        <w:ind w:firstLine="624" w:firstLineChars="200"/>
        <w:rPr>
          <w:rFonts w:eastAsia="仿宋_GB2312"/>
          <w:spacing w:val="-4"/>
          <w:sz w:val="32"/>
          <w:szCs w:val="32"/>
        </w:rPr>
      </w:pPr>
      <w:r>
        <w:rPr>
          <w:rFonts w:eastAsia="仿宋_GB2312"/>
          <w:spacing w:val="-4"/>
          <w:sz w:val="32"/>
          <w:szCs w:val="32"/>
        </w:rPr>
        <w:t>14.指导全区农业农村人才工作。拟订农业农村人才队伍建设规划并组织实施，指导农业教育和农业职业技能开发，指导新型职业农民培育、农业科技人才培养和农村实用人才培训工作。</w:t>
      </w:r>
    </w:p>
    <w:p w14:paraId="0AA7192D">
      <w:pPr>
        <w:spacing w:line="353" w:lineRule="auto"/>
        <w:ind w:firstLine="624" w:firstLineChars="200"/>
        <w:rPr>
          <w:rFonts w:eastAsia="仿宋_GB2312"/>
          <w:spacing w:val="-4"/>
          <w:sz w:val="32"/>
          <w:szCs w:val="32"/>
        </w:rPr>
      </w:pPr>
      <w:r>
        <w:rPr>
          <w:rFonts w:eastAsia="仿宋_GB2312"/>
          <w:spacing w:val="-4"/>
          <w:sz w:val="32"/>
          <w:szCs w:val="32"/>
        </w:rPr>
        <w:t>15.牵头开展全区农业对外合作工作。组织开展农业贸易促进和交流合作。</w:t>
      </w:r>
    </w:p>
    <w:p w14:paraId="56430139">
      <w:pPr>
        <w:spacing w:line="353" w:lineRule="auto"/>
        <w:ind w:firstLine="624" w:firstLineChars="200"/>
        <w:rPr>
          <w:rFonts w:eastAsia="仿宋_GB2312"/>
          <w:spacing w:val="-4"/>
          <w:sz w:val="32"/>
          <w:szCs w:val="32"/>
        </w:rPr>
      </w:pPr>
      <w:r>
        <w:rPr>
          <w:rFonts w:eastAsia="仿宋_GB2312"/>
          <w:spacing w:val="-4"/>
          <w:sz w:val="32"/>
          <w:szCs w:val="32"/>
        </w:rPr>
        <w:t>16.负责全区农业领域行政执法工作。负责区本级涉农违法案件的办理。推进农业依法行政。</w:t>
      </w:r>
    </w:p>
    <w:p w14:paraId="75DF7D38">
      <w:pPr>
        <w:spacing w:line="353" w:lineRule="auto"/>
        <w:ind w:firstLine="624" w:firstLineChars="200"/>
        <w:rPr>
          <w:rFonts w:eastAsia="仿宋_GB2312"/>
          <w:spacing w:val="-4"/>
          <w:sz w:val="32"/>
          <w:szCs w:val="32"/>
        </w:rPr>
      </w:pPr>
      <w:r>
        <w:rPr>
          <w:rFonts w:eastAsia="仿宋_GB2312"/>
          <w:spacing w:val="-4"/>
          <w:sz w:val="32"/>
          <w:szCs w:val="32"/>
        </w:rPr>
        <w:t>17.依法依规负责农业安全生产和职业健康监督管理工作。</w:t>
      </w:r>
    </w:p>
    <w:p w14:paraId="6F64A8C6">
      <w:pPr>
        <w:spacing w:line="353" w:lineRule="auto"/>
        <w:ind w:firstLine="624" w:firstLineChars="200"/>
        <w:rPr>
          <w:rFonts w:eastAsia="仿宋_GB2312"/>
          <w:spacing w:val="-4"/>
          <w:sz w:val="32"/>
          <w:szCs w:val="32"/>
        </w:rPr>
      </w:pPr>
      <w:r>
        <w:rPr>
          <w:rFonts w:eastAsia="仿宋_GB2312"/>
          <w:spacing w:val="-4"/>
          <w:sz w:val="32"/>
          <w:szCs w:val="32"/>
        </w:rPr>
        <w:t>18.组织拟订并监督实施公路、水路等行业发展战略、政策，会同有关部门组织编制综合运输体系规划。</w:t>
      </w:r>
    </w:p>
    <w:p w14:paraId="6BDBBAD9">
      <w:pPr>
        <w:spacing w:line="353" w:lineRule="auto"/>
        <w:ind w:firstLine="624" w:firstLineChars="200"/>
        <w:rPr>
          <w:rFonts w:eastAsia="仿宋_GB2312"/>
          <w:spacing w:val="-4"/>
          <w:sz w:val="32"/>
          <w:szCs w:val="32"/>
        </w:rPr>
      </w:pPr>
      <w:r>
        <w:rPr>
          <w:rFonts w:eastAsia="仿宋_GB2312"/>
          <w:spacing w:val="-4"/>
          <w:sz w:val="32"/>
          <w:szCs w:val="32"/>
        </w:rPr>
        <w:t>19.负责本系统、本部门依法行政工作；指导公路、水路行业有关体制改革和机制转换工作；参与拟订物流业发展战略和规划。</w:t>
      </w:r>
    </w:p>
    <w:p w14:paraId="584D207F">
      <w:pPr>
        <w:spacing w:line="353" w:lineRule="auto"/>
        <w:ind w:firstLine="624" w:firstLineChars="200"/>
        <w:rPr>
          <w:rFonts w:eastAsia="仿宋_GB2312"/>
          <w:spacing w:val="-4"/>
          <w:sz w:val="32"/>
          <w:szCs w:val="32"/>
        </w:rPr>
      </w:pPr>
      <w:r>
        <w:rPr>
          <w:rFonts w:eastAsia="仿宋_GB2312"/>
          <w:spacing w:val="-4"/>
          <w:sz w:val="32"/>
          <w:szCs w:val="32"/>
        </w:rPr>
        <w:t>20.指导城乡客运管理工作，指导出租车行业管理工作；会同有关部门制定运输价格。</w:t>
      </w:r>
    </w:p>
    <w:p w14:paraId="3E498292">
      <w:pPr>
        <w:spacing w:line="353" w:lineRule="auto"/>
        <w:ind w:firstLine="624" w:firstLineChars="200"/>
        <w:rPr>
          <w:rFonts w:eastAsia="仿宋_GB2312"/>
          <w:spacing w:val="-4"/>
          <w:sz w:val="32"/>
          <w:szCs w:val="32"/>
        </w:rPr>
      </w:pPr>
      <w:r>
        <w:rPr>
          <w:rFonts w:eastAsia="仿宋_GB2312"/>
          <w:spacing w:val="-4"/>
          <w:sz w:val="32"/>
          <w:szCs w:val="32"/>
        </w:rPr>
        <w:t>21.承担水上交通安全监管责任。配合协调水上交通管制、运输船舶及相关水上设施检验、登记和防治污染、救助打捞、通讯导航、危险品运输工作；指导水上交通安全事故、船舶及相关水上设施污染事故的应急处置，参与事故调查处理工作。</w:t>
      </w:r>
    </w:p>
    <w:p w14:paraId="1BD35BE5">
      <w:pPr>
        <w:spacing w:line="353" w:lineRule="auto"/>
        <w:ind w:firstLine="624" w:firstLineChars="200"/>
        <w:rPr>
          <w:rFonts w:eastAsia="仿宋_GB2312"/>
          <w:spacing w:val="-4"/>
          <w:sz w:val="32"/>
          <w:szCs w:val="32"/>
        </w:rPr>
      </w:pPr>
      <w:r>
        <w:rPr>
          <w:rFonts w:eastAsia="仿宋_GB2312"/>
          <w:spacing w:val="-4"/>
          <w:sz w:val="32"/>
          <w:szCs w:val="32"/>
        </w:rPr>
        <w:t>22.负责提出公路、水路固定资产投资规模、方向和区财政资金安排建议，按照程序报批国家、省、市、区规划内和年度计划规模内固定资产投资项目。</w:t>
      </w:r>
    </w:p>
    <w:p w14:paraId="114AD105">
      <w:pPr>
        <w:spacing w:line="353" w:lineRule="auto"/>
        <w:ind w:firstLine="624" w:firstLineChars="200"/>
        <w:rPr>
          <w:rFonts w:eastAsia="仿宋_GB2312"/>
          <w:spacing w:val="-4"/>
          <w:sz w:val="32"/>
          <w:szCs w:val="32"/>
        </w:rPr>
      </w:pPr>
      <w:r>
        <w:rPr>
          <w:rFonts w:eastAsia="仿宋_GB2312"/>
          <w:spacing w:val="-4"/>
          <w:sz w:val="32"/>
          <w:szCs w:val="32"/>
        </w:rPr>
        <w:t>23.承担公路、水路建设市场监管责任。组织协调公路、水路有关重点工程建设，负责工程质量、安全生产监督管理工作；负责对交通行业和产业项目的招投标活动进行监督、指导；指导交通运输基础设施管理和维护，承担有关重要设施的管理和维护。</w:t>
      </w:r>
    </w:p>
    <w:p w14:paraId="20325054">
      <w:pPr>
        <w:spacing w:line="353" w:lineRule="auto"/>
        <w:ind w:firstLine="624" w:firstLineChars="200"/>
        <w:rPr>
          <w:rFonts w:eastAsia="仿宋_GB2312"/>
          <w:spacing w:val="-4"/>
          <w:sz w:val="32"/>
          <w:szCs w:val="32"/>
        </w:rPr>
      </w:pPr>
      <w:r>
        <w:rPr>
          <w:rFonts w:eastAsia="仿宋_GB2312"/>
          <w:spacing w:val="-4"/>
          <w:sz w:val="32"/>
          <w:szCs w:val="32"/>
        </w:rPr>
        <w:t>24.指导农村公路养护管理、交通工程建设、农村客运、水上交通等方面安全生产和应急管理工作。负责全区干线路网运行监测和协调；组织协调地方交通战备工作，承担国防动员有关工作。</w:t>
      </w:r>
    </w:p>
    <w:p w14:paraId="42D7CB09">
      <w:pPr>
        <w:spacing w:line="353" w:lineRule="auto"/>
        <w:ind w:firstLine="624" w:firstLineChars="200"/>
        <w:rPr>
          <w:rFonts w:eastAsia="仿宋_GB2312"/>
          <w:spacing w:val="-4"/>
          <w:sz w:val="32"/>
          <w:szCs w:val="32"/>
        </w:rPr>
      </w:pPr>
      <w:r>
        <w:rPr>
          <w:rFonts w:eastAsia="仿宋_GB2312"/>
          <w:spacing w:val="-4"/>
          <w:sz w:val="32"/>
          <w:szCs w:val="32"/>
        </w:rPr>
        <w:t>25.承担交通运输科技项目开发和研究的组织实施工作，负责交通运输科研成果的推广、应用工作。指导全区交通运输信息化建设，监测分析运行情况，开展相关统计工作，发布有关信息。</w:t>
      </w:r>
    </w:p>
    <w:p w14:paraId="2EA4542D">
      <w:pPr>
        <w:spacing w:line="353" w:lineRule="auto"/>
        <w:ind w:firstLine="624" w:firstLineChars="200"/>
        <w:rPr>
          <w:rFonts w:eastAsia="仿宋_GB2312"/>
          <w:spacing w:val="-4"/>
          <w:sz w:val="32"/>
          <w:szCs w:val="32"/>
        </w:rPr>
      </w:pPr>
      <w:r>
        <w:rPr>
          <w:rFonts w:eastAsia="仿宋_GB2312"/>
          <w:spacing w:val="-4"/>
          <w:sz w:val="32"/>
          <w:szCs w:val="32"/>
        </w:rPr>
        <w:t>26.负责职责范围内的安全生产、职业健康、生态环境保护、审批服务便民化等工作。</w:t>
      </w:r>
    </w:p>
    <w:p w14:paraId="0BF5273B">
      <w:pPr>
        <w:spacing w:line="353" w:lineRule="auto"/>
        <w:ind w:firstLine="624" w:firstLineChars="200"/>
        <w:rPr>
          <w:rFonts w:eastAsia="仿宋_GB2312"/>
          <w:spacing w:val="-4"/>
          <w:sz w:val="32"/>
          <w:szCs w:val="32"/>
        </w:rPr>
      </w:pPr>
      <w:r>
        <w:rPr>
          <w:rFonts w:eastAsia="仿宋_GB2312"/>
          <w:spacing w:val="-4"/>
          <w:sz w:val="32"/>
          <w:szCs w:val="32"/>
        </w:rPr>
        <w:t>27.完成区委、区政府交办的其他任务。</w:t>
      </w:r>
    </w:p>
    <w:p w14:paraId="340A3CF8">
      <w:pPr>
        <w:pStyle w:val="4"/>
        <w:spacing w:line="353" w:lineRule="auto"/>
        <w:ind w:firstLine="640" w:firstLineChars="200"/>
        <w:rPr>
          <w:rFonts w:ascii="黑体" w:hAnsi="黑体" w:eastAsia="黑体"/>
          <w:b w:val="0"/>
        </w:rPr>
      </w:pPr>
      <w:bookmarkStart w:id="18" w:name="_Toc19086"/>
      <w:r>
        <w:rPr>
          <w:rFonts w:hint="eastAsia" w:ascii="黑体" w:hAnsi="黑体" w:eastAsia="黑体"/>
          <w:b w:val="0"/>
        </w:rPr>
        <w:t>二、机构设置</w:t>
      </w:r>
      <w:bookmarkEnd w:id="18"/>
    </w:p>
    <w:p w14:paraId="75061BE5">
      <w:pPr>
        <w:snapToGrid w:val="0"/>
        <w:spacing w:line="353" w:lineRule="auto"/>
        <w:ind w:firstLine="640" w:firstLineChars="200"/>
        <w:rPr>
          <w:rFonts w:ascii="仿宋_GB2312" w:hAnsi="仿宋" w:eastAsia="仿宋_GB2312"/>
          <w:sz w:val="32"/>
          <w:szCs w:val="32"/>
        </w:rPr>
      </w:pPr>
      <w:r>
        <w:rPr>
          <w:rFonts w:hint="eastAsia" w:ascii="仿宋_GB2312" w:eastAsia="仿宋_GB2312"/>
          <w:sz w:val="32"/>
          <w:szCs w:val="32"/>
        </w:rPr>
        <w:t>攀枝花市西区农业农村和交通运输局内设</w:t>
      </w:r>
      <w:r>
        <w:rPr>
          <w:rFonts w:hint="eastAsia" w:ascii="仿宋_GB2312" w:hAnsi="仿宋" w:eastAsia="仿宋_GB2312"/>
          <w:sz w:val="32"/>
          <w:szCs w:val="32"/>
        </w:rPr>
        <w:t>办公室、农村改革和畜牧渔政股、农业综合股、交通综合股、农业综合执法大队等五个内设科室，西区动物疫病预防控制中心、西区道路养护管理中心为下设二级单位，其中，西区动物预防控制中心财务独立。</w:t>
      </w:r>
    </w:p>
    <w:bookmarkEnd w:id="15"/>
    <w:bookmarkEnd w:id="16"/>
    <w:p w14:paraId="3AF5FE94">
      <w:pPr>
        <w:pStyle w:val="3"/>
        <w:ind w:right="440"/>
        <w:jc w:val="center"/>
        <w:rPr>
          <w:rStyle w:val="27"/>
          <w:rFonts w:ascii="黑体" w:hAnsi="黑体" w:eastAsia="黑体"/>
          <w:b w:val="0"/>
          <w:bCs/>
        </w:rPr>
      </w:pPr>
      <w:bookmarkStart w:id="19" w:name="_Toc15377204"/>
      <w:bookmarkStart w:id="20" w:name="_Toc15396602"/>
      <w:bookmarkStart w:id="21" w:name="_Toc2374"/>
      <w:r>
        <w:rPr>
          <w:rFonts w:hint="eastAsia" w:ascii="黑体" w:hAnsi="黑体" w:eastAsia="黑体"/>
          <w:b w:val="0"/>
        </w:rPr>
        <w:t>第二部分 2024年度</w:t>
      </w:r>
      <w:r>
        <w:rPr>
          <w:rStyle w:val="27"/>
          <w:rFonts w:hint="eastAsia" w:ascii="黑体" w:hAnsi="黑体" w:eastAsia="黑体"/>
          <w:b w:val="0"/>
          <w:bCs/>
        </w:rPr>
        <w:t>单位决算情况说明</w:t>
      </w:r>
      <w:bookmarkEnd w:id="19"/>
      <w:bookmarkEnd w:id="20"/>
      <w:bookmarkEnd w:id="21"/>
    </w:p>
    <w:p w14:paraId="06876553"/>
    <w:p w14:paraId="5CDA5446">
      <w:pPr>
        <w:pStyle w:val="26"/>
        <w:numPr>
          <w:ilvl w:val="0"/>
          <w:numId w:val="1"/>
        </w:numPr>
        <w:spacing w:line="600" w:lineRule="exact"/>
        <w:ind w:firstLineChars="0"/>
        <w:outlineLvl w:val="1"/>
        <w:rPr>
          <w:rStyle w:val="28"/>
          <w:rFonts w:ascii="黑体" w:hAnsi="黑体" w:eastAsia="黑体"/>
          <w:b w:val="0"/>
        </w:rPr>
      </w:pPr>
      <w:bookmarkStart w:id="22" w:name="_Toc15377205"/>
      <w:bookmarkStart w:id="23" w:name="_Toc78"/>
      <w:bookmarkStart w:id="24"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2"/>
      <w:bookmarkEnd w:id="23"/>
      <w:bookmarkEnd w:id="24"/>
    </w:p>
    <w:p w14:paraId="760ECA63">
      <w:pPr>
        <w:spacing w:line="600" w:lineRule="exact"/>
        <w:ind w:firstLine="640" w:firstLineChars="200"/>
        <w:rPr>
          <w:rFonts w:ascii="仿宋" w:hAnsi="仿宋" w:eastAsia="仿宋"/>
          <w:sz w:val="32"/>
          <w:szCs w:val="32"/>
        </w:rPr>
      </w:pPr>
      <w:r>
        <w:rPr>
          <w:rFonts w:eastAsia="仿宋"/>
          <w:sz w:val="32"/>
          <w:szCs w:val="32"/>
        </w:rPr>
        <w:t>2024</w:t>
      </w:r>
      <w:r>
        <w:rPr>
          <w:rFonts w:hAnsi="仿宋" w:eastAsia="仿宋"/>
          <w:sz w:val="32"/>
          <w:szCs w:val="32"/>
        </w:rPr>
        <w:t>年</w:t>
      </w:r>
      <w:r>
        <w:rPr>
          <w:rFonts w:hint="eastAsia" w:ascii="仿宋" w:hAnsi="仿宋" w:eastAsia="仿宋"/>
          <w:sz w:val="32"/>
          <w:szCs w:val="32"/>
        </w:rPr>
        <w:t>度收、支总计均</w:t>
      </w:r>
      <w:r>
        <w:rPr>
          <w:rFonts w:hAnsi="仿宋" w:eastAsia="仿宋"/>
          <w:sz w:val="32"/>
          <w:szCs w:val="32"/>
        </w:rPr>
        <w:t>为</w:t>
      </w:r>
      <w:r>
        <w:rPr>
          <w:rFonts w:eastAsia="仿宋_GB2312"/>
          <w:sz w:val="32"/>
          <w:szCs w:val="32"/>
        </w:rPr>
        <w:t>1973.24</w:t>
      </w:r>
      <w:r>
        <w:rPr>
          <w:rFonts w:hint="eastAsia" w:ascii="仿宋" w:hAnsi="仿宋" w:eastAsia="仿宋"/>
          <w:sz w:val="32"/>
          <w:szCs w:val="32"/>
        </w:rPr>
        <w:t>万元</w:t>
      </w:r>
      <w:r>
        <w:rPr>
          <w:rFonts w:hAnsi="仿宋" w:eastAsia="仿宋"/>
          <w:sz w:val="32"/>
          <w:szCs w:val="32"/>
        </w:rPr>
        <w:t>。与</w:t>
      </w:r>
      <w:r>
        <w:rPr>
          <w:rFonts w:eastAsia="仿宋"/>
          <w:sz w:val="32"/>
          <w:szCs w:val="32"/>
        </w:rPr>
        <w:t>2023</w:t>
      </w:r>
      <w:r>
        <w:rPr>
          <w:rFonts w:hAnsi="仿宋" w:eastAsia="仿宋"/>
          <w:sz w:val="32"/>
          <w:szCs w:val="32"/>
        </w:rPr>
        <w:t>年度相比，收、支总计各增加</w:t>
      </w:r>
      <w:r>
        <w:rPr>
          <w:rFonts w:eastAsia="仿宋"/>
          <w:sz w:val="32"/>
          <w:szCs w:val="32"/>
        </w:rPr>
        <w:t>313.11</w:t>
      </w:r>
      <w:r>
        <w:rPr>
          <w:rFonts w:hAnsi="仿宋" w:eastAsia="仿宋"/>
          <w:sz w:val="32"/>
          <w:szCs w:val="32"/>
        </w:rPr>
        <w:t>万元，增长</w:t>
      </w:r>
      <w:r>
        <w:rPr>
          <w:rFonts w:eastAsia="仿宋"/>
          <w:sz w:val="32"/>
          <w:szCs w:val="32"/>
        </w:rPr>
        <w:t>18.86</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olor w:val="000000" w:themeColor="text1"/>
          <w:sz w:val="32"/>
          <w:szCs w:val="32"/>
        </w:rPr>
        <w:t>项目经费增加</w:t>
      </w:r>
      <w:r>
        <w:rPr>
          <w:rFonts w:hint="eastAsia" w:ascii="仿宋" w:hAnsi="仿宋" w:eastAsia="仿宋"/>
          <w:sz w:val="32"/>
          <w:szCs w:val="32"/>
        </w:rPr>
        <w:t>。</w:t>
      </w:r>
    </w:p>
    <w:p w14:paraId="4BF8CC55">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1164058">
      <w:pPr>
        <w:pStyle w:val="2"/>
      </w:pPr>
      <w:r>
        <w:drawing>
          <wp:inline distT="0" distB="0" distL="0" distR="0">
            <wp:extent cx="5219700" cy="2581275"/>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32E439"/>
    <w:p w14:paraId="320BCC73">
      <w:pPr>
        <w:pStyle w:val="26"/>
        <w:numPr>
          <w:ilvl w:val="0"/>
          <w:numId w:val="1"/>
        </w:numPr>
        <w:spacing w:line="600" w:lineRule="exact"/>
        <w:ind w:firstLineChars="0"/>
        <w:outlineLvl w:val="1"/>
        <w:rPr>
          <w:rStyle w:val="28"/>
          <w:rFonts w:ascii="黑体" w:hAnsi="黑体" w:eastAsia="黑体"/>
          <w:b w:val="0"/>
        </w:rPr>
      </w:pPr>
      <w:bookmarkStart w:id="25" w:name="_Toc15377206"/>
      <w:bookmarkStart w:id="26" w:name="_Toc15396604"/>
      <w:bookmarkStart w:id="27" w:name="_Toc19479"/>
      <w:r>
        <w:rPr>
          <w:rFonts w:hint="eastAsia" w:ascii="黑体" w:hAnsi="黑体" w:eastAsia="黑体"/>
          <w:sz w:val="32"/>
          <w:szCs w:val="32"/>
        </w:rPr>
        <w:t>收</w:t>
      </w:r>
      <w:r>
        <w:rPr>
          <w:rStyle w:val="28"/>
          <w:rFonts w:hint="eastAsia" w:ascii="黑体" w:hAnsi="黑体" w:eastAsia="黑体"/>
          <w:b w:val="0"/>
        </w:rPr>
        <w:t>入决算情况说明</w:t>
      </w:r>
      <w:bookmarkEnd w:id="25"/>
      <w:bookmarkEnd w:id="26"/>
      <w:bookmarkEnd w:id="27"/>
    </w:p>
    <w:p w14:paraId="5C725C0E">
      <w:pPr>
        <w:spacing w:line="600" w:lineRule="exact"/>
        <w:ind w:firstLine="640" w:firstLineChars="200"/>
        <w:rPr>
          <w:rFonts w:hAnsi="仿宋_GB2312" w:eastAsia="仿宋_GB2312"/>
          <w:sz w:val="32"/>
          <w:szCs w:val="32"/>
        </w:rPr>
      </w:pPr>
      <w:r>
        <w:rPr>
          <w:rFonts w:eastAsia="仿宋_GB2312"/>
          <w:sz w:val="32"/>
          <w:szCs w:val="32"/>
        </w:rPr>
        <w:t>2024</w:t>
      </w:r>
      <w:r>
        <w:rPr>
          <w:rFonts w:hAnsi="仿宋_GB2312" w:eastAsia="仿宋_GB2312"/>
          <w:sz w:val="32"/>
          <w:szCs w:val="32"/>
        </w:rPr>
        <w:t>年度本年收入合计</w:t>
      </w:r>
      <w:r>
        <w:rPr>
          <w:rFonts w:eastAsia="仿宋_GB2312"/>
          <w:sz w:val="32"/>
          <w:szCs w:val="32"/>
        </w:rPr>
        <w:t>1388.19</w:t>
      </w:r>
      <w:r>
        <w:rPr>
          <w:rFonts w:hAnsi="仿宋_GB2312" w:eastAsia="仿宋_GB2312"/>
          <w:sz w:val="32"/>
          <w:szCs w:val="32"/>
        </w:rPr>
        <w:t>万元，其中：一般公共预算财政拨款收入</w:t>
      </w:r>
      <w:r>
        <w:rPr>
          <w:rFonts w:eastAsia="仿宋_GB2312"/>
          <w:sz w:val="32"/>
          <w:szCs w:val="32"/>
        </w:rPr>
        <w:t>1346.49</w:t>
      </w:r>
      <w:r>
        <w:rPr>
          <w:rFonts w:hAnsi="仿宋_GB2312" w:eastAsia="仿宋_GB2312"/>
          <w:sz w:val="32"/>
          <w:szCs w:val="32"/>
        </w:rPr>
        <w:t>万元，占</w:t>
      </w:r>
      <w:r>
        <w:rPr>
          <w:rFonts w:eastAsia="仿宋_GB2312"/>
          <w:sz w:val="32"/>
          <w:szCs w:val="32"/>
        </w:rPr>
        <w:t>96.99%</w:t>
      </w:r>
      <w:r>
        <w:rPr>
          <w:rFonts w:hAnsi="仿宋_GB2312" w:eastAsia="仿宋_GB2312"/>
          <w:sz w:val="32"/>
          <w:szCs w:val="32"/>
        </w:rPr>
        <w:t>；政府性基金预算财政拨款收入</w:t>
      </w:r>
      <w:r>
        <w:rPr>
          <w:rFonts w:eastAsia="仿宋_GB2312"/>
          <w:sz w:val="32"/>
          <w:szCs w:val="32"/>
        </w:rPr>
        <w:t>41.7</w:t>
      </w:r>
      <w:r>
        <w:rPr>
          <w:rFonts w:hAnsi="仿宋_GB2312" w:eastAsia="仿宋_GB2312"/>
          <w:sz w:val="32"/>
          <w:szCs w:val="32"/>
        </w:rPr>
        <w:t>万元，占</w:t>
      </w:r>
      <w:r>
        <w:rPr>
          <w:rFonts w:eastAsia="仿宋_GB2312"/>
          <w:sz w:val="32"/>
          <w:szCs w:val="32"/>
        </w:rPr>
        <w:t>3%</w:t>
      </w:r>
      <w:r>
        <w:rPr>
          <w:rFonts w:hAnsi="仿宋_GB2312" w:eastAsia="仿宋_GB2312"/>
          <w:sz w:val="32"/>
          <w:szCs w:val="32"/>
        </w:rPr>
        <w:t>；国有资本经营预算财政拨款收入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；上级补助收入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；事业收入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；经营收入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；附属单位上缴收入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；其他收入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w:t>
      </w:r>
    </w:p>
    <w:p w14:paraId="76B7FEA5">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14:paraId="0B90B6AF">
      <w:pPr>
        <w:pStyle w:val="2"/>
        <w:jc w:val="center"/>
      </w:pPr>
      <w:r>
        <w:drawing>
          <wp:inline distT="0" distB="0" distL="0" distR="0">
            <wp:extent cx="5172075" cy="2000250"/>
            <wp:effectExtent l="19050" t="0" r="9525"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F259B0">
      <w:pPr>
        <w:pStyle w:val="26"/>
        <w:numPr>
          <w:ilvl w:val="0"/>
          <w:numId w:val="1"/>
        </w:numPr>
        <w:spacing w:line="600" w:lineRule="exact"/>
        <w:ind w:firstLineChars="0"/>
        <w:outlineLvl w:val="1"/>
        <w:rPr>
          <w:rStyle w:val="28"/>
          <w:rFonts w:ascii="黑体" w:hAnsi="黑体" w:eastAsia="黑体"/>
          <w:b w:val="0"/>
        </w:rPr>
      </w:pPr>
      <w:bookmarkStart w:id="28" w:name="_Toc14028"/>
      <w:bookmarkStart w:id="29" w:name="_Toc15377207"/>
      <w:bookmarkStart w:id="30" w:name="_Toc15396605"/>
      <w:r>
        <w:rPr>
          <w:rFonts w:hint="eastAsia" w:ascii="黑体" w:hAnsi="黑体" w:eastAsia="黑体"/>
          <w:sz w:val="32"/>
          <w:szCs w:val="32"/>
        </w:rPr>
        <w:t>支</w:t>
      </w:r>
      <w:r>
        <w:rPr>
          <w:rStyle w:val="28"/>
          <w:rFonts w:hint="eastAsia" w:ascii="黑体" w:hAnsi="黑体" w:eastAsia="黑体"/>
          <w:b w:val="0"/>
        </w:rPr>
        <w:t>出决算情况说明</w:t>
      </w:r>
      <w:bookmarkEnd w:id="28"/>
      <w:bookmarkEnd w:id="29"/>
      <w:bookmarkEnd w:id="30"/>
    </w:p>
    <w:p w14:paraId="6AEFBC0A">
      <w:pPr>
        <w:spacing w:line="600" w:lineRule="exact"/>
        <w:ind w:firstLine="640" w:firstLineChars="200"/>
        <w:outlineLvl w:val="1"/>
        <w:rPr>
          <w:rFonts w:eastAsia="仿宋"/>
          <w:sz w:val="32"/>
          <w:szCs w:val="32"/>
        </w:rPr>
      </w:pPr>
      <w:bookmarkStart w:id="31" w:name="_Toc10863"/>
      <w:bookmarkStart w:id="32" w:name="_Toc25738"/>
      <w:r>
        <w:rPr>
          <w:rFonts w:eastAsia="仿宋_GB2312"/>
          <w:sz w:val="32"/>
          <w:szCs w:val="32"/>
        </w:rPr>
        <w:t>2024</w:t>
      </w:r>
      <w:r>
        <w:rPr>
          <w:rFonts w:hAnsi="仿宋_GB2312" w:eastAsia="仿宋_GB2312"/>
          <w:sz w:val="32"/>
          <w:szCs w:val="32"/>
        </w:rPr>
        <w:t>年度本年支出合计</w:t>
      </w:r>
      <w:r>
        <w:rPr>
          <w:rFonts w:eastAsia="仿宋_GB2312"/>
          <w:sz w:val="32"/>
          <w:szCs w:val="32"/>
        </w:rPr>
        <w:t>1973.24</w:t>
      </w:r>
      <w:r>
        <w:rPr>
          <w:rFonts w:hAnsi="仿宋_GB2312" w:eastAsia="仿宋_GB2312"/>
          <w:sz w:val="32"/>
          <w:szCs w:val="32"/>
        </w:rPr>
        <w:t>万元，其中：基本支出</w:t>
      </w:r>
      <w:r>
        <w:rPr>
          <w:rFonts w:eastAsia="仿宋_GB2312"/>
          <w:sz w:val="32"/>
          <w:szCs w:val="32"/>
        </w:rPr>
        <w:t>509.46</w:t>
      </w:r>
      <w:r>
        <w:rPr>
          <w:rFonts w:hAnsi="仿宋_GB2312" w:eastAsia="仿宋_GB2312"/>
          <w:sz w:val="32"/>
          <w:szCs w:val="32"/>
        </w:rPr>
        <w:t>万元，占</w:t>
      </w:r>
      <w:r>
        <w:rPr>
          <w:rFonts w:eastAsia="仿宋_GB2312"/>
          <w:sz w:val="32"/>
          <w:szCs w:val="32"/>
        </w:rPr>
        <w:t>25.81%</w:t>
      </w:r>
      <w:r>
        <w:rPr>
          <w:rFonts w:hAnsi="仿宋_GB2312" w:eastAsia="仿宋_GB2312"/>
          <w:sz w:val="32"/>
          <w:szCs w:val="32"/>
        </w:rPr>
        <w:t>；项目支出</w:t>
      </w:r>
      <w:r>
        <w:rPr>
          <w:rFonts w:eastAsia="仿宋_GB2312"/>
          <w:sz w:val="32"/>
          <w:szCs w:val="32"/>
        </w:rPr>
        <w:t>1463.78</w:t>
      </w:r>
      <w:r>
        <w:rPr>
          <w:rFonts w:hAnsi="仿宋_GB2312" w:eastAsia="仿宋_GB2312"/>
          <w:sz w:val="32"/>
          <w:szCs w:val="32"/>
        </w:rPr>
        <w:t>万元，占</w:t>
      </w:r>
      <w:r>
        <w:rPr>
          <w:rFonts w:eastAsia="仿宋_GB2312"/>
          <w:sz w:val="32"/>
          <w:szCs w:val="32"/>
        </w:rPr>
        <w:t>74.18%</w:t>
      </w:r>
      <w:r>
        <w:rPr>
          <w:rFonts w:hAnsi="仿宋_GB2312" w:eastAsia="仿宋_GB2312"/>
          <w:sz w:val="32"/>
          <w:szCs w:val="32"/>
        </w:rPr>
        <w:t>；上缴上级支出</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；经营支出</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；对附属单位补助支出</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w:t>
      </w:r>
      <w:bookmarkEnd w:id="31"/>
      <w:bookmarkEnd w:id="32"/>
    </w:p>
    <w:p w14:paraId="38228CEE">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14:paraId="5158E3B2">
      <w:pPr>
        <w:pStyle w:val="2"/>
      </w:pPr>
      <w:r>
        <w:drawing>
          <wp:inline distT="0" distB="0" distL="0" distR="0">
            <wp:extent cx="5219700" cy="2114550"/>
            <wp:effectExtent l="19050" t="0" r="1905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479862">
      <w:pPr>
        <w:spacing w:line="600" w:lineRule="exact"/>
        <w:ind w:firstLine="640" w:firstLineChars="200"/>
        <w:outlineLvl w:val="1"/>
        <w:rPr>
          <w:rStyle w:val="28"/>
          <w:rFonts w:ascii="黑体" w:hAnsi="黑体" w:eastAsia="黑体"/>
          <w:b w:val="0"/>
        </w:rPr>
      </w:pPr>
      <w:bookmarkStart w:id="33" w:name="_Toc15377208"/>
      <w:bookmarkStart w:id="34" w:name="_Toc6763"/>
      <w:bookmarkStart w:id="3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3"/>
      <w:bookmarkEnd w:id="34"/>
      <w:bookmarkEnd w:id="35"/>
    </w:p>
    <w:p w14:paraId="07D53F6A">
      <w:pPr>
        <w:spacing w:line="600" w:lineRule="exact"/>
        <w:ind w:firstLine="640"/>
        <w:rPr>
          <w:rFonts w:ascii="仿宋" w:hAnsi="仿宋" w:eastAsia="仿宋"/>
          <w:sz w:val="32"/>
          <w:szCs w:val="32"/>
        </w:rPr>
      </w:pPr>
      <w:r>
        <w:rPr>
          <w:rFonts w:eastAsia="仿宋_GB2312"/>
          <w:sz w:val="32"/>
          <w:szCs w:val="32"/>
        </w:rPr>
        <w:t>2024年度财政拨款收入、支出总计均为1973.24万元</w:t>
      </w:r>
      <w:r>
        <w:rPr>
          <w:rFonts w:hAnsi="仿宋" w:eastAsia="仿宋"/>
          <w:sz w:val="32"/>
          <w:szCs w:val="32"/>
        </w:rPr>
        <w:t>。与</w:t>
      </w:r>
      <w:r>
        <w:rPr>
          <w:rFonts w:eastAsia="仿宋"/>
          <w:sz w:val="32"/>
          <w:szCs w:val="32"/>
        </w:rPr>
        <w:t>2023</w:t>
      </w:r>
      <w:r>
        <w:rPr>
          <w:rFonts w:hAnsi="仿宋" w:eastAsia="仿宋"/>
          <w:sz w:val="32"/>
          <w:szCs w:val="32"/>
        </w:rPr>
        <w:t>年度相比，财政拨款收、支总计各增加</w:t>
      </w:r>
      <w:r>
        <w:rPr>
          <w:rFonts w:eastAsia="仿宋"/>
          <w:sz w:val="32"/>
          <w:szCs w:val="32"/>
        </w:rPr>
        <w:t>313.11万元，增长18.86%</w:t>
      </w:r>
      <w:r>
        <w:rPr>
          <w:rFonts w:hAnsi="仿宋" w:eastAsia="仿宋"/>
          <w:sz w:val="32"/>
          <w:szCs w:val="32"/>
        </w:rPr>
        <w:t>。主要变动原因是项</w:t>
      </w:r>
      <w:r>
        <w:rPr>
          <w:rFonts w:hint="eastAsia" w:ascii="仿宋" w:hAnsi="仿宋" w:eastAsia="仿宋"/>
          <w:sz w:val="32"/>
          <w:szCs w:val="32"/>
        </w:rPr>
        <w:t>目经费增加。</w:t>
      </w:r>
    </w:p>
    <w:p w14:paraId="08630A02">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3EADBA2B">
      <w:pPr>
        <w:pStyle w:val="2"/>
      </w:pPr>
      <w:r>
        <w:drawing>
          <wp:inline distT="0" distB="0" distL="0" distR="0">
            <wp:extent cx="5419725" cy="1971675"/>
            <wp:effectExtent l="19050" t="0" r="9525"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087817">
      <w:pPr>
        <w:spacing w:line="600" w:lineRule="exact"/>
        <w:ind w:firstLine="640" w:firstLineChars="200"/>
        <w:outlineLvl w:val="1"/>
        <w:rPr>
          <w:rStyle w:val="28"/>
          <w:rFonts w:ascii="黑体" w:hAnsi="黑体" w:eastAsia="黑体"/>
          <w:b w:val="0"/>
        </w:rPr>
      </w:pPr>
      <w:bookmarkStart w:id="36" w:name="_Toc30521"/>
      <w:bookmarkStart w:id="37" w:name="_Toc15377209"/>
      <w:bookmarkStart w:id="38"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6"/>
      <w:bookmarkEnd w:id="37"/>
      <w:bookmarkEnd w:id="38"/>
    </w:p>
    <w:p w14:paraId="2B53DFDF">
      <w:pPr>
        <w:spacing w:line="600" w:lineRule="exact"/>
        <w:ind w:firstLine="640" w:firstLineChars="200"/>
        <w:outlineLvl w:val="2"/>
        <w:rPr>
          <w:rFonts w:ascii="楷体_GB2312" w:hAnsi="仿宋" w:eastAsia="楷体_GB2312"/>
          <w:sz w:val="32"/>
          <w:szCs w:val="32"/>
        </w:rPr>
      </w:pPr>
      <w:bookmarkStart w:id="39" w:name="_Toc29241"/>
      <w:bookmarkStart w:id="40" w:name="_Toc15377210"/>
      <w:r>
        <w:rPr>
          <w:rFonts w:hint="eastAsia" w:ascii="楷体_GB2312" w:hAnsi="仿宋" w:eastAsia="楷体_GB2312"/>
          <w:sz w:val="32"/>
          <w:szCs w:val="32"/>
        </w:rPr>
        <w:t>（一）一般公共预算财政拨款支出决算总体情况</w:t>
      </w:r>
      <w:bookmarkEnd w:id="39"/>
      <w:bookmarkEnd w:id="40"/>
    </w:p>
    <w:p w14:paraId="5707FD3B">
      <w:pPr>
        <w:spacing w:line="600" w:lineRule="exact"/>
        <w:ind w:firstLine="640" w:firstLineChars="200"/>
        <w:rPr>
          <w:rFonts w:eastAsia="仿宋"/>
          <w:sz w:val="32"/>
          <w:szCs w:val="32"/>
        </w:rPr>
      </w:pPr>
      <w:r>
        <w:rPr>
          <w:rFonts w:eastAsia="仿宋_GB2312"/>
          <w:sz w:val="32"/>
          <w:szCs w:val="32"/>
        </w:rPr>
        <w:t>2024</w:t>
      </w:r>
      <w:r>
        <w:rPr>
          <w:rFonts w:hAnsi="仿宋_GB2312" w:eastAsia="仿宋_GB2312"/>
          <w:sz w:val="32"/>
          <w:szCs w:val="32"/>
        </w:rPr>
        <w:t>年度一般公共预算财政拨款支出</w:t>
      </w:r>
      <w:r>
        <w:rPr>
          <w:rFonts w:eastAsia="仿宋_GB2312"/>
          <w:sz w:val="32"/>
          <w:szCs w:val="32"/>
        </w:rPr>
        <w:t>1739.44</w:t>
      </w:r>
      <w:r>
        <w:rPr>
          <w:rFonts w:hAnsi="仿宋_GB2312" w:eastAsia="仿宋_GB2312"/>
          <w:sz w:val="32"/>
          <w:szCs w:val="32"/>
        </w:rPr>
        <w:t>万元，占本年支出合计的</w:t>
      </w:r>
      <w:r>
        <w:rPr>
          <w:rFonts w:eastAsia="仿宋_GB2312"/>
          <w:sz w:val="32"/>
          <w:szCs w:val="32"/>
        </w:rPr>
        <w:t>88.15%</w:t>
      </w:r>
      <w:r>
        <w:rPr>
          <w:rFonts w:hAnsi="仿宋_GB2312" w:eastAsia="仿宋_GB2312"/>
          <w:sz w:val="32"/>
          <w:szCs w:val="32"/>
        </w:rPr>
        <w:t>。</w:t>
      </w:r>
      <w:r>
        <w:rPr>
          <w:rFonts w:hAnsi="仿宋" w:eastAsia="仿宋"/>
          <w:sz w:val="32"/>
          <w:szCs w:val="32"/>
        </w:rPr>
        <w:t>与</w:t>
      </w:r>
      <w:r>
        <w:rPr>
          <w:rFonts w:eastAsia="仿宋"/>
          <w:sz w:val="32"/>
          <w:szCs w:val="32"/>
        </w:rPr>
        <w:t>2023</w:t>
      </w:r>
      <w:r>
        <w:rPr>
          <w:rFonts w:hAnsi="仿宋" w:eastAsia="仿宋"/>
          <w:sz w:val="32"/>
          <w:szCs w:val="32"/>
        </w:rPr>
        <w:t>年度相比，一般公共预算财政拨款支出增加</w:t>
      </w:r>
      <w:r>
        <w:rPr>
          <w:rFonts w:eastAsia="仿宋"/>
          <w:sz w:val="32"/>
          <w:szCs w:val="32"/>
        </w:rPr>
        <w:t>83.31</w:t>
      </w:r>
      <w:r>
        <w:rPr>
          <w:rFonts w:hAnsi="仿宋" w:eastAsia="仿宋"/>
          <w:sz w:val="32"/>
          <w:szCs w:val="32"/>
        </w:rPr>
        <w:t>万元，增长</w:t>
      </w:r>
      <w:r>
        <w:rPr>
          <w:rFonts w:eastAsia="仿宋"/>
          <w:sz w:val="32"/>
          <w:szCs w:val="32"/>
        </w:rPr>
        <w:t>5.03%</w:t>
      </w:r>
      <w:r>
        <w:rPr>
          <w:rFonts w:hAnsi="仿宋" w:eastAsia="仿宋"/>
          <w:sz w:val="32"/>
          <w:szCs w:val="32"/>
        </w:rPr>
        <w:t>。主要变动原因是项目经费增加。</w:t>
      </w:r>
    </w:p>
    <w:p w14:paraId="22A256AE">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614F11F1">
      <w:pPr>
        <w:pStyle w:val="2"/>
      </w:pPr>
      <w:r>
        <w:drawing>
          <wp:inline distT="0" distB="0" distL="0" distR="0">
            <wp:extent cx="5562600" cy="1933575"/>
            <wp:effectExtent l="19050" t="0" r="1905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720536">
      <w:pPr>
        <w:spacing w:line="600" w:lineRule="exact"/>
        <w:ind w:firstLine="640" w:firstLineChars="200"/>
        <w:outlineLvl w:val="2"/>
        <w:rPr>
          <w:rFonts w:ascii="楷体_GB2312" w:hAnsi="仿宋" w:eastAsia="楷体_GB2312"/>
          <w:sz w:val="32"/>
          <w:szCs w:val="32"/>
        </w:rPr>
      </w:pPr>
      <w:bookmarkStart w:id="41" w:name="_Toc15377211"/>
      <w:bookmarkStart w:id="42" w:name="_Toc17902"/>
      <w:r>
        <w:rPr>
          <w:rFonts w:hint="eastAsia" w:ascii="楷体_GB2312" w:hAnsi="仿宋" w:eastAsia="楷体_GB2312"/>
          <w:sz w:val="32"/>
          <w:szCs w:val="32"/>
        </w:rPr>
        <w:t>（二）一般公共预算财政拨款支出决算结构情况</w:t>
      </w:r>
      <w:bookmarkEnd w:id="41"/>
      <w:bookmarkEnd w:id="42"/>
    </w:p>
    <w:p w14:paraId="796DE7FD">
      <w:pPr>
        <w:spacing w:line="600" w:lineRule="exact"/>
        <w:ind w:firstLine="640"/>
        <w:rPr>
          <w:rFonts w:eastAsia="仿宋_GB2312"/>
          <w:sz w:val="32"/>
          <w:szCs w:val="32"/>
        </w:rPr>
      </w:pPr>
      <w:r>
        <w:rPr>
          <w:rFonts w:eastAsia="仿宋_GB2312"/>
          <w:sz w:val="32"/>
          <w:szCs w:val="32"/>
        </w:rPr>
        <w:t xml:space="preserve">2024年度一般公共预算财政拨款支出1739.44万元，主要用于以下方面: </w:t>
      </w:r>
      <w:r>
        <w:rPr>
          <w:rFonts w:hint="eastAsia" w:eastAsia="仿宋_GB2312"/>
          <w:sz w:val="32"/>
          <w:szCs w:val="32"/>
        </w:rPr>
        <w:t>城乡社区支出90万元，占5.17%；</w:t>
      </w:r>
      <w:r>
        <w:rPr>
          <w:rFonts w:eastAsia="仿宋_GB2312"/>
          <w:sz w:val="32"/>
          <w:szCs w:val="32"/>
        </w:rPr>
        <w:t>社会保障和就业支出65.85万元，占</w:t>
      </w:r>
      <w:r>
        <w:rPr>
          <w:rFonts w:hint="eastAsia" w:eastAsia="仿宋_GB2312"/>
          <w:sz w:val="32"/>
          <w:szCs w:val="32"/>
        </w:rPr>
        <w:t>3.79</w:t>
      </w:r>
      <w:r>
        <w:rPr>
          <w:rFonts w:eastAsia="仿宋_GB2312"/>
          <w:sz w:val="32"/>
          <w:szCs w:val="32"/>
        </w:rPr>
        <w:t>%；卫生健康支出36.83万元，占2.</w:t>
      </w:r>
      <w:r>
        <w:rPr>
          <w:rFonts w:hint="eastAsia" w:eastAsia="仿宋_GB2312"/>
          <w:sz w:val="32"/>
          <w:szCs w:val="32"/>
        </w:rPr>
        <w:t>12</w:t>
      </w:r>
      <w:r>
        <w:rPr>
          <w:rFonts w:eastAsia="仿宋_GB2312"/>
          <w:sz w:val="32"/>
          <w:szCs w:val="32"/>
        </w:rPr>
        <w:t>%；住房保障支出30.87万元，占</w:t>
      </w:r>
      <w:r>
        <w:rPr>
          <w:rFonts w:hint="eastAsia" w:eastAsia="仿宋_GB2312"/>
          <w:sz w:val="32"/>
          <w:szCs w:val="32"/>
        </w:rPr>
        <w:t>1.77</w:t>
      </w:r>
      <w:r>
        <w:rPr>
          <w:rFonts w:eastAsia="仿宋_GB2312"/>
          <w:sz w:val="32"/>
          <w:szCs w:val="32"/>
        </w:rPr>
        <w:t>%；农林水支出1191.51万元，占</w:t>
      </w:r>
      <w:r>
        <w:rPr>
          <w:rFonts w:hint="eastAsia" w:eastAsia="仿宋_GB2312"/>
          <w:sz w:val="32"/>
          <w:szCs w:val="32"/>
        </w:rPr>
        <w:t>64.5</w:t>
      </w:r>
      <w:r>
        <w:rPr>
          <w:rFonts w:eastAsia="仿宋_GB2312"/>
          <w:sz w:val="32"/>
          <w:szCs w:val="32"/>
        </w:rPr>
        <w:t>%；交通运输支出324.38万元，占</w:t>
      </w:r>
      <w:r>
        <w:rPr>
          <w:rFonts w:hint="eastAsia" w:eastAsia="仿宋_GB2312"/>
          <w:sz w:val="32"/>
          <w:szCs w:val="32"/>
        </w:rPr>
        <w:t>18.65</w:t>
      </w:r>
      <w:r>
        <w:rPr>
          <w:rFonts w:eastAsia="仿宋_GB2312"/>
          <w:sz w:val="32"/>
          <w:szCs w:val="32"/>
        </w:rPr>
        <w:t>%</w:t>
      </w:r>
      <w:r>
        <w:rPr>
          <w:rFonts w:hint="eastAsia" w:eastAsia="仿宋_GB2312"/>
          <w:sz w:val="32"/>
          <w:szCs w:val="32"/>
        </w:rPr>
        <w:t>；</w:t>
      </w:r>
      <w:r>
        <w:rPr>
          <w:rFonts w:eastAsia="仿宋_GB2312"/>
          <w:sz w:val="32"/>
          <w:szCs w:val="32"/>
        </w:rPr>
        <w:t>教育支出0万元，占0%；科学技术支出0万元，占0%；文化旅游体育与传媒支出0万元，占0%</w:t>
      </w:r>
      <w:r>
        <w:rPr>
          <w:rFonts w:hint="eastAsia" w:eastAsia="仿宋_GB2312"/>
          <w:sz w:val="32"/>
          <w:szCs w:val="32"/>
        </w:rPr>
        <w:t>。</w:t>
      </w:r>
    </w:p>
    <w:p w14:paraId="424658E8">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41ADF1A1">
      <w:pPr>
        <w:pStyle w:val="2"/>
      </w:pPr>
      <w:r>
        <w:drawing>
          <wp:inline distT="0" distB="0" distL="0" distR="0">
            <wp:extent cx="5619750" cy="320992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9FD715"/>
    <w:p w14:paraId="5D413A05">
      <w:pPr>
        <w:spacing w:line="600" w:lineRule="exact"/>
        <w:ind w:firstLine="643" w:firstLineChars="200"/>
        <w:outlineLvl w:val="2"/>
        <w:rPr>
          <w:rFonts w:ascii="仿宋" w:hAnsi="仿宋" w:eastAsia="仿宋"/>
          <w:b/>
          <w:sz w:val="32"/>
          <w:szCs w:val="32"/>
        </w:rPr>
      </w:pPr>
      <w:bookmarkStart w:id="43" w:name="_Toc20965"/>
      <w:bookmarkStart w:id="44" w:name="_Toc15377212"/>
      <w:r>
        <w:rPr>
          <w:rFonts w:hint="eastAsia" w:ascii="仿宋" w:hAnsi="仿宋" w:eastAsia="仿宋"/>
          <w:b/>
          <w:sz w:val="32"/>
          <w:szCs w:val="32"/>
        </w:rPr>
        <w:t>（三）一般公共预算财政拨款支出决算具体情况</w:t>
      </w:r>
      <w:bookmarkEnd w:id="43"/>
      <w:bookmarkEnd w:id="44"/>
    </w:p>
    <w:p w14:paraId="026DC2DF">
      <w:pPr>
        <w:spacing w:line="600" w:lineRule="exact"/>
        <w:ind w:firstLine="640" w:firstLineChars="200"/>
        <w:outlineLvl w:val="2"/>
        <w:rPr>
          <w:rFonts w:eastAsia="仿宋_GB2312"/>
          <w:sz w:val="32"/>
          <w:szCs w:val="32"/>
        </w:rPr>
      </w:pPr>
      <w:bookmarkStart w:id="45" w:name="_Toc15377444"/>
      <w:bookmarkStart w:id="46" w:name="_Toc22831"/>
      <w:bookmarkStart w:id="47" w:name="_Toc15378460"/>
      <w:bookmarkStart w:id="48" w:name="_Toc15377213"/>
      <w:r>
        <w:rPr>
          <w:rFonts w:eastAsia="仿宋_GB2312"/>
          <w:sz w:val="32"/>
          <w:szCs w:val="32"/>
        </w:rPr>
        <w:t>202</w:t>
      </w:r>
      <w:r>
        <w:rPr>
          <w:rFonts w:hint="eastAsia" w:eastAsia="仿宋_GB2312"/>
          <w:sz w:val="32"/>
          <w:szCs w:val="32"/>
        </w:rPr>
        <w:t>4</w:t>
      </w:r>
      <w:r>
        <w:rPr>
          <w:rFonts w:eastAsia="仿宋_GB2312"/>
          <w:sz w:val="32"/>
          <w:szCs w:val="32"/>
        </w:rPr>
        <w:t>年度一般公共预算支出决算数为1739.44</w:t>
      </w:r>
      <w:r>
        <w:rPr>
          <w:rFonts w:hint="eastAsia" w:ascii="仿宋_GB2312" w:hAnsi="仿宋_GB2312" w:eastAsia="仿宋_GB2312" w:cs="仿宋_GB2312"/>
          <w:sz w:val="32"/>
          <w:szCs w:val="32"/>
        </w:rPr>
        <w:t>万元</w:t>
      </w:r>
      <w:r>
        <w:rPr>
          <w:rFonts w:eastAsia="仿宋_GB2312"/>
          <w:sz w:val="32"/>
          <w:szCs w:val="32"/>
        </w:rPr>
        <w:t>，</w:t>
      </w:r>
      <w:r>
        <w:rPr>
          <w:rStyle w:val="17"/>
          <w:rFonts w:eastAsia="仿宋_GB2312"/>
          <w:b w:val="0"/>
          <w:bCs/>
          <w:sz w:val="32"/>
          <w:szCs w:val="32"/>
        </w:rPr>
        <w:t>完成预算100%。其中：</w:t>
      </w:r>
      <w:bookmarkEnd w:id="45"/>
      <w:bookmarkEnd w:id="46"/>
      <w:bookmarkEnd w:id="47"/>
      <w:bookmarkEnd w:id="48"/>
    </w:p>
    <w:p w14:paraId="56F15249">
      <w:pPr>
        <w:spacing w:line="600" w:lineRule="exact"/>
        <w:ind w:firstLine="640" w:firstLineChars="200"/>
        <w:rPr>
          <w:rFonts w:eastAsia="仿宋_GB2312"/>
          <w:sz w:val="32"/>
          <w:szCs w:val="32"/>
        </w:rPr>
      </w:pPr>
      <w:r>
        <w:rPr>
          <w:rStyle w:val="17"/>
          <w:rFonts w:eastAsia="仿宋_GB2312"/>
          <w:b w:val="0"/>
          <w:bCs/>
          <w:sz w:val="32"/>
          <w:szCs w:val="32"/>
        </w:rPr>
        <w:t>1.城乡社区（类）城乡社区环境卫生（款）城乡社区环境卫生（项）:支出决算为90万元，完成预算100%，决算数等于预算数。</w:t>
      </w:r>
    </w:p>
    <w:p w14:paraId="0CD1C153">
      <w:pPr>
        <w:spacing w:line="600" w:lineRule="exact"/>
        <w:ind w:firstLine="640" w:firstLineChars="200"/>
        <w:rPr>
          <w:rStyle w:val="17"/>
          <w:rFonts w:eastAsia="仿宋_GB2312"/>
          <w:b w:val="0"/>
          <w:bCs/>
          <w:sz w:val="32"/>
          <w:szCs w:val="32"/>
        </w:rPr>
      </w:pPr>
      <w:r>
        <w:rPr>
          <w:rStyle w:val="17"/>
          <w:rFonts w:eastAsia="仿宋_GB2312"/>
          <w:b w:val="0"/>
          <w:bCs/>
          <w:sz w:val="32"/>
          <w:szCs w:val="32"/>
        </w:rPr>
        <w:t>2.社会保障和就业（类）行政事业单位养老支出（款）行政单位离退休（项）</w:t>
      </w:r>
      <w:r>
        <w:rPr>
          <w:rStyle w:val="17"/>
          <w:rFonts w:hint="eastAsia" w:eastAsia="仿宋_GB2312"/>
          <w:b w:val="0"/>
          <w:bCs/>
          <w:sz w:val="32"/>
          <w:szCs w:val="32"/>
        </w:rPr>
        <w:t>：</w:t>
      </w:r>
      <w:r>
        <w:rPr>
          <w:rStyle w:val="17"/>
          <w:rFonts w:eastAsia="仿宋_GB2312"/>
          <w:b w:val="0"/>
          <w:bCs/>
          <w:sz w:val="32"/>
          <w:szCs w:val="32"/>
        </w:rPr>
        <w:t>支出决算为13.9万元，完成预算100%，决算数等于预算数。</w:t>
      </w:r>
    </w:p>
    <w:p w14:paraId="4261C53C">
      <w:pPr>
        <w:spacing w:line="600" w:lineRule="exact"/>
        <w:ind w:firstLine="640" w:firstLineChars="200"/>
        <w:rPr>
          <w:rStyle w:val="17"/>
          <w:rFonts w:eastAsia="仿宋_GB2312"/>
          <w:b w:val="0"/>
          <w:bCs/>
          <w:sz w:val="32"/>
          <w:szCs w:val="32"/>
        </w:rPr>
      </w:pPr>
      <w:r>
        <w:rPr>
          <w:rStyle w:val="17"/>
          <w:rFonts w:hint="eastAsia" w:eastAsia="仿宋_GB2312"/>
          <w:b w:val="0"/>
          <w:bCs/>
          <w:sz w:val="32"/>
          <w:szCs w:val="32"/>
        </w:rPr>
        <w:t>3.</w:t>
      </w:r>
      <w:r>
        <w:rPr>
          <w:rStyle w:val="17"/>
          <w:rFonts w:eastAsia="仿宋_GB2312"/>
          <w:b w:val="0"/>
          <w:bCs/>
          <w:sz w:val="32"/>
          <w:szCs w:val="32"/>
        </w:rPr>
        <w:t>社会保障和就业（类）行政事业单位养老支出（款）</w:t>
      </w:r>
      <w:r>
        <w:rPr>
          <w:rFonts w:eastAsia="仿宋_GB2312"/>
          <w:sz w:val="32"/>
          <w:szCs w:val="32"/>
        </w:rPr>
        <w:t>机关事业单位基本养老保险缴费支出</w:t>
      </w:r>
      <w:r>
        <w:rPr>
          <w:rStyle w:val="17"/>
          <w:rFonts w:eastAsia="仿宋_GB2312"/>
          <w:b w:val="0"/>
          <w:bCs/>
          <w:sz w:val="32"/>
          <w:szCs w:val="32"/>
        </w:rPr>
        <w:t>（项）:支出决算为36.83万元，完成预算100%，决算数等于预算数。</w:t>
      </w:r>
    </w:p>
    <w:p w14:paraId="4CBFECAF">
      <w:pPr>
        <w:spacing w:line="600" w:lineRule="exact"/>
        <w:ind w:firstLine="640" w:firstLineChars="200"/>
        <w:rPr>
          <w:rFonts w:eastAsia="仿宋_GB2312"/>
          <w:bCs/>
          <w:sz w:val="32"/>
          <w:szCs w:val="32"/>
        </w:rPr>
      </w:pPr>
      <w:r>
        <w:rPr>
          <w:rStyle w:val="17"/>
          <w:rFonts w:hint="eastAsia" w:eastAsia="仿宋_GB2312"/>
          <w:b w:val="0"/>
          <w:bCs/>
          <w:sz w:val="32"/>
          <w:szCs w:val="32"/>
        </w:rPr>
        <w:t>4.</w:t>
      </w:r>
      <w:r>
        <w:rPr>
          <w:rStyle w:val="17"/>
          <w:rFonts w:eastAsia="仿宋_GB2312"/>
          <w:b w:val="0"/>
          <w:bCs/>
          <w:sz w:val="32"/>
          <w:szCs w:val="32"/>
        </w:rPr>
        <w:t>社会保障和就业（类）行政事业单位养老支出（款）机关事业单位职业年金缴费支出（项）:支出决算为15.11万元，完成预算100%，决算数等于预算数。</w:t>
      </w:r>
    </w:p>
    <w:p w14:paraId="10B7C5DB">
      <w:pPr>
        <w:spacing w:line="600" w:lineRule="exact"/>
        <w:ind w:firstLine="640" w:firstLineChars="200"/>
        <w:rPr>
          <w:rStyle w:val="17"/>
          <w:rFonts w:eastAsia="仿宋_GB2312"/>
          <w:b w:val="0"/>
          <w:bCs/>
          <w:sz w:val="32"/>
          <w:szCs w:val="32"/>
        </w:rPr>
      </w:pPr>
      <w:r>
        <w:rPr>
          <w:rStyle w:val="17"/>
          <w:rFonts w:hint="eastAsia" w:eastAsia="仿宋_GB2312"/>
          <w:b w:val="0"/>
          <w:bCs/>
          <w:sz w:val="32"/>
          <w:szCs w:val="32"/>
        </w:rPr>
        <w:t>5</w:t>
      </w:r>
      <w:r>
        <w:rPr>
          <w:rStyle w:val="17"/>
          <w:rFonts w:eastAsia="仿宋_GB2312"/>
          <w:b w:val="0"/>
          <w:bCs/>
          <w:sz w:val="32"/>
          <w:szCs w:val="32"/>
        </w:rPr>
        <w:t>.</w:t>
      </w:r>
      <w:r>
        <w:rPr>
          <w:rFonts w:eastAsia="仿宋_GB2312"/>
          <w:bCs/>
          <w:sz w:val="32"/>
          <w:szCs w:val="32"/>
        </w:rPr>
        <w:t>卫生健康</w:t>
      </w:r>
      <w:r>
        <w:rPr>
          <w:rStyle w:val="17"/>
          <w:rFonts w:eastAsia="仿宋_GB2312"/>
          <w:b w:val="0"/>
          <w:bCs/>
          <w:sz w:val="32"/>
          <w:szCs w:val="32"/>
        </w:rPr>
        <w:t>（类）行政事业单位医疗（款）行政单位医疗（项）:支出决算为17.15万元，完成预算100%，决算数等于预算数。</w:t>
      </w:r>
    </w:p>
    <w:p w14:paraId="27EB3B10">
      <w:pPr>
        <w:spacing w:line="600" w:lineRule="exact"/>
        <w:ind w:firstLine="640" w:firstLineChars="200"/>
        <w:rPr>
          <w:rStyle w:val="17"/>
          <w:rFonts w:eastAsia="仿宋_GB2312"/>
          <w:b w:val="0"/>
          <w:bCs/>
          <w:sz w:val="32"/>
          <w:szCs w:val="32"/>
        </w:rPr>
      </w:pPr>
      <w:r>
        <w:rPr>
          <w:rFonts w:hint="eastAsia" w:eastAsia="仿宋_GB2312"/>
          <w:bCs/>
          <w:sz w:val="32"/>
          <w:szCs w:val="32"/>
        </w:rPr>
        <w:t>6.</w:t>
      </w:r>
      <w:r>
        <w:rPr>
          <w:rFonts w:eastAsia="仿宋_GB2312"/>
          <w:bCs/>
          <w:sz w:val="32"/>
          <w:szCs w:val="32"/>
        </w:rPr>
        <w:t>卫生健康</w:t>
      </w:r>
      <w:r>
        <w:rPr>
          <w:rStyle w:val="17"/>
          <w:rFonts w:eastAsia="仿宋_GB2312"/>
          <w:b w:val="0"/>
          <w:bCs/>
          <w:sz w:val="32"/>
          <w:szCs w:val="32"/>
        </w:rPr>
        <w:t>（类）行政事业单位医疗（款）事业单位医疗（项）:支出决算为4.21万元，完成预算100%，决算数等于预算数。</w:t>
      </w:r>
    </w:p>
    <w:p w14:paraId="219DDD4D">
      <w:pPr>
        <w:spacing w:line="600" w:lineRule="exact"/>
        <w:ind w:firstLine="640" w:firstLineChars="200"/>
        <w:rPr>
          <w:rStyle w:val="17"/>
          <w:rFonts w:eastAsia="仿宋_GB2312"/>
          <w:b w:val="0"/>
          <w:bCs/>
          <w:sz w:val="32"/>
          <w:szCs w:val="32"/>
        </w:rPr>
      </w:pPr>
      <w:r>
        <w:rPr>
          <w:rFonts w:hint="eastAsia" w:eastAsia="仿宋_GB2312"/>
          <w:bCs/>
          <w:sz w:val="32"/>
          <w:szCs w:val="32"/>
        </w:rPr>
        <w:t>7.</w:t>
      </w:r>
      <w:r>
        <w:rPr>
          <w:rFonts w:eastAsia="仿宋_GB2312"/>
          <w:bCs/>
          <w:sz w:val="32"/>
          <w:szCs w:val="32"/>
        </w:rPr>
        <w:t>卫生健康</w:t>
      </w:r>
      <w:r>
        <w:rPr>
          <w:rStyle w:val="17"/>
          <w:rFonts w:eastAsia="仿宋_GB2312"/>
          <w:b w:val="0"/>
          <w:bCs/>
          <w:sz w:val="32"/>
          <w:szCs w:val="32"/>
        </w:rPr>
        <w:t>（类）行政事业单位医疗（款）公务员医疗补助（项）:支出决算为13.41万元，完成预算100%，决算数等于预算数。</w:t>
      </w:r>
    </w:p>
    <w:p w14:paraId="6D850D03">
      <w:pPr>
        <w:spacing w:line="600" w:lineRule="exact"/>
        <w:ind w:firstLine="640" w:firstLineChars="200"/>
        <w:rPr>
          <w:rStyle w:val="17"/>
          <w:rFonts w:eastAsia="仿宋_GB2312"/>
          <w:b w:val="0"/>
          <w:bCs/>
          <w:sz w:val="32"/>
          <w:szCs w:val="32"/>
        </w:rPr>
      </w:pPr>
      <w:r>
        <w:rPr>
          <w:rFonts w:hint="eastAsia" w:eastAsia="仿宋_GB2312"/>
          <w:bCs/>
          <w:sz w:val="32"/>
          <w:szCs w:val="32"/>
        </w:rPr>
        <w:t>8.</w:t>
      </w:r>
      <w:r>
        <w:rPr>
          <w:rFonts w:eastAsia="仿宋_GB2312"/>
          <w:bCs/>
          <w:sz w:val="32"/>
          <w:szCs w:val="32"/>
        </w:rPr>
        <w:t>卫生健康</w:t>
      </w:r>
      <w:r>
        <w:rPr>
          <w:rStyle w:val="17"/>
          <w:rFonts w:eastAsia="仿宋_GB2312"/>
          <w:b w:val="0"/>
          <w:bCs/>
          <w:sz w:val="32"/>
          <w:szCs w:val="32"/>
        </w:rPr>
        <w:t>（类）行政事业单位医疗（款）其他行政事业单位医疗支出（项）:支出决算为2.07万元，完成预算100%，决算数等于预算数。</w:t>
      </w:r>
    </w:p>
    <w:p w14:paraId="3B927838">
      <w:pPr>
        <w:spacing w:line="600" w:lineRule="exact"/>
        <w:ind w:firstLine="640" w:firstLineChars="200"/>
        <w:rPr>
          <w:rStyle w:val="17"/>
          <w:rFonts w:eastAsia="仿宋_GB2312"/>
          <w:b w:val="0"/>
          <w:bCs/>
          <w:sz w:val="32"/>
          <w:szCs w:val="32"/>
        </w:rPr>
      </w:pPr>
      <w:r>
        <w:rPr>
          <w:rFonts w:hint="eastAsia" w:eastAsia="仿宋_GB2312"/>
          <w:bCs/>
          <w:sz w:val="32"/>
          <w:szCs w:val="32"/>
        </w:rPr>
        <w:t>9</w:t>
      </w:r>
      <w:r>
        <w:rPr>
          <w:rFonts w:eastAsia="仿宋_GB2312"/>
          <w:bCs/>
          <w:sz w:val="32"/>
          <w:szCs w:val="32"/>
        </w:rPr>
        <w:t>.农林水支出</w:t>
      </w:r>
      <w:r>
        <w:rPr>
          <w:rStyle w:val="17"/>
          <w:rFonts w:eastAsia="仿宋_GB2312"/>
          <w:b w:val="0"/>
          <w:bCs/>
          <w:sz w:val="32"/>
          <w:szCs w:val="32"/>
        </w:rPr>
        <w:t>（类）农业农村（款）行政运行（项）:支出决算为323.08万元，完成预算100%，决算数等于预算数。</w:t>
      </w:r>
    </w:p>
    <w:p w14:paraId="1C35C232">
      <w:pPr>
        <w:spacing w:line="600" w:lineRule="exact"/>
        <w:ind w:firstLine="640" w:firstLineChars="200"/>
        <w:rPr>
          <w:rStyle w:val="17"/>
          <w:rFonts w:eastAsia="仿宋_GB2312"/>
          <w:b w:val="0"/>
          <w:bCs/>
          <w:sz w:val="32"/>
          <w:szCs w:val="32"/>
        </w:rPr>
      </w:pPr>
      <w:r>
        <w:rPr>
          <w:rFonts w:hint="eastAsia" w:eastAsia="仿宋_GB2312"/>
          <w:bCs/>
          <w:sz w:val="32"/>
          <w:szCs w:val="32"/>
        </w:rPr>
        <w:t>10.</w:t>
      </w:r>
      <w:r>
        <w:rPr>
          <w:rFonts w:eastAsia="仿宋_GB2312"/>
          <w:bCs/>
          <w:sz w:val="32"/>
          <w:szCs w:val="32"/>
        </w:rPr>
        <w:t>农林水支出</w:t>
      </w:r>
      <w:r>
        <w:rPr>
          <w:rStyle w:val="17"/>
          <w:rFonts w:eastAsia="仿宋_GB2312"/>
          <w:b w:val="0"/>
          <w:bCs/>
          <w:sz w:val="32"/>
          <w:szCs w:val="32"/>
        </w:rPr>
        <w:t>（类）农业农村（款）事业运行（项）:支出决算为52.83万元，完成预算100%，决算数等于预算数。</w:t>
      </w:r>
    </w:p>
    <w:p w14:paraId="2219C515">
      <w:pPr>
        <w:spacing w:line="600" w:lineRule="exact"/>
        <w:ind w:firstLine="640" w:firstLineChars="200"/>
        <w:rPr>
          <w:rStyle w:val="17"/>
          <w:rFonts w:eastAsia="仿宋_GB2312"/>
          <w:b w:val="0"/>
          <w:bCs/>
          <w:sz w:val="32"/>
          <w:szCs w:val="32"/>
        </w:rPr>
      </w:pPr>
      <w:r>
        <w:rPr>
          <w:rFonts w:hint="eastAsia" w:eastAsia="仿宋_GB2312"/>
          <w:bCs/>
          <w:sz w:val="32"/>
          <w:szCs w:val="32"/>
        </w:rPr>
        <w:t>11.</w:t>
      </w:r>
      <w:r>
        <w:rPr>
          <w:rFonts w:eastAsia="仿宋_GB2312"/>
          <w:bCs/>
          <w:sz w:val="32"/>
          <w:szCs w:val="32"/>
        </w:rPr>
        <w:t>农林水支出</w:t>
      </w:r>
      <w:r>
        <w:rPr>
          <w:rStyle w:val="17"/>
          <w:rFonts w:eastAsia="仿宋_GB2312"/>
          <w:b w:val="0"/>
          <w:bCs/>
          <w:sz w:val="32"/>
          <w:szCs w:val="32"/>
        </w:rPr>
        <w:t>（类）农业农村（款）病虫害控制（项）:支出决算为2.53万元，完成预算100%，决算数等于预算数。</w:t>
      </w:r>
    </w:p>
    <w:p w14:paraId="661DF86F">
      <w:pPr>
        <w:ind w:firstLine="640" w:firstLineChars="200"/>
        <w:rPr>
          <w:rFonts w:eastAsia="仿宋_GB2312"/>
        </w:rPr>
      </w:pPr>
      <w:r>
        <w:rPr>
          <w:rFonts w:hint="eastAsia" w:eastAsia="仿宋_GB2312"/>
          <w:bCs/>
          <w:sz w:val="32"/>
          <w:szCs w:val="32"/>
        </w:rPr>
        <w:t>12.</w:t>
      </w:r>
      <w:r>
        <w:rPr>
          <w:rFonts w:eastAsia="仿宋_GB2312"/>
          <w:bCs/>
          <w:sz w:val="32"/>
          <w:szCs w:val="32"/>
        </w:rPr>
        <w:t>农林水支出</w:t>
      </w:r>
      <w:r>
        <w:rPr>
          <w:rStyle w:val="17"/>
          <w:rFonts w:eastAsia="仿宋_GB2312"/>
          <w:b w:val="0"/>
          <w:bCs/>
          <w:sz w:val="32"/>
          <w:szCs w:val="32"/>
        </w:rPr>
        <w:t>（类）农业农村（款）农产品质量安全（项）:支出决算为1.78万元，完成预算100%，决算数等于预算数。</w:t>
      </w:r>
    </w:p>
    <w:p w14:paraId="6012B0FB">
      <w:pPr>
        <w:ind w:firstLine="640" w:firstLineChars="200"/>
        <w:rPr>
          <w:rFonts w:eastAsia="仿宋_GB2312"/>
        </w:rPr>
      </w:pPr>
      <w:r>
        <w:rPr>
          <w:rFonts w:hint="eastAsia" w:eastAsia="仿宋_GB2312"/>
          <w:bCs/>
          <w:sz w:val="32"/>
          <w:szCs w:val="32"/>
        </w:rPr>
        <w:t>13.</w:t>
      </w:r>
      <w:r>
        <w:rPr>
          <w:rFonts w:eastAsia="仿宋_GB2312"/>
          <w:bCs/>
          <w:sz w:val="32"/>
          <w:szCs w:val="32"/>
        </w:rPr>
        <w:t>农林水支出</w:t>
      </w:r>
      <w:r>
        <w:rPr>
          <w:rStyle w:val="17"/>
          <w:rFonts w:eastAsia="仿宋_GB2312"/>
          <w:b w:val="0"/>
          <w:bCs/>
          <w:sz w:val="32"/>
          <w:szCs w:val="32"/>
        </w:rPr>
        <w:t>（类）农业农村（款）稳定农民收入补贴（项）:支出决算为132.7万元，完成预算100%，决算数等于预算数。</w:t>
      </w:r>
    </w:p>
    <w:p w14:paraId="45662821">
      <w:pPr>
        <w:ind w:firstLine="640" w:firstLineChars="200"/>
        <w:rPr>
          <w:rFonts w:eastAsia="仿宋_GB2312"/>
        </w:rPr>
      </w:pPr>
      <w:r>
        <w:rPr>
          <w:rFonts w:hint="eastAsia" w:eastAsia="仿宋_GB2312"/>
          <w:bCs/>
          <w:sz w:val="32"/>
          <w:szCs w:val="32"/>
        </w:rPr>
        <w:t>14.</w:t>
      </w:r>
      <w:r>
        <w:rPr>
          <w:rFonts w:eastAsia="仿宋_GB2312"/>
          <w:bCs/>
          <w:sz w:val="32"/>
          <w:szCs w:val="32"/>
        </w:rPr>
        <w:t>农林水支出</w:t>
      </w:r>
      <w:r>
        <w:rPr>
          <w:rStyle w:val="17"/>
          <w:rFonts w:eastAsia="仿宋_GB2312"/>
          <w:b w:val="0"/>
          <w:bCs/>
          <w:sz w:val="32"/>
          <w:szCs w:val="32"/>
        </w:rPr>
        <w:t>（类）农业农村（款）农业生产发展（项）:支出决算为80万元，完成预算100%，决算数等于预算数。</w:t>
      </w:r>
    </w:p>
    <w:p w14:paraId="7E81B91D">
      <w:pPr>
        <w:ind w:firstLine="640" w:firstLineChars="200"/>
        <w:rPr>
          <w:rFonts w:eastAsia="仿宋_GB2312"/>
        </w:rPr>
      </w:pPr>
      <w:r>
        <w:rPr>
          <w:rFonts w:hint="eastAsia" w:eastAsia="仿宋_GB2312"/>
          <w:bCs/>
          <w:sz w:val="32"/>
          <w:szCs w:val="32"/>
        </w:rPr>
        <w:t>15.</w:t>
      </w:r>
      <w:r>
        <w:rPr>
          <w:rFonts w:eastAsia="仿宋_GB2312"/>
          <w:bCs/>
          <w:sz w:val="32"/>
          <w:szCs w:val="32"/>
        </w:rPr>
        <w:t>农林水支出</w:t>
      </w:r>
      <w:r>
        <w:rPr>
          <w:rStyle w:val="17"/>
          <w:rFonts w:eastAsia="仿宋_GB2312"/>
          <w:b w:val="0"/>
          <w:bCs/>
          <w:sz w:val="32"/>
          <w:szCs w:val="32"/>
        </w:rPr>
        <w:t>（类）农业农村（款）耕地建设与利用（项）:支出决算为9万元，完成预算100%，决算数等于预算数。</w:t>
      </w:r>
    </w:p>
    <w:p w14:paraId="42CF3CB8">
      <w:pPr>
        <w:ind w:firstLine="640" w:firstLineChars="200"/>
        <w:rPr>
          <w:rStyle w:val="17"/>
          <w:rFonts w:eastAsia="仿宋_GB2312"/>
          <w:b w:val="0"/>
          <w:bCs/>
          <w:sz w:val="32"/>
          <w:szCs w:val="32"/>
        </w:rPr>
      </w:pPr>
      <w:r>
        <w:rPr>
          <w:rFonts w:hint="eastAsia" w:eastAsia="仿宋_GB2312"/>
          <w:bCs/>
          <w:sz w:val="32"/>
          <w:szCs w:val="32"/>
        </w:rPr>
        <w:t>16.</w:t>
      </w:r>
      <w:r>
        <w:rPr>
          <w:rFonts w:eastAsia="仿宋_GB2312"/>
          <w:bCs/>
          <w:sz w:val="32"/>
          <w:szCs w:val="32"/>
        </w:rPr>
        <w:t>农林水支出</w:t>
      </w:r>
      <w:r>
        <w:rPr>
          <w:rStyle w:val="17"/>
          <w:rFonts w:eastAsia="仿宋_GB2312"/>
          <w:b w:val="0"/>
          <w:bCs/>
          <w:sz w:val="32"/>
          <w:szCs w:val="32"/>
        </w:rPr>
        <w:t xml:space="preserve">（类）农业农村（款）其他农业农村支出（项）:支出决算为388.2万元，完成预算100%，决算数等于预算数。     </w:t>
      </w:r>
    </w:p>
    <w:p w14:paraId="5E64B299">
      <w:pPr>
        <w:ind w:firstLine="640" w:firstLineChars="200"/>
        <w:rPr>
          <w:rFonts w:eastAsia="仿宋_GB2312"/>
        </w:rPr>
      </w:pPr>
      <w:r>
        <w:rPr>
          <w:rFonts w:hint="eastAsia" w:eastAsia="仿宋_GB2312"/>
          <w:bCs/>
          <w:sz w:val="32"/>
          <w:szCs w:val="32"/>
        </w:rPr>
        <w:t>17.</w:t>
      </w:r>
      <w:r>
        <w:rPr>
          <w:rFonts w:eastAsia="仿宋_GB2312"/>
          <w:bCs/>
          <w:sz w:val="32"/>
          <w:szCs w:val="32"/>
        </w:rPr>
        <w:t>农林水支出</w:t>
      </w:r>
      <w:r>
        <w:rPr>
          <w:rStyle w:val="17"/>
          <w:rFonts w:eastAsia="仿宋_GB2312"/>
          <w:b w:val="0"/>
          <w:bCs/>
          <w:sz w:val="32"/>
          <w:szCs w:val="32"/>
        </w:rPr>
        <w:t>（类）普惠金融发展支出（款）农业保险保费补贴（项）:支出决算为200.64万元，完成预算100%，决算数等于预算数。</w:t>
      </w:r>
    </w:p>
    <w:p w14:paraId="23D172C0">
      <w:pPr>
        <w:ind w:firstLine="640" w:firstLineChars="200"/>
        <w:rPr>
          <w:rFonts w:eastAsia="仿宋_GB2312"/>
        </w:rPr>
      </w:pPr>
      <w:r>
        <w:rPr>
          <w:rFonts w:hint="eastAsia" w:eastAsia="仿宋_GB2312"/>
          <w:bCs/>
          <w:sz w:val="32"/>
          <w:szCs w:val="32"/>
        </w:rPr>
        <w:t>18.</w:t>
      </w:r>
      <w:r>
        <w:rPr>
          <w:rFonts w:eastAsia="仿宋_GB2312"/>
          <w:bCs/>
          <w:sz w:val="32"/>
          <w:szCs w:val="32"/>
        </w:rPr>
        <w:t>农林水支出</w:t>
      </w:r>
      <w:r>
        <w:rPr>
          <w:rStyle w:val="17"/>
          <w:rFonts w:eastAsia="仿宋_GB2312"/>
          <w:b w:val="0"/>
          <w:bCs/>
          <w:sz w:val="32"/>
          <w:szCs w:val="32"/>
        </w:rPr>
        <w:t>（类）目标价格补贴（款）其他目标价格补贴（项）:支出决算为0.75万元，完成预算100%，决算数等于预算数。</w:t>
      </w:r>
    </w:p>
    <w:p w14:paraId="2730C9FD">
      <w:pPr>
        <w:spacing w:line="600" w:lineRule="exact"/>
        <w:ind w:firstLine="640" w:firstLineChars="200"/>
        <w:rPr>
          <w:rStyle w:val="17"/>
          <w:rFonts w:eastAsia="仿宋_GB2312"/>
          <w:b w:val="0"/>
          <w:bCs/>
          <w:sz w:val="32"/>
          <w:szCs w:val="32"/>
        </w:rPr>
      </w:pPr>
      <w:r>
        <w:rPr>
          <w:rFonts w:hint="eastAsia" w:eastAsia="仿宋_GB2312"/>
          <w:bCs/>
          <w:sz w:val="32"/>
          <w:szCs w:val="32"/>
        </w:rPr>
        <w:t>19.</w:t>
      </w:r>
      <w:r>
        <w:rPr>
          <w:rFonts w:eastAsia="仿宋_GB2312"/>
          <w:bCs/>
          <w:sz w:val="32"/>
          <w:szCs w:val="32"/>
        </w:rPr>
        <w:t>.交通运输支出</w:t>
      </w:r>
      <w:r>
        <w:rPr>
          <w:rStyle w:val="17"/>
          <w:rFonts w:eastAsia="仿宋_GB2312"/>
          <w:b w:val="0"/>
          <w:bCs/>
          <w:sz w:val="32"/>
          <w:szCs w:val="32"/>
        </w:rPr>
        <w:t>（类）公路水路运输（款）公路建设（项）:支出决算为16万元，完成预算100%，决算数等于预算数。</w:t>
      </w:r>
    </w:p>
    <w:p w14:paraId="7292D255">
      <w:pPr>
        <w:spacing w:line="600" w:lineRule="exact"/>
        <w:ind w:firstLine="640" w:firstLineChars="200"/>
        <w:rPr>
          <w:rStyle w:val="17"/>
          <w:rFonts w:eastAsia="仿宋_GB2312"/>
          <w:b w:val="0"/>
          <w:bCs/>
          <w:sz w:val="32"/>
          <w:szCs w:val="32"/>
        </w:rPr>
      </w:pPr>
      <w:r>
        <w:rPr>
          <w:rFonts w:hint="eastAsia" w:eastAsia="仿宋_GB2312"/>
          <w:bCs/>
          <w:sz w:val="32"/>
          <w:szCs w:val="32"/>
        </w:rPr>
        <w:t>20.</w:t>
      </w:r>
      <w:r>
        <w:rPr>
          <w:rFonts w:eastAsia="仿宋_GB2312"/>
          <w:bCs/>
          <w:sz w:val="32"/>
          <w:szCs w:val="32"/>
        </w:rPr>
        <w:t>交通运输支出</w:t>
      </w:r>
      <w:r>
        <w:rPr>
          <w:rStyle w:val="17"/>
          <w:rFonts w:eastAsia="仿宋_GB2312"/>
          <w:b w:val="0"/>
          <w:bCs/>
          <w:sz w:val="32"/>
          <w:szCs w:val="32"/>
        </w:rPr>
        <w:t>（类）公路水路运输（款）公路养护（项）:支出决算为13.16万元，完成预算100%，决算数等于预算数。</w:t>
      </w:r>
    </w:p>
    <w:p w14:paraId="45D4CF3E">
      <w:pPr>
        <w:spacing w:line="600" w:lineRule="exact"/>
        <w:ind w:firstLine="640" w:firstLineChars="200"/>
        <w:rPr>
          <w:rStyle w:val="17"/>
          <w:rFonts w:eastAsia="仿宋_GB2312"/>
          <w:b w:val="0"/>
          <w:bCs/>
          <w:sz w:val="32"/>
          <w:szCs w:val="32"/>
        </w:rPr>
      </w:pPr>
      <w:r>
        <w:rPr>
          <w:rFonts w:hint="eastAsia" w:eastAsia="仿宋_GB2312"/>
          <w:bCs/>
          <w:sz w:val="32"/>
          <w:szCs w:val="32"/>
        </w:rPr>
        <w:t>21.</w:t>
      </w:r>
      <w:r>
        <w:rPr>
          <w:rFonts w:eastAsia="仿宋_GB2312"/>
          <w:bCs/>
          <w:sz w:val="32"/>
          <w:szCs w:val="32"/>
        </w:rPr>
        <w:t>交通运输支出</w:t>
      </w:r>
      <w:r>
        <w:rPr>
          <w:rStyle w:val="17"/>
          <w:rFonts w:eastAsia="仿宋_GB2312"/>
          <w:b w:val="0"/>
          <w:bCs/>
          <w:sz w:val="32"/>
          <w:szCs w:val="32"/>
        </w:rPr>
        <w:t>（类）公路水路运输（款）救助打捞（项）:支出决算为0.28万元，完成预算100%，决算数等于预算数。</w:t>
      </w:r>
    </w:p>
    <w:p w14:paraId="26956163">
      <w:pPr>
        <w:spacing w:line="600" w:lineRule="exact"/>
        <w:ind w:firstLine="640" w:firstLineChars="200"/>
        <w:rPr>
          <w:rFonts w:eastAsia="仿宋_GB2312"/>
          <w:bCs/>
          <w:sz w:val="32"/>
          <w:szCs w:val="32"/>
        </w:rPr>
      </w:pPr>
      <w:r>
        <w:rPr>
          <w:rFonts w:hint="eastAsia" w:eastAsia="仿宋_GB2312"/>
          <w:bCs/>
          <w:sz w:val="32"/>
          <w:szCs w:val="32"/>
        </w:rPr>
        <w:t>22.</w:t>
      </w:r>
      <w:r>
        <w:rPr>
          <w:rFonts w:eastAsia="仿宋_GB2312"/>
          <w:bCs/>
          <w:sz w:val="32"/>
          <w:szCs w:val="32"/>
        </w:rPr>
        <w:t>交通运输支出</w:t>
      </w:r>
      <w:r>
        <w:rPr>
          <w:rStyle w:val="17"/>
          <w:rFonts w:eastAsia="仿宋_GB2312"/>
          <w:b w:val="0"/>
          <w:bCs/>
          <w:sz w:val="32"/>
          <w:szCs w:val="32"/>
        </w:rPr>
        <w:t>（类）公路水路运输（款）其他公路水路运输支出（项）:支出决算为285.95万元，完成预算100%，决算数等于预算数。</w:t>
      </w:r>
    </w:p>
    <w:p w14:paraId="7761B968">
      <w:pPr>
        <w:ind w:firstLine="470" w:firstLineChars="147"/>
        <w:rPr>
          <w:rFonts w:eastAsia="仿宋_GB2312"/>
        </w:rPr>
      </w:pPr>
      <w:r>
        <w:rPr>
          <w:rFonts w:hint="eastAsia" w:eastAsia="仿宋_GB2312"/>
          <w:bCs/>
          <w:sz w:val="32"/>
          <w:szCs w:val="32"/>
        </w:rPr>
        <w:t>23.</w:t>
      </w:r>
      <w:r>
        <w:rPr>
          <w:rFonts w:eastAsia="仿宋_GB2312"/>
          <w:bCs/>
          <w:sz w:val="32"/>
          <w:szCs w:val="32"/>
        </w:rPr>
        <w:t>交通运输支出</w:t>
      </w:r>
      <w:r>
        <w:rPr>
          <w:rStyle w:val="17"/>
          <w:rFonts w:eastAsia="仿宋_GB2312"/>
          <w:b w:val="0"/>
          <w:bCs/>
          <w:sz w:val="32"/>
          <w:szCs w:val="32"/>
        </w:rPr>
        <w:t>（类）</w:t>
      </w:r>
      <w:r>
        <w:rPr>
          <w:rFonts w:eastAsia="仿宋_GB2312"/>
          <w:sz w:val="32"/>
          <w:szCs w:val="32"/>
        </w:rPr>
        <w:t>其他交通运输支出</w:t>
      </w:r>
      <w:r>
        <w:rPr>
          <w:rStyle w:val="17"/>
          <w:rFonts w:eastAsia="仿宋_GB2312"/>
          <w:b w:val="0"/>
          <w:bCs/>
          <w:sz w:val="32"/>
          <w:szCs w:val="32"/>
        </w:rPr>
        <w:t>（款）</w:t>
      </w:r>
      <w:r>
        <w:rPr>
          <w:rFonts w:eastAsia="仿宋_GB2312"/>
          <w:sz w:val="32"/>
          <w:szCs w:val="32"/>
        </w:rPr>
        <w:t>其他交通运输支出</w:t>
      </w:r>
      <w:r>
        <w:rPr>
          <w:rStyle w:val="17"/>
          <w:rFonts w:eastAsia="仿宋_GB2312"/>
          <w:b w:val="0"/>
          <w:bCs/>
          <w:sz w:val="32"/>
          <w:szCs w:val="32"/>
        </w:rPr>
        <w:t>（项）:支出决算为8.99万元，完成预算100%，决算数等于预算数。</w:t>
      </w:r>
    </w:p>
    <w:p w14:paraId="17A989A3">
      <w:pPr>
        <w:ind w:firstLine="470" w:firstLineChars="147"/>
        <w:rPr>
          <w:rFonts w:eastAsia="仿宋_GB2312"/>
        </w:rPr>
      </w:pPr>
      <w:r>
        <w:rPr>
          <w:rFonts w:hint="eastAsia" w:eastAsia="仿宋_GB2312"/>
          <w:bCs/>
          <w:sz w:val="32"/>
          <w:szCs w:val="32"/>
        </w:rPr>
        <w:t>24</w:t>
      </w:r>
      <w:r>
        <w:rPr>
          <w:rFonts w:eastAsia="仿宋_GB2312"/>
          <w:bCs/>
          <w:sz w:val="32"/>
          <w:szCs w:val="32"/>
        </w:rPr>
        <w:t>.住房保障支出</w:t>
      </w:r>
      <w:r>
        <w:rPr>
          <w:rStyle w:val="17"/>
          <w:rFonts w:eastAsia="仿宋_GB2312"/>
          <w:b w:val="0"/>
          <w:bCs/>
          <w:sz w:val="32"/>
          <w:szCs w:val="32"/>
        </w:rPr>
        <w:t>（类）住房改革</w:t>
      </w:r>
      <w:r>
        <w:rPr>
          <w:rFonts w:eastAsia="仿宋_GB2312"/>
          <w:sz w:val="32"/>
          <w:szCs w:val="32"/>
        </w:rPr>
        <w:t>支出</w:t>
      </w:r>
      <w:r>
        <w:rPr>
          <w:rStyle w:val="17"/>
          <w:rFonts w:eastAsia="仿宋_GB2312"/>
          <w:b w:val="0"/>
          <w:bCs/>
          <w:sz w:val="32"/>
          <w:szCs w:val="32"/>
        </w:rPr>
        <w:t>（款）住房公积金（项）:支出决算为30.87万元，完成预算100%，决算数等于预算数。</w:t>
      </w:r>
    </w:p>
    <w:p w14:paraId="0EC0EF19">
      <w:pPr>
        <w:tabs>
          <w:tab w:val="right" w:pos="8306"/>
        </w:tabs>
        <w:spacing w:line="600" w:lineRule="exact"/>
        <w:ind w:firstLine="640"/>
        <w:outlineLvl w:val="1"/>
        <w:rPr>
          <w:rStyle w:val="28"/>
        </w:rPr>
      </w:pPr>
      <w:bookmarkStart w:id="49" w:name="_Toc15396608"/>
      <w:bookmarkStart w:id="50" w:name="_Toc16497"/>
      <w:bookmarkStart w:id="5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9"/>
      <w:bookmarkEnd w:id="50"/>
      <w:bookmarkEnd w:id="51"/>
      <w:r>
        <w:rPr>
          <w:rStyle w:val="28"/>
          <w:rFonts w:ascii="黑体" w:hAnsi="黑体" w:eastAsia="黑体"/>
          <w:b w:val="0"/>
        </w:rPr>
        <w:tab/>
      </w:r>
    </w:p>
    <w:p w14:paraId="2FE229F3">
      <w:pPr>
        <w:spacing w:line="600" w:lineRule="exact"/>
        <w:ind w:firstLine="640"/>
        <w:rPr>
          <w:rFonts w:eastAsia="仿宋_GB2312"/>
          <w:sz w:val="32"/>
          <w:szCs w:val="32"/>
        </w:rPr>
      </w:pPr>
      <w:bookmarkStart w:id="52" w:name="_Toc15377215"/>
      <w:bookmarkStart w:id="53" w:name="_Toc15396609"/>
      <w:r>
        <w:rPr>
          <w:rFonts w:eastAsia="仿宋_GB2312"/>
          <w:sz w:val="32"/>
          <w:szCs w:val="32"/>
        </w:rPr>
        <w:t>2024年度一般公共预算财政拨款基本支出509.46</w:t>
      </w:r>
      <w:r>
        <w:rPr>
          <w:rFonts w:hAnsi="仿宋_GB2312" w:eastAsia="仿宋_GB2312"/>
          <w:sz w:val="32"/>
          <w:szCs w:val="32"/>
        </w:rPr>
        <w:t>万</w:t>
      </w:r>
      <w:r>
        <w:rPr>
          <w:rFonts w:eastAsia="仿宋_GB2312"/>
          <w:sz w:val="32"/>
          <w:szCs w:val="32"/>
        </w:rPr>
        <w:t>元，其中：</w:t>
      </w:r>
    </w:p>
    <w:p w14:paraId="665F48E1">
      <w:pPr>
        <w:spacing w:line="600" w:lineRule="exact"/>
        <w:ind w:firstLine="640"/>
        <w:rPr>
          <w:rFonts w:eastAsia="仿宋_GB2312"/>
          <w:sz w:val="32"/>
          <w:szCs w:val="32"/>
        </w:rPr>
      </w:pPr>
      <w:r>
        <w:rPr>
          <w:rFonts w:eastAsia="仿宋_GB2312"/>
          <w:sz w:val="32"/>
          <w:szCs w:val="32"/>
        </w:rPr>
        <w:t>人员经费473.45</w:t>
      </w:r>
      <w:r>
        <w:rPr>
          <w:rFonts w:hAnsi="仿宋_GB2312" w:eastAsia="仿宋_GB2312"/>
          <w:sz w:val="32"/>
          <w:szCs w:val="32"/>
        </w:rPr>
        <w:t>万</w:t>
      </w:r>
      <w:r>
        <w:rPr>
          <w:rFonts w:eastAsia="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_GB2312"/>
          <w:sz w:val="32"/>
          <w:szCs w:val="32"/>
        </w:rPr>
        <w:br w:type="textWrapping"/>
      </w:r>
      <w:r>
        <w:rPr>
          <w:rFonts w:eastAsia="仿宋_GB2312"/>
          <w:sz w:val="32"/>
          <w:szCs w:val="32"/>
        </w:rPr>
        <w:t>　　公用经费36.01</w:t>
      </w:r>
      <w:r>
        <w:rPr>
          <w:rFonts w:hAnsi="仿宋_GB2312" w:eastAsia="仿宋_GB2312"/>
          <w:sz w:val="32"/>
          <w:szCs w:val="32"/>
        </w:rPr>
        <w:t>万</w:t>
      </w:r>
      <w:r>
        <w:rPr>
          <w:rFonts w:eastAsia="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2A1FDDB">
      <w:pPr>
        <w:spacing w:line="600" w:lineRule="exact"/>
        <w:ind w:firstLine="640"/>
        <w:outlineLvl w:val="1"/>
        <w:rPr>
          <w:rStyle w:val="28"/>
          <w:rFonts w:ascii="黑体" w:hAnsi="黑体" w:eastAsia="黑体"/>
          <w:b w:val="0"/>
        </w:rPr>
      </w:pPr>
      <w:bookmarkStart w:id="54" w:name="_Toc2232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2"/>
      <w:bookmarkEnd w:id="53"/>
      <w:bookmarkEnd w:id="54"/>
    </w:p>
    <w:p w14:paraId="44505DFC">
      <w:pPr>
        <w:spacing w:line="600" w:lineRule="exact"/>
        <w:ind w:firstLine="640"/>
        <w:outlineLvl w:val="2"/>
        <w:rPr>
          <w:rFonts w:ascii="楷体_GB2312" w:hAnsi="仿宋" w:eastAsia="楷体_GB2312"/>
          <w:sz w:val="32"/>
          <w:szCs w:val="32"/>
        </w:rPr>
      </w:pPr>
      <w:bookmarkStart w:id="55" w:name="_Toc15377216"/>
      <w:bookmarkStart w:id="56" w:name="_Toc8547"/>
      <w:r>
        <w:rPr>
          <w:rFonts w:hint="eastAsia" w:ascii="楷体_GB2312" w:hAnsi="仿宋" w:eastAsia="楷体_GB2312"/>
          <w:sz w:val="32"/>
          <w:szCs w:val="32"/>
        </w:rPr>
        <w:t>（一）“三公”经费财政拨款支出决算总体情况说明</w:t>
      </w:r>
      <w:bookmarkEnd w:id="55"/>
      <w:bookmarkEnd w:id="56"/>
    </w:p>
    <w:p w14:paraId="780BC6C9">
      <w:pPr>
        <w:spacing w:line="600" w:lineRule="exact"/>
        <w:ind w:firstLine="640"/>
        <w:rPr>
          <w:rFonts w:eastAsia="仿宋"/>
          <w:sz w:val="32"/>
          <w:szCs w:val="32"/>
        </w:rPr>
      </w:pPr>
      <w:r>
        <w:rPr>
          <w:rFonts w:eastAsia="仿宋_GB2312"/>
          <w:sz w:val="32"/>
          <w:szCs w:val="32"/>
        </w:rPr>
        <w:t>2024年度“三公”经费财政拨款支出决算为2.68</w:t>
      </w:r>
      <w:r>
        <w:rPr>
          <w:rFonts w:hAnsi="仿宋_GB2312" w:eastAsia="仿宋_GB2312"/>
          <w:sz w:val="32"/>
          <w:szCs w:val="32"/>
        </w:rPr>
        <w:t>万元，完成预算</w:t>
      </w:r>
      <w:r>
        <w:rPr>
          <w:rFonts w:eastAsia="仿宋_GB2312"/>
          <w:sz w:val="32"/>
          <w:szCs w:val="32"/>
        </w:rPr>
        <w:t>100%</w:t>
      </w:r>
      <w:r>
        <w:rPr>
          <w:rFonts w:hAnsi="仿宋_GB2312" w:eastAsia="仿宋_GB2312"/>
          <w:sz w:val="32"/>
          <w:szCs w:val="32"/>
        </w:rPr>
        <w:t>，</w:t>
      </w:r>
      <w:r>
        <w:rPr>
          <w:rFonts w:hAnsi="仿宋" w:eastAsia="仿宋"/>
          <w:sz w:val="32"/>
          <w:szCs w:val="32"/>
        </w:rPr>
        <w:t>较上年度增加</w:t>
      </w:r>
      <w:r>
        <w:rPr>
          <w:rFonts w:eastAsia="仿宋"/>
          <w:sz w:val="32"/>
          <w:szCs w:val="32"/>
        </w:rPr>
        <w:t>0.24</w:t>
      </w:r>
      <w:r>
        <w:rPr>
          <w:rFonts w:hAnsi="仿宋" w:eastAsia="仿宋"/>
          <w:sz w:val="32"/>
          <w:szCs w:val="32"/>
        </w:rPr>
        <w:t>万元，</w:t>
      </w:r>
      <w:r>
        <w:rPr>
          <w:rFonts w:hint="eastAsia" w:hAnsi="仿宋" w:eastAsia="仿宋"/>
          <w:sz w:val="32"/>
          <w:szCs w:val="32"/>
        </w:rPr>
        <w:t>增长</w:t>
      </w:r>
      <w:r>
        <w:rPr>
          <w:rFonts w:eastAsia="仿宋"/>
          <w:sz w:val="32"/>
          <w:szCs w:val="32"/>
        </w:rPr>
        <w:t>9.84%</w:t>
      </w:r>
      <w:r>
        <w:rPr>
          <w:rFonts w:hAnsi="仿宋" w:eastAsia="仿宋"/>
          <w:sz w:val="32"/>
          <w:szCs w:val="32"/>
        </w:rPr>
        <w:t>。决算数</w:t>
      </w:r>
      <w:r>
        <w:rPr>
          <w:rFonts w:hint="eastAsia" w:hAnsi="仿宋" w:eastAsia="仿宋"/>
          <w:sz w:val="32"/>
          <w:szCs w:val="32"/>
        </w:rPr>
        <w:t>、</w:t>
      </w:r>
      <w:r>
        <w:rPr>
          <w:rFonts w:hAnsi="仿宋" w:eastAsia="仿宋"/>
          <w:sz w:val="32"/>
          <w:szCs w:val="32"/>
        </w:rPr>
        <w:t>预算数持平。</w:t>
      </w:r>
    </w:p>
    <w:p w14:paraId="4C70A44E">
      <w:pPr>
        <w:spacing w:line="600" w:lineRule="exact"/>
        <w:ind w:firstLine="640"/>
        <w:outlineLvl w:val="2"/>
        <w:rPr>
          <w:rFonts w:ascii="楷体_GB2312" w:hAnsi="仿宋" w:eastAsia="楷体_GB2312"/>
          <w:sz w:val="32"/>
          <w:szCs w:val="32"/>
        </w:rPr>
      </w:pPr>
      <w:bookmarkStart w:id="57" w:name="_Toc15377217"/>
      <w:bookmarkStart w:id="58" w:name="_Toc31440"/>
      <w:r>
        <w:rPr>
          <w:rFonts w:hint="eastAsia" w:ascii="楷体_GB2312" w:hAnsi="仿宋" w:eastAsia="楷体_GB2312"/>
          <w:sz w:val="32"/>
          <w:szCs w:val="32"/>
        </w:rPr>
        <w:t>（二）“三公”经费财政拨款支出决算具体情况说明</w:t>
      </w:r>
      <w:bookmarkEnd w:id="57"/>
      <w:bookmarkEnd w:id="58"/>
    </w:p>
    <w:p w14:paraId="48CDF1D4">
      <w:pPr>
        <w:spacing w:line="600" w:lineRule="exact"/>
        <w:ind w:firstLine="640"/>
        <w:rPr>
          <w:rFonts w:eastAsia="仿宋_GB2312"/>
          <w:sz w:val="32"/>
          <w:szCs w:val="32"/>
        </w:rPr>
      </w:pPr>
      <w:r>
        <w:rPr>
          <w:rFonts w:eastAsia="仿宋_GB2312"/>
          <w:sz w:val="32"/>
          <w:szCs w:val="32"/>
        </w:rPr>
        <w:t>2024</w:t>
      </w:r>
      <w:r>
        <w:rPr>
          <w:rFonts w:hAnsi="仿宋_GB2312" w:eastAsia="仿宋_GB2312"/>
          <w:sz w:val="32"/>
          <w:szCs w:val="32"/>
        </w:rPr>
        <w:t>年度</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经费财政拨款支出决算中，因公出国（境）费支出决算</w:t>
      </w:r>
      <w:r>
        <w:rPr>
          <w:rFonts w:eastAsia="仿宋_GB2312"/>
          <w:sz w:val="32"/>
          <w:szCs w:val="32"/>
        </w:rPr>
        <w:t>0</w:t>
      </w:r>
      <w:r>
        <w:rPr>
          <w:rFonts w:hAnsi="仿宋_GB2312" w:eastAsia="仿宋_GB2312"/>
          <w:sz w:val="32"/>
          <w:szCs w:val="32"/>
        </w:rPr>
        <w:t>万元，占</w:t>
      </w:r>
      <w:r>
        <w:rPr>
          <w:rFonts w:hint="eastAsia" w:eastAsia="仿宋_GB2312"/>
          <w:sz w:val="32"/>
          <w:szCs w:val="32"/>
        </w:rPr>
        <w:t>0</w:t>
      </w:r>
      <w:r>
        <w:rPr>
          <w:rFonts w:eastAsia="仿宋_GB2312"/>
          <w:sz w:val="32"/>
          <w:szCs w:val="32"/>
        </w:rPr>
        <w:t>%</w:t>
      </w:r>
      <w:r>
        <w:rPr>
          <w:rFonts w:hAnsi="仿宋_GB2312" w:eastAsia="仿宋_GB2312"/>
          <w:sz w:val="32"/>
          <w:szCs w:val="32"/>
        </w:rPr>
        <w:t>；公务用车购置及运行维护费支出决算</w:t>
      </w:r>
      <w:r>
        <w:rPr>
          <w:rFonts w:eastAsia="仿宋_GB2312"/>
          <w:sz w:val="32"/>
          <w:szCs w:val="32"/>
        </w:rPr>
        <w:t>2.48</w:t>
      </w:r>
      <w:r>
        <w:rPr>
          <w:rFonts w:hAnsi="仿宋_GB2312" w:eastAsia="仿宋_GB2312"/>
          <w:sz w:val="32"/>
          <w:szCs w:val="32"/>
        </w:rPr>
        <w:t>万元，占</w:t>
      </w:r>
      <w:r>
        <w:rPr>
          <w:rFonts w:hint="eastAsia" w:eastAsia="仿宋_GB2312"/>
          <w:sz w:val="32"/>
          <w:szCs w:val="32"/>
        </w:rPr>
        <w:t>92.54</w:t>
      </w:r>
      <w:r>
        <w:rPr>
          <w:rFonts w:eastAsia="仿宋_GB2312"/>
          <w:sz w:val="32"/>
          <w:szCs w:val="32"/>
        </w:rPr>
        <w:t>%</w:t>
      </w:r>
      <w:r>
        <w:rPr>
          <w:rFonts w:hAnsi="仿宋_GB2312" w:eastAsia="仿宋_GB2312"/>
          <w:sz w:val="32"/>
          <w:szCs w:val="32"/>
        </w:rPr>
        <w:t>；公务接待费支出决算</w:t>
      </w:r>
      <w:r>
        <w:rPr>
          <w:rFonts w:eastAsia="仿宋_GB2312"/>
          <w:sz w:val="32"/>
          <w:szCs w:val="32"/>
        </w:rPr>
        <w:t>0.2</w:t>
      </w:r>
      <w:r>
        <w:rPr>
          <w:rFonts w:hAnsi="仿宋_GB2312" w:eastAsia="仿宋_GB2312"/>
          <w:sz w:val="32"/>
          <w:szCs w:val="32"/>
        </w:rPr>
        <w:t>万元，占</w:t>
      </w:r>
      <w:r>
        <w:rPr>
          <w:rFonts w:hint="eastAsia" w:eastAsia="仿宋_GB2312"/>
          <w:sz w:val="32"/>
          <w:szCs w:val="32"/>
        </w:rPr>
        <w:t>7.45</w:t>
      </w:r>
      <w:r>
        <w:rPr>
          <w:rFonts w:eastAsia="仿宋_GB2312"/>
          <w:sz w:val="32"/>
          <w:szCs w:val="32"/>
        </w:rPr>
        <w:t>%</w:t>
      </w:r>
      <w:r>
        <w:rPr>
          <w:rFonts w:hAnsi="仿宋_GB2312" w:eastAsia="仿宋_GB2312"/>
          <w:sz w:val="32"/>
          <w:szCs w:val="32"/>
        </w:rPr>
        <w:t>。具体情况如下</w:t>
      </w:r>
    </w:p>
    <w:p w14:paraId="206CCCFC">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14:paraId="04234D6B">
      <w:pPr>
        <w:pStyle w:val="2"/>
      </w:pPr>
      <w:r>
        <w:drawing>
          <wp:inline distT="0" distB="0" distL="0" distR="0">
            <wp:extent cx="5210175" cy="171450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A730F9"/>
    <w:p w14:paraId="6746B156">
      <w:pPr>
        <w:spacing w:line="600" w:lineRule="exact"/>
        <w:ind w:firstLine="640"/>
        <w:rPr>
          <w:rFonts w:eastAsia="仿宋_GB2312"/>
          <w:sz w:val="32"/>
          <w:szCs w:val="32"/>
        </w:rPr>
      </w:pPr>
      <w:bookmarkStart w:id="59" w:name="_Toc15396610"/>
      <w:bookmarkStart w:id="60" w:name="_Toc15377218"/>
      <w:r>
        <w:rPr>
          <w:rFonts w:eastAsia="仿宋_GB2312"/>
          <w:sz w:val="32"/>
          <w:szCs w:val="32"/>
        </w:rPr>
        <w:t>1.因公出国（境）经费支出0万元，完成预算0%。全年安排因公出国（境）团组0次，出国（境）0人。因公出国（境）支出决算比2023年增加0万元，增长0%。主要原因是无此预算。</w:t>
      </w:r>
    </w:p>
    <w:p w14:paraId="3B6C2106">
      <w:pPr>
        <w:spacing w:line="600" w:lineRule="exact"/>
        <w:ind w:firstLine="640"/>
        <w:rPr>
          <w:rFonts w:eastAsia="仿宋_GB2312"/>
          <w:sz w:val="32"/>
          <w:szCs w:val="32"/>
        </w:rPr>
      </w:pPr>
      <w:r>
        <w:rPr>
          <w:rFonts w:eastAsia="仿宋_GB2312"/>
          <w:sz w:val="32"/>
          <w:szCs w:val="32"/>
        </w:rPr>
        <w:t>2.公务用车购置及运行维护费支出2.48万元,完成预算100%。公务用车购置及运行维护费支出决算比2023年度增加0.4万元，</w:t>
      </w:r>
      <w:r>
        <w:rPr>
          <w:rFonts w:hint="eastAsia" w:eastAsia="仿宋_GB2312"/>
          <w:sz w:val="32"/>
          <w:szCs w:val="32"/>
        </w:rPr>
        <w:t>增长</w:t>
      </w:r>
      <w:r>
        <w:rPr>
          <w:rFonts w:eastAsia="仿宋_GB2312"/>
          <w:sz w:val="32"/>
          <w:szCs w:val="32"/>
        </w:rPr>
        <w:t>19.23%。主要原因是车辆维护费增加</w:t>
      </w:r>
    </w:p>
    <w:p w14:paraId="6EE7B8CD">
      <w:pPr>
        <w:spacing w:line="600" w:lineRule="exact"/>
        <w:ind w:firstLine="640" w:firstLineChars="200"/>
        <w:rPr>
          <w:rFonts w:eastAsia="仿宋_GB2312"/>
          <w:b/>
          <w:sz w:val="32"/>
          <w:szCs w:val="32"/>
        </w:rPr>
      </w:pPr>
      <w:r>
        <w:rPr>
          <w:rFonts w:eastAsia="仿宋_GB2312"/>
          <w:sz w:val="32"/>
          <w:szCs w:val="32"/>
        </w:rPr>
        <w:t>其中：公务用车购置支出0万元。全年按规定更新购置公务用车0辆，其中：轿车0辆、金额0万元，越野车0辆、金额0万元，载客汽车0辆、金额0万元，主要用于无。截至2024年12月31日，单位共有公务用车2辆，其中：轿车0辆、越野车1辆、载货汽车1辆。</w:t>
      </w:r>
    </w:p>
    <w:p w14:paraId="61779BD3">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w:t>
      </w:r>
      <w:r>
        <w:rPr>
          <w:rFonts w:eastAsia="仿宋_GB2312"/>
          <w:sz w:val="32"/>
          <w:szCs w:val="32"/>
        </w:rPr>
        <w:t>出2.48</w:t>
      </w:r>
      <w:r>
        <w:rPr>
          <w:rFonts w:hint="eastAsia" w:ascii="仿宋_GB2312" w:eastAsia="仿宋_GB2312"/>
          <w:sz w:val="32"/>
          <w:szCs w:val="32"/>
        </w:rPr>
        <w:t>万元。主要用于农业执法等所需的公务用车燃料费、维修费、过路过桥费、保险费等支出。</w:t>
      </w:r>
    </w:p>
    <w:p w14:paraId="06AE06EB">
      <w:pPr>
        <w:spacing w:line="600" w:lineRule="exact"/>
        <w:ind w:firstLine="640"/>
        <w:rPr>
          <w:rFonts w:eastAsia="仿宋_GB2312"/>
          <w:sz w:val="32"/>
          <w:szCs w:val="32"/>
        </w:rPr>
      </w:pPr>
      <w:r>
        <w:rPr>
          <w:rFonts w:eastAsia="仿宋_GB2312"/>
          <w:sz w:val="32"/>
          <w:szCs w:val="32"/>
        </w:rPr>
        <w:t>3.公务接待费支出0.2万元，完成预算100%。公务接待费支出决算比2023年度减少0.15万元，下降42.86%。主要原因是严格公务接待，厉行节约。其中：</w:t>
      </w:r>
    </w:p>
    <w:p w14:paraId="0F558DBC">
      <w:pPr>
        <w:spacing w:line="600" w:lineRule="exact"/>
        <w:ind w:firstLine="640"/>
        <w:rPr>
          <w:rFonts w:eastAsia="仿宋_GB2312"/>
          <w:sz w:val="32"/>
          <w:szCs w:val="32"/>
        </w:rPr>
      </w:pPr>
      <w:r>
        <w:rPr>
          <w:rFonts w:eastAsia="仿宋_GB2312"/>
          <w:sz w:val="32"/>
          <w:szCs w:val="32"/>
        </w:rPr>
        <w:t>国内公务接待支出0.2万元，主要用于农业和交通工作时的用餐费。国内公务接待1批次，14人次（不包括陪同人员），共计支出0.2万元。具体内容包括</w:t>
      </w:r>
      <w:r>
        <w:rPr>
          <w:rFonts w:hint="eastAsia" w:eastAsia="仿宋_GB2312"/>
          <w:sz w:val="32"/>
          <w:szCs w:val="32"/>
        </w:rPr>
        <w:t>：</w:t>
      </w:r>
      <w:r>
        <w:rPr>
          <w:rFonts w:eastAsia="仿宋_GB2312"/>
          <w:bCs/>
          <w:sz w:val="32"/>
          <w:szCs w:val="32"/>
        </w:rPr>
        <w:t>开展</w:t>
      </w:r>
      <w:r>
        <w:rPr>
          <w:rFonts w:hint="eastAsia" w:eastAsia="仿宋_GB2312"/>
          <w:bCs/>
          <w:sz w:val="32"/>
          <w:szCs w:val="32"/>
        </w:rPr>
        <w:t>2024年度农村公路路况检测评定工作0.2万元</w:t>
      </w:r>
    </w:p>
    <w:p w14:paraId="35B4ED9A">
      <w:pPr>
        <w:spacing w:line="600" w:lineRule="exact"/>
        <w:ind w:firstLine="640" w:firstLineChars="200"/>
        <w:rPr>
          <w:rFonts w:eastAsia="仿宋_GB2312"/>
          <w:sz w:val="32"/>
          <w:szCs w:val="32"/>
        </w:rPr>
      </w:pPr>
      <w:r>
        <w:rPr>
          <w:rFonts w:eastAsia="仿宋_GB2312"/>
          <w:sz w:val="32"/>
          <w:szCs w:val="32"/>
        </w:rPr>
        <w:t>外事接待支出0万元，主要用于接待无。外事接待0批次，0人次（不包括陪同人员），共计支出0万元。</w:t>
      </w:r>
    </w:p>
    <w:p w14:paraId="067BDCDE">
      <w:pPr>
        <w:spacing w:line="600" w:lineRule="exact"/>
        <w:ind w:firstLine="640"/>
        <w:outlineLvl w:val="1"/>
        <w:rPr>
          <w:rStyle w:val="28"/>
          <w:rFonts w:ascii="黑体" w:hAnsi="黑体" w:eastAsia="黑体"/>
        </w:rPr>
      </w:pPr>
      <w:bookmarkStart w:id="61" w:name="_Toc23677"/>
      <w:r>
        <w:rPr>
          <w:rFonts w:hint="eastAsia" w:ascii="黑体" w:eastAsia="黑体"/>
          <w:sz w:val="32"/>
          <w:szCs w:val="32"/>
        </w:rPr>
        <w:t>八、</w:t>
      </w:r>
      <w:r>
        <w:rPr>
          <w:rStyle w:val="28"/>
          <w:rFonts w:hint="eastAsia" w:ascii="黑体" w:hAnsi="黑体" w:eastAsia="黑体"/>
          <w:b w:val="0"/>
        </w:rPr>
        <w:t>政府性基金预算支出决算情况说明</w:t>
      </w:r>
      <w:bookmarkEnd w:id="59"/>
      <w:bookmarkEnd w:id="60"/>
      <w:bookmarkEnd w:id="61"/>
    </w:p>
    <w:p w14:paraId="0E023DF5">
      <w:pPr>
        <w:spacing w:line="600" w:lineRule="exact"/>
        <w:ind w:firstLine="640"/>
        <w:rPr>
          <w:rFonts w:eastAsia="仿宋_GB2312"/>
          <w:sz w:val="32"/>
          <w:szCs w:val="32"/>
        </w:rPr>
      </w:pPr>
      <w:r>
        <w:rPr>
          <w:rFonts w:eastAsia="仿宋_GB2312"/>
          <w:sz w:val="32"/>
          <w:szCs w:val="32"/>
        </w:rPr>
        <w:t>2024年度政府性基金预算财政拨款支出233.8万元。</w:t>
      </w:r>
    </w:p>
    <w:p w14:paraId="3E5598F0">
      <w:pPr>
        <w:numPr>
          <w:ilvl w:val="0"/>
          <w:numId w:val="2"/>
        </w:numPr>
        <w:spacing w:line="600" w:lineRule="exact"/>
        <w:ind w:firstLine="640"/>
        <w:outlineLvl w:val="1"/>
        <w:rPr>
          <w:rStyle w:val="28"/>
          <w:rFonts w:ascii="Times New Roman" w:hAnsi="Times New Roman" w:eastAsia="黑体" w:cs="Times New Roman"/>
          <w:b w:val="0"/>
        </w:rPr>
      </w:pPr>
      <w:bookmarkStart w:id="62" w:name="_Toc15377219"/>
      <w:bookmarkStart w:id="63" w:name="_Toc27788"/>
      <w:bookmarkStart w:id="64" w:name="_Toc15396611"/>
      <w:r>
        <w:rPr>
          <w:rStyle w:val="28"/>
          <w:rFonts w:ascii="Times New Roman" w:hAnsi="Times New Roman" w:eastAsia="黑体" w:cs="Times New Roman"/>
          <w:b w:val="0"/>
        </w:rPr>
        <w:t>国有资本经营预算支出决算情况说明</w:t>
      </w:r>
      <w:bookmarkEnd w:id="62"/>
      <w:bookmarkEnd w:id="63"/>
      <w:bookmarkEnd w:id="64"/>
    </w:p>
    <w:p w14:paraId="58296FD7">
      <w:pPr>
        <w:spacing w:line="600" w:lineRule="exact"/>
        <w:ind w:firstLine="640"/>
        <w:rPr>
          <w:rFonts w:eastAsia="仿宋_GB2312"/>
          <w:sz w:val="32"/>
          <w:szCs w:val="32"/>
        </w:rPr>
      </w:pPr>
      <w:r>
        <w:rPr>
          <w:rFonts w:eastAsia="仿宋_GB2312"/>
          <w:sz w:val="32"/>
          <w:szCs w:val="32"/>
        </w:rPr>
        <w:t>2024年度国有资本经营预算财政拨款支出0万元。</w:t>
      </w:r>
    </w:p>
    <w:p w14:paraId="5E55F2BE">
      <w:pPr>
        <w:numPr>
          <w:ilvl w:val="0"/>
          <w:numId w:val="2"/>
        </w:numPr>
        <w:spacing w:line="600" w:lineRule="exact"/>
        <w:ind w:firstLine="640"/>
        <w:outlineLvl w:val="1"/>
        <w:rPr>
          <w:rStyle w:val="28"/>
          <w:rFonts w:ascii="Times New Roman" w:hAnsi="Times New Roman" w:eastAsia="黑体" w:cs="Times New Roman"/>
          <w:b w:val="0"/>
        </w:rPr>
      </w:pPr>
      <w:bookmarkStart w:id="65" w:name="_Toc15377221"/>
      <w:bookmarkStart w:id="66" w:name="_Toc24650"/>
      <w:bookmarkStart w:id="67" w:name="_Toc15396612"/>
      <w:r>
        <w:rPr>
          <w:rStyle w:val="28"/>
          <w:rFonts w:ascii="Times New Roman" w:hAnsi="黑体" w:eastAsia="黑体" w:cs="Times New Roman"/>
          <w:b w:val="0"/>
        </w:rPr>
        <w:t>其他重要事项的情况说明</w:t>
      </w:r>
      <w:bookmarkEnd w:id="65"/>
      <w:bookmarkEnd w:id="66"/>
      <w:bookmarkEnd w:id="67"/>
    </w:p>
    <w:p w14:paraId="5A348CF1">
      <w:pPr>
        <w:spacing w:line="600" w:lineRule="exact"/>
        <w:ind w:firstLine="640" w:firstLineChars="200"/>
        <w:outlineLvl w:val="2"/>
        <w:rPr>
          <w:rFonts w:ascii="楷体_GB2312" w:hAnsi="仿宋" w:eastAsia="楷体_GB2312"/>
          <w:sz w:val="32"/>
          <w:szCs w:val="32"/>
        </w:rPr>
      </w:pPr>
      <w:bookmarkStart w:id="68" w:name="_Toc15377222"/>
      <w:bookmarkStart w:id="69" w:name="_Toc4031"/>
      <w:r>
        <w:rPr>
          <w:rFonts w:hint="eastAsia" w:ascii="楷体_GB2312" w:hAnsi="仿宋" w:eastAsia="楷体_GB2312"/>
          <w:sz w:val="32"/>
          <w:szCs w:val="32"/>
        </w:rPr>
        <w:t>（一）机关运行经费支出情况</w:t>
      </w:r>
      <w:bookmarkEnd w:id="68"/>
      <w:bookmarkEnd w:id="69"/>
    </w:p>
    <w:p w14:paraId="52392F1F">
      <w:pPr>
        <w:spacing w:line="600" w:lineRule="exact"/>
        <w:ind w:firstLine="640" w:firstLineChars="200"/>
        <w:rPr>
          <w:rFonts w:eastAsia="仿宋_GB2312"/>
          <w:sz w:val="32"/>
          <w:szCs w:val="32"/>
        </w:rPr>
      </w:pPr>
      <w:r>
        <w:rPr>
          <w:rFonts w:eastAsia="仿宋_GB2312"/>
          <w:sz w:val="32"/>
          <w:szCs w:val="32"/>
        </w:rPr>
        <w:t>2024年度</w:t>
      </w:r>
      <w:r>
        <w:rPr>
          <w:rFonts w:hAnsi="仿宋_GB2312" w:eastAsia="仿宋_GB2312"/>
          <w:sz w:val="32"/>
          <w:szCs w:val="32"/>
        </w:rPr>
        <w:t>，攀枝花市西区农业农村和交通运输局（本级）机关运行经费支出</w:t>
      </w:r>
      <w:r>
        <w:rPr>
          <w:rFonts w:eastAsia="仿宋_GB2312"/>
          <w:sz w:val="32"/>
          <w:szCs w:val="32"/>
        </w:rPr>
        <w:t>36.01</w:t>
      </w:r>
      <w:r>
        <w:rPr>
          <w:rFonts w:hAnsi="仿宋_GB2312" w:eastAsia="仿宋_GB2312"/>
          <w:sz w:val="32"/>
          <w:szCs w:val="32"/>
        </w:rPr>
        <w:t>万</w:t>
      </w:r>
      <w:r>
        <w:rPr>
          <w:rFonts w:eastAsia="仿宋_GB2312"/>
          <w:sz w:val="32"/>
          <w:szCs w:val="32"/>
        </w:rPr>
        <w:t>元，比2023年度减少4.41万元，下降10.91%。主要原因是控制公用经费的使用。</w:t>
      </w:r>
    </w:p>
    <w:p w14:paraId="5765C04A">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70" w:name="_Toc15377223"/>
      <w:bookmarkStart w:id="71" w:name="_Toc15874"/>
      <w:r>
        <w:rPr>
          <w:rFonts w:hint="eastAsia" w:ascii="楷体_GB2312" w:hAnsi="仿宋" w:eastAsia="楷体_GB2312"/>
          <w:sz w:val="32"/>
          <w:szCs w:val="32"/>
        </w:rPr>
        <w:t>（二）政府采购支出情况</w:t>
      </w:r>
      <w:bookmarkEnd w:id="70"/>
      <w:bookmarkEnd w:id="71"/>
    </w:p>
    <w:p w14:paraId="499F325A">
      <w:pPr>
        <w:spacing w:line="600" w:lineRule="exact"/>
        <w:ind w:firstLine="640"/>
        <w:rPr>
          <w:rFonts w:eastAsia="仿宋_GB2312"/>
          <w:sz w:val="32"/>
          <w:szCs w:val="32"/>
        </w:rPr>
      </w:pPr>
      <w:bookmarkStart w:id="72" w:name="_Toc15377224"/>
      <w:r>
        <w:rPr>
          <w:rFonts w:eastAsia="仿宋_GB2312"/>
          <w:sz w:val="32"/>
          <w:szCs w:val="32"/>
        </w:rPr>
        <w:t>2024</w:t>
      </w:r>
      <w:r>
        <w:rPr>
          <w:rFonts w:hAnsi="仿宋_GB2312" w:eastAsia="仿宋_GB2312"/>
          <w:sz w:val="32"/>
          <w:szCs w:val="32"/>
        </w:rPr>
        <w:t>年度，攀枝花市西区农业农村和交通运输局（本级）政府采购支出总额</w:t>
      </w:r>
      <w:r>
        <w:rPr>
          <w:rFonts w:eastAsia="仿宋_GB2312"/>
          <w:sz w:val="32"/>
          <w:szCs w:val="32"/>
        </w:rPr>
        <w:t>1.25</w:t>
      </w:r>
      <w:r>
        <w:rPr>
          <w:rFonts w:hAnsi="仿宋_GB2312" w:eastAsia="仿宋_GB2312"/>
          <w:sz w:val="32"/>
          <w:szCs w:val="32"/>
        </w:rPr>
        <w:t>万元，其中：政府采购货物支出</w:t>
      </w:r>
      <w:r>
        <w:rPr>
          <w:rFonts w:eastAsia="仿宋_GB2312"/>
          <w:sz w:val="32"/>
          <w:szCs w:val="32"/>
        </w:rPr>
        <w:t>1.25</w:t>
      </w:r>
      <w:r>
        <w:rPr>
          <w:rFonts w:hAnsi="仿宋_GB2312" w:eastAsia="仿宋_GB2312"/>
          <w:sz w:val="32"/>
          <w:szCs w:val="32"/>
        </w:rPr>
        <w:t>万元、政府采购工程支出</w:t>
      </w:r>
      <w:r>
        <w:rPr>
          <w:rFonts w:eastAsia="仿宋_GB2312"/>
          <w:sz w:val="32"/>
          <w:szCs w:val="32"/>
        </w:rPr>
        <w:t>0</w:t>
      </w:r>
      <w:r>
        <w:rPr>
          <w:rFonts w:hAnsi="仿宋_GB2312" w:eastAsia="仿宋_GB2312"/>
          <w:sz w:val="32"/>
          <w:szCs w:val="32"/>
        </w:rPr>
        <w:t>万元、政府采购服务支出</w:t>
      </w:r>
      <w:r>
        <w:rPr>
          <w:rFonts w:eastAsia="仿宋_GB2312"/>
          <w:sz w:val="32"/>
          <w:szCs w:val="32"/>
        </w:rPr>
        <w:t>0</w:t>
      </w:r>
      <w:r>
        <w:rPr>
          <w:rFonts w:hAnsi="仿宋_GB2312" w:eastAsia="仿宋_GB2312"/>
          <w:sz w:val="32"/>
          <w:szCs w:val="32"/>
        </w:rPr>
        <w:t>万元。主要用于</w:t>
      </w:r>
      <w:r>
        <w:rPr>
          <w:rFonts w:hint="eastAsia" w:eastAsia="仿宋_GB2312"/>
          <w:sz w:val="32"/>
          <w:szCs w:val="32"/>
        </w:rPr>
        <w:t>采购空调</w:t>
      </w:r>
      <w:r>
        <w:rPr>
          <w:rFonts w:hAnsi="仿宋_GB2312" w:eastAsia="仿宋_GB2312"/>
          <w:sz w:val="32"/>
          <w:szCs w:val="32"/>
        </w:rPr>
        <w:t>。授予中小企业合同金额</w:t>
      </w:r>
      <w:r>
        <w:rPr>
          <w:rFonts w:eastAsia="仿宋_GB2312"/>
          <w:sz w:val="32"/>
          <w:szCs w:val="32"/>
        </w:rPr>
        <w:t>1.25</w:t>
      </w:r>
      <w:r>
        <w:rPr>
          <w:rFonts w:hAnsi="仿宋_GB2312" w:eastAsia="仿宋_GB2312"/>
          <w:sz w:val="32"/>
          <w:szCs w:val="32"/>
        </w:rPr>
        <w:t>万元，占政府采购支出总额的</w:t>
      </w:r>
      <w:r>
        <w:rPr>
          <w:rFonts w:eastAsia="仿宋_GB2312"/>
          <w:sz w:val="32"/>
          <w:szCs w:val="32"/>
        </w:rPr>
        <w:t>100%</w:t>
      </w:r>
      <w:r>
        <w:rPr>
          <w:rFonts w:hAnsi="仿宋_GB2312" w:eastAsia="仿宋_GB2312"/>
          <w:sz w:val="32"/>
          <w:szCs w:val="32"/>
        </w:rPr>
        <w:t>，其中：授予小微企业合同金额</w:t>
      </w:r>
      <w:r>
        <w:rPr>
          <w:rFonts w:eastAsia="仿宋_GB2312"/>
          <w:sz w:val="32"/>
          <w:szCs w:val="32"/>
        </w:rPr>
        <w:t>1.25</w:t>
      </w:r>
      <w:r>
        <w:rPr>
          <w:rFonts w:hAnsi="仿宋_GB2312" w:eastAsia="仿宋_GB2312"/>
          <w:sz w:val="32"/>
          <w:szCs w:val="32"/>
        </w:rPr>
        <w:t>万元，占政府采购支出总额的</w:t>
      </w:r>
      <w:r>
        <w:rPr>
          <w:rFonts w:eastAsia="仿宋_GB2312"/>
          <w:sz w:val="32"/>
          <w:szCs w:val="32"/>
        </w:rPr>
        <w:t>100%</w:t>
      </w:r>
      <w:r>
        <w:rPr>
          <w:rFonts w:hAnsi="仿宋_GB2312" w:eastAsia="仿宋_GB2312"/>
          <w:sz w:val="32"/>
          <w:szCs w:val="32"/>
        </w:rPr>
        <w:t>。</w:t>
      </w:r>
    </w:p>
    <w:p w14:paraId="3E82FA92">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73" w:name="_Toc10052"/>
      <w:r>
        <w:rPr>
          <w:rFonts w:hint="eastAsia" w:ascii="楷体_GB2312" w:hAnsi="仿宋" w:eastAsia="楷体_GB2312"/>
          <w:sz w:val="32"/>
          <w:szCs w:val="32"/>
        </w:rPr>
        <w:t>（三）国有资产占有使用情况</w:t>
      </w:r>
      <w:bookmarkEnd w:id="72"/>
      <w:bookmarkEnd w:id="73"/>
    </w:p>
    <w:p w14:paraId="0C4D8C96">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2024年12月31日，攀枝花市西区农业农村和交通运输局（本级）共有车辆2辆，其中：主要领导干部用车0辆、机要通信用车0辆、应急保障用车0辆、其他用车2辆，其他用车主要是用于农业执法工作。单价100万元以上设备（不含车辆）0台（套）。</w:t>
      </w:r>
    </w:p>
    <w:p w14:paraId="3586BE72">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74" w:name="_Toc20878"/>
      <w:r>
        <w:rPr>
          <w:rFonts w:hint="eastAsia" w:ascii="楷体_GB2312" w:hAnsi="仿宋" w:eastAsia="楷体_GB2312"/>
          <w:sz w:val="32"/>
          <w:szCs w:val="32"/>
        </w:rPr>
        <w:t>（四）预算绩效管理情况</w:t>
      </w:r>
      <w:bookmarkEnd w:id="74"/>
    </w:p>
    <w:p w14:paraId="1102E43C">
      <w:pPr>
        <w:spacing w:line="600" w:lineRule="exact"/>
        <w:ind w:firstLine="640" w:firstLineChars="200"/>
        <w:rPr>
          <w:rFonts w:eastAsia="仿宋_GB2312"/>
          <w:color w:val="000000" w:themeColor="text1"/>
          <w:sz w:val="32"/>
          <w:szCs w:val="32"/>
        </w:rPr>
      </w:pPr>
      <w:r>
        <w:rPr>
          <w:rFonts w:eastAsia="仿宋_GB2312"/>
          <w:color w:val="000000" w:themeColor="text1"/>
          <w:sz w:val="32"/>
          <w:szCs w:val="32"/>
        </w:rPr>
        <w:t>根据预算绩效管理要求，本单位在202</w:t>
      </w:r>
      <w:r>
        <w:rPr>
          <w:rFonts w:eastAsia="仿宋_GB2312"/>
          <w:color w:val="000000" w:themeColor="text1"/>
          <w:spacing w:val="-20"/>
          <w:sz w:val="32"/>
          <w:szCs w:val="32"/>
        </w:rPr>
        <w:t>4年</w:t>
      </w:r>
      <w:r>
        <w:rPr>
          <w:rFonts w:eastAsia="仿宋_GB2312"/>
          <w:color w:val="000000" w:themeColor="text1"/>
          <w:sz w:val="32"/>
          <w:szCs w:val="32"/>
        </w:rPr>
        <w:t>度预算编制阶段，组织对</w:t>
      </w:r>
      <w:r>
        <w:rPr>
          <w:rFonts w:hint="eastAsia" w:eastAsia="仿宋_GB2312"/>
          <w:color w:val="000000" w:themeColor="text1"/>
          <w:sz w:val="32"/>
          <w:szCs w:val="32"/>
        </w:rPr>
        <w:t>省级</w:t>
      </w:r>
      <w:r>
        <w:rPr>
          <w:rFonts w:eastAsia="仿宋_GB2312"/>
          <w:color w:val="000000" w:themeColor="text1"/>
          <w:sz w:val="32"/>
          <w:szCs w:val="32"/>
        </w:rPr>
        <w:t>交通专项资金等</w:t>
      </w:r>
      <w:r>
        <w:rPr>
          <w:rFonts w:hint="eastAsia" w:eastAsia="仿宋_GB2312"/>
          <w:color w:val="000000" w:themeColor="text1"/>
          <w:sz w:val="32"/>
          <w:szCs w:val="32"/>
        </w:rPr>
        <w:t>15</w:t>
      </w:r>
      <w:r>
        <w:rPr>
          <w:rFonts w:eastAsia="仿宋_GB2312"/>
          <w:color w:val="000000" w:themeColor="text1"/>
          <w:sz w:val="32"/>
          <w:szCs w:val="32"/>
        </w:rPr>
        <w:t>个项目开展了预算事前绩效评估，对</w:t>
      </w:r>
      <w:r>
        <w:rPr>
          <w:rFonts w:hint="eastAsia" w:eastAsia="仿宋_GB2312"/>
          <w:color w:val="000000" w:themeColor="text1"/>
          <w:sz w:val="32"/>
          <w:szCs w:val="32"/>
        </w:rPr>
        <w:t>15</w:t>
      </w:r>
      <w:r>
        <w:rPr>
          <w:rFonts w:eastAsia="仿宋_GB2312"/>
          <w:color w:val="000000" w:themeColor="text1"/>
          <w:sz w:val="32"/>
          <w:szCs w:val="32"/>
        </w:rPr>
        <w:t>个项目编制了绩效目标，预算执行过程中，选取</w:t>
      </w:r>
      <w:r>
        <w:rPr>
          <w:rFonts w:hint="eastAsia" w:eastAsia="仿宋_GB2312"/>
          <w:color w:val="000000" w:themeColor="text1"/>
          <w:sz w:val="32"/>
          <w:szCs w:val="32"/>
        </w:rPr>
        <w:t>15</w:t>
      </w:r>
      <w:r>
        <w:rPr>
          <w:rFonts w:eastAsia="仿宋_GB2312"/>
          <w:color w:val="000000" w:themeColor="text1"/>
          <w:sz w:val="32"/>
          <w:szCs w:val="32"/>
        </w:rPr>
        <w:t>个项目开展绩效监控，组织对</w:t>
      </w:r>
      <w:r>
        <w:rPr>
          <w:rFonts w:hint="eastAsia" w:eastAsia="仿宋_GB2312"/>
          <w:color w:val="000000" w:themeColor="text1"/>
          <w:sz w:val="32"/>
          <w:szCs w:val="32"/>
        </w:rPr>
        <w:t>15</w:t>
      </w:r>
      <w:r>
        <w:rPr>
          <w:rFonts w:eastAsia="仿宋_GB2312"/>
          <w:color w:val="000000" w:themeColor="text1"/>
          <w:sz w:val="32"/>
          <w:szCs w:val="32"/>
        </w:rPr>
        <w:t>个项目开展绩效自评，绩效自评表详见第四部分附件。</w:t>
      </w:r>
    </w:p>
    <w:p w14:paraId="1D6DBE9D">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33E113F0">
      <w:pPr>
        <w:numPr>
          <w:ilvl w:val="0"/>
          <w:numId w:val="3"/>
        </w:numPr>
        <w:spacing w:line="600" w:lineRule="exact"/>
        <w:ind w:firstLine="660" w:firstLineChars="150"/>
        <w:jc w:val="center"/>
        <w:outlineLvl w:val="0"/>
        <w:rPr>
          <w:rStyle w:val="27"/>
          <w:rFonts w:ascii="黑体" w:hAnsi="黑体" w:eastAsia="黑体"/>
          <w:b w:val="0"/>
        </w:rPr>
      </w:pPr>
      <w:bookmarkStart w:id="75" w:name="_Toc6640"/>
      <w:bookmarkStart w:id="76" w:name="_Toc15377225"/>
      <w:bookmarkStart w:id="77" w:name="_Toc15396613"/>
      <w:r>
        <w:rPr>
          <w:rFonts w:hint="eastAsia" w:ascii="黑体" w:hAnsi="黑体" w:eastAsia="黑体"/>
          <w:sz w:val="44"/>
          <w:szCs w:val="44"/>
        </w:rPr>
        <w:t>名</w:t>
      </w:r>
      <w:r>
        <w:rPr>
          <w:rStyle w:val="27"/>
          <w:rFonts w:hint="eastAsia" w:ascii="黑体" w:hAnsi="黑体" w:eastAsia="黑体"/>
          <w:b w:val="0"/>
        </w:rPr>
        <w:t>词解释</w:t>
      </w:r>
      <w:bookmarkEnd w:id="75"/>
      <w:bookmarkEnd w:id="76"/>
      <w:bookmarkEnd w:id="77"/>
    </w:p>
    <w:p w14:paraId="5294F912">
      <w:pPr>
        <w:spacing w:line="600" w:lineRule="exact"/>
        <w:jc w:val="left"/>
        <w:rPr>
          <w:rFonts w:ascii="宋体"/>
          <w:b/>
          <w:sz w:val="44"/>
          <w:szCs w:val="44"/>
        </w:rPr>
      </w:pPr>
    </w:p>
    <w:p w14:paraId="41C0ABEA">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14:paraId="59A9771E">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14:paraId="6F1F9707">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14:paraId="5DEA7A64">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14:paraId="66ED4FFE">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5.使用非财政拨款结余（含专用结余）：指事业单位使用以前年度积累的非财政拨款结余弥补当年收支差额的金额。</w:t>
      </w:r>
    </w:p>
    <w:p w14:paraId="0011B4D6">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6.年初结转和结余：指以前年度尚未完成、结转到本年按有关规定继续使用的资金。</w:t>
      </w:r>
    </w:p>
    <w:p w14:paraId="232B8B83">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0ADAF628">
      <w:pPr>
        <w:pStyle w:val="25"/>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14:paraId="4F674417">
      <w:pPr>
        <w:spacing w:line="353" w:lineRule="auto"/>
        <w:ind w:firstLine="640" w:firstLineChars="200"/>
        <w:rPr>
          <w:rFonts w:eastAsia="仿宋_GB2312"/>
          <w:kern w:val="0"/>
          <w:sz w:val="32"/>
          <w:szCs w:val="32"/>
        </w:rPr>
      </w:pPr>
      <w:r>
        <w:rPr>
          <w:rFonts w:eastAsia="仿宋_GB2312"/>
          <w:kern w:val="0"/>
          <w:sz w:val="32"/>
          <w:szCs w:val="32"/>
        </w:rPr>
        <w:t>9. 社会保障和就业（类）行政事业单位养老支出（款）行政单位离退休（项）：指退休人员生活补助支出。</w:t>
      </w:r>
    </w:p>
    <w:p w14:paraId="42C0A56F">
      <w:pPr>
        <w:spacing w:line="353" w:lineRule="auto"/>
        <w:ind w:firstLine="640" w:firstLineChars="200"/>
        <w:rPr>
          <w:rFonts w:eastAsia="仿宋_GB2312"/>
          <w:kern w:val="0"/>
          <w:sz w:val="32"/>
          <w:szCs w:val="32"/>
        </w:rPr>
      </w:pPr>
      <w:r>
        <w:rPr>
          <w:rFonts w:hint="eastAsia" w:eastAsia="仿宋_GB2312"/>
          <w:kern w:val="0"/>
          <w:sz w:val="32"/>
          <w:szCs w:val="32"/>
        </w:rPr>
        <w:t>10.</w:t>
      </w:r>
      <w:r>
        <w:rPr>
          <w:rFonts w:eastAsia="仿宋_GB2312"/>
          <w:kern w:val="0"/>
          <w:sz w:val="32"/>
          <w:szCs w:val="32"/>
        </w:rPr>
        <w:t>社会保障和就业（类）行政事业单位养老支出（款）机关事业单位基本养老保险缴费支出（项）：指在职人员养老保险单位缴费部分支出。</w:t>
      </w:r>
    </w:p>
    <w:p w14:paraId="1EC2F1DB">
      <w:pPr>
        <w:spacing w:line="353" w:lineRule="auto"/>
        <w:ind w:firstLine="640" w:firstLineChars="200"/>
        <w:rPr>
          <w:rStyle w:val="17"/>
          <w:rFonts w:eastAsia="仿宋_GB2312"/>
          <w:b w:val="0"/>
          <w:bCs/>
          <w:sz w:val="32"/>
          <w:szCs w:val="32"/>
        </w:rPr>
      </w:pPr>
      <w:r>
        <w:rPr>
          <w:rStyle w:val="17"/>
          <w:rFonts w:hint="eastAsia" w:eastAsia="仿宋_GB2312"/>
          <w:b w:val="0"/>
          <w:bCs/>
          <w:sz w:val="32"/>
          <w:szCs w:val="32"/>
        </w:rPr>
        <w:t>11.</w:t>
      </w:r>
      <w:r>
        <w:rPr>
          <w:rStyle w:val="17"/>
          <w:rFonts w:eastAsia="仿宋_GB2312"/>
          <w:b w:val="0"/>
          <w:bCs/>
          <w:sz w:val="32"/>
          <w:szCs w:val="32"/>
        </w:rPr>
        <w:t>社会保障和就业（类）行政事业单位养老支出（款）机关事业单位职业年金缴费支出（项）</w:t>
      </w:r>
      <w:r>
        <w:rPr>
          <w:rStyle w:val="17"/>
          <w:rFonts w:hint="eastAsia" w:eastAsia="仿宋_GB2312"/>
          <w:b w:val="0"/>
          <w:bCs/>
          <w:sz w:val="32"/>
          <w:szCs w:val="32"/>
        </w:rPr>
        <w:t>：</w:t>
      </w:r>
      <w:r>
        <w:rPr>
          <w:rStyle w:val="17"/>
          <w:rFonts w:eastAsia="仿宋_GB2312"/>
          <w:b w:val="0"/>
          <w:bCs/>
          <w:sz w:val="32"/>
          <w:szCs w:val="32"/>
        </w:rPr>
        <w:t>指在职人员缴纳职业年金部分</w:t>
      </w:r>
      <w:r>
        <w:rPr>
          <w:rStyle w:val="17"/>
          <w:rFonts w:hint="eastAsia" w:eastAsia="仿宋_GB2312"/>
          <w:b w:val="0"/>
          <w:bCs/>
          <w:sz w:val="32"/>
          <w:szCs w:val="32"/>
        </w:rPr>
        <w:t>。</w:t>
      </w:r>
    </w:p>
    <w:p w14:paraId="3E191EFA">
      <w:pPr>
        <w:spacing w:line="353" w:lineRule="auto"/>
        <w:ind w:firstLine="640" w:firstLineChars="200"/>
        <w:rPr>
          <w:rStyle w:val="17"/>
          <w:rFonts w:eastAsia="仿宋_GB2312"/>
          <w:b w:val="0"/>
          <w:bCs/>
          <w:sz w:val="32"/>
          <w:szCs w:val="32"/>
        </w:rPr>
      </w:pPr>
      <w:r>
        <w:rPr>
          <w:rStyle w:val="17"/>
          <w:rFonts w:eastAsia="仿宋_GB2312"/>
          <w:b w:val="0"/>
          <w:bCs/>
          <w:sz w:val="32"/>
          <w:szCs w:val="32"/>
        </w:rPr>
        <w:t>1</w:t>
      </w:r>
      <w:r>
        <w:rPr>
          <w:rStyle w:val="17"/>
          <w:rFonts w:hint="eastAsia" w:eastAsia="仿宋_GB2312"/>
          <w:b w:val="0"/>
          <w:bCs/>
          <w:sz w:val="32"/>
          <w:szCs w:val="32"/>
        </w:rPr>
        <w:t>2</w:t>
      </w:r>
      <w:r>
        <w:rPr>
          <w:rStyle w:val="17"/>
          <w:rFonts w:eastAsia="仿宋_GB2312"/>
          <w:b w:val="0"/>
          <w:bCs/>
          <w:sz w:val="32"/>
          <w:szCs w:val="32"/>
        </w:rPr>
        <w:t>.卫生健康（类）行政事业单位医疗（款）行政单位医疗（项）：指在职公务员及参公人员医疗保险单位缴费部分支出。</w:t>
      </w:r>
    </w:p>
    <w:p w14:paraId="00E73B9F">
      <w:pPr>
        <w:spacing w:line="353" w:lineRule="auto"/>
        <w:ind w:firstLine="640" w:firstLineChars="200"/>
        <w:rPr>
          <w:rFonts w:eastAsia="仿宋_GB2312"/>
          <w:kern w:val="0"/>
          <w:sz w:val="32"/>
          <w:szCs w:val="32"/>
        </w:rPr>
      </w:pPr>
      <w:r>
        <w:rPr>
          <w:rStyle w:val="17"/>
          <w:rFonts w:hint="eastAsia" w:eastAsia="仿宋_GB2312"/>
          <w:b w:val="0"/>
          <w:bCs/>
          <w:sz w:val="32"/>
          <w:szCs w:val="32"/>
        </w:rPr>
        <w:t>13.</w:t>
      </w:r>
      <w:r>
        <w:rPr>
          <w:rStyle w:val="17"/>
          <w:rFonts w:eastAsia="仿宋_GB2312"/>
          <w:b w:val="0"/>
          <w:bCs/>
          <w:sz w:val="32"/>
          <w:szCs w:val="32"/>
        </w:rPr>
        <w:t>卫生健康（类）行政事业单位医疗（款）事业单位医疗（项</w:t>
      </w:r>
      <w:r>
        <w:t>）</w:t>
      </w:r>
      <w:r>
        <w:rPr>
          <w:rFonts w:eastAsia="仿宋_GB2312"/>
          <w:b/>
          <w:sz w:val="32"/>
          <w:szCs w:val="32"/>
        </w:rPr>
        <w:t>：</w:t>
      </w:r>
      <w:r>
        <w:rPr>
          <w:rFonts w:eastAsia="仿宋_GB2312"/>
          <w:sz w:val="32"/>
          <w:szCs w:val="32"/>
        </w:rPr>
        <w:t>指在职事业人员医疗保险单位缴费部分支出。</w:t>
      </w:r>
    </w:p>
    <w:p w14:paraId="36C75690">
      <w:pPr>
        <w:spacing w:line="353" w:lineRule="auto"/>
        <w:ind w:firstLine="640" w:firstLineChars="200"/>
        <w:rPr>
          <w:rFonts w:eastAsia="仿宋_GB2312"/>
          <w:sz w:val="32"/>
          <w:szCs w:val="32"/>
        </w:rPr>
      </w:pPr>
      <w:r>
        <w:rPr>
          <w:rFonts w:hint="eastAsia" w:eastAsia="仿宋_GB2312"/>
          <w:sz w:val="32"/>
          <w:szCs w:val="32"/>
        </w:rPr>
        <w:t>14.</w:t>
      </w:r>
      <w:r>
        <w:rPr>
          <w:rFonts w:eastAsia="仿宋_GB2312"/>
          <w:sz w:val="32"/>
          <w:szCs w:val="32"/>
        </w:rPr>
        <w:t>卫生健康（类）</w:t>
      </w:r>
      <w:r>
        <w:rPr>
          <w:rStyle w:val="17"/>
          <w:rFonts w:eastAsia="仿宋_GB2312"/>
          <w:b w:val="0"/>
          <w:bCs/>
          <w:sz w:val="32"/>
          <w:szCs w:val="32"/>
        </w:rPr>
        <w:t>行政事业单位医疗（款）公务员医疗补助（项）</w:t>
      </w:r>
      <w:r>
        <w:rPr>
          <w:rFonts w:eastAsia="仿宋_GB2312"/>
          <w:sz w:val="32"/>
          <w:szCs w:val="32"/>
        </w:rPr>
        <w:t>：指在职公务员及参公人员公务员医疗保险补助支出。</w:t>
      </w:r>
    </w:p>
    <w:p w14:paraId="398FBA02">
      <w:pPr>
        <w:spacing w:line="353" w:lineRule="auto"/>
        <w:ind w:firstLine="640" w:firstLineChars="200"/>
        <w:rPr>
          <w:rFonts w:eastAsia="仿宋_GB2312"/>
          <w:sz w:val="32"/>
          <w:szCs w:val="32"/>
        </w:rPr>
      </w:pPr>
      <w:r>
        <w:rPr>
          <w:rFonts w:hint="eastAsia" w:eastAsia="仿宋_GB2312"/>
          <w:bCs/>
          <w:sz w:val="32"/>
          <w:szCs w:val="32"/>
        </w:rPr>
        <w:t>15.</w:t>
      </w:r>
      <w:r>
        <w:rPr>
          <w:rFonts w:eastAsia="仿宋_GB2312"/>
          <w:bCs/>
          <w:sz w:val="32"/>
          <w:szCs w:val="32"/>
        </w:rPr>
        <w:t>卫生健康</w:t>
      </w:r>
      <w:r>
        <w:rPr>
          <w:rStyle w:val="17"/>
          <w:rFonts w:eastAsia="仿宋_GB2312"/>
          <w:b w:val="0"/>
          <w:bCs/>
          <w:sz w:val="32"/>
          <w:szCs w:val="32"/>
        </w:rPr>
        <w:t>（类）行政事业单位医疗（款）其他行政事业单位医疗支出（项）:指在职事业人员医疗保险补助支出。</w:t>
      </w:r>
    </w:p>
    <w:p w14:paraId="25328BB4">
      <w:pPr>
        <w:spacing w:line="353"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w:t>
      </w:r>
      <w:r>
        <w:rPr>
          <w:rStyle w:val="17"/>
          <w:rFonts w:eastAsia="仿宋_GB2312"/>
          <w:b w:val="0"/>
          <w:bCs/>
          <w:sz w:val="32"/>
          <w:szCs w:val="32"/>
        </w:rPr>
        <w:t xml:space="preserve"> 城乡社区（类）城乡社区环境卫生支出（款）城乡社区环境卫生（项）</w:t>
      </w:r>
      <w:r>
        <w:rPr>
          <w:rFonts w:eastAsia="仿宋_GB2312"/>
          <w:sz w:val="32"/>
          <w:szCs w:val="32"/>
        </w:rPr>
        <w:t>：指</w:t>
      </w:r>
      <w:r>
        <w:rPr>
          <w:rFonts w:hint="eastAsia" w:eastAsia="仿宋_GB2312"/>
          <w:sz w:val="32"/>
          <w:szCs w:val="32"/>
        </w:rPr>
        <w:t>用于</w:t>
      </w:r>
      <w:r>
        <w:rPr>
          <w:rFonts w:eastAsia="仿宋_GB2312"/>
          <w:sz w:val="32"/>
          <w:szCs w:val="32"/>
        </w:rPr>
        <w:t>城乡社区规划</w:t>
      </w:r>
      <w:r>
        <w:rPr>
          <w:rFonts w:hint="eastAsia" w:eastAsia="仿宋_GB2312"/>
          <w:sz w:val="32"/>
          <w:szCs w:val="32"/>
        </w:rPr>
        <w:t>、</w:t>
      </w:r>
      <w:r>
        <w:rPr>
          <w:rFonts w:eastAsia="仿宋_GB2312"/>
          <w:sz w:val="32"/>
          <w:szCs w:val="32"/>
        </w:rPr>
        <w:t>公共设施建设和环境卫生等的支出。</w:t>
      </w:r>
    </w:p>
    <w:p w14:paraId="58530A53">
      <w:pPr>
        <w:spacing w:line="353" w:lineRule="auto"/>
        <w:ind w:firstLine="640" w:firstLineChars="200"/>
        <w:rPr>
          <w:rStyle w:val="17"/>
          <w:rFonts w:eastAsia="仿宋_GB2312"/>
          <w:b w:val="0"/>
          <w:bCs/>
          <w:sz w:val="32"/>
          <w:szCs w:val="32"/>
        </w:rPr>
      </w:pPr>
      <w:r>
        <w:rPr>
          <w:rFonts w:eastAsia="仿宋_GB2312"/>
          <w:bCs/>
          <w:sz w:val="32"/>
          <w:szCs w:val="32"/>
        </w:rPr>
        <w:t>1</w:t>
      </w:r>
      <w:r>
        <w:rPr>
          <w:rFonts w:hint="eastAsia" w:eastAsia="仿宋_GB2312"/>
          <w:bCs/>
          <w:sz w:val="32"/>
          <w:szCs w:val="32"/>
        </w:rPr>
        <w:t>7</w:t>
      </w:r>
      <w:r>
        <w:rPr>
          <w:rFonts w:eastAsia="仿宋_GB2312"/>
          <w:bCs/>
          <w:sz w:val="32"/>
          <w:szCs w:val="32"/>
        </w:rPr>
        <w:t>.农林水支出</w:t>
      </w:r>
      <w:r>
        <w:rPr>
          <w:rStyle w:val="17"/>
          <w:rFonts w:eastAsia="仿宋_GB2312"/>
          <w:b w:val="0"/>
          <w:bCs/>
          <w:sz w:val="32"/>
          <w:szCs w:val="32"/>
        </w:rPr>
        <w:t>（类）农业农村（款）行政运行（项）:指行政人员和公用经费支出。</w:t>
      </w:r>
    </w:p>
    <w:p w14:paraId="4AC0157B">
      <w:pPr>
        <w:spacing w:line="353" w:lineRule="auto"/>
        <w:ind w:firstLine="640" w:firstLineChars="200"/>
        <w:rPr>
          <w:rStyle w:val="17"/>
          <w:rFonts w:eastAsia="仿宋_GB2312"/>
          <w:b w:val="0"/>
          <w:bCs/>
          <w:sz w:val="32"/>
          <w:szCs w:val="32"/>
        </w:rPr>
      </w:pPr>
      <w:r>
        <w:rPr>
          <w:rFonts w:hint="eastAsia" w:eastAsia="仿宋_GB2312"/>
          <w:bCs/>
          <w:sz w:val="32"/>
          <w:szCs w:val="32"/>
        </w:rPr>
        <w:t>18.</w:t>
      </w:r>
      <w:r>
        <w:rPr>
          <w:rFonts w:eastAsia="仿宋_GB2312"/>
          <w:bCs/>
          <w:sz w:val="32"/>
          <w:szCs w:val="32"/>
        </w:rPr>
        <w:t>农林水支出</w:t>
      </w:r>
      <w:r>
        <w:rPr>
          <w:rStyle w:val="17"/>
          <w:rFonts w:eastAsia="仿宋_GB2312"/>
          <w:b w:val="0"/>
          <w:bCs/>
          <w:sz w:val="32"/>
          <w:szCs w:val="32"/>
        </w:rPr>
        <w:t>（类）农业农村（款）事业运行（项）:指事业人员和公用经费支出。</w:t>
      </w:r>
    </w:p>
    <w:p w14:paraId="6F53F47A">
      <w:pPr>
        <w:spacing w:line="353" w:lineRule="auto"/>
        <w:ind w:firstLine="640" w:firstLineChars="200"/>
        <w:rPr>
          <w:rStyle w:val="17"/>
          <w:rFonts w:eastAsia="仿宋_GB2312"/>
          <w:b w:val="0"/>
          <w:sz w:val="32"/>
          <w:szCs w:val="32"/>
        </w:rPr>
      </w:pPr>
      <w:r>
        <w:rPr>
          <w:rFonts w:hint="eastAsia" w:eastAsia="仿宋_GB2312"/>
          <w:bCs/>
          <w:sz w:val="32"/>
          <w:szCs w:val="32"/>
        </w:rPr>
        <w:t>19.</w:t>
      </w:r>
      <w:r>
        <w:rPr>
          <w:rFonts w:eastAsia="仿宋_GB2312"/>
          <w:bCs/>
          <w:sz w:val="32"/>
          <w:szCs w:val="32"/>
        </w:rPr>
        <w:t>农林水支出</w:t>
      </w:r>
      <w:r>
        <w:rPr>
          <w:rStyle w:val="17"/>
          <w:rFonts w:eastAsia="仿宋_GB2312"/>
          <w:b w:val="0"/>
          <w:bCs/>
          <w:sz w:val="32"/>
          <w:szCs w:val="32"/>
        </w:rPr>
        <w:t>（类）农业农村（款）病虫害控制（项）：指动物卫生监督项目支出。</w:t>
      </w:r>
    </w:p>
    <w:p w14:paraId="60FA2C35">
      <w:pPr>
        <w:spacing w:line="353" w:lineRule="auto"/>
        <w:ind w:firstLine="640" w:firstLineChars="200"/>
        <w:rPr>
          <w:rFonts w:eastAsia="仿宋_GB2312"/>
        </w:rPr>
      </w:pPr>
      <w:r>
        <w:rPr>
          <w:rFonts w:hint="eastAsia" w:eastAsia="仿宋_GB2312"/>
          <w:bCs/>
          <w:sz w:val="32"/>
          <w:szCs w:val="32"/>
        </w:rPr>
        <w:t>20.</w:t>
      </w:r>
      <w:r>
        <w:rPr>
          <w:rFonts w:eastAsia="仿宋_GB2312"/>
          <w:bCs/>
          <w:sz w:val="32"/>
          <w:szCs w:val="32"/>
        </w:rPr>
        <w:t>农林水支出</w:t>
      </w:r>
      <w:r>
        <w:rPr>
          <w:rStyle w:val="17"/>
          <w:rFonts w:eastAsia="仿宋_GB2312"/>
          <w:b w:val="0"/>
          <w:bCs/>
          <w:sz w:val="32"/>
          <w:szCs w:val="32"/>
        </w:rPr>
        <w:t>（类）农业农村（款）农产品质量安全（项）:指农产品质量安全项目支出。</w:t>
      </w:r>
    </w:p>
    <w:p w14:paraId="4CC5A325">
      <w:pPr>
        <w:spacing w:line="353" w:lineRule="auto"/>
        <w:ind w:left="638" w:leftChars="304" w:firstLine="1"/>
        <w:rPr>
          <w:rStyle w:val="17"/>
          <w:rFonts w:eastAsia="仿宋_GB2312"/>
          <w:b w:val="0"/>
          <w:bCs/>
          <w:sz w:val="32"/>
          <w:szCs w:val="32"/>
        </w:rPr>
      </w:pPr>
      <w:r>
        <w:rPr>
          <w:rFonts w:hint="eastAsia" w:eastAsia="仿宋_GB2312"/>
          <w:bCs/>
          <w:sz w:val="32"/>
          <w:szCs w:val="32"/>
        </w:rPr>
        <w:t>21.</w:t>
      </w:r>
      <w:r>
        <w:rPr>
          <w:rFonts w:eastAsia="仿宋_GB2312"/>
          <w:bCs/>
          <w:sz w:val="32"/>
          <w:szCs w:val="32"/>
        </w:rPr>
        <w:t>农林水支出</w:t>
      </w:r>
      <w:r>
        <w:rPr>
          <w:rStyle w:val="17"/>
          <w:rFonts w:eastAsia="仿宋_GB2312"/>
          <w:b w:val="0"/>
          <w:bCs/>
          <w:sz w:val="32"/>
          <w:szCs w:val="32"/>
        </w:rPr>
        <w:t>（类）农业农村（款）稳定农民收入补贴</w:t>
      </w:r>
    </w:p>
    <w:p w14:paraId="7DB6B6B7">
      <w:pPr>
        <w:spacing w:line="353" w:lineRule="auto"/>
        <w:rPr>
          <w:rFonts w:eastAsia="仿宋_GB2312"/>
          <w:bCs/>
          <w:sz w:val="32"/>
          <w:szCs w:val="32"/>
        </w:rPr>
      </w:pPr>
      <w:r>
        <w:rPr>
          <w:rStyle w:val="17"/>
          <w:rFonts w:eastAsia="仿宋_GB2312"/>
          <w:b w:val="0"/>
          <w:bCs/>
          <w:sz w:val="32"/>
          <w:szCs w:val="32"/>
        </w:rPr>
        <w:t>（项）:指农业保险补贴支出</w:t>
      </w:r>
    </w:p>
    <w:p w14:paraId="7472BEC4">
      <w:pPr>
        <w:spacing w:line="353" w:lineRule="auto"/>
        <w:ind w:firstLine="627" w:firstLineChars="196"/>
        <w:rPr>
          <w:rStyle w:val="17"/>
          <w:rFonts w:eastAsia="仿宋_GB2312"/>
          <w:b w:val="0"/>
          <w:bCs/>
          <w:sz w:val="32"/>
          <w:szCs w:val="32"/>
        </w:rPr>
      </w:pPr>
      <w:r>
        <w:rPr>
          <w:rFonts w:hint="eastAsia" w:eastAsia="仿宋_GB2312"/>
          <w:bCs/>
          <w:sz w:val="32"/>
          <w:szCs w:val="32"/>
        </w:rPr>
        <w:t>22.</w:t>
      </w:r>
      <w:r>
        <w:rPr>
          <w:rFonts w:eastAsia="仿宋_GB2312"/>
          <w:bCs/>
          <w:sz w:val="32"/>
          <w:szCs w:val="32"/>
        </w:rPr>
        <w:t>农林水支出</w:t>
      </w:r>
      <w:r>
        <w:rPr>
          <w:rStyle w:val="17"/>
          <w:rFonts w:eastAsia="仿宋_GB2312"/>
          <w:b w:val="0"/>
          <w:bCs/>
          <w:sz w:val="32"/>
          <w:szCs w:val="32"/>
        </w:rPr>
        <w:t>（类）农业农村（款）农业生产发展（项）:</w:t>
      </w:r>
    </w:p>
    <w:p w14:paraId="4CEBF51F">
      <w:pPr>
        <w:spacing w:line="353" w:lineRule="auto"/>
        <w:rPr>
          <w:rFonts w:eastAsia="仿宋_GB2312"/>
        </w:rPr>
      </w:pPr>
      <w:r>
        <w:rPr>
          <w:rStyle w:val="17"/>
          <w:rFonts w:eastAsia="仿宋_GB2312"/>
          <w:b w:val="0"/>
          <w:bCs/>
          <w:sz w:val="32"/>
          <w:szCs w:val="32"/>
        </w:rPr>
        <w:t>指农村耕地力补贴等上级专款资金。</w:t>
      </w:r>
    </w:p>
    <w:p w14:paraId="625F7D50">
      <w:pPr>
        <w:spacing w:line="353" w:lineRule="auto"/>
        <w:ind w:firstLine="640" w:firstLineChars="200"/>
        <w:rPr>
          <w:rStyle w:val="17"/>
          <w:rFonts w:eastAsia="仿宋_GB2312"/>
          <w:b w:val="0"/>
          <w:bCs/>
          <w:sz w:val="32"/>
          <w:szCs w:val="32"/>
        </w:rPr>
      </w:pPr>
      <w:r>
        <w:rPr>
          <w:rFonts w:hint="eastAsia" w:eastAsia="仿宋_GB2312"/>
          <w:bCs/>
          <w:sz w:val="32"/>
          <w:szCs w:val="32"/>
        </w:rPr>
        <w:t>23.</w:t>
      </w:r>
      <w:r>
        <w:rPr>
          <w:rFonts w:eastAsia="仿宋_GB2312"/>
          <w:bCs/>
          <w:sz w:val="32"/>
          <w:szCs w:val="32"/>
        </w:rPr>
        <w:t>农林水支出</w:t>
      </w:r>
      <w:r>
        <w:rPr>
          <w:rStyle w:val="17"/>
          <w:rFonts w:eastAsia="仿宋_GB2312"/>
          <w:b w:val="0"/>
          <w:bCs/>
          <w:sz w:val="32"/>
          <w:szCs w:val="32"/>
        </w:rPr>
        <w:t>（类）农业农村（款）耕地建设与利用（项）:指耕地地力补贴资金支出。</w:t>
      </w:r>
    </w:p>
    <w:p w14:paraId="2E164C8D">
      <w:pPr>
        <w:spacing w:line="353" w:lineRule="auto"/>
        <w:ind w:firstLine="640" w:firstLineChars="200"/>
        <w:rPr>
          <w:rFonts w:eastAsia="仿宋_GB2312"/>
        </w:rPr>
      </w:pPr>
      <w:r>
        <w:rPr>
          <w:rFonts w:hint="eastAsia" w:eastAsia="仿宋_GB2312"/>
          <w:bCs/>
          <w:sz w:val="32"/>
          <w:szCs w:val="32"/>
        </w:rPr>
        <w:t>24.</w:t>
      </w:r>
      <w:r>
        <w:rPr>
          <w:rFonts w:eastAsia="仿宋_GB2312"/>
          <w:bCs/>
          <w:sz w:val="32"/>
          <w:szCs w:val="32"/>
        </w:rPr>
        <w:t>农林水支出</w:t>
      </w:r>
      <w:r>
        <w:rPr>
          <w:rStyle w:val="17"/>
          <w:rFonts w:eastAsia="仿宋_GB2312"/>
          <w:b w:val="0"/>
          <w:bCs/>
          <w:sz w:val="32"/>
          <w:szCs w:val="32"/>
        </w:rPr>
        <w:t>（类）农业农村（款）其他农业农村支出（项）:指农业补贴补助上级专项资金。</w:t>
      </w:r>
    </w:p>
    <w:p w14:paraId="0B41071B">
      <w:pPr>
        <w:spacing w:line="353" w:lineRule="auto"/>
        <w:ind w:firstLine="640" w:firstLineChars="200"/>
        <w:rPr>
          <w:rFonts w:eastAsia="仿宋_GB2312"/>
        </w:rPr>
      </w:pPr>
      <w:r>
        <w:rPr>
          <w:rFonts w:hint="eastAsia" w:eastAsia="仿宋_GB2312"/>
          <w:bCs/>
          <w:sz w:val="32"/>
          <w:szCs w:val="32"/>
        </w:rPr>
        <w:t>25.</w:t>
      </w:r>
      <w:r>
        <w:rPr>
          <w:rFonts w:eastAsia="仿宋_GB2312"/>
          <w:bCs/>
          <w:sz w:val="32"/>
          <w:szCs w:val="32"/>
        </w:rPr>
        <w:t>农林水支出</w:t>
      </w:r>
      <w:r>
        <w:rPr>
          <w:rStyle w:val="17"/>
          <w:rFonts w:eastAsia="仿宋_GB2312"/>
          <w:b w:val="0"/>
          <w:bCs/>
          <w:sz w:val="32"/>
          <w:szCs w:val="32"/>
        </w:rPr>
        <w:t>（类）</w:t>
      </w:r>
      <w:r>
        <w:rPr>
          <w:rFonts w:eastAsia="仿宋_GB2312"/>
          <w:sz w:val="32"/>
          <w:szCs w:val="32"/>
        </w:rPr>
        <w:t>普惠金融发展支出</w:t>
      </w:r>
      <w:r>
        <w:rPr>
          <w:rStyle w:val="17"/>
          <w:rFonts w:eastAsia="仿宋_GB2312"/>
          <w:b w:val="0"/>
          <w:bCs/>
          <w:sz w:val="32"/>
          <w:szCs w:val="32"/>
        </w:rPr>
        <w:t>（款）</w:t>
      </w:r>
      <w:r>
        <w:rPr>
          <w:rFonts w:eastAsia="仿宋_GB2312"/>
          <w:sz w:val="32"/>
          <w:szCs w:val="32"/>
        </w:rPr>
        <w:t>农业保险保费补贴</w:t>
      </w:r>
      <w:r>
        <w:rPr>
          <w:rStyle w:val="17"/>
          <w:rFonts w:eastAsia="仿宋_GB2312"/>
          <w:b w:val="0"/>
          <w:bCs/>
          <w:sz w:val="32"/>
          <w:szCs w:val="32"/>
        </w:rPr>
        <w:t>（项）:指农产品政策性保险补贴支出。</w:t>
      </w:r>
    </w:p>
    <w:p w14:paraId="28388461">
      <w:pPr>
        <w:spacing w:line="353" w:lineRule="auto"/>
        <w:ind w:firstLine="640" w:firstLineChars="200"/>
        <w:rPr>
          <w:rFonts w:eastAsia="仿宋_GB2312"/>
        </w:rPr>
      </w:pPr>
      <w:r>
        <w:rPr>
          <w:rFonts w:hint="eastAsia" w:eastAsia="仿宋_GB2312"/>
          <w:bCs/>
          <w:sz w:val="32"/>
          <w:szCs w:val="32"/>
        </w:rPr>
        <w:t>26.</w:t>
      </w:r>
      <w:r>
        <w:rPr>
          <w:rFonts w:eastAsia="仿宋_GB2312"/>
          <w:bCs/>
          <w:sz w:val="32"/>
          <w:szCs w:val="32"/>
        </w:rPr>
        <w:t>农林水支出</w:t>
      </w:r>
      <w:r>
        <w:rPr>
          <w:rStyle w:val="17"/>
          <w:rFonts w:eastAsia="仿宋_GB2312"/>
          <w:b w:val="0"/>
          <w:bCs/>
          <w:sz w:val="32"/>
          <w:szCs w:val="32"/>
        </w:rPr>
        <w:t>（类）</w:t>
      </w:r>
      <w:r>
        <w:rPr>
          <w:rFonts w:eastAsia="仿宋_GB2312"/>
          <w:sz w:val="32"/>
          <w:szCs w:val="32"/>
        </w:rPr>
        <w:t>目标价格补贴</w:t>
      </w:r>
      <w:r>
        <w:rPr>
          <w:rStyle w:val="17"/>
          <w:rFonts w:eastAsia="仿宋_GB2312"/>
          <w:b w:val="0"/>
          <w:bCs/>
          <w:sz w:val="32"/>
          <w:szCs w:val="32"/>
        </w:rPr>
        <w:t>（款）</w:t>
      </w:r>
      <w:r>
        <w:rPr>
          <w:rFonts w:eastAsia="仿宋_GB2312"/>
          <w:sz w:val="32"/>
          <w:szCs w:val="32"/>
        </w:rPr>
        <w:t>其他目标价格补贴</w:t>
      </w:r>
      <w:r>
        <w:rPr>
          <w:rStyle w:val="17"/>
          <w:rFonts w:eastAsia="仿宋_GB2312"/>
          <w:b w:val="0"/>
          <w:bCs/>
          <w:sz w:val="32"/>
          <w:szCs w:val="32"/>
        </w:rPr>
        <w:t>（项）:指稻谷补贴支出。</w:t>
      </w:r>
    </w:p>
    <w:p w14:paraId="340C6CD3">
      <w:pPr>
        <w:spacing w:line="353" w:lineRule="auto"/>
        <w:ind w:firstLine="640" w:firstLineChars="200"/>
        <w:rPr>
          <w:rStyle w:val="17"/>
          <w:rFonts w:eastAsia="仿宋_GB2312"/>
          <w:b w:val="0"/>
          <w:bCs/>
          <w:sz w:val="32"/>
          <w:szCs w:val="32"/>
        </w:rPr>
      </w:pPr>
      <w:r>
        <w:rPr>
          <w:rFonts w:hint="eastAsia" w:eastAsia="仿宋_GB2312"/>
          <w:bCs/>
          <w:sz w:val="32"/>
          <w:szCs w:val="32"/>
        </w:rPr>
        <w:t>27</w:t>
      </w:r>
      <w:r>
        <w:rPr>
          <w:rFonts w:eastAsia="仿宋_GB2312"/>
          <w:bCs/>
          <w:sz w:val="32"/>
          <w:szCs w:val="32"/>
        </w:rPr>
        <w:t>.交通运输支出</w:t>
      </w:r>
      <w:r>
        <w:rPr>
          <w:rStyle w:val="17"/>
          <w:rFonts w:eastAsia="仿宋_GB2312"/>
          <w:b w:val="0"/>
          <w:bCs/>
          <w:sz w:val="32"/>
          <w:szCs w:val="32"/>
        </w:rPr>
        <w:t>（类）公路水路运输（款）救助打捞（项）:指年初预算项目支出。</w:t>
      </w:r>
    </w:p>
    <w:p w14:paraId="17F046C8">
      <w:pPr>
        <w:spacing w:line="353" w:lineRule="auto"/>
        <w:ind w:firstLine="640" w:firstLineChars="200"/>
        <w:rPr>
          <w:rStyle w:val="17"/>
          <w:rFonts w:eastAsia="仿宋_GB2312"/>
          <w:b w:val="0"/>
          <w:bCs/>
          <w:sz w:val="32"/>
          <w:szCs w:val="32"/>
        </w:rPr>
      </w:pPr>
      <w:r>
        <w:rPr>
          <w:rStyle w:val="17"/>
          <w:rFonts w:hint="eastAsia" w:eastAsia="仿宋_GB2312"/>
          <w:b w:val="0"/>
          <w:bCs/>
          <w:sz w:val="32"/>
          <w:szCs w:val="32"/>
        </w:rPr>
        <w:t>28.</w:t>
      </w:r>
      <w:r>
        <w:rPr>
          <w:rStyle w:val="17"/>
          <w:rFonts w:eastAsia="仿宋_GB2312"/>
          <w:b w:val="0"/>
          <w:bCs/>
          <w:sz w:val="32"/>
          <w:szCs w:val="32"/>
        </w:rPr>
        <w:t>交通运输支出（类）公路水路运输（款）公路建设（项）:指道路建设补助项目上级专款支出。</w:t>
      </w:r>
    </w:p>
    <w:p w14:paraId="5DC1462E">
      <w:pPr>
        <w:spacing w:line="353" w:lineRule="auto"/>
        <w:ind w:firstLine="627" w:firstLineChars="196"/>
        <w:rPr>
          <w:rStyle w:val="17"/>
          <w:rFonts w:hint="eastAsia" w:eastAsia="仿宋_GB2312"/>
          <w:b w:val="0"/>
          <w:bCs/>
          <w:sz w:val="32"/>
          <w:szCs w:val="32"/>
        </w:rPr>
      </w:pPr>
      <w:r>
        <w:rPr>
          <w:rFonts w:hint="eastAsia" w:eastAsia="仿宋_GB2312"/>
          <w:bCs/>
          <w:sz w:val="32"/>
          <w:szCs w:val="32"/>
        </w:rPr>
        <w:t>29.</w:t>
      </w:r>
      <w:r>
        <w:rPr>
          <w:rFonts w:eastAsia="仿宋_GB2312"/>
          <w:bCs/>
          <w:sz w:val="32"/>
          <w:szCs w:val="32"/>
        </w:rPr>
        <w:t>交通运输支出</w:t>
      </w:r>
      <w:r>
        <w:rPr>
          <w:rStyle w:val="17"/>
          <w:rFonts w:eastAsia="仿宋_GB2312"/>
          <w:b w:val="0"/>
          <w:bCs/>
          <w:sz w:val="32"/>
          <w:szCs w:val="32"/>
        </w:rPr>
        <w:t>（类）公路水路运输（款）公路养护（项）: 指道路养护补助项目上级专款支出。</w:t>
      </w:r>
    </w:p>
    <w:p w14:paraId="58BB26BD">
      <w:pPr>
        <w:spacing w:line="353" w:lineRule="auto"/>
        <w:ind w:firstLine="627" w:firstLineChars="196"/>
        <w:rPr>
          <w:rFonts w:eastAsia="仿宋_GB2312"/>
          <w:bCs/>
          <w:sz w:val="32"/>
          <w:szCs w:val="32"/>
        </w:rPr>
      </w:pPr>
      <w:r>
        <w:rPr>
          <w:rFonts w:hint="eastAsia" w:eastAsia="仿宋_GB2312"/>
          <w:bCs/>
          <w:sz w:val="32"/>
          <w:szCs w:val="32"/>
        </w:rPr>
        <w:t>30.</w:t>
      </w:r>
      <w:r>
        <w:rPr>
          <w:rFonts w:eastAsia="仿宋_GB2312"/>
          <w:bCs/>
          <w:sz w:val="32"/>
          <w:szCs w:val="32"/>
        </w:rPr>
        <w:t>交通运输支出</w:t>
      </w:r>
      <w:r>
        <w:rPr>
          <w:rStyle w:val="17"/>
          <w:rFonts w:eastAsia="仿宋_GB2312"/>
          <w:b w:val="0"/>
          <w:bCs/>
          <w:sz w:val="32"/>
          <w:szCs w:val="32"/>
        </w:rPr>
        <w:t>（类）公路水路运输（款）其他公路水路运输支出（项）:指交通道路上级专项补助资金支出。</w:t>
      </w:r>
    </w:p>
    <w:p w14:paraId="29BC895B">
      <w:pPr>
        <w:spacing w:line="353" w:lineRule="auto"/>
        <w:ind w:firstLine="627" w:firstLineChars="196"/>
        <w:rPr>
          <w:rFonts w:eastAsia="仿宋_GB2312"/>
        </w:rPr>
      </w:pPr>
      <w:r>
        <w:rPr>
          <w:rFonts w:hint="eastAsia" w:eastAsia="仿宋_GB2312"/>
          <w:bCs/>
          <w:sz w:val="32"/>
          <w:szCs w:val="32"/>
        </w:rPr>
        <w:t>31.</w:t>
      </w:r>
      <w:r>
        <w:rPr>
          <w:rFonts w:eastAsia="仿宋_GB2312"/>
          <w:bCs/>
          <w:sz w:val="32"/>
          <w:szCs w:val="32"/>
        </w:rPr>
        <w:t>交通运输支出</w:t>
      </w:r>
      <w:r>
        <w:rPr>
          <w:rStyle w:val="17"/>
          <w:rFonts w:eastAsia="仿宋_GB2312"/>
          <w:b w:val="0"/>
          <w:bCs/>
          <w:sz w:val="32"/>
          <w:szCs w:val="32"/>
        </w:rPr>
        <w:t>（类）</w:t>
      </w:r>
      <w:r>
        <w:rPr>
          <w:rFonts w:eastAsia="仿宋_GB2312"/>
          <w:sz w:val="32"/>
          <w:szCs w:val="32"/>
        </w:rPr>
        <w:t>其他交通运输支出</w:t>
      </w:r>
      <w:r>
        <w:rPr>
          <w:rStyle w:val="17"/>
          <w:rFonts w:eastAsia="仿宋_GB2312"/>
          <w:b w:val="0"/>
          <w:bCs/>
          <w:sz w:val="32"/>
          <w:szCs w:val="32"/>
        </w:rPr>
        <w:t>（款）</w:t>
      </w:r>
      <w:r>
        <w:rPr>
          <w:rFonts w:eastAsia="仿宋_GB2312"/>
          <w:sz w:val="32"/>
          <w:szCs w:val="32"/>
        </w:rPr>
        <w:t>其他交通运输支出</w:t>
      </w:r>
      <w:r>
        <w:rPr>
          <w:rStyle w:val="17"/>
          <w:rFonts w:eastAsia="仿宋_GB2312"/>
          <w:b w:val="0"/>
          <w:bCs/>
          <w:sz w:val="32"/>
          <w:szCs w:val="32"/>
        </w:rPr>
        <w:t>（项）:指农村客运补贴及道路养护补助等上级专款支出。</w:t>
      </w:r>
    </w:p>
    <w:p w14:paraId="6C3520A6">
      <w:pPr>
        <w:spacing w:line="353" w:lineRule="auto"/>
        <w:ind w:firstLine="640" w:firstLineChars="200"/>
        <w:rPr>
          <w:rFonts w:eastAsia="仿宋_GB2312"/>
          <w:b/>
        </w:rPr>
      </w:pPr>
      <w:r>
        <w:rPr>
          <w:rFonts w:hint="eastAsia" w:eastAsia="仿宋_GB2312"/>
          <w:bCs/>
          <w:sz w:val="32"/>
          <w:szCs w:val="32"/>
        </w:rPr>
        <w:t>32</w:t>
      </w:r>
      <w:r>
        <w:rPr>
          <w:rFonts w:eastAsia="仿宋_GB2312"/>
          <w:bCs/>
          <w:sz w:val="32"/>
          <w:szCs w:val="32"/>
        </w:rPr>
        <w:t>.住房保障支出</w:t>
      </w:r>
      <w:r>
        <w:rPr>
          <w:rStyle w:val="17"/>
          <w:rFonts w:eastAsia="仿宋_GB2312"/>
          <w:b w:val="0"/>
          <w:bCs/>
          <w:sz w:val="32"/>
          <w:szCs w:val="32"/>
        </w:rPr>
        <w:t>（类）住房改革</w:t>
      </w:r>
      <w:r>
        <w:rPr>
          <w:rFonts w:eastAsia="仿宋_GB2312"/>
          <w:sz w:val="32"/>
          <w:szCs w:val="32"/>
        </w:rPr>
        <w:t>支出</w:t>
      </w:r>
      <w:r>
        <w:rPr>
          <w:rStyle w:val="17"/>
          <w:rFonts w:eastAsia="仿宋_GB2312"/>
          <w:b w:val="0"/>
          <w:bCs/>
          <w:sz w:val="32"/>
          <w:szCs w:val="32"/>
        </w:rPr>
        <w:t>（款）住房公积金（项）:指在职人员公积金单位部分支出。</w:t>
      </w:r>
    </w:p>
    <w:p w14:paraId="670599DA">
      <w:pPr>
        <w:spacing w:line="353" w:lineRule="auto"/>
        <w:ind w:firstLine="640" w:firstLineChars="200"/>
        <w:rPr>
          <w:rFonts w:eastAsia="仿宋_GB2312"/>
          <w:sz w:val="32"/>
          <w:szCs w:val="32"/>
        </w:rPr>
      </w:pPr>
      <w:r>
        <w:rPr>
          <w:rFonts w:hint="eastAsia" w:eastAsia="仿宋_GB2312"/>
          <w:sz w:val="32"/>
          <w:szCs w:val="32"/>
        </w:rPr>
        <w:t>33</w:t>
      </w:r>
      <w:r>
        <w:rPr>
          <w:rFonts w:eastAsia="仿宋_GB2312"/>
          <w:sz w:val="32"/>
          <w:szCs w:val="32"/>
        </w:rPr>
        <w:t>.基本支出：指为保障机构正常运转、完成日常工作任务而发生的人员支出和公用支出。</w:t>
      </w:r>
    </w:p>
    <w:p w14:paraId="345014F2">
      <w:pPr>
        <w:spacing w:line="353" w:lineRule="auto"/>
        <w:ind w:firstLine="640" w:firstLineChars="200"/>
        <w:rPr>
          <w:rFonts w:eastAsia="仿宋_GB2312"/>
          <w:sz w:val="32"/>
          <w:szCs w:val="32"/>
        </w:rPr>
      </w:pPr>
      <w:r>
        <w:rPr>
          <w:rFonts w:hint="eastAsia" w:eastAsia="仿宋_GB2312"/>
          <w:sz w:val="32"/>
          <w:szCs w:val="32"/>
        </w:rPr>
        <w:t>34</w:t>
      </w:r>
      <w:r>
        <w:rPr>
          <w:rFonts w:eastAsia="仿宋_GB2312"/>
          <w:sz w:val="32"/>
          <w:szCs w:val="32"/>
        </w:rPr>
        <w:t>.项目支出：指在基本支出之外为完成特定行政任务和事业发展目标所发生的支出。</w:t>
      </w:r>
    </w:p>
    <w:p w14:paraId="0CE52005">
      <w:pPr>
        <w:spacing w:line="353" w:lineRule="auto"/>
        <w:ind w:firstLine="640" w:firstLineChars="200"/>
        <w:rPr>
          <w:rFonts w:eastAsia="仿宋_GB2312"/>
          <w:sz w:val="32"/>
          <w:szCs w:val="32"/>
        </w:rPr>
      </w:pPr>
      <w:r>
        <w:rPr>
          <w:rFonts w:hint="eastAsia" w:eastAsia="仿宋_GB2312"/>
          <w:sz w:val="32"/>
          <w:szCs w:val="32"/>
        </w:rPr>
        <w:t>35</w:t>
      </w:r>
      <w:r>
        <w:rPr>
          <w:rFonts w:eastAsia="仿宋_GB2312"/>
          <w:sz w:val="32"/>
          <w:szCs w:val="32"/>
        </w:rPr>
        <w:t>.经营支出：指事业单位在专业业务活动及其辅助活动之外开展非独立核算经营活动发生的支出。</w:t>
      </w:r>
    </w:p>
    <w:p w14:paraId="36C65B87">
      <w:pPr>
        <w:pStyle w:val="25"/>
        <w:spacing w:line="353"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w:t>
      </w:r>
      <w:r>
        <w:rPr>
          <w:rFonts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A86603">
      <w:pPr>
        <w:pStyle w:val="25"/>
        <w:spacing w:line="353"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43112C">
      <w:pPr>
        <w:spacing w:line="600" w:lineRule="exact"/>
        <w:jc w:val="center"/>
        <w:outlineLvl w:val="0"/>
        <w:rPr>
          <w:rFonts w:hint="eastAsia"/>
          <w:b/>
          <w:sz w:val="44"/>
          <w:szCs w:val="44"/>
        </w:rPr>
      </w:pPr>
      <w:bookmarkStart w:id="78" w:name="_Toc15377226"/>
      <w:r>
        <w:rPr>
          <w:b/>
          <w:sz w:val="44"/>
          <w:szCs w:val="44"/>
        </w:rPr>
        <w:br w:type="page"/>
      </w:r>
      <w:bookmarkStart w:id="79" w:name="_Toc15396614"/>
      <w:bookmarkStart w:id="80" w:name="_Toc16056"/>
    </w:p>
    <w:p w14:paraId="39F0E9C5">
      <w:pPr>
        <w:spacing w:line="600" w:lineRule="exact"/>
        <w:jc w:val="center"/>
        <w:outlineLvl w:val="0"/>
        <w:rPr>
          <w:rFonts w:hint="eastAsia"/>
          <w:b/>
          <w:sz w:val="44"/>
          <w:szCs w:val="44"/>
        </w:rPr>
      </w:pPr>
    </w:p>
    <w:p w14:paraId="6FFBB0CD">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79"/>
      <w:bookmarkEnd w:id="80"/>
    </w:p>
    <w:p w14:paraId="1F3E7809">
      <w:pPr>
        <w:spacing w:line="572" w:lineRule="exact"/>
        <w:jc w:val="left"/>
        <w:outlineLvl w:val="0"/>
        <w:rPr>
          <w:rFonts w:ascii="仿宋_GB2312" w:hAnsi="仿宋_GB2312" w:eastAsia="仿宋_GB2312" w:cs="仿宋_GB2312"/>
          <w:sz w:val="32"/>
          <w:szCs w:val="32"/>
        </w:rPr>
      </w:pPr>
    </w:p>
    <w:p w14:paraId="4936AFF4">
      <w:pPr>
        <w:spacing w:line="600" w:lineRule="exact"/>
        <w:jc w:val="center"/>
        <w:outlineLvl w:val="0"/>
        <w:rPr>
          <w:rFonts w:ascii="黑体" w:hAnsi="黑体" w:eastAsia="黑体"/>
          <w:color w:val="FF0000"/>
          <w:sz w:val="44"/>
          <w:szCs w:val="44"/>
        </w:rPr>
      </w:pPr>
      <w:bookmarkStart w:id="81" w:name="_Toc7049"/>
      <w:bookmarkStart w:id="82" w:name="_Toc15396618"/>
      <w:r>
        <w:rPr>
          <w:rFonts w:hint="eastAsia"/>
          <w:sz w:val="32"/>
          <w:szCs w:val="32"/>
        </w:rPr>
        <w:t>部门预算项目支出绩效自评表（2024年度）</w:t>
      </w:r>
      <w:bookmarkEnd w:id="81"/>
    </w:p>
    <w:p w14:paraId="62C143E6">
      <w:pPr>
        <w:pStyle w:val="14"/>
        <w:spacing w:line="560" w:lineRule="exact"/>
        <w:ind w:left="0" w:leftChars="0" w:firstLine="640"/>
        <w:rPr>
          <w:sz w:val="32"/>
        </w:rPr>
      </w:pPr>
    </w:p>
    <w:p w14:paraId="52F93164">
      <w:pPr>
        <w:pStyle w:val="6"/>
        <w:spacing w:before="93"/>
        <w:rPr>
          <w:rFonts w:hAnsi="Calibri" w:cs="仿宋"/>
          <w:sz w:val="32"/>
          <w:szCs w:val="32"/>
        </w:rPr>
      </w:pPr>
    </w:p>
    <w:p w14:paraId="0CA380CA">
      <w:pPr>
        <w:pStyle w:val="6"/>
        <w:spacing w:before="93"/>
        <w:rPr>
          <w:rFonts w:hAnsi="Calibri" w:cs="仿宋"/>
          <w:sz w:val="32"/>
          <w:szCs w:val="32"/>
        </w:rPr>
      </w:pPr>
    </w:p>
    <w:p w14:paraId="5DB7C814">
      <w:pPr>
        <w:pStyle w:val="6"/>
        <w:spacing w:before="93"/>
        <w:rPr>
          <w:rFonts w:hAnsi="Calibri" w:cs="仿宋"/>
          <w:sz w:val="32"/>
          <w:szCs w:val="32"/>
        </w:rPr>
      </w:pPr>
    </w:p>
    <w:p w14:paraId="3BE9E356">
      <w:pPr>
        <w:pStyle w:val="6"/>
        <w:spacing w:before="93"/>
        <w:rPr>
          <w:rFonts w:hAnsi="Calibri" w:cs="仿宋"/>
          <w:sz w:val="32"/>
          <w:szCs w:val="32"/>
        </w:rPr>
      </w:pPr>
    </w:p>
    <w:p w14:paraId="554D9A62">
      <w:pPr>
        <w:pStyle w:val="6"/>
        <w:spacing w:before="93"/>
        <w:rPr>
          <w:rFonts w:hAnsi="Calibri" w:cs="仿宋"/>
          <w:sz w:val="32"/>
          <w:szCs w:val="32"/>
        </w:rPr>
      </w:pPr>
    </w:p>
    <w:p w14:paraId="0FB8FCFE">
      <w:pPr>
        <w:pStyle w:val="6"/>
        <w:spacing w:before="93"/>
        <w:rPr>
          <w:rFonts w:hAnsi="Calibri" w:cs="仿宋"/>
          <w:sz w:val="32"/>
          <w:szCs w:val="32"/>
        </w:rPr>
      </w:pPr>
    </w:p>
    <w:p w14:paraId="5A73947F">
      <w:pPr>
        <w:pStyle w:val="6"/>
        <w:spacing w:before="93"/>
        <w:rPr>
          <w:rFonts w:hAnsi="Calibri" w:cs="仿宋"/>
          <w:sz w:val="32"/>
          <w:szCs w:val="32"/>
        </w:rPr>
      </w:pPr>
    </w:p>
    <w:p w14:paraId="717BD572">
      <w:pPr>
        <w:pStyle w:val="6"/>
        <w:spacing w:before="93"/>
        <w:rPr>
          <w:rFonts w:hAnsi="Calibri" w:cs="仿宋"/>
          <w:sz w:val="32"/>
          <w:szCs w:val="32"/>
        </w:rPr>
      </w:pPr>
    </w:p>
    <w:p w14:paraId="4508438F">
      <w:pPr>
        <w:pStyle w:val="6"/>
        <w:spacing w:before="93"/>
        <w:rPr>
          <w:rFonts w:hAnsi="Calibri" w:cs="仿宋"/>
          <w:sz w:val="32"/>
          <w:szCs w:val="32"/>
        </w:rPr>
      </w:pPr>
    </w:p>
    <w:p w14:paraId="782D39F4">
      <w:pPr>
        <w:pStyle w:val="6"/>
        <w:spacing w:before="93"/>
        <w:rPr>
          <w:rFonts w:hAnsi="Calibri" w:cs="仿宋"/>
          <w:sz w:val="32"/>
          <w:szCs w:val="32"/>
        </w:rPr>
      </w:pPr>
    </w:p>
    <w:p w14:paraId="6BEC17F0">
      <w:pPr>
        <w:pStyle w:val="6"/>
        <w:spacing w:before="93"/>
        <w:rPr>
          <w:rFonts w:hAnsi="Calibri" w:cs="仿宋"/>
          <w:sz w:val="32"/>
          <w:szCs w:val="32"/>
        </w:rPr>
      </w:pPr>
    </w:p>
    <w:p w14:paraId="6B381988">
      <w:pPr>
        <w:pStyle w:val="6"/>
        <w:spacing w:before="93"/>
        <w:rPr>
          <w:rFonts w:hAnsi="Calibri" w:cs="仿宋"/>
          <w:sz w:val="32"/>
          <w:szCs w:val="32"/>
        </w:rPr>
      </w:pPr>
    </w:p>
    <w:p w14:paraId="18329FBE">
      <w:pPr>
        <w:pStyle w:val="6"/>
        <w:spacing w:before="93"/>
        <w:rPr>
          <w:rFonts w:hAnsi="Calibri" w:cs="仿宋"/>
          <w:sz w:val="32"/>
          <w:szCs w:val="32"/>
        </w:rPr>
      </w:pPr>
    </w:p>
    <w:p w14:paraId="18CA9100">
      <w:pPr>
        <w:spacing w:line="600" w:lineRule="exact"/>
        <w:jc w:val="center"/>
        <w:outlineLvl w:val="0"/>
        <w:rPr>
          <w:rFonts w:ascii="黑体" w:hAnsi="黑体" w:eastAsia="黑体"/>
          <w:sz w:val="44"/>
          <w:szCs w:val="44"/>
        </w:rPr>
      </w:pPr>
      <w:bookmarkStart w:id="83" w:name="_Toc5321"/>
    </w:p>
    <w:p w14:paraId="113A6596">
      <w:pPr>
        <w:spacing w:line="600" w:lineRule="exact"/>
        <w:jc w:val="center"/>
        <w:outlineLvl w:val="0"/>
        <w:rPr>
          <w:rFonts w:ascii="黑体" w:hAnsi="黑体" w:eastAsia="黑体"/>
          <w:sz w:val="44"/>
          <w:szCs w:val="44"/>
        </w:rPr>
      </w:pPr>
    </w:p>
    <w:p w14:paraId="617094F2">
      <w:pPr>
        <w:spacing w:line="600" w:lineRule="exact"/>
        <w:jc w:val="center"/>
        <w:outlineLvl w:val="0"/>
        <w:rPr>
          <w:rFonts w:ascii="黑体" w:hAnsi="黑体" w:eastAsia="黑体"/>
          <w:sz w:val="44"/>
          <w:szCs w:val="44"/>
        </w:rPr>
      </w:pPr>
    </w:p>
    <w:p w14:paraId="41F5E6BB">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78"/>
      <w:bookmarkEnd w:id="82"/>
      <w:bookmarkEnd w:id="83"/>
      <w:bookmarkStart w:id="84" w:name="_Toc15396619"/>
    </w:p>
    <w:p w14:paraId="12ED6F21">
      <w:pPr>
        <w:pStyle w:val="4"/>
        <w:rPr>
          <w:rFonts w:ascii="仿宋" w:hAnsi="仿宋" w:eastAsia="仿宋"/>
        </w:rPr>
      </w:pPr>
      <w:bookmarkStart w:id="85" w:name="_Toc26215"/>
      <w:r>
        <w:rPr>
          <w:rFonts w:hint="eastAsia" w:ascii="仿宋" w:hAnsi="仿宋" w:eastAsia="仿宋"/>
          <w:b w:val="0"/>
        </w:rPr>
        <w:t>一、收</w:t>
      </w:r>
      <w:r>
        <w:rPr>
          <w:rStyle w:val="28"/>
          <w:rFonts w:hint="eastAsia" w:ascii="仿宋" w:hAnsi="仿宋" w:eastAsia="仿宋"/>
          <w:b w:val="0"/>
          <w:bCs w:val="0"/>
        </w:rPr>
        <w:t>入支出决算总表</w:t>
      </w:r>
      <w:bookmarkEnd w:id="84"/>
      <w:bookmarkEnd w:id="85"/>
    </w:p>
    <w:p w14:paraId="6B6B6F5D">
      <w:pPr>
        <w:pStyle w:val="4"/>
        <w:rPr>
          <w:rFonts w:ascii="仿宋" w:hAnsi="仿宋" w:eastAsia="仿宋"/>
        </w:rPr>
      </w:pPr>
      <w:bookmarkStart w:id="86" w:name="_Toc13342"/>
      <w:bookmarkStart w:id="87" w:name="_Toc15396620"/>
      <w:r>
        <w:rPr>
          <w:rFonts w:hint="eastAsia" w:ascii="仿宋" w:hAnsi="仿宋" w:eastAsia="仿宋"/>
          <w:b w:val="0"/>
        </w:rPr>
        <w:t>二、收</w:t>
      </w:r>
      <w:r>
        <w:rPr>
          <w:rStyle w:val="28"/>
          <w:rFonts w:hint="eastAsia" w:ascii="仿宋" w:hAnsi="仿宋" w:eastAsia="仿宋"/>
          <w:b w:val="0"/>
          <w:bCs w:val="0"/>
        </w:rPr>
        <w:t>入决算表</w:t>
      </w:r>
      <w:bookmarkEnd w:id="86"/>
      <w:bookmarkEnd w:id="87"/>
    </w:p>
    <w:p w14:paraId="485B4244">
      <w:pPr>
        <w:pStyle w:val="4"/>
        <w:rPr>
          <w:rFonts w:ascii="仿宋" w:hAnsi="仿宋" w:eastAsia="仿宋"/>
        </w:rPr>
      </w:pPr>
      <w:bookmarkStart w:id="88" w:name="_Toc21295"/>
      <w:bookmarkStart w:id="89"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8"/>
      <w:bookmarkEnd w:id="89"/>
    </w:p>
    <w:p w14:paraId="33E11EF4">
      <w:pPr>
        <w:pStyle w:val="4"/>
        <w:rPr>
          <w:rFonts w:ascii="仿宋" w:hAnsi="仿宋" w:eastAsia="仿宋"/>
          <w:b w:val="0"/>
        </w:rPr>
      </w:pPr>
      <w:bookmarkStart w:id="90" w:name="_Toc11658"/>
      <w:bookmarkStart w:id="91"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90"/>
      <w:bookmarkEnd w:id="91"/>
    </w:p>
    <w:p w14:paraId="128CCDAB">
      <w:pPr>
        <w:pStyle w:val="4"/>
        <w:rPr>
          <w:rStyle w:val="28"/>
          <w:rFonts w:ascii="仿宋" w:hAnsi="仿宋" w:eastAsia="仿宋"/>
          <w:b w:val="0"/>
          <w:bCs w:val="0"/>
        </w:rPr>
      </w:pPr>
      <w:bookmarkStart w:id="92" w:name="_Toc18243"/>
      <w:bookmarkStart w:id="93"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92"/>
      <w:bookmarkEnd w:id="93"/>
      <w:bookmarkStart w:id="94" w:name="_Toc15396624"/>
    </w:p>
    <w:p w14:paraId="68661E9E">
      <w:pPr>
        <w:pStyle w:val="4"/>
        <w:rPr>
          <w:rFonts w:ascii="仿宋" w:hAnsi="仿宋" w:eastAsia="仿宋"/>
        </w:rPr>
      </w:pPr>
      <w:bookmarkStart w:id="95" w:name="_Toc20845"/>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94"/>
      <w:bookmarkEnd w:id="95"/>
    </w:p>
    <w:p w14:paraId="0B387016">
      <w:pPr>
        <w:pStyle w:val="4"/>
        <w:rPr>
          <w:rFonts w:ascii="仿宋" w:hAnsi="仿宋" w:eastAsia="仿宋"/>
        </w:rPr>
      </w:pPr>
      <w:bookmarkStart w:id="96" w:name="_Toc15396625"/>
      <w:bookmarkStart w:id="97" w:name="_Toc30686"/>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6"/>
      <w:bookmarkEnd w:id="97"/>
    </w:p>
    <w:p w14:paraId="7D72C842">
      <w:pPr>
        <w:pStyle w:val="4"/>
        <w:rPr>
          <w:rFonts w:ascii="仿宋" w:hAnsi="仿宋" w:eastAsia="仿宋"/>
        </w:rPr>
      </w:pPr>
      <w:bookmarkStart w:id="98" w:name="_Toc15396626"/>
      <w:bookmarkStart w:id="99" w:name="_Toc5359"/>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8"/>
      <w:bookmarkEnd w:id="99"/>
    </w:p>
    <w:p w14:paraId="5F93296F">
      <w:pPr>
        <w:pStyle w:val="4"/>
        <w:rPr>
          <w:rFonts w:ascii="仿宋" w:hAnsi="仿宋" w:eastAsia="仿宋"/>
        </w:rPr>
      </w:pPr>
      <w:bookmarkStart w:id="100" w:name="_Toc12028"/>
      <w:bookmarkStart w:id="101"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00"/>
      <w:bookmarkEnd w:id="101"/>
    </w:p>
    <w:p w14:paraId="76BC10E7">
      <w:pPr>
        <w:pStyle w:val="4"/>
        <w:rPr>
          <w:rFonts w:ascii="仿宋" w:hAnsi="仿宋" w:eastAsia="仿宋"/>
        </w:rPr>
      </w:pPr>
      <w:bookmarkStart w:id="102" w:name="_Toc15396628"/>
      <w:bookmarkStart w:id="103" w:name="_Toc26058"/>
      <w:r>
        <w:rPr>
          <w:rStyle w:val="28"/>
          <w:rFonts w:hint="eastAsia" w:ascii="仿宋" w:hAnsi="仿宋" w:eastAsia="仿宋"/>
          <w:b w:val="0"/>
          <w:bCs w:val="0"/>
        </w:rPr>
        <w:t>十、</w:t>
      </w:r>
      <w:bookmarkEnd w:id="102"/>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03"/>
    </w:p>
    <w:p w14:paraId="26E768A9">
      <w:pPr>
        <w:pStyle w:val="4"/>
        <w:rPr>
          <w:rFonts w:ascii="仿宋" w:hAnsi="仿宋" w:eastAsia="仿宋"/>
        </w:rPr>
      </w:pPr>
      <w:bookmarkStart w:id="104" w:name="_Toc15396629"/>
      <w:bookmarkStart w:id="105" w:name="_Toc26737"/>
      <w:r>
        <w:rPr>
          <w:rStyle w:val="28"/>
          <w:rFonts w:hint="eastAsia" w:ascii="仿宋" w:hAnsi="仿宋" w:eastAsia="仿宋"/>
          <w:b w:val="0"/>
          <w:bCs w:val="0"/>
        </w:rPr>
        <w:t>十一、</w:t>
      </w:r>
      <w:bookmarkEnd w:id="104"/>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05"/>
    </w:p>
    <w:p w14:paraId="27476D21">
      <w:pPr>
        <w:pStyle w:val="4"/>
        <w:rPr>
          <w:rFonts w:ascii="仿宋" w:hAnsi="仿宋" w:eastAsia="仿宋"/>
        </w:rPr>
      </w:pPr>
      <w:bookmarkStart w:id="106" w:name="_Toc15396630"/>
      <w:bookmarkStart w:id="107" w:name="_Toc2422"/>
      <w:r>
        <w:rPr>
          <w:rStyle w:val="28"/>
          <w:rFonts w:hint="eastAsia" w:ascii="仿宋" w:hAnsi="仿宋" w:eastAsia="仿宋"/>
          <w:b w:val="0"/>
          <w:bCs w:val="0"/>
        </w:rPr>
        <w:t>十二、</w:t>
      </w:r>
      <w:bookmarkEnd w:id="106"/>
      <w:r>
        <w:rPr>
          <w:rStyle w:val="28"/>
          <w:rFonts w:hint="eastAsia" w:ascii="仿宋" w:hAnsi="仿宋" w:eastAsia="仿宋"/>
          <w:b w:val="0"/>
          <w:bCs w:val="0"/>
        </w:rPr>
        <w:t>国有资本经营预算财政拨款支出决算表</w:t>
      </w:r>
      <w:bookmarkEnd w:id="107"/>
    </w:p>
    <w:p w14:paraId="28E514FD">
      <w:pPr>
        <w:pStyle w:val="4"/>
        <w:rPr>
          <w:rFonts w:eastAsia="仿宋"/>
        </w:rPr>
      </w:pPr>
      <w:bookmarkStart w:id="108" w:name="_Toc15396631"/>
      <w:bookmarkStart w:id="109" w:name="_Toc4329"/>
      <w:r>
        <w:rPr>
          <w:rStyle w:val="28"/>
          <w:rFonts w:hint="eastAsia" w:ascii="仿宋" w:hAnsi="仿宋" w:eastAsia="仿宋"/>
          <w:b w:val="0"/>
          <w:bCs w:val="0"/>
        </w:rPr>
        <w:t>十三、</w:t>
      </w:r>
      <w:bookmarkEnd w:id="108"/>
      <w:r>
        <w:rPr>
          <w:rStyle w:val="28"/>
          <w:rFonts w:hint="eastAsia" w:ascii="仿宋" w:hAnsi="仿宋" w:eastAsia="仿宋"/>
          <w:b w:val="0"/>
          <w:bCs w:val="0"/>
        </w:rPr>
        <w:t>财政拨款“三公”经费支出决算表</w:t>
      </w:r>
      <w:bookmarkEnd w:id="109"/>
    </w:p>
    <w:sectPr>
      <w:footerReference r:id="rId9" w:type="default"/>
      <w:footerReference r:id="rId10" w:type="even"/>
      <w:pgSz w:w="11906" w:h="16838"/>
      <w:pgMar w:top="1440" w:right="1800"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6C34">
    <w:pPr>
      <w:pStyle w:val="10"/>
    </w:pPr>
  </w:p>
  <w:p w14:paraId="123A598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BE1E">
    <w:pPr>
      <w:pStyle w:val="10"/>
    </w:pPr>
  </w:p>
  <w:p w14:paraId="6FE92DB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0851">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188E">
    <w:pPr>
      <w:pStyle w:val="10"/>
    </w:pPr>
  </w:p>
  <w:p w14:paraId="7AD1389A">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DE2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F2AC">
    <w:pPr>
      <w:pStyle w:val="10"/>
    </w:pPr>
    <w:r>
      <w:pict>
        <v:shape id="_x0000_s4097" o:spid="_x0000_s4097"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16pt,0mm,16pt,0mm" style="mso-fit-shape-to-text:t;">
            <w:txbxContent>
              <w:p w14:paraId="1C70BECB">
                <w:pPr>
                  <w:pStyle w:val="1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4"/>
                  </w:rPr>
                  <w:t>　</w:t>
                </w:r>
                <w:r>
                  <w:rPr>
                    <w:rFonts w:ascii="宋体" w:hAnsi="宋体"/>
                    <w:sz w:val="28"/>
                  </w:rPr>
                  <w:t>—</w:t>
                </w:r>
              </w:p>
            </w:txbxContent>
          </v:textbox>
        </v:shape>
      </w:pict>
    </w:r>
  </w:p>
  <w:p w14:paraId="11FBBA3E">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0EE0F">
    <w:pPr>
      <w:pStyle w:val="10"/>
    </w:pPr>
    <w:r>
      <w:pict>
        <v:shape id="_x0000_s4098" o:spid="_x0000_s4098" o:spt="202" type="#_x0000_t202" style="position:absolute;left:0pt;margin-top:1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16pt,0mm,16pt,0mm" style="mso-fit-shape-to-text:t;">
            <w:txbxContent>
              <w:p w14:paraId="0552A796">
                <w:pPr>
                  <w:pStyle w:val="1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6C3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0E52"/>
    <w:rsid w:val="00002DC1"/>
    <w:rsid w:val="0001032D"/>
    <w:rsid w:val="000222C6"/>
    <w:rsid w:val="0002549F"/>
    <w:rsid w:val="000411E6"/>
    <w:rsid w:val="0004491E"/>
    <w:rsid w:val="000468DB"/>
    <w:rsid w:val="0006487A"/>
    <w:rsid w:val="00065F8F"/>
    <w:rsid w:val="00070A43"/>
    <w:rsid w:val="000743DE"/>
    <w:rsid w:val="000768F2"/>
    <w:rsid w:val="0009184B"/>
    <w:rsid w:val="00094236"/>
    <w:rsid w:val="00094CE6"/>
    <w:rsid w:val="0009593C"/>
    <w:rsid w:val="00097322"/>
    <w:rsid w:val="000A6A92"/>
    <w:rsid w:val="000B047F"/>
    <w:rsid w:val="000B5923"/>
    <w:rsid w:val="000B5A48"/>
    <w:rsid w:val="000B6178"/>
    <w:rsid w:val="000B6FF3"/>
    <w:rsid w:val="000C2C39"/>
    <w:rsid w:val="000C3467"/>
    <w:rsid w:val="000C3CA6"/>
    <w:rsid w:val="000C48CC"/>
    <w:rsid w:val="000C5DF7"/>
    <w:rsid w:val="000D0F32"/>
    <w:rsid w:val="000D1267"/>
    <w:rsid w:val="000D1D50"/>
    <w:rsid w:val="000D5782"/>
    <w:rsid w:val="000E6613"/>
    <w:rsid w:val="000E7119"/>
    <w:rsid w:val="00114E9B"/>
    <w:rsid w:val="00124508"/>
    <w:rsid w:val="0012717C"/>
    <w:rsid w:val="00140056"/>
    <w:rsid w:val="00142216"/>
    <w:rsid w:val="00144D6A"/>
    <w:rsid w:val="0014729F"/>
    <w:rsid w:val="00157BAB"/>
    <w:rsid w:val="001654D1"/>
    <w:rsid w:val="00174518"/>
    <w:rsid w:val="0018106D"/>
    <w:rsid w:val="0018315F"/>
    <w:rsid w:val="001877A7"/>
    <w:rsid w:val="00191536"/>
    <w:rsid w:val="001963C8"/>
    <w:rsid w:val="00196687"/>
    <w:rsid w:val="001A1DAD"/>
    <w:rsid w:val="001A6C1C"/>
    <w:rsid w:val="001C0962"/>
    <w:rsid w:val="001D0ABD"/>
    <w:rsid w:val="001D7531"/>
    <w:rsid w:val="001E0CC1"/>
    <w:rsid w:val="001E6F00"/>
    <w:rsid w:val="001E737D"/>
    <w:rsid w:val="001F0592"/>
    <w:rsid w:val="001F3586"/>
    <w:rsid w:val="001F7506"/>
    <w:rsid w:val="002006CD"/>
    <w:rsid w:val="00202B36"/>
    <w:rsid w:val="00204B7A"/>
    <w:rsid w:val="00204CDE"/>
    <w:rsid w:val="00206907"/>
    <w:rsid w:val="0021101A"/>
    <w:rsid w:val="00212B4A"/>
    <w:rsid w:val="00213296"/>
    <w:rsid w:val="002143F1"/>
    <w:rsid w:val="00220536"/>
    <w:rsid w:val="00235629"/>
    <w:rsid w:val="00245B47"/>
    <w:rsid w:val="00246184"/>
    <w:rsid w:val="002538E7"/>
    <w:rsid w:val="002574A2"/>
    <w:rsid w:val="00260C38"/>
    <w:rsid w:val="002616C0"/>
    <w:rsid w:val="00262622"/>
    <w:rsid w:val="00263582"/>
    <w:rsid w:val="00265372"/>
    <w:rsid w:val="002662AA"/>
    <w:rsid w:val="0027019D"/>
    <w:rsid w:val="00276A7F"/>
    <w:rsid w:val="00277279"/>
    <w:rsid w:val="00280496"/>
    <w:rsid w:val="00294DC9"/>
    <w:rsid w:val="00295495"/>
    <w:rsid w:val="0029707B"/>
    <w:rsid w:val="0029722F"/>
    <w:rsid w:val="002A31DE"/>
    <w:rsid w:val="002B2613"/>
    <w:rsid w:val="002C5004"/>
    <w:rsid w:val="002D2C0A"/>
    <w:rsid w:val="002D6D05"/>
    <w:rsid w:val="002F1818"/>
    <w:rsid w:val="002F567B"/>
    <w:rsid w:val="00303446"/>
    <w:rsid w:val="003216A9"/>
    <w:rsid w:val="003338BC"/>
    <w:rsid w:val="00335A74"/>
    <w:rsid w:val="00350D5B"/>
    <w:rsid w:val="003521D1"/>
    <w:rsid w:val="00362FA1"/>
    <w:rsid w:val="0036561B"/>
    <w:rsid w:val="0037013F"/>
    <w:rsid w:val="00380C92"/>
    <w:rsid w:val="0039518A"/>
    <w:rsid w:val="003A484F"/>
    <w:rsid w:val="003A4883"/>
    <w:rsid w:val="003B0BE0"/>
    <w:rsid w:val="003B0C1B"/>
    <w:rsid w:val="003B454D"/>
    <w:rsid w:val="003B5F8B"/>
    <w:rsid w:val="003B688C"/>
    <w:rsid w:val="003C0291"/>
    <w:rsid w:val="003C39AE"/>
    <w:rsid w:val="003C7B60"/>
    <w:rsid w:val="003D0C0F"/>
    <w:rsid w:val="003D1FB2"/>
    <w:rsid w:val="003D66DA"/>
    <w:rsid w:val="003D73E7"/>
    <w:rsid w:val="003E1310"/>
    <w:rsid w:val="003E39ED"/>
    <w:rsid w:val="003E6F55"/>
    <w:rsid w:val="003F25B1"/>
    <w:rsid w:val="00406254"/>
    <w:rsid w:val="00410E7E"/>
    <w:rsid w:val="004223DE"/>
    <w:rsid w:val="00425C50"/>
    <w:rsid w:val="0043177C"/>
    <w:rsid w:val="00434489"/>
    <w:rsid w:val="00437085"/>
    <w:rsid w:val="00443880"/>
    <w:rsid w:val="004464F4"/>
    <w:rsid w:val="00456D29"/>
    <w:rsid w:val="00457641"/>
    <w:rsid w:val="0046049C"/>
    <w:rsid w:val="0047125C"/>
    <w:rsid w:val="00471401"/>
    <w:rsid w:val="00473F31"/>
    <w:rsid w:val="0048263A"/>
    <w:rsid w:val="0048356C"/>
    <w:rsid w:val="00487E5D"/>
    <w:rsid w:val="0049020D"/>
    <w:rsid w:val="0049021A"/>
    <w:rsid w:val="004A711F"/>
    <w:rsid w:val="004B199D"/>
    <w:rsid w:val="004B4690"/>
    <w:rsid w:val="004D6BD2"/>
    <w:rsid w:val="004D6DB9"/>
    <w:rsid w:val="004E0A2D"/>
    <w:rsid w:val="004E206B"/>
    <w:rsid w:val="004E3AC7"/>
    <w:rsid w:val="004E6DF7"/>
    <w:rsid w:val="004F0FBD"/>
    <w:rsid w:val="00505A47"/>
    <w:rsid w:val="00512FDA"/>
    <w:rsid w:val="00520DA0"/>
    <w:rsid w:val="00541487"/>
    <w:rsid w:val="00551ADA"/>
    <w:rsid w:val="005533CF"/>
    <w:rsid w:val="005664BB"/>
    <w:rsid w:val="00566FFA"/>
    <w:rsid w:val="0057481D"/>
    <w:rsid w:val="0058486E"/>
    <w:rsid w:val="00585B33"/>
    <w:rsid w:val="0059014D"/>
    <w:rsid w:val="00594F79"/>
    <w:rsid w:val="005A3951"/>
    <w:rsid w:val="005A689F"/>
    <w:rsid w:val="005B5AC1"/>
    <w:rsid w:val="005B5C64"/>
    <w:rsid w:val="005B6E8A"/>
    <w:rsid w:val="005C5337"/>
    <w:rsid w:val="005C6BD0"/>
    <w:rsid w:val="005D1C8B"/>
    <w:rsid w:val="005D468D"/>
    <w:rsid w:val="005D5CED"/>
    <w:rsid w:val="005E2053"/>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01E9"/>
    <w:rsid w:val="006748A4"/>
    <w:rsid w:val="00681A31"/>
    <w:rsid w:val="00683E73"/>
    <w:rsid w:val="00685327"/>
    <w:rsid w:val="00693B92"/>
    <w:rsid w:val="0069414C"/>
    <w:rsid w:val="006A1731"/>
    <w:rsid w:val="006A3141"/>
    <w:rsid w:val="006A5E34"/>
    <w:rsid w:val="006A7306"/>
    <w:rsid w:val="006B2422"/>
    <w:rsid w:val="006B2B9A"/>
    <w:rsid w:val="006B6DC0"/>
    <w:rsid w:val="006C1937"/>
    <w:rsid w:val="006D3EAA"/>
    <w:rsid w:val="006F020C"/>
    <w:rsid w:val="006F3F34"/>
    <w:rsid w:val="0071021A"/>
    <w:rsid w:val="007127B7"/>
    <w:rsid w:val="0071798E"/>
    <w:rsid w:val="007416B6"/>
    <w:rsid w:val="00744D72"/>
    <w:rsid w:val="007462B1"/>
    <w:rsid w:val="00746F48"/>
    <w:rsid w:val="0075404D"/>
    <w:rsid w:val="00754F13"/>
    <w:rsid w:val="007550AA"/>
    <w:rsid w:val="0076182A"/>
    <w:rsid w:val="00767B7E"/>
    <w:rsid w:val="0077010A"/>
    <w:rsid w:val="007770C3"/>
    <w:rsid w:val="00784D24"/>
    <w:rsid w:val="00785FBA"/>
    <w:rsid w:val="00786E4A"/>
    <w:rsid w:val="007875EB"/>
    <w:rsid w:val="0079426B"/>
    <w:rsid w:val="007A070B"/>
    <w:rsid w:val="007B2FCF"/>
    <w:rsid w:val="007C6FF0"/>
    <w:rsid w:val="007D1682"/>
    <w:rsid w:val="007D312A"/>
    <w:rsid w:val="007D3F19"/>
    <w:rsid w:val="007E23B0"/>
    <w:rsid w:val="007E23E5"/>
    <w:rsid w:val="007E3D4B"/>
    <w:rsid w:val="007F07E3"/>
    <w:rsid w:val="007F1991"/>
    <w:rsid w:val="007F2C2F"/>
    <w:rsid w:val="007F55FC"/>
    <w:rsid w:val="007F5665"/>
    <w:rsid w:val="00800112"/>
    <w:rsid w:val="00812183"/>
    <w:rsid w:val="00813102"/>
    <w:rsid w:val="00813348"/>
    <w:rsid w:val="008253BB"/>
    <w:rsid w:val="00835570"/>
    <w:rsid w:val="0083706E"/>
    <w:rsid w:val="008408F6"/>
    <w:rsid w:val="008423A5"/>
    <w:rsid w:val="00850625"/>
    <w:rsid w:val="008511A5"/>
    <w:rsid w:val="00853718"/>
    <w:rsid w:val="00855221"/>
    <w:rsid w:val="00860645"/>
    <w:rsid w:val="00871F71"/>
    <w:rsid w:val="00872FD8"/>
    <w:rsid w:val="00885AF4"/>
    <w:rsid w:val="008939CD"/>
    <w:rsid w:val="008A3C51"/>
    <w:rsid w:val="008A6E52"/>
    <w:rsid w:val="008B768C"/>
    <w:rsid w:val="008C4DB1"/>
    <w:rsid w:val="008C4EAF"/>
    <w:rsid w:val="008C5176"/>
    <w:rsid w:val="008C7FD0"/>
    <w:rsid w:val="008C7FD8"/>
    <w:rsid w:val="008E1DE7"/>
    <w:rsid w:val="008E707C"/>
    <w:rsid w:val="00900B08"/>
    <w:rsid w:val="00902155"/>
    <w:rsid w:val="00902FA3"/>
    <w:rsid w:val="0090396E"/>
    <w:rsid w:val="009067BF"/>
    <w:rsid w:val="0092324A"/>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61CA"/>
    <w:rsid w:val="009B7573"/>
    <w:rsid w:val="009C22F4"/>
    <w:rsid w:val="009C2A4B"/>
    <w:rsid w:val="009C2E98"/>
    <w:rsid w:val="009D3447"/>
    <w:rsid w:val="009D4711"/>
    <w:rsid w:val="009E5A36"/>
    <w:rsid w:val="009F1185"/>
    <w:rsid w:val="009F18CD"/>
    <w:rsid w:val="009F2A13"/>
    <w:rsid w:val="009F7527"/>
    <w:rsid w:val="00A0357F"/>
    <w:rsid w:val="00A04EB0"/>
    <w:rsid w:val="00A06978"/>
    <w:rsid w:val="00A13CC1"/>
    <w:rsid w:val="00A16847"/>
    <w:rsid w:val="00A237D8"/>
    <w:rsid w:val="00A268C4"/>
    <w:rsid w:val="00A307CD"/>
    <w:rsid w:val="00A3269A"/>
    <w:rsid w:val="00A331C8"/>
    <w:rsid w:val="00A40A00"/>
    <w:rsid w:val="00A4142F"/>
    <w:rsid w:val="00A422EB"/>
    <w:rsid w:val="00A45BB7"/>
    <w:rsid w:val="00A4737B"/>
    <w:rsid w:val="00A56DF2"/>
    <w:rsid w:val="00A56E6E"/>
    <w:rsid w:val="00A57E6D"/>
    <w:rsid w:val="00A67AB5"/>
    <w:rsid w:val="00A733B2"/>
    <w:rsid w:val="00A741C2"/>
    <w:rsid w:val="00A74B61"/>
    <w:rsid w:val="00A91760"/>
    <w:rsid w:val="00A93B00"/>
    <w:rsid w:val="00A93C21"/>
    <w:rsid w:val="00AB1BA5"/>
    <w:rsid w:val="00AB29AC"/>
    <w:rsid w:val="00AB64C9"/>
    <w:rsid w:val="00AC2BFF"/>
    <w:rsid w:val="00AC3C6A"/>
    <w:rsid w:val="00AD1930"/>
    <w:rsid w:val="00AD5620"/>
    <w:rsid w:val="00AD656B"/>
    <w:rsid w:val="00AD6E34"/>
    <w:rsid w:val="00AD7C1B"/>
    <w:rsid w:val="00AE16BA"/>
    <w:rsid w:val="00AE1EBE"/>
    <w:rsid w:val="00AF523B"/>
    <w:rsid w:val="00B02608"/>
    <w:rsid w:val="00B03C9D"/>
    <w:rsid w:val="00B060AE"/>
    <w:rsid w:val="00B10517"/>
    <w:rsid w:val="00B14E76"/>
    <w:rsid w:val="00B161B8"/>
    <w:rsid w:val="00B2048C"/>
    <w:rsid w:val="00B22A45"/>
    <w:rsid w:val="00B26EE8"/>
    <w:rsid w:val="00B310B9"/>
    <w:rsid w:val="00B35F3F"/>
    <w:rsid w:val="00B36CBB"/>
    <w:rsid w:val="00B412C7"/>
    <w:rsid w:val="00B425E0"/>
    <w:rsid w:val="00B440AA"/>
    <w:rsid w:val="00B44B70"/>
    <w:rsid w:val="00B4711F"/>
    <w:rsid w:val="00B53C56"/>
    <w:rsid w:val="00B553D8"/>
    <w:rsid w:val="00B57DAF"/>
    <w:rsid w:val="00B610E7"/>
    <w:rsid w:val="00B64F1E"/>
    <w:rsid w:val="00B73BFD"/>
    <w:rsid w:val="00B76642"/>
    <w:rsid w:val="00B77EA6"/>
    <w:rsid w:val="00B81598"/>
    <w:rsid w:val="00B81D1C"/>
    <w:rsid w:val="00B841F1"/>
    <w:rsid w:val="00B86832"/>
    <w:rsid w:val="00B944D6"/>
    <w:rsid w:val="00BA5374"/>
    <w:rsid w:val="00BB4345"/>
    <w:rsid w:val="00BB4DF0"/>
    <w:rsid w:val="00BC289F"/>
    <w:rsid w:val="00BC2D50"/>
    <w:rsid w:val="00BC5361"/>
    <w:rsid w:val="00BC5460"/>
    <w:rsid w:val="00BC6B50"/>
    <w:rsid w:val="00BD0E25"/>
    <w:rsid w:val="00BE323F"/>
    <w:rsid w:val="00BF31CF"/>
    <w:rsid w:val="00BF5BD6"/>
    <w:rsid w:val="00C002E2"/>
    <w:rsid w:val="00C03E31"/>
    <w:rsid w:val="00C33E72"/>
    <w:rsid w:val="00C354B2"/>
    <w:rsid w:val="00C35554"/>
    <w:rsid w:val="00C42709"/>
    <w:rsid w:val="00C434F3"/>
    <w:rsid w:val="00C46166"/>
    <w:rsid w:val="00C47B67"/>
    <w:rsid w:val="00C523C6"/>
    <w:rsid w:val="00C533CC"/>
    <w:rsid w:val="00C5751C"/>
    <w:rsid w:val="00C578E4"/>
    <w:rsid w:val="00C61BFC"/>
    <w:rsid w:val="00C62B85"/>
    <w:rsid w:val="00C65438"/>
    <w:rsid w:val="00C87FD8"/>
    <w:rsid w:val="00C91381"/>
    <w:rsid w:val="00C91CBB"/>
    <w:rsid w:val="00CB4E70"/>
    <w:rsid w:val="00CC09B6"/>
    <w:rsid w:val="00CC31D8"/>
    <w:rsid w:val="00CC3479"/>
    <w:rsid w:val="00CC666F"/>
    <w:rsid w:val="00CD1E3F"/>
    <w:rsid w:val="00CE13F2"/>
    <w:rsid w:val="00CE44F6"/>
    <w:rsid w:val="00CE49DA"/>
    <w:rsid w:val="00CE7B61"/>
    <w:rsid w:val="00CF0A9B"/>
    <w:rsid w:val="00CF57E1"/>
    <w:rsid w:val="00D00095"/>
    <w:rsid w:val="00D048F3"/>
    <w:rsid w:val="00D114F0"/>
    <w:rsid w:val="00D20620"/>
    <w:rsid w:val="00D222F2"/>
    <w:rsid w:val="00D254F7"/>
    <w:rsid w:val="00D25ED6"/>
    <w:rsid w:val="00D26091"/>
    <w:rsid w:val="00D2685C"/>
    <w:rsid w:val="00D31E6F"/>
    <w:rsid w:val="00D34E7C"/>
    <w:rsid w:val="00D35489"/>
    <w:rsid w:val="00D36AFE"/>
    <w:rsid w:val="00D51276"/>
    <w:rsid w:val="00D62C70"/>
    <w:rsid w:val="00D632B7"/>
    <w:rsid w:val="00D7035F"/>
    <w:rsid w:val="00D75125"/>
    <w:rsid w:val="00D979D8"/>
    <w:rsid w:val="00DA634F"/>
    <w:rsid w:val="00DA65AC"/>
    <w:rsid w:val="00DA6E93"/>
    <w:rsid w:val="00DB1913"/>
    <w:rsid w:val="00DC410D"/>
    <w:rsid w:val="00DC5A81"/>
    <w:rsid w:val="00DC68CA"/>
    <w:rsid w:val="00DC7CBA"/>
    <w:rsid w:val="00DD73B7"/>
    <w:rsid w:val="00DD79BD"/>
    <w:rsid w:val="00DF28BC"/>
    <w:rsid w:val="00DF34B9"/>
    <w:rsid w:val="00E01053"/>
    <w:rsid w:val="00E07ACF"/>
    <w:rsid w:val="00E31BC5"/>
    <w:rsid w:val="00E331A1"/>
    <w:rsid w:val="00E33202"/>
    <w:rsid w:val="00E336A9"/>
    <w:rsid w:val="00E472B1"/>
    <w:rsid w:val="00E50624"/>
    <w:rsid w:val="00E53073"/>
    <w:rsid w:val="00E568DF"/>
    <w:rsid w:val="00E57EC3"/>
    <w:rsid w:val="00E612FA"/>
    <w:rsid w:val="00E64269"/>
    <w:rsid w:val="00E82267"/>
    <w:rsid w:val="00E847E4"/>
    <w:rsid w:val="00E853CE"/>
    <w:rsid w:val="00E85DE9"/>
    <w:rsid w:val="00E867B6"/>
    <w:rsid w:val="00E903AB"/>
    <w:rsid w:val="00E90A6C"/>
    <w:rsid w:val="00E9648C"/>
    <w:rsid w:val="00EA010F"/>
    <w:rsid w:val="00EA7FBB"/>
    <w:rsid w:val="00ED1B63"/>
    <w:rsid w:val="00ED3C1F"/>
    <w:rsid w:val="00ED4085"/>
    <w:rsid w:val="00ED420E"/>
    <w:rsid w:val="00ED6FBE"/>
    <w:rsid w:val="00EE17D1"/>
    <w:rsid w:val="00EE27C7"/>
    <w:rsid w:val="00EE2F57"/>
    <w:rsid w:val="00EE5D63"/>
    <w:rsid w:val="00EF4C34"/>
    <w:rsid w:val="00EF4EFA"/>
    <w:rsid w:val="00EF77C6"/>
    <w:rsid w:val="00F05438"/>
    <w:rsid w:val="00F071C4"/>
    <w:rsid w:val="00F12A0E"/>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7E22"/>
    <w:rsid w:val="00FD3CC1"/>
    <w:rsid w:val="00FF1E02"/>
    <w:rsid w:val="00FF30B4"/>
    <w:rsid w:val="03DC2831"/>
    <w:rsid w:val="050F0FD3"/>
    <w:rsid w:val="06EB30F8"/>
    <w:rsid w:val="081B5E94"/>
    <w:rsid w:val="0A2032A3"/>
    <w:rsid w:val="0B8A37D8"/>
    <w:rsid w:val="0F5FFB2F"/>
    <w:rsid w:val="0FFFCF60"/>
    <w:rsid w:val="10C055FF"/>
    <w:rsid w:val="118107EC"/>
    <w:rsid w:val="11DD6519"/>
    <w:rsid w:val="168E3310"/>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DD770E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58019FC"/>
    <w:rsid w:val="5D2556CB"/>
    <w:rsid w:val="5F67802D"/>
    <w:rsid w:val="5F7DC4F2"/>
    <w:rsid w:val="5FB36814"/>
    <w:rsid w:val="5FBB8E56"/>
    <w:rsid w:val="5FFB5535"/>
    <w:rsid w:val="640C7C45"/>
    <w:rsid w:val="64CA39A1"/>
    <w:rsid w:val="66261A6A"/>
    <w:rsid w:val="69630ADE"/>
    <w:rsid w:val="69BD5F13"/>
    <w:rsid w:val="69FB0B4B"/>
    <w:rsid w:val="6BFFE1FB"/>
    <w:rsid w:val="6C4A05C8"/>
    <w:rsid w:val="6D3B1A89"/>
    <w:rsid w:val="6DB7D8A3"/>
    <w:rsid w:val="6EC78701"/>
    <w:rsid w:val="6F7A5481"/>
    <w:rsid w:val="6FFE07A9"/>
    <w:rsid w:val="709333BA"/>
    <w:rsid w:val="71BF4EC2"/>
    <w:rsid w:val="72734D90"/>
    <w:rsid w:val="73E75B71"/>
    <w:rsid w:val="7412278C"/>
    <w:rsid w:val="75DDCDA9"/>
    <w:rsid w:val="75FF44B1"/>
    <w:rsid w:val="77670518"/>
    <w:rsid w:val="777FA627"/>
    <w:rsid w:val="77DF1B5F"/>
    <w:rsid w:val="77EF2D9D"/>
    <w:rsid w:val="78ED655C"/>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99"/>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单位：万元</c:v>
                </c:pt>
              </c:strCache>
            </c:strRef>
          </c:tx>
          <c:invertIfNegative val="0"/>
          <c:dLbls>
            <c:dLbl>
              <c:idx val="0"/>
              <c:layout>
                <c:manualLayout>
                  <c:x val="-0.00722369371538649"/>
                  <c:y val="-0.14035087719298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40789790512882"/>
                  <c:y val="-0.36738906088751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2023年度收支总计</c:v>
                </c:pt>
                <c:pt idx="1">
                  <c:v>2024年度收支总计</c:v>
                </c:pt>
              </c:strCache>
            </c:strRef>
          </c:cat>
          <c:val>
            <c:numRef>
              <c:f>Sheet1!$B$2:$B$3</c:f>
              <c:numCache>
                <c:formatCode>General</c:formatCode>
                <c:ptCount val="2"/>
                <c:pt idx="0">
                  <c:v>1660.13</c:v>
                </c:pt>
                <c:pt idx="1">
                  <c:v>1973.24</c:v>
                </c:pt>
              </c:numCache>
            </c:numRef>
          </c:val>
        </c:ser>
        <c:dLbls>
          <c:showLegendKey val="0"/>
          <c:showVal val="1"/>
          <c:showCatName val="0"/>
          <c:showSerName val="0"/>
          <c:showPercent val="0"/>
          <c:showBubbleSize val="0"/>
        </c:dLbls>
        <c:gapWidth val="150"/>
        <c:overlap val="100"/>
        <c:axId val="68948352"/>
        <c:axId val="68950656"/>
      </c:barChart>
      <c:catAx>
        <c:axId val="68948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950656"/>
        <c:crosses val="autoZero"/>
        <c:auto val="1"/>
        <c:lblAlgn val="ctr"/>
        <c:lblOffset val="100"/>
        <c:noMultiLvlLbl val="0"/>
      </c:catAx>
      <c:valAx>
        <c:axId val="689506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948352"/>
        <c:crosses val="autoZero"/>
        <c:crossBetween val="between"/>
      </c:valAx>
    </c:plotArea>
    <c:plotVisOnly val="1"/>
    <c:dispBlanksAs val="gap"/>
    <c:showDLblsOverMax val="0"/>
    <c:extLst>
      <c:ext uri="{0b15fc19-7d7d-44ad-8c2d-2c3a37ce22c3}">
        <chartProps xmlns="https://web.wps.cn/et/2018/main" chartId="{d4f3e541-c4bf-452a-a0c0-fc64e42ed2ed}"/>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explosion val="0"/>
          <c:dPt>
            <c:idx val="0"/>
            <c:bubble3D val="0"/>
          </c:dPt>
          <c:dPt>
            <c:idx val="1"/>
            <c:bubble3D val="0"/>
          </c:dPt>
          <c:dPt>
            <c:idx val="2"/>
            <c:bubble3D val="0"/>
          </c:dPt>
          <c:dLbls>
            <c:dLbl>
              <c:idx val="0"/>
              <c:delete val="1"/>
            </c:dLbl>
            <c:dLbl>
              <c:idx val="1"/>
              <c:layout>
                <c:manualLayout>
                  <c:x val="0.136951373734195"/>
                  <c:y val="-0.13092885861177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96.99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584721034599788"/>
                  <c:y val="-0.017360189526870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2024年度本年收入合计1388.19万元</c:v>
                </c:pt>
                <c:pt idx="1">
                  <c:v>其中：一般公共预算财政拨款收入1346.49万元</c:v>
                </c:pt>
                <c:pt idx="2">
                  <c:v>政府性基金预算财政拨款收入41.7万元</c:v>
                </c:pt>
              </c:strCache>
            </c:strRef>
          </c:cat>
          <c:val>
            <c:numRef>
              <c:f>Sheet1!$B$2:$B$4</c:f>
              <c:numCache>
                <c:formatCode>General</c:formatCode>
                <c:ptCount val="3"/>
                <c:pt idx="0">
                  <c:v>0</c:v>
                </c:pt>
                <c:pt idx="1">
                  <c:v>96.99</c:v>
                </c:pt>
                <c:pt idx="2">
                  <c:v>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13e09cec-3d3e-43e2-afa5-10fe836399d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c:v>
                </c:pt>
              </c:strCache>
            </c:strRef>
          </c:tx>
          <c:explosion val="0"/>
          <c:dPt>
            <c:idx val="0"/>
            <c:bubble3D val="0"/>
          </c:dPt>
          <c:dPt>
            <c:idx val="1"/>
            <c:bubble3D val="0"/>
          </c:dPt>
          <c:dPt>
            <c:idx val="2"/>
            <c:bubble3D val="0"/>
          </c:dPt>
          <c:dLbls>
            <c:dLbl>
              <c:idx val="0"/>
              <c:delete val="1"/>
            </c:dLbl>
            <c:dLbl>
              <c:idx val="1"/>
              <c:layout>
                <c:manualLayout>
                  <c:x val="0.00810438750404818"/>
                  <c:y val="0.057448929994861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25.81</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01144608305176"/>
                  <c:y val="-0.079987223819245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74.18</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2024年度本年支出合计1973.24万元</c:v>
                </c:pt>
                <c:pt idx="1">
                  <c:v>其中：基本支出509.46万元</c:v>
                </c:pt>
                <c:pt idx="2">
                  <c:v>项目支出1463.78万元</c:v>
                </c:pt>
              </c:strCache>
            </c:strRef>
          </c:cat>
          <c:val>
            <c:numRef>
              <c:f>Sheet1!$B$2:$B$4</c:f>
              <c:numCache>
                <c:formatCode>General</c:formatCode>
                <c:ptCount val="3"/>
                <c:pt idx="0">
                  <c:v>0</c:v>
                </c:pt>
                <c:pt idx="1">
                  <c:v>25.81</c:v>
                </c:pt>
                <c:pt idx="2">
                  <c:v>74.18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c76a49a-66a8-404b-8357-b336bb47d6f2}"/>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单位：万元</c:v>
                </c:pt>
              </c:strCache>
            </c:strRef>
          </c:tx>
          <c:invertIfNegative val="0"/>
          <c:dLbls>
            <c:dLbl>
              <c:idx val="0"/>
              <c:layout>
                <c:manualLayout>
                  <c:x val="-0.0070298769771529"/>
                  <c:y val="-0.17676767676767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0298769771529"/>
                  <c:y val="-0.34343434343434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2023年度财政拨款收入、支出总计</c:v>
                </c:pt>
                <c:pt idx="1">
                  <c:v>2024年度财政拨款收入、支出总计</c:v>
                </c:pt>
              </c:strCache>
            </c:strRef>
          </c:cat>
          <c:val>
            <c:numRef>
              <c:f>Sheet1!$B$2:$B$3</c:f>
              <c:numCache>
                <c:formatCode>General</c:formatCode>
                <c:ptCount val="2"/>
                <c:pt idx="0">
                  <c:v>1660.13</c:v>
                </c:pt>
                <c:pt idx="1">
                  <c:v>1973.24</c:v>
                </c:pt>
              </c:numCache>
            </c:numRef>
          </c:val>
        </c:ser>
        <c:dLbls>
          <c:showLegendKey val="0"/>
          <c:showVal val="1"/>
          <c:showCatName val="0"/>
          <c:showSerName val="0"/>
          <c:showPercent val="0"/>
          <c:showBubbleSize val="0"/>
        </c:dLbls>
        <c:gapWidth val="150"/>
        <c:overlap val="100"/>
        <c:axId val="114032000"/>
        <c:axId val="114318720"/>
      </c:barChart>
      <c:catAx>
        <c:axId val="1140320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318720"/>
        <c:crosses val="autoZero"/>
        <c:auto val="1"/>
        <c:lblAlgn val="ctr"/>
        <c:lblOffset val="100"/>
        <c:noMultiLvlLbl val="0"/>
      </c:catAx>
      <c:valAx>
        <c:axId val="114318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032000"/>
        <c:crosses val="autoZero"/>
        <c:crossBetween val="between"/>
      </c:valAx>
    </c:plotArea>
    <c:plotVisOnly val="1"/>
    <c:dispBlanksAs val="gap"/>
    <c:showDLblsOverMax val="0"/>
    <c:extLst>
      <c:ext uri="{0b15fc19-7d7d-44ad-8c2d-2c3a37ce22c3}">
        <chartProps xmlns="https://web.wps.cn/et/2018/main" chartId="{7c449e17-d5a0-4266-a897-6680b8049cc1}"/>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单位：万元</c:v>
                </c:pt>
              </c:strCache>
            </c:strRef>
          </c:tx>
          <c:invertIfNegative val="0"/>
          <c:dLbls>
            <c:dLbl>
              <c:idx val="0"/>
              <c:layout>
                <c:manualLayout>
                  <c:x val="-0.00236615970948837"/>
                  <c:y val="-0.15457429890229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33847481393593"/>
                  <c:y val="-0.31021863646354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2023年度一般公共预算财政拨款支出</c:v>
                </c:pt>
                <c:pt idx="1">
                  <c:v>2024年度一般公共预算财政拨款支出</c:v>
                </c:pt>
              </c:strCache>
            </c:strRef>
          </c:cat>
          <c:val>
            <c:numRef>
              <c:f>Sheet1!$B$2:$B$3</c:f>
              <c:numCache>
                <c:formatCode>General</c:formatCode>
                <c:ptCount val="2"/>
                <c:pt idx="0">
                  <c:v>1656.13</c:v>
                </c:pt>
                <c:pt idx="1">
                  <c:v>1739.44</c:v>
                </c:pt>
              </c:numCache>
            </c:numRef>
          </c:val>
        </c:ser>
        <c:dLbls>
          <c:showLegendKey val="0"/>
          <c:showVal val="1"/>
          <c:showCatName val="0"/>
          <c:showSerName val="0"/>
          <c:showPercent val="0"/>
          <c:showBubbleSize val="0"/>
        </c:dLbls>
        <c:gapWidth val="150"/>
        <c:overlap val="100"/>
        <c:axId val="145533952"/>
        <c:axId val="168442496"/>
      </c:barChart>
      <c:catAx>
        <c:axId val="1455339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442496"/>
        <c:crosses val="autoZero"/>
        <c:auto val="1"/>
        <c:lblAlgn val="ctr"/>
        <c:lblOffset val="100"/>
        <c:noMultiLvlLbl val="0"/>
      </c:catAx>
      <c:valAx>
        <c:axId val="168442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533952"/>
        <c:crosses val="autoZero"/>
        <c:crossBetween val="between"/>
      </c:valAx>
    </c:plotArea>
    <c:plotVisOnly val="1"/>
    <c:dispBlanksAs val="gap"/>
    <c:showDLblsOverMax val="0"/>
    <c:extLst>
      <c:ext uri="{0b15fc19-7d7d-44ad-8c2d-2c3a37ce22c3}">
        <chartProps xmlns="https://web.wps.cn/et/2018/main" chartId="{a135f3f7-7401-4c07-82bf-1c544e3d7e02}"/>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delete val="1"/>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5.17</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3.79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2.12</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1.77</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0.00373513056630635"/>
                  <c:y val="0.03156374794124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18.65</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555113661639754"/>
                  <c:y val="-0.062260226067730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64.5</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2024年度一般公共预算财政拨款支出1739.44万元</c:v>
                </c:pt>
                <c:pt idx="1">
                  <c:v>城乡社区支出90万元</c:v>
                </c:pt>
                <c:pt idx="2">
                  <c:v>社会保障和就业支出65.85万元</c:v>
                </c:pt>
                <c:pt idx="3">
                  <c:v>卫生健康支出36.83万元</c:v>
                </c:pt>
                <c:pt idx="4">
                  <c:v>住房保障支出30.87万元</c:v>
                </c:pt>
                <c:pt idx="5">
                  <c:v>交通运输支出324.38万元</c:v>
                </c:pt>
                <c:pt idx="6">
                  <c:v>农林水支出1191.51万元</c:v>
                </c:pt>
              </c:strCache>
            </c:strRef>
          </c:cat>
          <c:val>
            <c:numRef>
              <c:f>Sheet1!$B$2:$B$8</c:f>
              <c:numCache>
                <c:formatCode>General</c:formatCode>
                <c:ptCount val="7"/>
                <c:pt idx="0">
                  <c:v>0</c:v>
                </c:pt>
                <c:pt idx="1">
                  <c:v>5.17</c:v>
                </c:pt>
                <c:pt idx="2">
                  <c:v>3.79</c:v>
                </c:pt>
                <c:pt idx="3">
                  <c:v>2.12</c:v>
                </c:pt>
                <c:pt idx="4">
                  <c:v>1.77</c:v>
                </c:pt>
                <c:pt idx="5">
                  <c:v>18.65</c:v>
                </c:pt>
                <c:pt idx="6">
                  <c:v>64.5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1337833-0f59-4955-a2d1-3a427da5bbb7}"/>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Lbls>
            <c:dLbl>
              <c:idx val="0"/>
              <c:layout>
                <c:manualLayout>
                  <c:x val="0.0838195935735307"/>
                  <c:y val="-0.17484807187563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92.54</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7.45</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公务用车购置及运行维护费支出决算2.48万元</c:v>
                </c:pt>
                <c:pt idx="1">
                  <c:v>公务接待费支出决算0.2万元</c:v>
                </c:pt>
              </c:strCache>
            </c:strRef>
          </c:cat>
          <c:val>
            <c:numRef>
              <c:f>Sheet1!$B$2:$B$3</c:f>
              <c:numCache>
                <c:formatCode>General</c:formatCode>
                <c:ptCount val="2"/>
                <c:pt idx="0">
                  <c:v>92.54</c:v>
                </c:pt>
                <c:pt idx="1">
                  <c:v>7.45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329e476-e53e-4c44-b36c-db98a95552b6}"/>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1B37A-0C62-4739-9A7B-6E76D95E828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4479</Words>
  <Characters>5036</Characters>
  <Lines>80</Lines>
  <Paragraphs>22</Paragraphs>
  <TotalTime>77</TotalTime>
  <ScaleCrop>false</ScaleCrop>
  <LinksUpToDate>false</LinksUpToDate>
  <CharactersWithSpaces>5178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2024-09-24T03:14:00Z</dcterms:created>
  <dc:creator>曹颖</dc:creator>
  <cp:lastModifiedBy>项敏</cp:lastModifiedBy>
  <cp:lastPrinted>2023-08-03T02:35:00Z</cp:lastPrinted>
  <dcterms:modified xsi:type="dcterms:W3CDTF">2025-10-27T00:50:24Z</dcterms:modified>
  <dc:title>四川省***</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eyJoZGlkIjoiYmY3OTZhMDcwYTIzMWJkZTliYjQxNGM0YmU0MzBkZTUiLCJ1c2VySWQiOiIxNjM3Njk2MzA5In0=</vt:lpwstr>
  </property>
  <property fmtid="{D5CDD505-2E9C-101B-9397-08002B2CF9AE}" pid="4" name="ICV">
    <vt:lpwstr>BBF48ED943264C8798F291F21D061F26_12</vt:lpwstr>
  </property>
</Properties>
</file>