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9028">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06267"/>
      <w:bookmarkStart w:id="2" w:name="_Toc15377425"/>
      <w:bookmarkStart w:id="3" w:name="_Toc15378441"/>
      <w:bookmarkStart w:id="4" w:name="_Toc15396597"/>
      <w:bookmarkStart w:id="5" w:name="_Toc15396475"/>
    </w:p>
    <w:p w14:paraId="31723D6E">
      <w:pPr>
        <w:pStyle w:val="5"/>
        <w:rPr>
          <w:rFonts w:hint="eastAsia" w:ascii="Times New Roman" w:hAnsi="Times New Roman" w:eastAsia="方正小标宋简体" w:cs="Times New Roman"/>
          <w:color w:val="auto"/>
          <w:kern w:val="2"/>
          <w:sz w:val="72"/>
          <w:szCs w:val="72"/>
          <w:highlight w:val="none"/>
          <w:lang w:val="en-US" w:eastAsia="zh-CN" w:bidi="ar-SA"/>
        </w:rPr>
      </w:pPr>
    </w:p>
    <w:p w14:paraId="796B0931">
      <w:pPr>
        <w:pStyle w:val="5"/>
        <w:rPr>
          <w:rFonts w:hint="eastAsia" w:ascii="Times New Roman" w:hAnsi="Times New Roman" w:eastAsia="方正小标宋简体" w:cs="Times New Roman"/>
          <w:color w:val="auto"/>
          <w:kern w:val="2"/>
          <w:sz w:val="72"/>
          <w:szCs w:val="72"/>
          <w:highlight w:val="none"/>
          <w:lang w:val="en-US" w:eastAsia="zh-CN" w:bidi="ar-SA"/>
        </w:rPr>
      </w:pPr>
    </w:p>
    <w:p w14:paraId="0D326618">
      <w:pPr>
        <w:pStyle w:val="5"/>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2024年度</w:t>
      </w:r>
      <w:bookmarkStart w:id="6" w:name="_Toc15396476"/>
      <w:bookmarkStart w:id="7" w:name="_Toc15377426"/>
      <w:bookmarkStart w:id="8" w:name="_Toc15396598"/>
      <w:bookmarkStart w:id="9" w:name="_Toc15378442"/>
      <w:bookmarkStart w:id="10" w:name="_Toc15377194"/>
      <w:r>
        <w:rPr>
          <w:rFonts w:hint="eastAsia" w:ascii="方正小标宋简体" w:hAnsi="宋体" w:eastAsia="方正小标宋简体" w:cs="Times New Roman"/>
          <w:color w:val="auto"/>
          <w:kern w:val="2"/>
          <w:sz w:val="44"/>
          <w:szCs w:val="44"/>
          <w:highlight w:val="none"/>
          <w:lang w:val="en-US" w:eastAsia="zh-CN" w:bidi="ar-SA"/>
        </w:rPr>
        <w:t>四川省</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中国共产主义青年团攀枝花市西区委员会单位决算</w:t>
      </w:r>
      <w:bookmarkEnd w:id="6"/>
      <w:bookmarkEnd w:id="7"/>
      <w:bookmarkEnd w:id="8"/>
      <w:bookmarkEnd w:id="9"/>
      <w:bookmarkEnd w:id="10"/>
      <w:bookmarkEnd w:id="11"/>
      <w:r>
        <w:rPr>
          <w:rFonts w:hint="eastAsia" w:ascii="Times New Roman" w:hAnsi="Times New Roman" w:eastAsia="方正小标宋简体" w:cs="Times New Roman"/>
          <w:color w:val="auto"/>
          <w:kern w:val="2"/>
          <w:sz w:val="44"/>
          <w:szCs w:val="44"/>
          <w:highlight w:val="none"/>
          <w:lang w:val="en-US" w:eastAsia="zh-CN" w:bidi="ar-SA"/>
        </w:rPr>
        <w:t>公开文字说</w:t>
      </w:r>
      <w:r>
        <w:rPr>
          <w:rFonts w:hint="eastAsia" w:ascii="Times New Roman" w:eastAsia="方正小标宋简体" w:cs="Times New Roman"/>
          <w:color w:val="auto"/>
          <w:kern w:val="2"/>
          <w:sz w:val="44"/>
          <w:szCs w:val="44"/>
          <w:highlight w:val="none"/>
          <w:lang w:val="en-US" w:eastAsia="zh-CN" w:bidi="ar-SA"/>
        </w:rPr>
        <w:t>明</w:t>
      </w:r>
    </w:p>
    <w:p w14:paraId="68149FE6">
      <w:pPr>
        <w:pStyle w:val="5"/>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730604E6">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0ED584A">
      <w:pPr>
        <w:widowControl/>
        <w:jc w:val="center"/>
        <w:rPr>
          <w:rFonts w:ascii="Times New Roman" w:hAnsi="Times New Roman" w:eastAsia="黑体" w:cstheme="minorBidi"/>
          <w:color w:val="auto"/>
          <w:sz w:val="28"/>
          <w:szCs w:val="28"/>
          <w:highlight w:val="none"/>
        </w:rPr>
      </w:pPr>
    </w:p>
    <w:p w14:paraId="6425EB8F">
      <w:pPr>
        <w:pStyle w:val="16"/>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日</w:t>
      </w:r>
    </w:p>
    <w:p w14:paraId="00130F17">
      <w:pPr>
        <w:rPr>
          <w:rFonts w:ascii="Times New Roman" w:hAnsi="Times New Roman"/>
          <w:color w:val="auto"/>
          <w:highlight w:val="none"/>
        </w:rPr>
      </w:pPr>
    </w:p>
    <w:p w14:paraId="3FE551FD">
      <w:pPr>
        <w:pStyle w:val="16"/>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6073C393">
      <w:pPr>
        <w:pStyle w:val="18"/>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................................................................................................3</w:t>
      </w:r>
    </w:p>
    <w:p w14:paraId="473AD0F8">
      <w:pPr>
        <w:pStyle w:val="18"/>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................................................................................................4</w:t>
      </w:r>
    </w:p>
    <w:p w14:paraId="0ABC9EA0">
      <w:pPr>
        <w:pStyle w:val="16"/>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2024年度单位</w:t>
      </w:r>
      <w:r>
        <w:rPr>
          <w:rFonts w:hint="eastAsia"/>
          <w:color w:val="auto"/>
          <w:sz w:val="24"/>
          <w:highlight w:val="none"/>
        </w:rPr>
        <w:t>决算情况说明</w:t>
      </w:r>
    </w:p>
    <w:p w14:paraId="1381F14E">
      <w:pPr>
        <w:pStyle w:val="18"/>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................................................................5</w:t>
      </w:r>
    </w:p>
    <w:p w14:paraId="6A5E6E9E">
      <w:pPr>
        <w:pStyle w:val="18"/>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................................................................................5</w:t>
      </w:r>
    </w:p>
    <w:p w14:paraId="2FC200F1">
      <w:pPr>
        <w:pStyle w:val="18"/>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................................................................................6</w:t>
      </w:r>
    </w:p>
    <w:p w14:paraId="24B52085">
      <w:pPr>
        <w:pStyle w:val="18"/>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................................................6</w:t>
      </w:r>
    </w:p>
    <w:p w14:paraId="678575E5">
      <w:pPr>
        <w:pStyle w:val="18"/>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........................................7</w:t>
      </w:r>
    </w:p>
    <w:p w14:paraId="3722F113">
      <w:pPr>
        <w:pStyle w:val="18"/>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................................10</w:t>
      </w:r>
    </w:p>
    <w:p w14:paraId="5040BE60">
      <w:pPr>
        <w:pStyle w:val="18"/>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.......................................10</w:t>
      </w:r>
    </w:p>
    <w:p w14:paraId="40FBA2C1">
      <w:pPr>
        <w:pStyle w:val="18"/>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...................................................12</w:t>
      </w:r>
    </w:p>
    <w:p w14:paraId="2A25AC4E">
      <w:pPr>
        <w:pStyle w:val="18"/>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........................12</w:t>
      </w:r>
    </w:p>
    <w:p w14:paraId="33664C5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22"/>
          <w:rFonts w:hint="eastAsia" w:ascii="宋体" w:hAnsi="宋体" w:eastAsia="宋体" w:cs="宋体"/>
          <w:color w:val="auto"/>
          <w:sz w:val="24"/>
          <w:highlight w:val="none"/>
          <w:u w:val="none"/>
          <w:lang w:eastAsia="zh-CN"/>
        </w:rPr>
        <w:t>十</w:t>
      </w:r>
      <w:r>
        <w:rPr>
          <w:rStyle w:val="22"/>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................................12</w:t>
      </w:r>
    </w:p>
    <w:p w14:paraId="5A6CC109">
      <w:pPr>
        <w:pStyle w:val="16"/>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..............................................15</w:t>
      </w:r>
    </w:p>
    <w:p w14:paraId="2673430F">
      <w:pPr>
        <w:pStyle w:val="16"/>
        <w:adjustRightInd w:val="0"/>
        <w:snapToGrid w:val="0"/>
        <w:spacing w:before="0" w:line="440" w:lineRule="exact"/>
        <w:jc w:val="left"/>
        <w:rPr>
          <w:rFonts w:hint="eastAsia"/>
          <w:color w:val="auto"/>
          <w:sz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 xml:space="preserve">..................................................19 </w:t>
      </w:r>
    </w:p>
    <w:p w14:paraId="3271DE01">
      <w:pPr>
        <w:pStyle w:val="16"/>
        <w:adjustRightInd w:val="0"/>
        <w:snapToGrid w:val="0"/>
        <w:spacing w:before="0" w:line="440" w:lineRule="exact"/>
        <w:jc w:val="left"/>
        <w:rPr>
          <w:rFonts w:hint="default" w:eastAsia="仿宋" w:cs="Times New Roman"/>
          <w:color w:val="auto"/>
          <w:sz w:val="24"/>
          <w:szCs w:val="24"/>
          <w:highlight w:val="none"/>
          <w:lang w:val="en-US" w:eastAsia="zh-CN"/>
        </w:rPr>
      </w:pPr>
      <w:bookmarkStart w:id="75" w:name="_GoBack"/>
      <w:bookmarkEnd w:id="75"/>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..................................................30</w:t>
      </w:r>
    </w:p>
    <w:p w14:paraId="13160B27">
      <w:pPr>
        <w:pStyle w:val="18"/>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308E0F15">
      <w:pPr>
        <w:pStyle w:val="18"/>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09B1B947">
      <w:pPr>
        <w:pStyle w:val="18"/>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5E380634">
      <w:pPr>
        <w:pStyle w:val="18"/>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3E6505DE">
      <w:pPr>
        <w:pStyle w:val="18"/>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3D5D2569">
      <w:pPr>
        <w:pStyle w:val="18"/>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10CA90B5">
      <w:pPr>
        <w:pStyle w:val="18"/>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47E4E171">
      <w:pPr>
        <w:pStyle w:val="18"/>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1058859F">
      <w:pPr>
        <w:pStyle w:val="18"/>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5BD333B1">
      <w:pPr>
        <w:pStyle w:val="18"/>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7A09DEF9">
      <w:pPr>
        <w:pStyle w:val="18"/>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5A8497E6">
      <w:pPr>
        <w:pStyle w:val="18"/>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48C4E78A">
      <w:pPr>
        <w:pStyle w:val="18"/>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7622C698">
      <w:pPr>
        <w:pStyle w:val="18"/>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26E9738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p>
    <w:p w14:paraId="053CEE04">
      <w:pPr>
        <w:pStyle w:val="9"/>
        <w:rPr>
          <w:rFonts w:hint="eastAsia" w:ascii="Times New Roman" w:hAnsi="Times New Roman" w:eastAsia="仿宋_GB2312" w:cs="仿宋_GB2312"/>
          <w:bCs/>
          <w:color w:val="auto"/>
          <w:kern w:val="44"/>
          <w:sz w:val="32"/>
          <w:szCs w:val="32"/>
          <w:highlight w:val="none"/>
        </w:rPr>
      </w:pPr>
    </w:p>
    <w:p w14:paraId="5A3A4292">
      <w:pPr>
        <w:rPr>
          <w:rFonts w:hint="eastAsia" w:ascii="Times New Roman" w:hAnsi="Times New Roman" w:eastAsia="仿宋_GB2312" w:cs="仿宋_GB2312"/>
          <w:bCs/>
          <w:color w:val="auto"/>
          <w:kern w:val="44"/>
          <w:sz w:val="32"/>
          <w:szCs w:val="32"/>
          <w:highlight w:val="none"/>
        </w:rPr>
      </w:pPr>
    </w:p>
    <w:p w14:paraId="127D9D3C">
      <w:pPr>
        <w:pStyle w:val="9"/>
        <w:rPr>
          <w:rFonts w:hint="eastAsia" w:ascii="Times New Roman" w:hAnsi="Times New Roman" w:eastAsia="仿宋_GB2312" w:cs="仿宋_GB2312"/>
          <w:bCs/>
          <w:color w:val="auto"/>
          <w:kern w:val="44"/>
          <w:sz w:val="32"/>
          <w:szCs w:val="32"/>
          <w:highlight w:val="none"/>
        </w:rPr>
      </w:pPr>
    </w:p>
    <w:p w14:paraId="004ABB03">
      <w:pPr>
        <w:rPr>
          <w:rFonts w:hint="eastAsia" w:ascii="Times New Roman" w:hAnsi="Times New Roman" w:eastAsia="仿宋_GB2312" w:cs="仿宋_GB2312"/>
          <w:bCs/>
          <w:color w:val="auto"/>
          <w:kern w:val="44"/>
          <w:sz w:val="32"/>
          <w:szCs w:val="32"/>
          <w:highlight w:val="none"/>
        </w:rPr>
      </w:pPr>
    </w:p>
    <w:p w14:paraId="5A4CA1FF">
      <w:pPr>
        <w:pStyle w:val="9"/>
        <w:rPr>
          <w:rFonts w:hint="eastAsia" w:ascii="Times New Roman" w:hAnsi="Times New Roman" w:eastAsia="仿宋_GB2312" w:cs="仿宋_GB2312"/>
          <w:bCs/>
          <w:color w:val="auto"/>
          <w:kern w:val="44"/>
          <w:sz w:val="32"/>
          <w:szCs w:val="32"/>
          <w:highlight w:val="none"/>
        </w:rPr>
      </w:pPr>
    </w:p>
    <w:p w14:paraId="317ABF5C">
      <w:pPr>
        <w:rPr>
          <w:rFonts w:hint="eastAsia" w:ascii="Times New Roman" w:hAnsi="Times New Roman" w:eastAsia="仿宋_GB2312" w:cs="仿宋_GB2312"/>
          <w:bCs/>
          <w:color w:val="auto"/>
          <w:kern w:val="44"/>
          <w:sz w:val="32"/>
          <w:szCs w:val="32"/>
          <w:highlight w:val="none"/>
        </w:rPr>
      </w:pPr>
    </w:p>
    <w:p w14:paraId="767275B5">
      <w:pPr>
        <w:pStyle w:val="9"/>
        <w:rPr>
          <w:rFonts w:hint="eastAsia" w:ascii="Times New Roman" w:hAnsi="Times New Roman" w:eastAsia="仿宋_GB2312" w:cs="仿宋_GB2312"/>
          <w:bCs/>
          <w:color w:val="auto"/>
          <w:kern w:val="44"/>
          <w:sz w:val="32"/>
          <w:szCs w:val="32"/>
          <w:highlight w:val="none"/>
        </w:rPr>
      </w:pPr>
    </w:p>
    <w:p w14:paraId="6CC0B7E0">
      <w:pPr>
        <w:rPr>
          <w:rFonts w:hint="eastAsia" w:ascii="Times New Roman" w:hAnsi="Times New Roman" w:eastAsia="仿宋_GB2312" w:cs="仿宋_GB2312"/>
          <w:bCs/>
          <w:color w:val="auto"/>
          <w:kern w:val="44"/>
          <w:sz w:val="32"/>
          <w:szCs w:val="32"/>
          <w:highlight w:val="none"/>
        </w:rPr>
      </w:pPr>
    </w:p>
    <w:p w14:paraId="1E59B973">
      <w:pPr>
        <w:pStyle w:val="9"/>
        <w:rPr>
          <w:rFonts w:hint="eastAsia" w:ascii="Times New Roman" w:hAnsi="Times New Roman" w:eastAsia="仿宋_GB2312" w:cs="仿宋_GB2312"/>
          <w:bCs/>
          <w:color w:val="auto"/>
          <w:kern w:val="44"/>
          <w:sz w:val="32"/>
          <w:szCs w:val="32"/>
          <w:highlight w:val="none"/>
        </w:rPr>
      </w:pPr>
    </w:p>
    <w:p w14:paraId="615A1565">
      <w:pPr>
        <w:rPr>
          <w:rFonts w:hint="eastAsia" w:ascii="Times New Roman" w:hAnsi="Times New Roman" w:eastAsia="仿宋_GB2312" w:cs="仿宋_GB2312"/>
          <w:bCs/>
          <w:color w:val="auto"/>
          <w:kern w:val="44"/>
          <w:sz w:val="32"/>
          <w:szCs w:val="32"/>
          <w:highlight w:val="none"/>
        </w:rPr>
      </w:pPr>
    </w:p>
    <w:p w14:paraId="65243080">
      <w:pPr>
        <w:pStyle w:val="9"/>
        <w:rPr>
          <w:rFonts w:hint="eastAsia" w:ascii="Times New Roman" w:hAnsi="Times New Roman" w:eastAsia="仿宋_GB2312" w:cs="仿宋_GB2312"/>
          <w:bCs/>
          <w:color w:val="auto"/>
          <w:kern w:val="44"/>
          <w:sz w:val="32"/>
          <w:szCs w:val="32"/>
          <w:highlight w:val="none"/>
        </w:rPr>
      </w:pPr>
    </w:p>
    <w:p w14:paraId="5A43F73B">
      <w:pPr>
        <w:rPr>
          <w:rFonts w:hint="eastAsia" w:ascii="Times New Roman" w:hAnsi="Times New Roman" w:eastAsia="仿宋_GB2312" w:cs="仿宋_GB2312"/>
          <w:bCs/>
          <w:color w:val="auto"/>
          <w:kern w:val="44"/>
          <w:sz w:val="32"/>
          <w:szCs w:val="32"/>
          <w:highlight w:val="none"/>
        </w:rPr>
      </w:pPr>
    </w:p>
    <w:p w14:paraId="3C45E7EA">
      <w:pPr>
        <w:pStyle w:val="2"/>
        <w:rPr>
          <w:rFonts w:hint="eastAsia" w:ascii="Times New Roman" w:hAnsi="Times New Roman" w:eastAsia="仿宋_GB2312" w:cs="仿宋_GB2312"/>
          <w:bCs/>
          <w:color w:val="auto"/>
          <w:kern w:val="44"/>
          <w:sz w:val="32"/>
          <w:szCs w:val="32"/>
          <w:highlight w:val="none"/>
        </w:rPr>
      </w:pPr>
    </w:p>
    <w:p w14:paraId="0160702A">
      <w:pPr>
        <w:pStyle w:val="3"/>
        <w:rPr>
          <w:rFonts w:hint="eastAsia"/>
        </w:rPr>
      </w:pPr>
    </w:p>
    <w:p w14:paraId="6FCA6DDA">
      <w:pPr>
        <w:pStyle w:val="9"/>
        <w:rPr>
          <w:rFonts w:hint="eastAsia" w:ascii="Times New Roman" w:hAnsi="Times New Roman" w:eastAsia="仿宋_GB2312" w:cs="仿宋_GB2312"/>
          <w:bCs/>
          <w:color w:val="auto"/>
          <w:kern w:val="44"/>
          <w:sz w:val="32"/>
          <w:szCs w:val="32"/>
          <w:highlight w:val="none"/>
        </w:rPr>
      </w:pPr>
    </w:p>
    <w:p w14:paraId="5E74AF47">
      <w:pPr>
        <w:rPr>
          <w:rFonts w:hint="eastAsia"/>
        </w:rPr>
      </w:pPr>
    </w:p>
    <w:p w14:paraId="73E7B4B0">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Times New Roman" w:hAnsi="Times New Roman" w:eastAsia="方正小标宋_GBK" w:cs="Times New Roman"/>
          <w:b/>
          <w:bCs/>
          <w:sz w:val="44"/>
          <w:szCs w:val="44"/>
          <w:lang w:val="en-US" w:eastAsia="zh-CN"/>
        </w:rPr>
      </w:pPr>
      <w:r>
        <w:rPr>
          <w:rFonts w:hint="eastAsia" w:ascii="Times New Roman" w:hAnsi="Times New Roman" w:eastAsia="方正小标宋_GBK" w:cs="Times New Roman"/>
          <w:b/>
          <w:bCs/>
          <w:sz w:val="44"/>
          <w:szCs w:val="44"/>
          <w:lang w:val="en-US" w:eastAsia="zh-CN"/>
        </w:rPr>
        <w:t>第一部分  部门概况</w:t>
      </w:r>
      <w:bookmarkEnd w:id="12"/>
      <w:bookmarkEnd w:id="13"/>
    </w:p>
    <w:p w14:paraId="20597F25">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p>
    <w:p w14:paraId="4E357038">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14" w:name="_Toc15377197"/>
      <w:bookmarkStart w:id="15" w:name="_Toc15396600"/>
      <w:r>
        <w:rPr>
          <w:rFonts w:hint="eastAsia" w:asciiTheme="minorEastAsia" w:hAnsiTheme="minorEastAsia" w:eastAsiaTheme="minorEastAsia" w:cstheme="minorEastAsia"/>
          <w:b/>
          <w:bCs/>
          <w:sz w:val="33"/>
          <w:szCs w:val="33"/>
          <w:lang w:val="en-US" w:eastAsia="zh-CN"/>
        </w:rPr>
        <w:t>一、</w:t>
      </w:r>
      <w:bookmarkEnd w:id="14"/>
      <w:bookmarkEnd w:id="15"/>
      <w:r>
        <w:rPr>
          <w:rFonts w:hint="eastAsia" w:asciiTheme="minorEastAsia" w:hAnsiTheme="minorEastAsia" w:eastAsiaTheme="minorEastAsia" w:cstheme="minorEastAsia"/>
          <w:b/>
          <w:bCs/>
          <w:sz w:val="33"/>
          <w:szCs w:val="33"/>
          <w:lang w:val="en-US" w:eastAsia="zh-CN"/>
        </w:rPr>
        <w:t>部门职责</w:t>
      </w:r>
    </w:p>
    <w:p w14:paraId="5ECC9FF8">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bookmarkStart w:id="16" w:name="_Toc15377200"/>
      <w:bookmarkStart w:id="17" w:name="_Toc15396601"/>
      <w:r>
        <w:rPr>
          <w:rFonts w:hint="eastAsia" w:ascii="Times New Roman" w:hAnsi="Times New Roman" w:eastAsia="方正仿宋_GBK" w:cs="Times New Roman"/>
          <w:sz w:val="33"/>
          <w:szCs w:val="33"/>
          <w:lang w:val="en-US" w:eastAsia="zh-CN"/>
        </w:rPr>
        <w:t>1.认真贯彻区委、团市委和有关决议和方针、政策、领导全区共青团、青联、学联和少先队工作，抓好青少年教育工作。</w:t>
      </w:r>
    </w:p>
    <w:p w14:paraId="05EBB7BE">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2.认真贯彻有关青少年事业的法律、法规、制定我区青少年工作方针和青少年事业发展规划，协助区委、区政府处理、协调与青少年利益相关的事务，维护青少年合法权益。</w:t>
      </w:r>
    </w:p>
    <w:p w14:paraId="334A1FFA">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3.负责对全区青少年活动阵地、青少年服务机构的建设进行规划和管理；指导和管理全区性青年社团组织。</w:t>
      </w:r>
    </w:p>
    <w:p w14:paraId="4623B280">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4.调查青年思想动态和青年工作状况，研究青少年工作理论和新形势下青少年思想教育中出现的新问题，提出相应对策，开展好各种寓教于乐的活动。</w:t>
      </w:r>
    </w:p>
    <w:p w14:paraId="2062004F">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5.协助教育主管部门做好全区中、小学校学生的教育管理工作，开展好假期社会实践活动，优化青少年成长环境，维护学校稳定和社会安定团结。</w:t>
      </w:r>
    </w:p>
    <w:p w14:paraId="1B17954A">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6.坚持“党建带团建”的基本原则，切实加强共青团的基层组织建设，特别是农村、社区新经济组织团的组织建设，逐步建立与社会主义市场经济相适应的团的工作运行机制。</w:t>
      </w:r>
    </w:p>
    <w:p w14:paraId="3FB646F2">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在全区青年中继续推进新世纪读书计划、“保护母亲河”行动和青年科技创新行动，深化争得“青年岗位能手”、争创“青年文明号”、“争当青年致富能手”、“争创青年文明户”和创新创效活动，动员和组织青年在推动先进生产力的发展中发挥积极作用。</w:t>
      </w:r>
    </w:p>
    <w:p w14:paraId="1DA6E074">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8.认真贯彻实施青年统战工作政策，做好我去青年统战对象的团结教育工作，维护祖国统一和民族团结；协同有关部门抓好全区青少年对外交流、交往工作。</w:t>
      </w:r>
    </w:p>
    <w:p w14:paraId="58706925">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9.积极协调配合有关部门做好青少年的教育工作。</w:t>
      </w:r>
    </w:p>
    <w:p w14:paraId="337352D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10.承办区委、区政府交办的其他事项。</w:t>
      </w:r>
    </w:p>
    <w:p w14:paraId="435D3F17">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r>
        <w:rPr>
          <w:rFonts w:hint="eastAsia" w:asciiTheme="minorEastAsia" w:hAnsiTheme="minorEastAsia" w:eastAsiaTheme="minorEastAsia" w:cstheme="minorEastAsia"/>
          <w:b/>
          <w:bCs/>
          <w:sz w:val="33"/>
          <w:szCs w:val="33"/>
          <w:lang w:val="en-US" w:eastAsia="zh-CN"/>
        </w:rPr>
        <w:t>二、机构设置</w:t>
      </w:r>
      <w:bookmarkEnd w:id="16"/>
      <w:bookmarkEnd w:id="17"/>
    </w:p>
    <w:p w14:paraId="122E775D">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中国共产主义青年团攀枝花市西区委员会（本级）下属二级预算单位1个，其中行政单位0个，参照公务员法管理的事业单位0个，其他事业单位1个。</w:t>
      </w:r>
    </w:p>
    <w:p w14:paraId="42E18C23">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纳入中国共产主义青年团攀枝花市西区委员会（本级）2024年度部门决算编制范围的二级预算单位包括：</w:t>
      </w:r>
    </w:p>
    <w:p w14:paraId="03BDDC72">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bookmarkStart w:id="18" w:name="_Toc15377433"/>
      <w:bookmarkStart w:id="19" w:name="_Toc15377202"/>
      <w:bookmarkStart w:id="20" w:name="_Toc15378449"/>
      <w:bookmarkStart w:id="21" w:name="_Toc15306276"/>
      <w:r>
        <w:rPr>
          <w:rFonts w:hint="eastAsia" w:ascii="Times New Roman" w:hAnsi="Times New Roman" w:eastAsia="方正仿宋_GBK" w:cs="Times New Roman"/>
          <w:sz w:val="33"/>
          <w:szCs w:val="33"/>
          <w:lang w:val="en-US" w:eastAsia="zh-CN"/>
        </w:rPr>
        <w:t>1.攀枝花市西区青少年活动中心</w:t>
      </w:r>
      <w:bookmarkEnd w:id="18"/>
      <w:bookmarkEnd w:id="19"/>
      <w:bookmarkEnd w:id="20"/>
      <w:bookmarkEnd w:id="21"/>
    </w:p>
    <w:p w14:paraId="48E9E9A4">
      <w:pPr>
        <w:pStyle w:val="5"/>
        <w:numPr>
          <w:ilvl w:val="0"/>
          <w:numId w:val="0"/>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p>
    <w:p w14:paraId="705A4216">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339CBE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_GBK" w:cs="Times New Roman"/>
          <w:b/>
          <w:bCs/>
          <w:sz w:val="44"/>
          <w:szCs w:val="44"/>
          <w:lang w:val="en-US" w:eastAsia="zh-CN"/>
        </w:rPr>
      </w:pPr>
      <w:bookmarkStart w:id="22" w:name="_Toc15396602"/>
      <w:bookmarkStart w:id="23" w:name="_Toc15377204"/>
      <w:r>
        <w:rPr>
          <w:rFonts w:hint="eastAsia" w:ascii="Times New Roman" w:hAnsi="Times New Roman" w:eastAsia="方正小标宋_GBK" w:cs="Times New Roman"/>
          <w:b/>
          <w:bCs/>
          <w:sz w:val="44"/>
          <w:szCs w:val="44"/>
          <w:lang w:val="en-US" w:eastAsia="zh-CN"/>
        </w:rPr>
        <w:t>第二部分  2024年度部门决算情况说明</w:t>
      </w:r>
      <w:bookmarkEnd w:id="22"/>
      <w:bookmarkEnd w:id="23"/>
    </w:p>
    <w:p w14:paraId="52C4624A">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Times New Roman" w:hAnsi="Times New Roman" w:eastAsia="方正小标宋_GBK" w:cs="Times New Roman"/>
          <w:b/>
          <w:bCs/>
          <w:sz w:val="44"/>
          <w:szCs w:val="44"/>
          <w:lang w:val="en-US" w:eastAsia="zh-CN"/>
        </w:rPr>
      </w:pPr>
    </w:p>
    <w:p w14:paraId="3CC0D0A8">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24" w:name="_Toc15377205"/>
      <w:bookmarkStart w:id="25" w:name="_Toc15396603"/>
      <w:r>
        <w:rPr>
          <w:rFonts w:hint="eastAsia" w:asciiTheme="minorEastAsia" w:hAnsiTheme="minorEastAsia" w:eastAsiaTheme="minorEastAsia" w:cstheme="minorEastAsia"/>
          <w:b/>
          <w:bCs/>
          <w:sz w:val="33"/>
          <w:szCs w:val="33"/>
          <w:lang w:val="en-US" w:eastAsia="zh-CN"/>
        </w:rPr>
        <w:t>一、收入支出决算总体情况说明</w:t>
      </w:r>
      <w:bookmarkEnd w:id="24"/>
      <w:bookmarkEnd w:id="25"/>
    </w:p>
    <w:p w14:paraId="48E01E4C">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2024年度收入、支出总计均为91.64万元。与2023年度相比，收入、支出总计各增加13.47万元，增长14.69%。主要变动原因是人员经费、项目经费增加。</w:t>
      </w:r>
    </w:p>
    <w:p w14:paraId="1EE974E3">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（图1：收入、支出决算总计变动情况图）（柱状图）</w:t>
      </w:r>
    </w:p>
    <w:p w14:paraId="0517D8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467225" cy="2743200"/>
            <wp:effectExtent l="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467225" cy="2743200"/>
                    </a:xfrm>
                    <a:prstGeom prst="rect">
                      <a:avLst/>
                    </a:prstGeom>
                    <a:noFill/>
                    <a:ln>
                      <a:noFill/>
                    </a:ln>
                  </pic:spPr>
                </pic:pic>
              </a:graphicData>
            </a:graphic>
          </wp:inline>
        </w:drawing>
      </w:r>
    </w:p>
    <w:p w14:paraId="0B0396CB">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3" w:firstLineChars="200"/>
        <w:textAlignment w:val="auto"/>
        <w:outlineLvl w:val="1"/>
        <w:rPr>
          <w:rFonts w:hint="eastAsia" w:asciiTheme="minorEastAsia" w:hAnsiTheme="minorEastAsia" w:eastAsiaTheme="minorEastAsia" w:cstheme="minorEastAsia"/>
          <w:b/>
          <w:bCs/>
          <w:kern w:val="2"/>
          <w:sz w:val="33"/>
          <w:szCs w:val="33"/>
          <w:lang w:val="en-US" w:eastAsia="zh-CN" w:bidi="ar-SA"/>
        </w:rPr>
      </w:pPr>
      <w:bookmarkStart w:id="26" w:name="_Toc15396604"/>
      <w:bookmarkStart w:id="27" w:name="_Toc15377206"/>
      <w:r>
        <w:rPr>
          <w:rFonts w:hint="eastAsia" w:asciiTheme="minorEastAsia" w:hAnsiTheme="minorEastAsia" w:eastAsiaTheme="minorEastAsia" w:cstheme="minorEastAsia"/>
          <w:b/>
          <w:bCs/>
          <w:kern w:val="2"/>
          <w:sz w:val="33"/>
          <w:szCs w:val="33"/>
          <w:lang w:val="en-US" w:eastAsia="zh-CN" w:bidi="ar-SA"/>
        </w:rPr>
        <w:t>二、收入决算情况说明</w:t>
      </w:r>
      <w:bookmarkEnd w:id="26"/>
      <w:bookmarkEnd w:id="27"/>
    </w:p>
    <w:p w14:paraId="1B0C8E0E">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2024年度本年收入合计88.34万元，其中：一般公共预算财政拨款收入88.34万元，占100%。</w:t>
      </w:r>
    </w:p>
    <w:p w14:paraId="6E7C8ACA">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（图2：收入决算结构图）（饼状图）</w:t>
      </w:r>
    </w:p>
    <w:p w14:paraId="6EE8716B">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152900" cy="261937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152900" cy="2619375"/>
                    </a:xfrm>
                    <a:prstGeom prst="rect">
                      <a:avLst/>
                    </a:prstGeom>
                    <a:noFill/>
                    <a:ln>
                      <a:noFill/>
                    </a:ln>
                  </pic:spPr>
                </pic:pic>
              </a:graphicData>
            </a:graphic>
          </wp:inline>
        </w:drawing>
      </w:r>
    </w:p>
    <w:p w14:paraId="28E9AFAB">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3" w:firstLineChars="200"/>
        <w:textAlignment w:val="auto"/>
        <w:outlineLvl w:val="1"/>
        <w:rPr>
          <w:rFonts w:hint="eastAsia" w:asciiTheme="minorEastAsia" w:hAnsiTheme="minorEastAsia" w:eastAsiaTheme="minorEastAsia" w:cstheme="minorEastAsia"/>
          <w:b/>
          <w:bCs/>
          <w:kern w:val="2"/>
          <w:sz w:val="33"/>
          <w:szCs w:val="33"/>
          <w:lang w:val="en-US" w:eastAsia="zh-CN" w:bidi="ar-SA"/>
        </w:rPr>
      </w:pPr>
      <w:bookmarkStart w:id="28" w:name="_Toc15377207"/>
      <w:bookmarkStart w:id="29" w:name="_Toc15396605"/>
      <w:r>
        <w:rPr>
          <w:rFonts w:hint="eastAsia" w:asciiTheme="minorEastAsia" w:hAnsiTheme="minorEastAsia" w:eastAsiaTheme="minorEastAsia" w:cstheme="minorEastAsia"/>
          <w:b/>
          <w:bCs/>
          <w:kern w:val="2"/>
          <w:sz w:val="33"/>
          <w:szCs w:val="33"/>
          <w:lang w:val="en-US" w:eastAsia="zh-CN" w:bidi="ar-SA"/>
        </w:rPr>
        <w:t>三、支出决算情况说明</w:t>
      </w:r>
      <w:bookmarkEnd w:id="28"/>
      <w:bookmarkEnd w:id="29"/>
    </w:p>
    <w:p w14:paraId="450AF1DE">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2024年度本年支出合计91.64万元，其中：基本支出67.99万元，占74.2%；项目支出23.64万元，占25.79%。</w:t>
      </w:r>
    </w:p>
    <w:p w14:paraId="7FCBE718">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（图3：支出决算结构图）（饼状图）</w:t>
      </w:r>
    </w:p>
    <w:p w14:paraId="6D861352">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3857625" cy="278130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857625" cy="2781300"/>
                    </a:xfrm>
                    <a:prstGeom prst="rect">
                      <a:avLst/>
                    </a:prstGeom>
                    <a:noFill/>
                    <a:ln>
                      <a:noFill/>
                    </a:ln>
                  </pic:spPr>
                </pic:pic>
              </a:graphicData>
            </a:graphic>
          </wp:inline>
        </w:drawing>
      </w:r>
    </w:p>
    <w:p w14:paraId="191812A1">
      <w:pPr>
        <w:spacing w:line="600" w:lineRule="exact"/>
        <w:ind w:firstLine="663" w:firstLineChars="200"/>
        <w:outlineLvl w:val="1"/>
        <w:rPr>
          <w:rFonts w:hint="eastAsia" w:asciiTheme="minorEastAsia" w:hAnsiTheme="minorEastAsia" w:eastAsiaTheme="minorEastAsia" w:cstheme="minorEastAsia"/>
          <w:b/>
          <w:bCs/>
          <w:kern w:val="2"/>
          <w:sz w:val="33"/>
          <w:szCs w:val="33"/>
          <w:lang w:val="en-US" w:eastAsia="zh-CN" w:bidi="ar-SA"/>
        </w:rPr>
      </w:pPr>
      <w:bookmarkStart w:id="30" w:name="_Toc15377208"/>
      <w:bookmarkStart w:id="31" w:name="_Toc15396606"/>
      <w:r>
        <w:rPr>
          <w:rFonts w:hint="eastAsia" w:asciiTheme="minorEastAsia" w:hAnsiTheme="minorEastAsia" w:eastAsiaTheme="minorEastAsia" w:cstheme="minorEastAsia"/>
          <w:b/>
          <w:bCs/>
          <w:kern w:val="2"/>
          <w:sz w:val="33"/>
          <w:szCs w:val="33"/>
          <w:lang w:val="en-US" w:eastAsia="zh-CN" w:bidi="ar-SA"/>
        </w:rPr>
        <w:t>四、财政拨款收入支出决算总体情况说明</w:t>
      </w:r>
      <w:bookmarkEnd w:id="30"/>
      <w:bookmarkEnd w:id="31"/>
    </w:p>
    <w:p w14:paraId="131EC065">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2024年度财政拨款收入、支出总计均为91.64万元。与2023年度相比，财政拨款收入总计、支出总计各增加13.47万元，增长14.69%。主要变动原因是人员经费、项目经费增加。</w:t>
      </w:r>
    </w:p>
    <w:p w14:paraId="23E3EEC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（图4：财政拨款收、支决算总计变动情况）（柱状图）</w:t>
      </w:r>
    </w:p>
    <w:p w14:paraId="394F29E5">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67225" cy="2733675"/>
            <wp:effectExtent l="0" t="0" r="952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467225" cy="2733675"/>
                    </a:xfrm>
                    <a:prstGeom prst="rect">
                      <a:avLst/>
                    </a:prstGeom>
                    <a:noFill/>
                    <a:ln>
                      <a:noFill/>
                    </a:ln>
                  </pic:spPr>
                </pic:pic>
              </a:graphicData>
            </a:graphic>
          </wp:inline>
        </w:drawing>
      </w:r>
    </w:p>
    <w:p w14:paraId="422CAC5A">
      <w:pPr>
        <w:spacing w:line="600" w:lineRule="exact"/>
        <w:ind w:firstLine="663" w:firstLineChars="200"/>
        <w:outlineLvl w:val="1"/>
        <w:rPr>
          <w:rFonts w:hint="eastAsia" w:asciiTheme="minorEastAsia" w:hAnsiTheme="minorEastAsia" w:eastAsiaTheme="minorEastAsia" w:cstheme="minorEastAsia"/>
          <w:b/>
          <w:bCs/>
          <w:kern w:val="2"/>
          <w:sz w:val="33"/>
          <w:szCs w:val="33"/>
          <w:lang w:val="en-US" w:eastAsia="zh-CN" w:bidi="ar-SA"/>
        </w:rPr>
      </w:pPr>
      <w:bookmarkStart w:id="32" w:name="_Toc15377209"/>
      <w:bookmarkStart w:id="33" w:name="_Toc15396607"/>
      <w:r>
        <w:rPr>
          <w:rFonts w:hint="eastAsia" w:asciiTheme="minorEastAsia" w:hAnsiTheme="minorEastAsia" w:eastAsiaTheme="minorEastAsia" w:cstheme="minorEastAsia"/>
          <w:b/>
          <w:bCs/>
          <w:kern w:val="2"/>
          <w:sz w:val="33"/>
          <w:szCs w:val="33"/>
          <w:lang w:val="en-US" w:eastAsia="zh-CN" w:bidi="ar-SA"/>
        </w:rPr>
        <w:t>五、一般公共预算财政拨款支出决算情况说明</w:t>
      </w:r>
      <w:bookmarkEnd w:id="32"/>
      <w:bookmarkEnd w:id="33"/>
    </w:p>
    <w:p w14:paraId="4ABE98D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4"/>
    </w:p>
    <w:p w14:paraId="6E939B14">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2024年度一般公共预算财政拨款支出91.64万元，占本年支出合计的100%。与2023年度相比，一般公共预算财政拨款支出增加33.6万元，增长36.66%。主要变动原因是人员经费、项目经费增加。</w:t>
      </w:r>
    </w:p>
    <w:p w14:paraId="4B35414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（图5：一般公共预算财政拨款支出决算变动情况）（柱状图）</w:t>
      </w:r>
    </w:p>
    <w:p w14:paraId="7C26FBCF">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52725"/>
            <wp:effectExtent l="0" t="0" r="0"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4572000" cy="2752725"/>
                    </a:xfrm>
                    <a:prstGeom prst="rect">
                      <a:avLst/>
                    </a:prstGeom>
                    <a:noFill/>
                    <a:ln>
                      <a:noFill/>
                    </a:ln>
                  </pic:spPr>
                </pic:pic>
              </a:graphicData>
            </a:graphic>
          </wp:inline>
        </w:drawing>
      </w:r>
    </w:p>
    <w:p w14:paraId="747A2D3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5"/>
    </w:p>
    <w:p w14:paraId="0C922F8E">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一般公共预算财政拨款支出91.64万元，主要用于以下方面：一般公共服务支出74.58万元，占81.38%；文化旅游体育与传媒支出0.5万元，占0.55%；社会保障和就业支出5.88万元，占6.42%；卫生健康支出5.69万元，占6.2%；住房保障支出4.98万元，占5.45%。</w:t>
      </w:r>
    </w:p>
    <w:p w14:paraId="35D4FDDF">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（图6：一般公共预算财政拨款支出决算结构）（饼状图）</w:t>
      </w:r>
    </w:p>
    <w:p w14:paraId="6FFDB7DE">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62475" cy="2609850"/>
            <wp:effectExtent l="0" t="0" r="9525"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4562475" cy="2609850"/>
                    </a:xfrm>
                    <a:prstGeom prst="rect">
                      <a:avLst/>
                    </a:prstGeom>
                    <a:noFill/>
                    <a:ln>
                      <a:noFill/>
                    </a:ln>
                  </pic:spPr>
                </pic:pic>
              </a:graphicData>
            </a:graphic>
          </wp:inline>
        </w:drawing>
      </w:r>
    </w:p>
    <w:p w14:paraId="7FCF53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6"/>
    </w:p>
    <w:p w14:paraId="6AAF0530">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bookmarkStart w:id="37" w:name="_Toc15378460"/>
      <w:bookmarkStart w:id="38" w:name="_Toc15377213"/>
      <w:bookmarkStart w:id="39" w:name="_Toc15377444"/>
      <w:r>
        <w:rPr>
          <w:rFonts w:hint="eastAsia" w:ascii="Times New Roman" w:hAnsi="Times New Roman" w:eastAsia="方正仿宋_GBK" w:cs="Times New Roman"/>
          <w:sz w:val="33"/>
          <w:szCs w:val="33"/>
          <w:lang w:val="en-US" w:eastAsia="zh-CN"/>
        </w:rPr>
        <w:t>2024年度一般公共预算财政拨款支出决算数为91.64，完成预算100%。其中：</w:t>
      </w:r>
      <w:bookmarkEnd w:id="37"/>
      <w:bookmarkEnd w:id="38"/>
      <w:bookmarkEnd w:id="39"/>
    </w:p>
    <w:p w14:paraId="4BF0E90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1.一般公共服务支出（类）群众团体事务（款）行政运行（项）：支出决算为41.22万元，完成预算44.98%，完成预算100%。</w:t>
      </w:r>
    </w:p>
    <w:p w14:paraId="25BFF69E">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2.一般公共服务支出（类）群众团体事务（款）事业运行（项）: 支出决算为10.22万元，完成预算100%。</w:t>
      </w:r>
    </w:p>
    <w:p w14:paraId="48C8891D">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3.一般公共服务支出（类）群众团体事务（款）其他群众团体事务支出（项）：支出决算为23.14万元，完成预算100%。</w:t>
      </w:r>
    </w:p>
    <w:p w14:paraId="0B376107">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4.文化旅游体育与传媒支出（类）其他文化旅游体育与传媒支出（款）其他文化旅游体育与传媒支出（项）：支出决算为0.5万元，完成预算100%。</w:t>
      </w:r>
    </w:p>
    <w:p w14:paraId="6C8631F9">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5.社会保障和就业支出（类）行政事业单位养老支出（款）机关事业单位基本养老保险缴费支出（项）：支出决算为5.88万元，</w:t>
      </w:r>
      <w:bookmarkStart w:id="40" w:name="OLE_LINK1"/>
      <w:r>
        <w:rPr>
          <w:rFonts w:hint="eastAsia" w:ascii="Times New Roman" w:hAnsi="Times New Roman" w:eastAsia="方正仿宋_GBK" w:cs="Times New Roman"/>
          <w:sz w:val="33"/>
          <w:szCs w:val="33"/>
          <w:lang w:val="en-US" w:eastAsia="zh-CN"/>
        </w:rPr>
        <w:t>完成预算100%</w:t>
      </w:r>
      <w:bookmarkEnd w:id="40"/>
      <w:r>
        <w:rPr>
          <w:rFonts w:hint="eastAsia" w:ascii="Times New Roman" w:hAnsi="Times New Roman" w:eastAsia="方正仿宋_GBK" w:cs="Times New Roman"/>
          <w:sz w:val="33"/>
          <w:szCs w:val="33"/>
          <w:lang w:val="en-US" w:eastAsia="zh-CN"/>
        </w:rPr>
        <w:t>。</w:t>
      </w:r>
    </w:p>
    <w:p w14:paraId="67AD1BBE">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6.卫生健康支出（类）行政事业单位医疗（款）行政单位医疗（项）：支出决算为2.54万元，完成预算100%。</w:t>
      </w:r>
    </w:p>
    <w:p w14:paraId="3B128257">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7.卫生健康支出（类）行政事业单位医疗（款）事业单位医疗（项）：支出决算为0.88万元，完成预算100%。</w:t>
      </w:r>
    </w:p>
    <w:p w14:paraId="601C95C1">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8.卫生健康支出（类）行政事业单位医疗（款）公务员医疗补助（项）：支出决算为1.73万元，完成预算100%。</w:t>
      </w:r>
    </w:p>
    <w:p w14:paraId="332A4C08">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9.卫生健康支出（类）行政事业单位医疗（款）其他行政事业单位医疗支出（项）：支出决算为0.54万元，完成预算100%。</w:t>
      </w:r>
    </w:p>
    <w:p w14:paraId="44C421F9">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10.住房保障支出（类）住房改革支出（款）住房公积金（项）：支出决算为4.98万元，完成预算100%。</w:t>
      </w:r>
    </w:p>
    <w:p w14:paraId="47E441E8">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41" w:name="_Toc15377214"/>
      <w:bookmarkStart w:id="42" w:name="_Toc15396608"/>
      <w:r>
        <w:rPr>
          <w:rFonts w:hint="eastAsia" w:asciiTheme="minorEastAsia" w:hAnsiTheme="minorEastAsia" w:eastAsiaTheme="minorEastAsia" w:cstheme="minorEastAsia"/>
          <w:b/>
          <w:bCs/>
          <w:sz w:val="33"/>
          <w:szCs w:val="33"/>
          <w:lang w:val="en-US" w:eastAsia="zh-CN"/>
        </w:rPr>
        <w:t>六、一般公共预算财政拨款基本支出决算情况说明</w:t>
      </w:r>
      <w:bookmarkEnd w:id="41"/>
      <w:bookmarkEnd w:id="42"/>
      <w:r>
        <w:rPr>
          <w:rFonts w:hint="eastAsia" w:asciiTheme="minorEastAsia" w:hAnsiTheme="minorEastAsia" w:eastAsiaTheme="minorEastAsia" w:cstheme="minorEastAsia"/>
          <w:b/>
          <w:bCs/>
          <w:sz w:val="33"/>
          <w:szCs w:val="33"/>
          <w:lang w:val="en-US" w:eastAsia="zh-CN"/>
        </w:rPr>
        <w:tab/>
      </w:r>
    </w:p>
    <w:p w14:paraId="72BC2399">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2024年度一般公共预算财政拨款基本支出67.99万元，其中：</w:t>
      </w:r>
    </w:p>
    <w:p w14:paraId="6491DB12">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sz w:val="33"/>
          <w:szCs w:val="33"/>
          <w:lang w:val="en-US" w:eastAsia="zh-CN"/>
        </w:rPr>
        <w:t>人员经费62.87万元，主要包括：基本工资、津贴补贴、奖金、绩效工资、机关事业单位基本养老保险缴费、其他社会保障缴费、其他工资福利支出、住房公积金等。</w:t>
      </w:r>
      <w:r>
        <w:rPr>
          <w:rFonts w:hint="eastAsia" w:ascii="Times New Roman" w:hAnsi="Times New Roman" w:eastAsia="方正仿宋_GBK" w:cs="Times New Roman"/>
          <w:sz w:val="33"/>
          <w:szCs w:val="33"/>
          <w:lang w:val="en-US" w:eastAsia="zh-CN"/>
        </w:rPr>
        <w:br w:type="textWrapping"/>
      </w:r>
      <w:r>
        <w:rPr>
          <w:rFonts w:hint="eastAsia" w:ascii="Times New Roman" w:hAnsi="Times New Roman" w:eastAsia="方正仿宋_GBK" w:cs="Times New Roman"/>
          <w:sz w:val="33"/>
          <w:szCs w:val="33"/>
          <w:lang w:val="en-US" w:eastAsia="zh-CN"/>
        </w:rPr>
        <w:t>　　公用经费5.12万元，主要包括：办公费、印刷费、差旅费、公务接待费、劳务费、委托业务费、工会经费、福利费、其他交通费、其他商品和服务支出。</w:t>
      </w:r>
    </w:p>
    <w:p w14:paraId="0FA431C6">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43" w:name="_Toc15396609"/>
      <w:bookmarkStart w:id="44" w:name="_Toc15377215"/>
      <w:r>
        <w:rPr>
          <w:rFonts w:hint="eastAsia" w:asciiTheme="minorEastAsia" w:hAnsiTheme="minorEastAsia" w:eastAsiaTheme="minorEastAsia" w:cstheme="minorEastAsia"/>
          <w:b/>
          <w:bCs/>
          <w:sz w:val="33"/>
          <w:szCs w:val="33"/>
          <w:lang w:val="en-US" w:eastAsia="zh-CN"/>
        </w:rPr>
        <w:t>七、财政拨款“三公”经费支出决算情况说明</w:t>
      </w:r>
      <w:bookmarkEnd w:id="43"/>
      <w:bookmarkEnd w:id="44"/>
    </w:p>
    <w:p w14:paraId="4526947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5"/>
    </w:p>
    <w:p w14:paraId="13C91AF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2024年度“三公”经费财政拨款支出决算为0.08万元，完成预算100%，较上年度增加0.08万元，增长100%。决算与预算数持平。</w:t>
      </w:r>
    </w:p>
    <w:p w14:paraId="2B6EB5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6"/>
    </w:p>
    <w:p w14:paraId="5B7D618A">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2024年度“三公”经费财政拨款支出决算中，因公出国（境）费支出决算0万元，占0%；公务用车购置及运行维护费支出决算0万元，占0%；公务接待费支出决算0.08万元，占100%。具体情况如下：</w:t>
      </w:r>
    </w:p>
    <w:p w14:paraId="619C87DC">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（图7：“三公”经费财政拨款支出结构）（饼状图）</w:t>
      </w:r>
    </w:p>
    <w:p w14:paraId="37B93A5D">
      <w:pPr>
        <w:spacing w:line="240" w:lineRule="auto"/>
        <w:ind w:firstLine="0"/>
        <w:jc w:val="center"/>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505325" cy="2743200"/>
            <wp:effectExtent l="0" t="0" r="952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a:stretch>
                      <a:fillRect/>
                    </a:stretch>
                  </pic:blipFill>
                  <pic:spPr>
                    <a:xfrm>
                      <a:off x="0" y="0"/>
                      <a:ext cx="4505325" cy="2743200"/>
                    </a:xfrm>
                    <a:prstGeom prst="rect">
                      <a:avLst/>
                    </a:prstGeom>
                    <a:noFill/>
                    <a:ln>
                      <a:noFill/>
                    </a:ln>
                  </pic:spPr>
                </pic:pic>
              </a:graphicData>
            </a:graphic>
          </wp:inline>
        </w:drawing>
      </w:r>
    </w:p>
    <w:p w14:paraId="400B2566">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1.因公出国（境）经费支出0万元，完成预算0%。</w:t>
      </w:r>
      <w:r>
        <w:rPr>
          <w:rFonts w:hint="eastAsia" w:ascii="Times New Roman" w:hAnsi="Times New Roman" w:eastAsia="方正仿宋_GBK" w:cs="Times New Roman"/>
          <w:sz w:val="33"/>
          <w:szCs w:val="33"/>
          <w:lang w:val="en-US" w:eastAsia="zh-CN"/>
        </w:rPr>
        <w:t>全年安排因公出国（境）团组0次，出国（境）0人。因公出国（境）支出决算与2023年度持平。主要原因是无三公经费支出。</w:t>
      </w:r>
    </w:p>
    <w:p w14:paraId="3FBC5F12">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开支内容包括：无。</w:t>
      </w:r>
    </w:p>
    <w:p w14:paraId="140EA04E">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2.公务用车购置及运行维护费支出0万元，完成预算0%。</w:t>
      </w:r>
      <w:r>
        <w:rPr>
          <w:rFonts w:hint="eastAsia" w:ascii="Times New Roman" w:hAnsi="Times New Roman" w:eastAsia="方正仿宋_GBK" w:cs="Times New Roman"/>
          <w:sz w:val="33"/>
          <w:szCs w:val="33"/>
          <w:lang w:val="en-US" w:eastAsia="zh-CN"/>
        </w:rPr>
        <w:t>公务用车购置及运行维护费支出决算与2023年度持平。主要原因是本单位无车辆。</w:t>
      </w:r>
    </w:p>
    <w:p w14:paraId="56CEDFB4">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015FB0C9">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公务用车运行维护费支出0万元。</w:t>
      </w:r>
    </w:p>
    <w:p w14:paraId="0F027D64">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3.公务接待费支出0.08万元，完成预算100%。</w:t>
      </w:r>
      <w:r>
        <w:rPr>
          <w:rFonts w:hint="eastAsia" w:ascii="Times New Roman" w:hAnsi="Times New Roman" w:eastAsia="方正仿宋_GBK" w:cs="Times New Roman"/>
          <w:sz w:val="33"/>
          <w:szCs w:val="33"/>
          <w:lang w:val="en-US" w:eastAsia="zh-CN"/>
        </w:rPr>
        <w:t>公务接待费支出决算比2023年度增加0.08万元，增长100%。主要原因是年度重点工作推进带来的接待需求增长。其中：</w:t>
      </w:r>
    </w:p>
    <w:p w14:paraId="57746A36">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国内公务接待支出0.08万元，主要用于开展业务活动开支的用餐费。国内公务接待1批次，10人次（不包括陪同人员），共计支出0.08万元，具体内容包括：米易县关工委赴西区交流学习关工委工作公务接待费0.08万元。</w:t>
      </w:r>
    </w:p>
    <w:p w14:paraId="63E4619B">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sz w:val="33"/>
          <w:szCs w:val="33"/>
          <w:lang w:val="en-US" w:eastAsia="zh-CN"/>
        </w:rPr>
        <w:t>外事接待支出0万元。</w:t>
      </w:r>
      <w:bookmarkStart w:id="47" w:name="_Toc15377218"/>
      <w:bookmarkStart w:id="48" w:name="_Toc15396610"/>
    </w:p>
    <w:p w14:paraId="2D6C910B">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r>
        <w:rPr>
          <w:rFonts w:hint="eastAsia" w:asciiTheme="minorEastAsia" w:hAnsiTheme="minorEastAsia" w:eastAsiaTheme="minorEastAsia" w:cstheme="minorEastAsia"/>
          <w:b/>
          <w:bCs/>
          <w:sz w:val="33"/>
          <w:szCs w:val="33"/>
          <w:lang w:val="en-US" w:eastAsia="zh-CN"/>
        </w:rPr>
        <w:t>八、政府性基金预算支出决算情况说明</w:t>
      </w:r>
      <w:bookmarkEnd w:id="47"/>
      <w:bookmarkEnd w:id="48"/>
    </w:p>
    <w:p w14:paraId="359B736E">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2024年度政府性基金预算财政拨款支出0万元，占本年支出合计的0%。与2023年度相比，政府性基金预算财政拨款支出减少20.13万元，下降100%。主要变动原因是2024年度未安排政府性基金预算财政拨款。</w:t>
      </w:r>
    </w:p>
    <w:p w14:paraId="7249F652">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bookmarkStart w:id="49" w:name="_Toc15377219"/>
      <w:bookmarkStart w:id="50" w:name="_Toc15396611"/>
      <w:r>
        <w:rPr>
          <w:rFonts w:hint="eastAsia" w:asciiTheme="minorEastAsia" w:hAnsiTheme="minorEastAsia" w:eastAsiaTheme="minorEastAsia" w:cstheme="minorEastAsia"/>
          <w:b/>
          <w:bCs/>
          <w:sz w:val="33"/>
          <w:szCs w:val="33"/>
          <w:lang w:val="en-US" w:eastAsia="zh-CN"/>
        </w:rPr>
        <w:t>九、国有资本经营预算支出决算情况说明</w:t>
      </w:r>
      <w:bookmarkEnd w:id="49"/>
      <w:bookmarkEnd w:id="50"/>
    </w:p>
    <w:p w14:paraId="483DA27E">
      <w:pPr>
        <w:keepNext w:val="0"/>
        <w:keepLines w:val="0"/>
        <w:pageBreakBefore w:val="0"/>
        <w:widowControl w:val="0"/>
        <w:kinsoku/>
        <w:wordWrap/>
        <w:overflowPunct/>
        <w:topLinePunct w:val="0"/>
        <w:autoSpaceDE/>
        <w:autoSpaceDN/>
        <w:bidi w:val="0"/>
        <w:adjustRightInd/>
        <w:snapToGrid/>
        <w:ind w:firstLine="660" w:firstLineChars="200"/>
        <w:textAlignment w:val="auto"/>
        <w:rPr>
          <w:rStyle w:val="33"/>
          <w:rFonts w:hint="eastAsia" w:ascii="Times New Roman" w:hAnsi="Times New Roman" w:eastAsia="黑体"/>
          <w:b w:val="0"/>
          <w:color w:val="auto"/>
          <w:highlight w:val="none"/>
          <w:lang w:eastAsia="zh-CN"/>
        </w:rPr>
      </w:pPr>
      <w:r>
        <w:rPr>
          <w:rFonts w:hint="eastAsia" w:ascii="Times New Roman" w:hAnsi="Times New Roman" w:eastAsia="方正仿宋_GBK" w:cs="Times New Roman"/>
          <w:sz w:val="33"/>
          <w:szCs w:val="33"/>
          <w:lang w:val="en-US" w:eastAsia="zh-CN"/>
        </w:rPr>
        <w:t>2024年度国有资本经营预算财政拨款支出0万元。</w:t>
      </w:r>
      <w:bookmarkStart w:id="51" w:name="_Toc15396612"/>
      <w:bookmarkStart w:id="52" w:name="_Toc15377221"/>
    </w:p>
    <w:p w14:paraId="4AB75474">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eastAsia" w:asciiTheme="minorEastAsia" w:hAnsiTheme="minorEastAsia" w:eastAsiaTheme="minorEastAsia" w:cstheme="minorEastAsia"/>
          <w:b/>
          <w:bCs/>
          <w:sz w:val="33"/>
          <w:szCs w:val="33"/>
          <w:lang w:val="en-US" w:eastAsia="zh-CN"/>
        </w:rPr>
      </w:pPr>
      <w:r>
        <w:rPr>
          <w:rFonts w:hint="eastAsia" w:asciiTheme="minorEastAsia" w:hAnsiTheme="minorEastAsia" w:eastAsiaTheme="minorEastAsia" w:cstheme="minorEastAsia"/>
          <w:b/>
          <w:bCs/>
          <w:sz w:val="33"/>
          <w:szCs w:val="33"/>
          <w:lang w:val="en-US" w:eastAsia="zh-CN"/>
        </w:rPr>
        <w:t>十、其他重要事项的情况说明</w:t>
      </w:r>
      <w:bookmarkEnd w:id="51"/>
      <w:bookmarkEnd w:id="52"/>
    </w:p>
    <w:p w14:paraId="4100060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3" w:name="_Toc15377222"/>
      <w:r>
        <w:rPr>
          <w:rFonts w:hint="eastAsia" w:ascii="Times New Roman" w:hAnsi="Times New Roman" w:eastAsia="楷体_GB2312" w:cs="楷体_GB2312"/>
          <w:b/>
          <w:color w:val="auto"/>
          <w:sz w:val="32"/>
          <w:szCs w:val="32"/>
          <w:highlight w:val="none"/>
        </w:rPr>
        <w:t>（一）机关运行经费支出情况</w:t>
      </w:r>
      <w:bookmarkEnd w:id="53"/>
    </w:p>
    <w:p w14:paraId="3C637ADB">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2024年度，中国共产主义青年团攀枝花市西区委员会（本级）机关运行经费支出5.12万元，比2023年度增加1.57万元，增长30.66%。主要原因是支付了2023年度报刊费等。</w:t>
      </w:r>
    </w:p>
    <w:p w14:paraId="6719852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23"/>
      <w:r>
        <w:rPr>
          <w:rFonts w:hint="eastAsia" w:ascii="Times New Roman" w:hAnsi="Times New Roman" w:eastAsia="楷体_GB2312" w:cs="楷体_GB2312"/>
          <w:b/>
          <w:color w:val="auto"/>
          <w:sz w:val="32"/>
          <w:szCs w:val="32"/>
          <w:highlight w:val="none"/>
        </w:rPr>
        <w:t>（二）政府采购支出情况</w:t>
      </w:r>
      <w:bookmarkEnd w:id="54"/>
    </w:p>
    <w:p w14:paraId="4925077E">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度，中国共产主义青年团攀枝花市西区委员会（本级）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1DCCEC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5" w:name="_Toc15377224"/>
      <w:r>
        <w:rPr>
          <w:rFonts w:hint="eastAsia" w:ascii="Times New Roman" w:hAnsi="Times New Roman" w:eastAsia="楷体_GB2312" w:cs="楷体_GB2312"/>
          <w:b/>
          <w:color w:val="auto"/>
          <w:sz w:val="32"/>
          <w:szCs w:val="32"/>
          <w:highlight w:val="none"/>
        </w:rPr>
        <w:t>（三）国有资产占有使用情况</w:t>
      </w:r>
      <w:bookmarkEnd w:id="55"/>
    </w:p>
    <w:p w14:paraId="111CE273">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截至2024年12月31日，中国共产主义青年团攀枝花市西区委员会（本级）共有车辆0辆，其中：主要负责人用车0辆、机要通信用车0辆、应急保障用车0辆、其他用车0辆。单价100万元（含）以上设备（不含车辆）0台（套）。</w:t>
      </w:r>
    </w:p>
    <w:p w14:paraId="4919404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72772FC">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根据预算绩效管理要求，本部门在2024年度预算编制阶段，组织对团委工作活动经费、志愿服务事业发展经费项目等5个项目开展了预算事前绩效评估，对5个项目编制了绩效目标，预算执行过程中，选取5个项目开展绩效监控。</w:t>
      </w:r>
    </w:p>
    <w:p w14:paraId="37884F3C">
      <w:pPr>
        <w:spacing w:line="600" w:lineRule="exact"/>
        <w:ind w:firstLine="640"/>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组织对2024年度一般公共预算、政府性基金预算全面开展绩效自评，形成西区团委部门整体（含部门预算项目）绩效自评报告，其中，西区团委部门整体（含部门预算项目）绩效自评得分为97分，绩效自评综述：严格预算支出管理。在支出预算编制上，人员经费按照配置定额，逐人核定编制，公用经费分类分档，按定额编制；根据“总量控制、计划管理”的要求从严控制行政经费，压缩公务费开支，严格控制“三公”经费，按照预算科目和项目资金的规定使用财政资金，保障部门整体支出的规范化、制度化。绩效自评报告详见附件。</w:t>
      </w:r>
    </w:p>
    <w:p w14:paraId="0FA4184D">
      <w:pPr>
        <w:spacing w:line="600" w:lineRule="exact"/>
        <w:ind w:firstLine="640"/>
        <w:rPr>
          <w:rFonts w:hint="eastAsia" w:ascii="Times New Roman" w:hAnsi="Times New Roman" w:eastAsia="方正仿宋_GBK" w:cs="Times New Roman"/>
          <w:sz w:val="33"/>
          <w:szCs w:val="33"/>
          <w:lang w:val="en-US" w:eastAsia="zh-CN"/>
        </w:rPr>
      </w:pPr>
    </w:p>
    <w:p w14:paraId="3618EB23">
      <w:pPr>
        <w:spacing w:line="600" w:lineRule="exact"/>
        <w:ind w:firstLine="640"/>
        <w:rPr>
          <w:rFonts w:hint="eastAsia" w:ascii="Times New Roman" w:hAnsi="Times New Roman" w:eastAsia="方正仿宋_GBK" w:cs="Times New Roman"/>
          <w:sz w:val="33"/>
          <w:szCs w:val="33"/>
          <w:lang w:val="en-US" w:eastAsia="zh-CN"/>
        </w:rPr>
      </w:pPr>
    </w:p>
    <w:p w14:paraId="77A58853">
      <w:pPr>
        <w:pStyle w:val="9"/>
        <w:rPr>
          <w:rFonts w:hint="eastAsia" w:ascii="Times New Roman" w:hAnsi="Times New Roman" w:eastAsia="仿宋_GB2312" w:cs="仿宋_GB2312"/>
          <w:color w:val="auto"/>
          <w:kern w:val="2"/>
          <w:sz w:val="32"/>
          <w:szCs w:val="32"/>
          <w:highlight w:val="none"/>
          <w:lang w:val="en-US" w:eastAsia="zh-CN" w:bidi="ar-SA"/>
        </w:rPr>
      </w:pPr>
    </w:p>
    <w:p w14:paraId="1F0D3AD1">
      <w:pPr>
        <w:rPr>
          <w:rFonts w:hint="eastAsia" w:ascii="Times New Roman" w:hAnsi="Times New Roman" w:eastAsia="仿宋_GB2312" w:cs="仿宋_GB2312"/>
          <w:color w:val="auto"/>
          <w:kern w:val="2"/>
          <w:sz w:val="32"/>
          <w:szCs w:val="32"/>
          <w:highlight w:val="none"/>
          <w:lang w:val="en-US" w:eastAsia="zh-CN" w:bidi="ar-SA"/>
        </w:rPr>
      </w:pPr>
    </w:p>
    <w:p w14:paraId="0DB9BDA9">
      <w:pPr>
        <w:pStyle w:val="9"/>
        <w:rPr>
          <w:rFonts w:hint="eastAsia" w:ascii="Times New Roman" w:hAnsi="Times New Roman" w:eastAsia="仿宋_GB2312" w:cs="仿宋_GB2312"/>
          <w:color w:val="auto"/>
          <w:kern w:val="2"/>
          <w:sz w:val="32"/>
          <w:szCs w:val="32"/>
          <w:highlight w:val="none"/>
          <w:lang w:val="en-US" w:eastAsia="zh-CN" w:bidi="ar-SA"/>
        </w:rPr>
      </w:pPr>
    </w:p>
    <w:p w14:paraId="09F0A71E">
      <w:pPr>
        <w:rPr>
          <w:rFonts w:hint="eastAsia" w:ascii="Times New Roman" w:hAnsi="Times New Roman" w:eastAsia="仿宋_GB2312" w:cs="仿宋_GB2312"/>
          <w:color w:val="auto"/>
          <w:kern w:val="2"/>
          <w:sz w:val="32"/>
          <w:szCs w:val="32"/>
          <w:highlight w:val="none"/>
          <w:lang w:val="en-US" w:eastAsia="zh-CN" w:bidi="ar-SA"/>
        </w:rPr>
      </w:pPr>
    </w:p>
    <w:p w14:paraId="6B495BFB">
      <w:pPr>
        <w:pStyle w:val="9"/>
        <w:rPr>
          <w:rFonts w:hint="eastAsia" w:ascii="Times New Roman" w:hAnsi="Times New Roman" w:eastAsia="仿宋_GB2312" w:cs="仿宋_GB2312"/>
          <w:color w:val="auto"/>
          <w:kern w:val="2"/>
          <w:sz w:val="32"/>
          <w:szCs w:val="32"/>
          <w:highlight w:val="none"/>
          <w:lang w:val="en-US" w:eastAsia="zh-CN" w:bidi="ar-SA"/>
        </w:rPr>
      </w:pPr>
    </w:p>
    <w:p w14:paraId="33EB126E">
      <w:pPr>
        <w:rPr>
          <w:rFonts w:hint="eastAsia" w:ascii="Times New Roman" w:hAnsi="Times New Roman" w:eastAsia="仿宋_GB2312" w:cs="仿宋_GB2312"/>
          <w:color w:val="auto"/>
          <w:kern w:val="2"/>
          <w:sz w:val="32"/>
          <w:szCs w:val="32"/>
          <w:highlight w:val="none"/>
          <w:lang w:val="en-US" w:eastAsia="zh-CN" w:bidi="ar-SA"/>
        </w:rPr>
      </w:pPr>
    </w:p>
    <w:p w14:paraId="5A0D557B">
      <w:pPr>
        <w:pStyle w:val="9"/>
        <w:rPr>
          <w:rFonts w:hint="eastAsia" w:ascii="Times New Roman" w:hAnsi="Times New Roman" w:eastAsia="仿宋_GB2312" w:cs="仿宋_GB2312"/>
          <w:color w:val="auto"/>
          <w:kern w:val="2"/>
          <w:sz w:val="32"/>
          <w:szCs w:val="32"/>
          <w:highlight w:val="none"/>
          <w:lang w:val="en-US" w:eastAsia="zh-CN" w:bidi="ar-SA"/>
        </w:rPr>
      </w:pPr>
    </w:p>
    <w:p w14:paraId="17413B4F">
      <w:pPr>
        <w:rPr>
          <w:rFonts w:hint="eastAsia" w:ascii="Times New Roman" w:hAnsi="Times New Roman" w:eastAsia="仿宋_GB2312" w:cs="仿宋_GB2312"/>
          <w:color w:val="auto"/>
          <w:kern w:val="2"/>
          <w:sz w:val="32"/>
          <w:szCs w:val="32"/>
          <w:highlight w:val="none"/>
          <w:lang w:val="en-US" w:eastAsia="zh-CN" w:bidi="ar-SA"/>
        </w:rPr>
      </w:pPr>
    </w:p>
    <w:p w14:paraId="7324DB5A">
      <w:pPr>
        <w:pStyle w:val="9"/>
        <w:rPr>
          <w:rFonts w:hint="eastAsia" w:ascii="Times New Roman" w:hAnsi="Times New Roman" w:eastAsia="仿宋_GB2312" w:cs="仿宋_GB2312"/>
          <w:color w:val="auto"/>
          <w:kern w:val="2"/>
          <w:sz w:val="32"/>
          <w:szCs w:val="32"/>
          <w:highlight w:val="none"/>
          <w:lang w:val="en-US" w:eastAsia="zh-CN" w:bidi="ar-SA"/>
        </w:rPr>
      </w:pPr>
    </w:p>
    <w:p w14:paraId="1E03EE26">
      <w:pPr>
        <w:rPr>
          <w:rFonts w:hint="eastAsia" w:ascii="Times New Roman" w:hAnsi="Times New Roman" w:eastAsia="仿宋_GB2312" w:cs="仿宋_GB2312"/>
          <w:color w:val="auto"/>
          <w:kern w:val="2"/>
          <w:sz w:val="32"/>
          <w:szCs w:val="32"/>
          <w:highlight w:val="none"/>
          <w:lang w:val="en-US" w:eastAsia="zh-CN" w:bidi="ar-SA"/>
        </w:rPr>
      </w:pPr>
    </w:p>
    <w:p w14:paraId="1B08042E">
      <w:pPr>
        <w:pStyle w:val="9"/>
        <w:rPr>
          <w:rFonts w:hint="eastAsia" w:ascii="Times New Roman" w:hAnsi="Times New Roman" w:eastAsia="仿宋_GB2312" w:cs="仿宋_GB2312"/>
          <w:color w:val="auto"/>
          <w:kern w:val="2"/>
          <w:sz w:val="32"/>
          <w:szCs w:val="32"/>
          <w:highlight w:val="none"/>
          <w:lang w:val="en-US" w:eastAsia="zh-CN" w:bidi="ar-SA"/>
        </w:rPr>
      </w:pPr>
    </w:p>
    <w:p w14:paraId="7B21E84F">
      <w:pPr>
        <w:rPr>
          <w:rFonts w:hint="eastAsia" w:ascii="Times New Roman" w:hAnsi="Times New Roman" w:eastAsia="仿宋_GB2312" w:cs="仿宋_GB2312"/>
          <w:color w:val="auto"/>
          <w:kern w:val="2"/>
          <w:sz w:val="32"/>
          <w:szCs w:val="32"/>
          <w:highlight w:val="none"/>
          <w:lang w:val="en-US" w:eastAsia="zh-CN" w:bidi="ar-SA"/>
        </w:rPr>
      </w:pPr>
    </w:p>
    <w:p w14:paraId="7B49650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_GBK" w:cs="Times New Roman"/>
          <w:b/>
          <w:bCs/>
          <w:sz w:val="44"/>
          <w:szCs w:val="44"/>
          <w:lang w:val="en-US" w:eastAsia="zh-CN"/>
        </w:rPr>
      </w:pPr>
      <w:bookmarkStart w:id="56" w:name="_Toc15377225"/>
      <w:bookmarkStart w:id="57" w:name="_Toc15396613"/>
      <w:r>
        <w:rPr>
          <w:rFonts w:hint="eastAsia" w:ascii="Times New Roman" w:hAnsi="Times New Roman" w:eastAsia="方正小标宋_GBK" w:cs="Times New Roman"/>
          <w:b/>
          <w:bCs/>
          <w:sz w:val="44"/>
          <w:szCs w:val="44"/>
          <w:lang w:val="en-US" w:eastAsia="zh-CN"/>
        </w:rPr>
        <w:t>第三部分  名词解释</w:t>
      </w:r>
      <w:bookmarkEnd w:id="56"/>
      <w:bookmarkEnd w:id="57"/>
    </w:p>
    <w:p w14:paraId="28631611">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Times New Roman" w:hAnsi="Times New Roman" w:eastAsia="方正小标宋_GBK" w:cs="Times New Roman"/>
          <w:b/>
          <w:bCs/>
          <w:sz w:val="44"/>
          <w:szCs w:val="44"/>
          <w:lang w:val="en-US" w:eastAsia="zh-CN"/>
        </w:rPr>
      </w:pPr>
    </w:p>
    <w:p w14:paraId="1736A6EE">
      <w:pPr>
        <w:pStyle w:val="30"/>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1.财政拨款收入：指单位从同级财政部门取得的财政预算资金。</w:t>
      </w:r>
    </w:p>
    <w:p w14:paraId="1CD307D6">
      <w:pPr>
        <w:pStyle w:val="30"/>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2.事业收入：指事业单位开展专业业务活动及辅助活动取得的收入。</w:t>
      </w:r>
    </w:p>
    <w:p w14:paraId="3F00421F">
      <w:pPr>
        <w:pStyle w:val="30"/>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3.经营收入：指事业单位在专业业务活动及其辅助活动之外开展非独立核算经营活动取得的收入。</w:t>
      </w:r>
    </w:p>
    <w:p w14:paraId="4721C4CD">
      <w:pPr>
        <w:pStyle w:val="30"/>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4.其他收入：指单位取得的除上述收入以外的各项收入。 </w:t>
      </w:r>
    </w:p>
    <w:p w14:paraId="24EA0848">
      <w:pPr>
        <w:pStyle w:val="30"/>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5.使用非财政拨款结余（含专用结余）：指事业单位使用以前年度积累的非财政拨款结余弥补当年收支差额的金额。 </w:t>
      </w:r>
    </w:p>
    <w:p w14:paraId="27999239">
      <w:pPr>
        <w:pStyle w:val="30"/>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6.年初结转和结余：指以前年度尚未完成、结转到本年按有关规定继续使用的资金。 </w:t>
      </w:r>
    </w:p>
    <w:p w14:paraId="0D0F1085">
      <w:pPr>
        <w:pStyle w:val="30"/>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7.结余分配：指事业单位按照会计制度规定缴纳的所得税、提取的专用结余以及转入非财政拨款结余的金额等。</w:t>
      </w:r>
    </w:p>
    <w:p w14:paraId="5B98EB35">
      <w:pPr>
        <w:pStyle w:val="30"/>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8.年末结转和结余：指单位按有关规定结转到下年或以后年度继续使用的资金。</w:t>
      </w:r>
    </w:p>
    <w:p w14:paraId="1B0A533A">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9.一般公共服务支出（类）群众团体事务（款）行政运行（项）：反映行政单位（包括实行公务员管理的事业单位）的基本支出。</w:t>
      </w:r>
    </w:p>
    <w:p w14:paraId="27C29388">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10.一般公共服务支出（类）群众团体事务（款）事业运行（项）：反映事业单位的基本支出，不包括行政单位（包括实行公务员管理的事业单位）后勤服务中心、医务室等附属事业单位。</w:t>
      </w:r>
    </w:p>
    <w:p w14:paraId="2805666A">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11.社会保障和就业支出（类）行政事业单位养老支出（款）机关事业单位基本养老保险缴费支出（项）：指机关事业单位实施养老保险制度有单位缴纳的基本养老保险费支出。</w:t>
      </w:r>
    </w:p>
    <w:p w14:paraId="63D83B2C">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12.卫生健康支出支出（类）行政事业单位医疗支出（款） 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485609D8">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13.卫生健康支出支出（类）行政事业单位医疗支出（款）事业单位医疗（项）:反映财政部门安排的事业单位基本医疗保险缴费经费，未参加医疗保险的事业单位的公费医疗经费，按国家规定享受离休人员待遇的医疗经费。</w:t>
      </w:r>
    </w:p>
    <w:p w14:paraId="039B15FF">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14.卫生健康支出支出（类）行政事业单位医疗支出（款）公务员医疗补助（项）：反映财政部门安排的公务员医疗补助经费。</w:t>
      </w:r>
    </w:p>
    <w:p w14:paraId="3CAE5DE6">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15.卫生健康支出支出（类）行政事业单位医疗支出（款）其他行政事业单位医疗支出（项）：反映除上述项目以外的其他用于行政事业单位医疗方面的支出。</w:t>
      </w:r>
    </w:p>
    <w:p w14:paraId="755B221E">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16.住房保障支出（类）住房改革支出（款）住房公积金（项）：指行政事业单位按人力资源和社会保障部、财政部规定的基本工资和津贴补贴以及规定比例为职工缴纳的住房公积金。</w:t>
      </w:r>
    </w:p>
    <w:p w14:paraId="0185B717">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17.基本支出：指为保障机构正常运转、完成日常工作任务而发生的人员支出和公用支出。</w:t>
      </w:r>
    </w:p>
    <w:p w14:paraId="13399B9A">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 xml:space="preserve">18.项目支出：指在基本支出之外为完成特定行政任务和事业发展目标所发生的支出。 </w:t>
      </w:r>
    </w:p>
    <w:p w14:paraId="5243330E">
      <w:pPr>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19.经营支出：指事业单位在专业业务活动及其辅助活动之外开展非独立核算经营活动发生的支出。</w:t>
      </w:r>
    </w:p>
    <w:p w14:paraId="2CACA4A0">
      <w:pPr>
        <w:pStyle w:val="30"/>
        <w:spacing w:line="560" w:lineRule="exact"/>
        <w:ind w:firstLine="660" w:firstLineChars="20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EC31CE0">
      <w:pPr>
        <w:spacing w:line="600" w:lineRule="exact"/>
        <w:ind w:firstLine="640"/>
        <w:rPr>
          <w:rFonts w:hint="eastAsia"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F95482">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方正小标宋_GBK" w:cs="Times New Roman"/>
          <w:b/>
          <w:bCs/>
          <w:sz w:val="44"/>
          <w:szCs w:val="44"/>
          <w:lang w:val="en-US" w:eastAsia="zh-CN"/>
        </w:rPr>
      </w:pPr>
      <w:bookmarkStart w:id="58"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9" w:name="_Toc15396614"/>
      <w:r>
        <w:rPr>
          <w:rFonts w:hint="eastAsia" w:ascii="Times New Roman" w:hAnsi="Times New Roman" w:eastAsia="方正小标宋_GBK" w:cs="Times New Roman"/>
          <w:b/>
          <w:bCs/>
          <w:sz w:val="44"/>
          <w:szCs w:val="44"/>
          <w:lang w:val="en-US" w:eastAsia="zh-CN"/>
        </w:rPr>
        <w:t>第四部分  附件</w:t>
      </w:r>
      <w:bookmarkEnd w:id="59"/>
    </w:p>
    <w:p w14:paraId="1A9F7735">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Times New Roman" w:hAnsi="Times New Roman" w:eastAsia="方正小标宋_GBK" w:cs="Times New Roman"/>
          <w:b/>
          <w:bCs/>
          <w:sz w:val="44"/>
          <w:szCs w:val="44"/>
          <w:lang w:val="en-US" w:eastAsia="zh-CN"/>
        </w:rPr>
      </w:pPr>
    </w:p>
    <w:p w14:paraId="412A777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F1C549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6F5F6E8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F6970D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57684BA0">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9CEE317">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default" w:asciiTheme="minorEastAsia" w:hAnsiTheme="minorEastAsia" w:eastAsiaTheme="minorEastAsia" w:cstheme="minorEastAsia"/>
          <w:b/>
          <w:bCs/>
          <w:sz w:val="33"/>
          <w:szCs w:val="33"/>
          <w:lang w:val="zh-CN" w:eastAsia="zh-CN"/>
        </w:rPr>
      </w:pPr>
      <w:r>
        <w:rPr>
          <w:rFonts w:hint="eastAsia" w:asciiTheme="minorEastAsia" w:hAnsiTheme="minorEastAsia" w:eastAsiaTheme="minorEastAsia" w:cstheme="minorEastAsia"/>
          <w:b/>
          <w:bCs/>
          <w:sz w:val="33"/>
          <w:szCs w:val="33"/>
          <w:lang w:val="zh-CN" w:eastAsia="zh-CN"/>
        </w:rPr>
        <w:t>一、</w:t>
      </w:r>
      <w:r>
        <w:rPr>
          <w:rFonts w:hint="default" w:asciiTheme="minorEastAsia" w:hAnsiTheme="minorEastAsia" w:eastAsiaTheme="minorEastAsia" w:cstheme="minorEastAsia"/>
          <w:b/>
          <w:bCs/>
          <w:sz w:val="33"/>
          <w:szCs w:val="33"/>
          <w:lang w:val="zh-CN" w:eastAsia="zh-CN"/>
        </w:rPr>
        <w:t>部门（单位）基本情况</w:t>
      </w:r>
    </w:p>
    <w:p w14:paraId="7889A76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4DF20F66">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西区团委</w:t>
      </w:r>
      <w:r>
        <w:rPr>
          <w:rFonts w:hint="eastAsia" w:ascii="Times New Roman" w:hAnsi="Times New Roman" w:eastAsia="方正仿宋_GBK" w:cs="Times New Roman"/>
          <w:sz w:val="33"/>
          <w:szCs w:val="33"/>
          <w:lang w:val="en-US" w:eastAsia="zh-CN"/>
        </w:rPr>
        <w:t>内设股室0个，下属二级单位1个，其中行政单位0个，参照公务员法管理的事业单位0个，其他事业单位1个，攀枝花市西区青少年活动中心。</w:t>
      </w:r>
    </w:p>
    <w:p w14:paraId="7829E46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610D8F6B">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西区团委主要职责：认真贯彻区委、团市委和有关决议和方针、政策、领导全区共青团、青联、学联和少先队工作，抓好青少年教育工作。认真贯彻有关青少年事业的法律、法规、制定我区青少年工作方针和青少年事业发展规划，协助区委、区政府处理、协调与青少年利益相关的事务，维护青少年合法权益。负责对全区青少年活动阵地、青少年服务机构的建设进行规划和管理；指导和管理全区性青年社团组织。调查青年思想动态和青年工作状况，研究青少年工作理论和新形势下青少年思想教育中出现的新问题，提出相应对策，开展好各种寓教于乐的活动。协助教育主管部门做好全区中、小学校学生的教育管理工作，开展好假期社会实践活动，优化青少年成长环境，维护学校稳定和社会安定团结。坚持“党建带团建”的基本原则，切实加强共青团的基层组织建设，特别是农村、社区新经济组织团的组织建设，逐步建立与社会主义市场经济相适应的团的工作运行机制。在全区青年中继续推进新世纪读书计划、“保护母亲河”行动和青年科技创新行动，深化争得“青年岗位能手”、争创“青年文明号”、“争当青年致富能手”、“争创青年文明户”和创新创效活动，动员和组织青年在推动先进生产力的发展中发挥积极作用。认真贯彻实施青年统战工作政策，做好我去青年统战对象的团结教育工作，维护祖国统一和民族团结；协同有关部门抓好全区青少年对外交流、交往工作。积极协调配合有关部门做好青少年的教育工作。</w:t>
      </w:r>
    </w:p>
    <w:p w14:paraId="1469161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1758609D">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截至2024年末，西区团委行政编制</w:t>
      </w:r>
      <w:r>
        <w:rPr>
          <w:rFonts w:hint="eastAsia" w:ascii="Times New Roman" w:hAnsi="Times New Roman" w:eastAsia="方正仿宋_GBK" w:cs="Times New Roman"/>
          <w:sz w:val="33"/>
          <w:szCs w:val="33"/>
          <w:lang w:val="en-US" w:eastAsia="zh-CN"/>
        </w:rPr>
        <w:t>2名</w:t>
      </w:r>
      <w:r>
        <w:rPr>
          <w:rFonts w:hint="eastAsia" w:ascii="Times New Roman" w:hAnsi="Times New Roman" w:eastAsia="方正仿宋_GBK" w:cs="Times New Roman"/>
          <w:sz w:val="33"/>
          <w:szCs w:val="33"/>
          <w:lang w:val="zh-CN" w:eastAsia="zh-CN"/>
        </w:rPr>
        <w:t>，事业编制</w:t>
      </w:r>
      <w:r>
        <w:rPr>
          <w:rFonts w:hint="eastAsia" w:ascii="Times New Roman" w:hAnsi="Times New Roman" w:eastAsia="方正仿宋_GBK" w:cs="Times New Roman"/>
          <w:sz w:val="33"/>
          <w:szCs w:val="33"/>
          <w:lang w:val="en-US" w:eastAsia="zh-CN"/>
        </w:rPr>
        <w:t>1名，</w:t>
      </w:r>
      <w:r>
        <w:rPr>
          <w:rFonts w:hint="eastAsia" w:ascii="Times New Roman" w:hAnsi="Times New Roman" w:eastAsia="方正仿宋_GBK" w:cs="Times New Roman"/>
          <w:sz w:val="33"/>
          <w:szCs w:val="33"/>
          <w:lang w:val="zh-CN" w:eastAsia="zh-CN"/>
        </w:rPr>
        <w:t>临聘编制</w:t>
      </w:r>
      <w:r>
        <w:rPr>
          <w:rFonts w:hint="eastAsia" w:ascii="Times New Roman" w:hAnsi="Times New Roman" w:eastAsia="方正仿宋_GBK" w:cs="Times New Roman"/>
          <w:sz w:val="33"/>
          <w:szCs w:val="33"/>
          <w:lang w:val="en-US" w:eastAsia="zh-CN"/>
        </w:rPr>
        <w:t>1名。</w:t>
      </w:r>
      <w:r>
        <w:rPr>
          <w:rFonts w:hint="eastAsia" w:ascii="Times New Roman" w:hAnsi="Times New Roman" w:eastAsia="方正仿宋_GBK" w:cs="Times New Roman"/>
          <w:sz w:val="33"/>
          <w:szCs w:val="33"/>
          <w:lang w:val="zh-CN" w:eastAsia="zh-CN"/>
        </w:rPr>
        <w:t>实有人员</w:t>
      </w:r>
      <w:r>
        <w:rPr>
          <w:rFonts w:hint="eastAsia" w:ascii="Times New Roman" w:hAnsi="Times New Roman" w:eastAsia="方正仿宋_GBK" w:cs="Times New Roman"/>
          <w:sz w:val="33"/>
          <w:szCs w:val="33"/>
          <w:lang w:val="en-US" w:eastAsia="zh-CN"/>
        </w:rPr>
        <w:t>5</w:t>
      </w:r>
      <w:r>
        <w:rPr>
          <w:rFonts w:hint="eastAsia" w:ascii="Times New Roman" w:hAnsi="Times New Roman" w:eastAsia="方正仿宋_GBK" w:cs="Times New Roman"/>
          <w:sz w:val="33"/>
          <w:szCs w:val="33"/>
          <w:lang w:val="zh-CN" w:eastAsia="zh-CN"/>
        </w:rPr>
        <w:t>人，其中在编人员</w:t>
      </w:r>
      <w:r>
        <w:rPr>
          <w:rFonts w:hint="eastAsia" w:ascii="Times New Roman" w:hAnsi="Times New Roman" w:eastAsia="方正仿宋_GBK" w:cs="Times New Roman"/>
          <w:sz w:val="33"/>
          <w:szCs w:val="33"/>
          <w:lang w:val="en-US" w:eastAsia="zh-CN"/>
        </w:rPr>
        <w:t>4人，</w:t>
      </w:r>
      <w:r>
        <w:rPr>
          <w:rFonts w:hint="eastAsia" w:ascii="Times New Roman" w:hAnsi="Times New Roman" w:eastAsia="方正仿宋_GBK" w:cs="Times New Roman"/>
          <w:sz w:val="33"/>
          <w:szCs w:val="33"/>
          <w:lang w:val="zh-CN" w:eastAsia="zh-CN"/>
        </w:rPr>
        <w:t>聘用人员</w:t>
      </w:r>
      <w:r>
        <w:rPr>
          <w:rFonts w:hint="eastAsia" w:ascii="Times New Roman" w:hAnsi="Times New Roman" w:eastAsia="方正仿宋_GBK" w:cs="Times New Roman"/>
          <w:sz w:val="33"/>
          <w:szCs w:val="33"/>
          <w:lang w:val="en-US" w:eastAsia="zh-CN"/>
        </w:rPr>
        <w:t>1人。</w:t>
      </w:r>
    </w:p>
    <w:p w14:paraId="5F646C8F">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default" w:asciiTheme="minorEastAsia" w:hAnsiTheme="minorEastAsia" w:eastAsiaTheme="minorEastAsia" w:cstheme="minorEastAsia"/>
          <w:b/>
          <w:bCs/>
          <w:sz w:val="33"/>
          <w:szCs w:val="33"/>
          <w:lang w:val="zh-CN" w:eastAsia="zh-CN"/>
        </w:rPr>
      </w:pPr>
      <w:r>
        <w:rPr>
          <w:rFonts w:hint="default" w:asciiTheme="minorEastAsia" w:hAnsiTheme="minorEastAsia" w:eastAsiaTheme="minorEastAsia" w:cstheme="minorEastAsia"/>
          <w:b/>
          <w:bCs/>
          <w:sz w:val="33"/>
          <w:szCs w:val="33"/>
          <w:lang w:val="zh-CN" w:eastAsia="zh-CN"/>
        </w:rPr>
        <w:t>二、部门资金收支情况</w:t>
      </w:r>
    </w:p>
    <w:p w14:paraId="7D9C155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65A5323D">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西区团委</w:t>
      </w:r>
      <w:r>
        <w:rPr>
          <w:rFonts w:hint="eastAsia" w:ascii="Times New Roman" w:hAnsi="Times New Roman" w:eastAsia="方正仿宋_GBK" w:cs="Times New Roman"/>
          <w:sz w:val="33"/>
          <w:szCs w:val="33"/>
          <w:lang w:val="zh-CN" w:eastAsia="zh-CN"/>
        </w:rPr>
        <w:t>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年全年预算收入</w:t>
      </w:r>
      <w:r>
        <w:rPr>
          <w:rFonts w:hint="eastAsia" w:ascii="Times New Roman" w:hAnsi="Times New Roman" w:eastAsia="方正仿宋_GBK" w:cs="Times New Roman"/>
          <w:sz w:val="33"/>
          <w:szCs w:val="33"/>
          <w:lang w:val="en-US" w:eastAsia="zh-CN"/>
        </w:rPr>
        <w:t>91.84</w:t>
      </w:r>
      <w:r>
        <w:rPr>
          <w:rFonts w:hint="eastAsia" w:ascii="Times New Roman" w:hAnsi="Times New Roman" w:eastAsia="方正仿宋_GBK" w:cs="Times New Roman"/>
          <w:sz w:val="33"/>
          <w:szCs w:val="33"/>
          <w:lang w:val="zh-CN" w:eastAsia="zh-CN"/>
        </w:rPr>
        <w:t>万元，其中：一般公共预算拨款收入</w:t>
      </w:r>
      <w:r>
        <w:rPr>
          <w:rFonts w:hint="eastAsia" w:ascii="Times New Roman" w:hAnsi="Times New Roman" w:eastAsia="方正仿宋_GBK" w:cs="Times New Roman"/>
          <w:sz w:val="33"/>
          <w:szCs w:val="33"/>
          <w:lang w:val="en-US" w:eastAsia="zh-CN"/>
        </w:rPr>
        <w:t>91.84</w:t>
      </w:r>
      <w:r>
        <w:rPr>
          <w:rFonts w:hint="eastAsia" w:ascii="Times New Roman" w:hAnsi="Times New Roman" w:eastAsia="方正仿宋_GBK" w:cs="Times New Roman"/>
          <w:sz w:val="33"/>
          <w:szCs w:val="33"/>
          <w:lang w:val="zh-CN" w:eastAsia="zh-CN"/>
        </w:rPr>
        <w:t>万元，占总收入</w:t>
      </w:r>
      <w:r>
        <w:rPr>
          <w:rFonts w:hint="eastAsia" w:ascii="Times New Roman" w:hAnsi="Times New Roman" w:eastAsia="方正仿宋_GBK" w:cs="Times New Roman"/>
          <w:sz w:val="33"/>
          <w:szCs w:val="33"/>
          <w:lang w:val="en-US" w:eastAsia="zh-CN"/>
        </w:rPr>
        <w:t>100</w:t>
      </w:r>
      <w:r>
        <w:rPr>
          <w:rFonts w:hint="eastAsia" w:ascii="Times New Roman" w:hAnsi="Times New Roman" w:eastAsia="方正仿宋_GBK" w:cs="Times New Roman"/>
          <w:sz w:val="33"/>
          <w:szCs w:val="33"/>
          <w:lang w:val="zh-CN" w:eastAsia="zh-CN"/>
        </w:rPr>
        <w:t>%</w:t>
      </w:r>
      <w:r>
        <w:rPr>
          <w:rFonts w:hint="eastAsia" w:ascii="Times New Roman" w:hAnsi="Times New Roman" w:eastAsia="方正仿宋_GBK" w:cs="Times New Roman"/>
          <w:sz w:val="33"/>
          <w:szCs w:val="33"/>
          <w:lang w:val="en-US" w:eastAsia="zh-CN"/>
        </w:rPr>
        <w:t>。</w:t>
      </w:r>
    </w:p>
    <w:p w14:paraId="202F34A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105A2411">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年财政资金支出</w:t>
      </w:r>
      <w:r>
        <w:rPr>
          <w:rFonts w:hint="eastAsia" w:ascii="Times New Roman" w:hAnsi="Times New Roman" w:eastAsia="方正仿宋_GBK" w:cs="Times New Roman"/>
          <w:sz w:val="33"/>
          <w:szCs w:val="33"/>
          <w:lang w:val="en-US" w:eastAsia="zh-CN"/>
        </w:rPr>
        <w:t>91.64</w:t>
      </w:r>
      <w:r>
        <w:rPr>
          <w:rFonts w:hint="eastAsia" w:ascii="Times New Roman" w:hAnsi="Times New Roman" w:eastAsia="方正仿宋_GBK" w:cs="Times New Roman"/>
          <w:sz w:val="33"/>
          <w:szCs w:val="33"/>
          <w:lang w:val="zh-CN" w:eastAsia="zh-CN"/>
        </w:rPr>
        <w:t>万元，其中：基本支出</w:t>
      </w:r>
      <w:r>
        <w:rPr>
          <w:rFonts w:hint="eastAsia" w:ascii="Times New Roman" w:hAnsi="Times New Roman" w:eastAsia="方正仿宋_GBK" w:cs="Times New Roman"/>
          <w:sz w:val="33"/>
          <w:szCs w:val="33"/>
          <w:lang w:val="en-US" w:eastAsia="zh-CN"/>
        </w:rPr>
        <w:t>68</w:t>
      </w:r>
      <w:r>
        <w:rPr>
          <w:rFonts w:hint="eastAsia" w:ascii="Times New Roman" w:hAnsi="Times New Roman" w:eastAsia="方正仿宋_GBK" w:cs="Times New Roman"/>
          <w:sz w:val="33"/>
          <w:szCs w:val="33"/>
          <w:lang w:val="zh-CN" w:eastAsia="zh-CN"/>
        </w:rPr>
        <w:t>万元，其中：人员经费</w:t>
      </w:r>
      <w:r>
        <w:rPr>
          <w:rFonts w:hint="eastAsia" w:ascii="Times New Roman" w:hAnsi="Times New Roman" w:eastAsia="方正仿宋_GBK" w:cs="Times New Roman"/>
          <w:sz w:val="33"/>
          <w:szCs w:val="33"/>
          <w:lang w:val="en-US" w:eastAsia="zh-CN"/>
        </w:rPr>
        <w:t>62.87</w:t>
      </w:r>
      <w:r>
        <w:rPr>
          <w:rFonts w:hint="eastAsia" w:ascii="Times New Roman" w:hAnsi="Times New Roman" w:eastAsia="方正仿宋_GBK" w:cs="Times New Roman"/>
          <w:sz w:val="33"/>
          <w:szCs w:val="33"/>
          <w:lang w:val="zh-CN" w:eastAsia="zh-CN"/>
        </w:rPr>
        <w:t>万元，公用经费</w:t>
      </w:r>
      <w:r>
        <w:rPr>
          <w:rFonts w:hint="eastAsia" w:ascii="Times New Roman" w:hAnsi="Times New Roman" w:eastAsia="方正仿宋_GBK" w:cs="Times New Roman"/>
          <w:sz w:val="33"/>
          <w:szCs w:val="33"/>
          <w:lang w:val="en-US" w:eastAsia="zh-CN"/>
        </w:rPr>
        <w:t>5.13</w:t>
      </w:r>
      <w:r>
        <w:rPr>
          <w:rFonts w:hint="eastAsia" w:ascii="Times New Roman" w:hAnsi="Times New Roman" w:eastAsia="方正仿宋_GBK" w:cs="Times New Roman"/>
          <w:sz w:val="33"/>
          <w:szCs w:val="33"/>
          <w:lang w:val="zh-CN" w:eastAsia="zh-CN"/>
        </w:rPr>
        <w:t>万元；项目经费支出</w:t>
      </w:r>
      <w:r>
        <w:rPr>
          <w:rFonts w:hint="eastAsia" w:ascii="Times New Roman" w:hAnsi="Times New Roman" w:eastAsia="方正仿宋_GBK" w:cs="Times New Roman"/>
          <w:sz w:val="33"/>
          <w:szCs w:val="33"/>
          <w:lang w:val="en-US" w:eastAsia="zh-CN"/>
        </w:rPr>
        <w:t>23.64</w:t>
      </w:r>
      <w:r>
        <w:rPr>
          <w:rFonts w:hint="eastAsia" w:ascii="Times New Roman" w:hAnsi="Times New Roman" w:eastAsia="方正仿宋_GBK" w:cs="Times New Roman"/>
          <w:sz w:val="33"/>
          <w:szCs w:val="33"/>
          <w:lang w:val="zh-CN" w:eastAsia="zh-CN"/>
        </w:rPr>
        <w:t>万元。</w:t>
      </w:r>
    </w:p>
    <w:p w14:paraId="75D56BB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38EB8836">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西区团委2024年决算报表收回单位国库集中支付结余资金用于安排关工委经费3.3万元。</w:t>
      </w:r>
    </w:p>
    <w:p w14:paraId="3BAA6774">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default" w:asciiTheme="minorEastAsia" w:hAnsiTheme="minorEastAsia" w:eastAsiaTheme="minorEastAsia" w:cstheme="minorEastAsia"/>
          <w:b/>
          <w:bCs/>
          <w:sz w:val="33"/>
          <w:szCs w:val="33"/>
          <w:lang w:val="zh-CN" w:eastAsia="zh-CN"/>
        </w:rPr>
      </w:pPr>
      <w:r>
        <w:rPr>
          <w:rFonts w:hint="default" w:asciiTheme="minorEastAsia" w:hAnsiTheme="minorEastAsia" w:eastAsiaTheme="minorEastAsia" w:cstheme="minorEastAsia"/>
          <w:b/>
          <w:bCs/>
          <w:sz w:val="33"/>
          <w:szCs w:val="33"/>
          <w:lang w:val="zh-CN" w:eastAsia="zh-CN"/>
        </w:rPr>
        <w:t>三、部门预算绩效分析</w:t>
      </w:r>
    </w:p>
    <w:p w14:paraId="1A39D2CC">
      <w:pPr>
        <w:keepNext w:val="0"/>
        <w:keepLines w:val="0"/>
        <w:pageBreakBefore w:val="0"/>
        <w:widowControl w:val="0"/>
        <w:kinsoku/>
        <w:wordWrap/>
        <w:overflowPunct/>
        <w:topLinePunct w:val="0"/>
        <w:autoSpaceDE/>
        <w:autoSpaceDN/>
        <w:bidi w:val="0"/>
        <w:adjustRightInd/>
        <w:snapToGrid/>
        <w:spacing w:line="600" w:lineRule="exact"/>
        <w:ind w:firstLine="663"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b/>
          <w:bCs/>
          <w:sz w:val="33"/>
          <w:szCs w:val="33"/>
          <w:lang w:val="zh-CN" w:eastAsia="zh-CN"/>
        </w:rPr>
        <w:t>（一）</w:t>
      </w:r>
      <w:r>
        <w:rPr>
          <w:rFonts w:hint="eastAsia" w:ascii="Times New Roman" w:hAnsi="Times New Roman" w:eastAsia="方正仿宋_GBK" w:cs="Times New Roman"/>
          <w:b/>
          <w:bCs/>
          <w:sz w:val="33"/>
          <w:szCs w:val="33"/>
          <w:lang w:val="zh-CN" w:eastAsia="zh-CN"/>
        </w:rPr>
        <w:t>部门预算</w:t>
      </w:r>
      <w:r>
        <w:rPr>
          <w:rFonts w:hint="default" w:ascii="Times New Roman" w:hAnsi="Times New Roman" w:eastAsia="方正仿宋_GBK" w:cs="Times New Roman"/>
          <w:b/>
          <w:bCs/>
          <w:sz w:val="33"/>
          <w:szCs w:val="33"/>
          <w:lang w:val="zh-CN" w:eastAsia="zh-CN"/>
        </w:rPr>
        <w:t>总体绩效分析。</w:t>
      </w:r>
      <w:r>
        <w:rPr>
          <w:rFonts w:hint="default" w:ascii="Times New Roman" w:hAnsi="Times New Roman" w:eastAsia="方正仿宋_GBK" w:cs="Times New Roman"/>
          <w:sz w:val="33"/>
          <w:szCs w:val="33"/>
          <w:lang w:val="zh-CN" w:eastAsia="zh-CN"/>
        </w:rPr>
        <w:t>根据部门预算绩效评价指标体系</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总体绩效</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涉及</w:t>
      </w:r>
      <w:r>
        <w:rPr>
          <w:rFonts w:hint="eastAsia" w:ascii="Times New Roman" w:hAnsi="Times New Roman" w:eastAsia="方正仿宋_GBK" w:cs="Times New Roman"/>
          <w:sz w:val="33"/>
          <w:szCs w:val="33"/>
          <w:lang w:val="zh-CN" w:eastAsia="zh-CN"/>
        </w:rPr>
        <w:t>二、三级</w:t>
      </w:r>
      <w:r>
        <w:rPr>
          <w:rFonts w:hint="default" w:ascii="Times New Roman" w:hAnsi="Times New Roman" w:eastAsia="方正仿宋_GBK" w:cs="Times New Roman"/>
          <w:sz w:val="33"/>
          <w:szCs w:val="33"/>
          <w:lang w:val="zh-CN" w:eastAsia="zh-CN"/>
        </w:rPr>
        <w:t>指标进行</w:t>
      </w:r>
      <w:r>
        <w:rPr>
          <w:rFonts w:hint="eastAsia" w:ascii="Times New Roman" w:hAnsi="Times New Roman" w:eastAsia="方正仿宋_GBK" w:cs="Times New Roman"/>
          <w:sz w:val="33"/>
          <w:szCs w:val="33"/>
          <w:lang w:val="zh-CN" w:eastAsia="zh-CN"/>
        </w:rPr>
        <w:t>逐项</w:t>
      </w:r>
      <w:r>
        <w:rPr>
          <w:rFonts w:hint="default" w:ascii="Times New Roman" w:hAnsi="Times New Roman" w:eastAsia="方正仿宋_GBK" w:cs="Times New Roman"/>
          <w:sz w:val="33"/>
          <w:szCs w:val="33"/>
          <w:lang w:val="zh-CN" w:eastAsia="zh-CN"/>
        </w:rPr>
        <w:t>绩效分析</w:t>
      </w:r>
      <w:r>
        <w:rPr>
          <w:rFonts w:hint="eastAsia" w:ascii="Times New Roman" w:hAnsi="Times New Roman" w:eastAsia="方正仿宋_GBK" w:cs="Times New Roman"/>
          <w:sz w:val="33"/>
          <w:szCs w:val="33"/>
          <w:lang w:val="zh-CN" w:eastAsia="zh-CN"/>
        </w:rPr>
        <w:t>并评分</w:t>
      </w:r>
      <w:r>
        <w:rPr>
          <w:rFonts w:hint="default" w:ascii="Times New Roman" w:hAnsi="Times New Roman" w:eastAsia="方正仿宋_GBK" w:cs="Times New Roman"/>
          <w:sz w:val="33"/>
          <w:szCs w:val="33"/>
          <w:lang w:val="zh-CN" w:eastAsia="zh-CN"/>
        </w:rPr>
        <w:t>，依次包括履职效能、预算管理、财务管理、资产管理、采购管理等情况。</w:t>
      </w:r>
    </w:p>
    <w:p w14:paraId="6151465D">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履职效能。部门整体绩效目标中选定3-5个核心职能目标，对职能目标完成效果情况绩效分析。</w:t>
      </w:r>
    </w:p>
    <w:p w14:paraId="7C085F68">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lang w:val="en-US" w:eastAsia="zh-CN"/>
        </w:rPr>
        <w:t>聚焦思想引领，筑牢青年理想信念根基。全面践行习近平总书记强调的“坚持为党育人，始终成为引领青年思想进步的政治学校”这一重要要求，全面加强青少年思想政治引领工作。线上依托“青年大学习”主题团课、“红领巾爱学习”主题队课督促各级团支部、学校少先队常态化抓好学习教育。线下积极组织开展各类主题教育活动，4月13日—14日，在区青少年活动中心开展了全民国家安全教育日宣讲活动，进一步提高青少年国家安全意识；为庆祝建团102周年及纪念五·四爱国运动105周年，4月29日在市三十一中小举行2024年西区示范性入团仪式，进一步弘扬五四精神，凝聚青年力量；5月17日，在市十二中开展以“跨越青春，担当未来”为主题的成人仪式活动，并为高三学子发放成人礼纪念品480份，激励高三学子胸怀理想、志存高远。9月23日，在攀枝花市第十二中学校开展了学习贯彻党的二十届三中全会精神宣讲会，团结引领广大团员青年奋力书写为中国式现代化挺膺担当的青春篇章，覆盖青联委员及团员青年60余人次。</w:t>
      </w:r>
    </w:p>
    <w:p w14:paraId="6E05EB33">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聚焦改革强基，不断强化团组织自身建设。一是加强团干部队伍建设。在能投攀枝花市水电开发有限公司、市公安局西区分局选派朱溪、罗诚2名同志到团区委挂职锻炼，形成“一正一副一兼两挂”的领导班子，为团区委科学决策提供有效支撑。扎实做好“统选兼用”工作，经个人报名、资格审查、面试、公示等环节，聘任9名大学生为镇（街道）团（工）委兼职副书记，进一步强化大学生与基层团组织的联系。二是提升基础团务水平。严把团员入口关，指导各团组织规范发展团员，依托“智慧团建”系统做好信息录入、团组织关系转接等基础团务和团员常态化教育管理，今年以来发展新团员412人，接收团员355人。三是加强全团带队工作。开展以少先队为主体的多样活动。在“六一”“十一三”等特殊时间点，广泛开展儿童节、建队日主题活动；组织开展“红领巾小主播”主题微队课活动，其中有2名少先队员作品入选团市委优秀“红领巾小主播”作品展。提升少先队辅导员业务水平。累计组织1名大队辅导员参加全国少先队总辅导员培训、1名中队辅导员参加全省少先队辅导员专业技能研讨交流活动、17名少先队辅导员参加市级业务培训，同时以线上学习的方式，对全区少先队辅导员进行了全覆盖业务培训，进一步强化了对少先队辅导员的业务指导。持续开展先进典型选树工作。2024年，全区共16人荣获市级“红领巾奖章”个人三星章、6个集体获“红领巾奖章”集体三星章；表彰区级“红领巾奖章”个人二星章67 个、“红领巾奖章”辅导员二星章19 个、“红领巾奖章”集体二星章29 个；表彰区级“优秀少先队员”69人、“优秀少先队辅导员”15人、“优秀少先队集体”13个，增强了少先队员和辅导员的个人获得感和集体归属感。</w:t>
      </w:r>
    </w:p>
    <w:p w14:paraId="6B978DAB">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聚焦青年主体，切实满足青年成长需求。一是排忧解难出实招。持续深化“暖冬行动”“微心愿”等品牌工作，春节前夕联合区关工委走访慰问了3名困境儿童，共发放慰问金1500元；3月7日，联合多部门走进攀枝花市特殊教育学校西城校区面向盲、聋、培智三类特殊青少年进行沟通交流，并为孩子们共发放慰问物资米10袋、油10桶。在镇（街道）、学校广泛开展“微心愿”征集活动，已征集“微心愿”4个，并认领实现2个。二是全力护航促成长。通过开展“共青团与人大代表、政协委员面对面”活动，畅通青少年利益诉求渠道。“4.15”“6·26”期间，举办各类法治宣传教育活动，发放普法宣传资料1000余份。维护青少年合法权益，加强青少年禁毒、反邪教、防拐、防溺水、防电信诈骗等安全自护教育和法治宣传教育。三是特色活动出亮点。组织格里坪镇小学校54名少先队员与米易县第一小学校少先队员开展“花城一家亲 民族团结促同富”书信手拉手活动，以书信话友谊，共筑团结情。联合区关工委等单位组织辖区84名城乡留守儿童、困境儿童在攀枝花电子科技学校开展了暑期公益夏令营活动。联合区青少年活动中心开展了第二十期圆梦蒲公英公益课程培训活动，开设了书法、美术、素描、口才、古筝、吉他、民族舞和足球等八门课程，累计惠及青少年1337人次</w:t>
      </w:r>
      <w:r>
        <w:rPr>
          <w:rFonts w:hint="eastAsia" w:ascii="Times New Roman" w:hAnsi="Times New Roman" w:eastAsia="方正仿宋_GBK" w:cs="Times New Roman"/>
          <w:sz w:val="33"/>
          <w:szCs w:val="33"/>
          <w:lang w:val="en-US" w:eastAsia="zh-CN"/>
        </w:rPr>
        <w:t>。</w:t>
      </w:r>
    </w:p>
    <w:p w14:paraId="25B83D3D">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zh-CN" w:eastAsia="zh-CN"/>
        </w:rPr>
        <w:t>预算管理</w:t>
      </w:r>
      <w:r>
        <w:rPr>
          <w:rFonts w:hint="eastAsia" w:ascii="Times New Roman" w:hAnsi="Times New Roman" w:eastAsia="方正仿宋_GBK" w:cs="Times New Roman"/>
          <w:sz w:val="33"/>
          <w:szCs w:val="33"/>
          <w:lang w:val="zh-CN" w:eastAsia="zh-CN"/>
        </w:rPr>
        <w:t>。围绕预算编制质量、单位收入统筹、支出执行进度、预算年终结余、严控一般性支出</w:t>
      </w:r>
      <w:r>
        <w:rPr>
          <w:rFonts w:hint="default" w:ascii="Times New Roman" w:hAnsi="Times New Roman" w:eastAsia="方正仿宋_GBK" w:cs="Times New Roman"/>
          <w:sz w:val="33"/>
          <w:szCs w:val="33"/>
          <w:lang w:val="zh-CN" w:eastAsia="zh-CN"/>
        </w:rPr>
        <w:t>进行绩效分析</w:t>
      </w:r>
      <w:r>
        <w:rPr>
          <w:rFonts w:hint="eastAsia" w:ascii="Times New Roman" w:hAnsi="Times New Roman" w:eastAsia="方正仿宋_GBK" w:cs="Times New Roman"/>
          <w:sz w:val="33"/>
          <w:szCs w:val="33"/>
          <w:lang w:val="zh-CN" w:eastAsia="zh-CN"/>
        </w:rPr>
        <w:t>。</w:t>
      </w:r>
    </w:p>
    <w:p w14:paraId="16938DF1">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2024年西区团委严格按照西区财政局预算编制通知和有关要求，按时按质完成报送决算编制等工作，并按时提交部门预算编制草案，不存在应编、未编、错误列编，西区财政局根据预算编制草案，进行审核，批复2024年部门预算收入84.86万元，其中：工资福利支出55.04万元、日常公用支出4.82万元、项目支出25万元。</w:t>
      </w:r>
    </w:p>
    <w:p w14:paraId="233D6042">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zh-CN" w:eastAsia="zh-CN"/>
        </w:rPr>
        <w:t>财务管理</w:t>
      </w:r>
      <w:r>
        <w:rPr>
          <w:rFonts w:hint="eastAsia" w:ascii="Times New Roman" w:hAnsi="Times New Roman" w:eastAsia="方正仿宋_GBK" w:cs="Times New Roman"/>
          <w:sz w:val="33"/>
          <w:szCs w:val="33"/>
          <w:lang w:val="zh-CN" w:eastAsia="zh-CN"/>
        </w:rPr>
        <w:t>。围绕财务管理制度、财务岗位设置、资金使用规范</w:t>
      </w:r>
      <w:r>
        <w:rPr>
          <w:rFonts w:hint="default" w:ascii="Times New Roman" w:hAnsi="Times New Roman" w:eastAsia="方正仿宋_GBK" w:cs="Times New Roman"/>
          <w:sz w:val="33"/>
          <w:szCs w:val="33"/>
          <w:lang w:val="zh-CN" w:eastAsia="zh-CN"/>
        </w:rPr>
        <w:t>进行绩效分析</w:t>
      </w:r>
      <w:r>
        <w:rPr>
          <w:rFonts w:hint="eastAsia" w:ascii="Times New Roman" w:hAnsi="Times New Roman" w:eastAsia="方正仿宋_GBK" w:cs="Times New Roman"/>
          <w:sz w:val="33"/>
          <w:szCs w:val="33"/>
          <w:lang w:val="zh-CN" w:eastAsia="zh-CN"/>
        </w:rPr>
        <w:t>。</w:t>
      </w:r>
    </w:p>
    <w:p w14:paraId="0ED53343">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eastAsia="zh-CN"/>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方正仿宋_GBK" w:cs="Times New Roman"/>
          <w:sz w:val="33"/>
          <w:szCs w:val="33"/>
          <w:lang w:val="zh-CN" w:eastAsia="zh-CN"/>
        </w:rPr>
        <w:t>。</w:t>
      </w:r>
    </w:p>
    <w:p w14:paraId="2AC7310D">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lang w:val="zh-CN" w:eastAsia="zh-CN"/>
        </w:rPr>
        <w:t>资产管理</w:t>
      </w:r>
      <w:r>
        <w:rPr>
          <w:rFonts w:hint="eastAsia" w:ascii="Times New Roman" w:hAnsi="Times New Roman" w:eastAsia="方正仿宋_GBK" w:cs="Times New Roman"/>
          <w:sz w:val="33"/>
          <w:szCs w:val="33"/>
          <w:lang w:val="zh-CN" w:eastAsia="zh-CN"/>
        </w:rPr>
        <w:t>。围绕人均资产变化率、资产利用率、资产盘活率</w:t>
      </w:r>
      <w:r>
        <w:rPr>
          <w:rFonts w:hint="default" w:ascii="Times New Roman" w:hAnsi="Times New Roman" w:eastAsia="方正仿宋_GBK" w:cs="Times New Roman"/>
          <w:sz w:val="33"/>
          <w:szCs w:val="33"/>
          <w:lang w:val="zh-CN" w:eastAsia="zh-CN"/>
        </w:rPr>
        <w:t>进行绩效分析</w:t>
      </w:r>
      <w:r>
        <w:rPr>
          <w:rFonts w:hint="eastAsia" w:ascii="Times New Roman" w:hAnsi="Times New Roman" w:eastAsia="方正仿宋_GBK" w:cs="Times New Roman"/>
          <w:sz w:val="33"/>
          <w:szCs w:val="33"/>
          <w:lang w:val="zh-CN" w:eastAsia="zh-CN"/>
        </w:rPr>
        <w:t>。</w:t>
      </w:r>
    </w:p>
    <w:p w14:paraId="496BF394">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zh-CN" w:eastAsia="zh-CN"/>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p>
    <w:p w14:paraId="43F2A5DD">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val="zh-CN" w:eastAsia="zh-CN"/>
        </w:rPr>
        <w:t>采购管理</w:t>
      </w:r>
      <w:r>
        <w:rPr>
          <w:rFonts w:hint="eastAsia" w:ascii="Times New Roman" w:hAnsi="Times New Roman" w:eastAsia="方正仿宋_GBK" w:cs="Times New Roman"/>
          <w:sz w:val="33"/>
          <w:szCs w:val="33"/>
          <w:lang w:val="zh-CN" w:eastAsia="zh-CN"/>
        </w:rPr>
        <w:t>。围绕支持中小企业发展、采购执行率</w:t>
      </w:r>
      <w:r>
        <w:rPr>
          <w:rFonts w:hint="default" w:ascii="Times New Roman" w:hAnsi="Times New Roman" w:eastAsia="方正仿宋_GBK" w:cs="Times New Roman"/>
          <w:sz w:val="33"/>
          <w:szCs w:val="33"/>
          <w:lang w:val="zh-CN" w:eastAsia="zh-CN"/>
        </w:rPr>
        <w:t>进行绩效分析</w:t>
      </w:r>
      <w:r>
        <w:rPr>
          <w:rFonts w:hint="eastAsia" w:ascii="Times New Roman" w:hAnsi="Times New Roman" w:eastAsia="方正仿宋_GBK" w:cs="Times New Roman"/>
          <w:sz w:val="33"/>
          <w:szCs w:val="33"/>
          <w:lang w:val="zh-CN" w:eastAsia="zh-CN"/>
        </w:rPr>
        <w:t>。</w:t>
      </w:r>
    </w:p>
    <w:p w14:paraId="19E25531">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严格按照采购管理文件要求执行，采购前精准预算编制，结合实际需求科学规划；采购中坚持公开透明，严格执行采购程序；采购后加强验收与监督，确保物资质量达标，同时强化档案管理，保障采购全程留痕、规范有</w:t>
      </w:r>
      <w:r>
        <w:rPr>
          <w:rFonts w:hint="eastAsia" w:ascii="Times New Roman" w:hAnsi="Times New Roman" w:eastAsia="方正仿宋_GBK" w:cs="Times New Roman"/>
          <w:sz w:val="33"/>
          <w:szCs w:val="33"/>
          <w:lang w:val="zh-CN" w:eastAsia="zh-CN"/>
        </w:rPr>
        <w:t>序。</w:t>
      </w:r>
    </w:p>
    <w:p w14:paraId="689B864A">
      <w:pPr>
        <w:keepNext w:val="0"/>
        <w:keepLines w:val="0"/>
        <w:pageBreakBefore w:val="0"/>
        <w:widowControl w:val="0"/>
        <w:kinsoku/>
        <w:wordWrap/>
        <w:overflowPunct/>
        <w:topLinePunct w:val="0"/>
        <w:autoSpaceDE/>
        <w:autoSpaceDN/>
        <w:bidi w:val="0"/>
        <w:adjustRightInd/>
        <w:snapToGrid/>
        <w:spacing w:line="600" w:lineRule="exact"/>
        <w:ind w:firstLine="663"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b/>
          <w:bCs/>
          <w:sz w:val="33"/>
          <w:szCs w:val="33"/>
          <w:lang w:val="zh-CN" w:eastAsia="zh-CN"/>
        </w:rPr>
        <w:t>（二）部门预算项目绩效分析。</w:t>
      </w:r>
      <w:r>
        <w:rPr>
          <w:rFonts w:hint="eastAsia" w:ascii="Times New Roman" w:hAnsi="Times New Roman" w:eastAsia="方正仿宋_GBK" w:cs="Times New Roman"/>
          <w:sz w:val="33"/>
          <w:szCs w:val="33"/>
          <w:lang w:val="zh-CN" w:eastAsia="zh-CN"/>
        </w:rPr>
        <w:t>填报以下数据，并</w:t>
      </w:r>
      <w:r>
        <w:rPr>
          <w:rFonts w:hint="default" w:ascii="Times New Roman" w:hAnsi="Times New Roman" w:eastAsia="方正仿宋_GBK" w:cs="Times New Roman"/>
          <w:sz w:val="33"/>
          <w:szCs w:val="33"/>
          <w:lang w:val="zh-CN" w:eastAsia="zh-CN"/>
        </w:rPr>
        <w:t>根据部门预算绩效评价指标体系</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项目绩效</w:t>
      </w:r>
      <w:r>
        <w:rPr>
          <w:rFonts w:hint="eastAsia" w:ascii="Times New Roman" w:hAnsi="Times New Roman" w:eastAsia="方正仿宋_GBK" w:cs="Times New Roman"/>
          <w:sz w:val="33"/>
          <w:szCs w:val="33"/>
          <w:lang w:val="zh-CN" w:eastAsia="zh-CN"/>
        </w:rPr>
        <w:t>”</w:t>
      </w:r>
      <w:r>
        <w:rPr>
          <w:rFonts w:hint="default" w:ascii="Times New Roman" w:hAnsi="Times New Roman" w:eastAsia="方正仿宋_GBK" w:cs="Times New Roman"/>
          <w:sz w:val="33"/>
          <w:szCs w:val="33"/>
          <w:lang w:val="zh-CN" w:eastAsia="zh-CN"/>
        </w:rPr>
        <w:t>涉及</w:t>
      </w:r>
      <w:r>
        <w:rPr>
          <w:rFonts w:hint="eastAsia" w:ascii="Times New Roman" w:hAnsi="Times New Roman" w:eastAsia="方正仿宋_GBK" w:cs="Times New Roman"/>
          <w:sz w:val="33"/>
          <w:szCs w:val="33"/>
          <w:lang w:val="zh-CN" w:eastAsia="zh-CN"/>
        </w:rPr>
        <w:t>二、三级</w:t>
      </w:r>
      <w:r>
        <w:rPr>
          <w:rFonts w:hint="default" w:ascii="Times New Roman" w:hAnsi="Times New Roman" w:eastAsia="方正仿宋_GBK" w:cs="Times New Roman"/>
          <w:sz w:val="33"/>
          <w:szCs w:val="33"/>
          <w:lang w:val="zh-CN" w:eastAsia="zh-CN"/>
        </w:rPr>
        <w:t>指标进行</w:t>
      </w:r>
      <w:r>
        <w:rPr>
          <w:rFonts w:hint="eastAsia" w:ascii="Times New Roman" w:hAnsi="Times New Roman" w:eastAsia="方正仿宋_GBK" w:cs="Times New Roman"/>
          <w:sz w:val="33"/>
          <w:szCs w:val="33"/>
          <w:lang w:val="zh-CN" w:eastAsia="zh-CN"/>
        </w:rPr>
        <w:t>逐项</w:t>
      </w:r>
      <w:r>
        <w:rPr>
          <w:rFonts w:hint="default" w:ascii="Times New Roman" w:hAnsi="Times New Roman" w:eastAsia="方正仿宋_GBK" w:cs="Times New Roman"/>
          <w:sz w:val="33"/>
          <w:szCs w:val="33"/>
          <w:lang w:val="zh-CN" w:eastAsia="zh-CN"/>
        </w:rPr>
        <w:t>绩效分析</w:t>
      </w:r>
      <w:r>
        <w:rPr>
          <w:rFonts w:hint="eastAsia" w:ascii="Times New Roman" w:hAnsi="Times New Roman" w:eastAsia="方正仿宋_GBK" w:cs="Times New Roman"/>
          <w:sz w:val="33"/>
          <w:szCs w:val="33"/>
          <w:lang w:val="zh-CN" w:eastAsia="zh-CN"/>
        </w:rPr>
        <w:t>并评分</w:t>
      </w:r>
      <w:r>
        <w:rPr>
          <w:rFonts w:hint="default" w:ascii="Times New Roman" w:hAnsi="Times New Roman" w:eastAsia="方正仿宋_GBK" w:cs="Times New Roman"/>
          <w:sz w:val="33"/>
          <w:szCs w:val="33"/>
          <w:lang w:val="zh-CN" w:eastAsia="zh-CN"/>
        </w:rPr>
        <w:t>，依次包括项目</w:t>
      </w:r>
      <w:r>
        <w:rPr>
          <w:rFonts w:hint="default" w:ascii="Times New Roman" w:hAnsi="Times New Roman" w:eastAsia="方正仿宋_GBK" w:cs="Times New Roman"/>
          <w:sz w:val="33"/>
          <w:szCs w:val="33"/>
          <w:lang w:val="en-US" w:eastAsia="zh-CN"/>
        </w:rPr>
        <w:t>决策、项目执行、目标实现等情况</w:t>
      </w:r>
      <w:r>
        <w:rPr>
          <w:rFonts w:hint="eastAsia" w:ascii="Times New Roman" w:hAnsi="Times New Roman" w:eastAsia="方正仿宋_GBK" w:cs="Times New Roman"/>
          <w:sz w:val="33"/>
          <w:szCs w:val="33"/>
          <w:lang w:val="en-US" w:eastAsia="zh-CN"/>
        </w:rPr>
        <w:t>。</w:t>
      </w:r>
    </w:p>
    <w:p w14:paraId="03BB12D6">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常年项目绩效分析。该类项目总数</w:t>
      </w:r>
      <w:r>
        <w:rPr>
          <w:rFonts w:hint="eastAsia" w:ascii="Times New Roman" w:hAnsi="Times New Roman" w:eastAsia="方正仿宋_GBK" w:cs="Times New Roman"/>
          <w:sz w:val="33"/>
          <w:szCs w:val="33"/>
          <w:lang w:val="en-US" w:eastAsia="zh-CN"/>
        </w:rPr>
        <w:t>7</w:t>
      </w:r>
      <w:r>
        <w:rPr>
          <w:rFonts w:hint="eastAsia" w:ascii="Times New Roman" w:hAnsi="Times New Roman" w:eastAsia="方正仿宋_GBK" w:cs="Times New Roman"/>
          <w:sz w:val="33"/>
          <w:szCs w:val="33"/>
          <w:lang w:val="zh-CN" w:eastAsia="zh-CN"/>
        </w:rPr>
        <w:t>个，涉及预算总金额</w:t>
      </w:r>
      <w:r>
        <w:rPr>
          <w:rFonts w:hint="eastAsia" w:ascii="Times New Roman" w:hAnsi="Times New Roman" w:eastAsia="方正仿宋_GBK" w:cs="Times New Roman"/>
          <w:sz w:val="33"/>
          <w:szCs w:val="33"/>
          <w:lang w:val="en-US" w:eastAsia="zh-CN"/>
        </w:rPr>
        <w:t>23.84</w:t>
      </w:r>
      <w:r>
        <w:rPr>
          <w:rFonts w:hint="eastAsia" w:ascii="Times New Roman" w:hAnsi="Times New Roman" w:eastAsia="方正仿宋_GBK" w:cs="Times New Roman"/>
          <w:sz w:val="33"/>
          <w:szCs w:val="33"/>
          <w:lang w:val="zh-CN" w:eastAsia="zh-CN"/>
        </w:rPr>
        <w:t>万元，1—12月预算执行总体进度为</w:t>
      </w:r>
      <w:r>
        <w:rPr>
          <w:rFonts w:hint="eastAsia" w:ascii="Times New Roman" w:hAnsi="Times New Roman" w:eastAsia="方正仿宋_GBK" w:cs="Times New Roman"/>
          <w:sz w:val="33"/>
          <w:szCs w:val="33"/>
          <w:lang w:val="en-US" w:eastAsia="zh-CN"/>
        </w:rPr>
        <w:t>99.16</w:t>
      </w:r>
      <w:r>
        <w:rPr>
          <w:rFonts w:hint="eastAsia" w:ascii="Times New Roman" w:hAnsi="Times New Roman" w:eastAsia="方正仿宋_GBK" w:cs="Times New Roman"/>
          <w:sz w:val="33"/>
          <w:szCs w:val="33"/>
          <w:lang w:val="zh-CN" w:eastAsia="zh-CN"/>
        </w:rPr>
        <w:t>%，其中：预算结余率大于10%的项目共计</w:t>
      </w: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个。</w:t>
      </w:r>
    </w:p>
    <w:p w14:paraId="36A44CFD">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阶段（含一次性）项目绩效分析。该类项目总数</w:t>
      </w:r>
      <w:r>
        <w:rPr>
          <w:rFonts w:hint="eastAsia" w:ascii="Times New Roman" w:hAnsi="Times New Roman" w:eastAsia="方正仿宋_GBK" w:cs="Times New Roman"/>
          <w:sz w:val="33"/>
          <w:szCs w:val="33"/>
          <w:lang w:val="en-US" w:eastAsia="zh-CN"/>
        </w:rPr>
        <w:t>7</w:t>
      </w:r>
      <w:r>
        <w:rPr>
          <w:rFonts w:hint="eastAsia" w:ascii="Times New Roman" w:hAnsi="Times New Roman" w:eastAsia="方正仿宋_GBK" w:cs="Times New Roman"/>
          <w:sz w:val="33"/>
          <w:szCs w:val="33"/>
          <w:lang w:val="zh-CN" w:eastAsia="zh-CN"/>
        </w:rPr>
        <w:t>个，涉及预算总金额</w:t>
      </w:r>
      <w:r>
        <w:rPr>
          <w:rFonts w:hint="eastAsia" w:ascii="Times New Roman" w:hAnsi="Times New Roman" w:eastAsia="方正仿宋_GBK" w:cs="Times New Roman"/>
          <w:sz w:val="33"/>
          <w:szCs w:val="33"/>
          <w:lang w:val="en-US" w:eastAsia="zh-CN"/>
        </w:rPr>
        <w:t>23.84</w:t>
      </w:r>
      <w:r>
        <w:rPr>
          <w:rFonts w:hint="eastAsia" w:ascii="Times New Roman" w:hAnsi="Times New Roman" w:eastAsia="方正仿宋_GBK" w:cs="Times New Roman"/>
          <w:sz w:val="33"/>
          <w:szCs w:val="33"/>
          <w:lang w:val="zh-CN" w:eastAsia="zh-CN"/>
        </w:rPr>
        <w:t>万元，1—12月预算执行总体进度为</w:t>
      </w:r>
      <w:r>
        <w:rPr>
          <w:rFonts w:hint="eastAsia" w:ascii="Times New Roman" w:hAnsi="Times New Roman" w:eastAsia="方正仿宋_GBK" w:cs="Times New Roman"/>
          <w:sz w:val="33"/>
          <w:szCs w:val="33"/>
          <w:lang w:val="en-US" w:eastAsia="zh-CN"/>
        </w:rPr>
        <w:t>99.16</w:t>
      </w:r>
      <w:r>
        <w:rPr>
          <w:rFonts w:hint="eastAsia" w:ascii="Times New Roman" w:hAnsi="Times New Roman" w:eastAsia="方正仿宋_GBK" w:cs="Times New Roman"/>
          <w:sz w:val="33"/>
          <w:szCs w:val="33"/>
          <w:lang w:val="zh-CN" w:eastAsia="zh-CN"/>
        </w:rPr>
        <w:t>%，其中：预算结余率大于10%的项目共计</w:t>
      </w: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个。</w:t>
      </w:r>
    </w:p>
    <w:p w14:paraId="206716BA">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项目决策。围绕决策程序、目标设置、项目入库</w:t>
      </w:r>
      <w:r>
        <w:rPr>
          <w:rFonts w:hint="default" w:ascii="Times New Roman" w:hAnsi="Times New Roman" w:eastAsia="方正仿宋_GBK" w:cs="Times New Roman"/>
          <w:sz w:val="33"/>
          <w:szCs w:val="33"/>
          <w:lang w:val="zh-CN" w:eastAsia="zh-CN"/>
        </w:rPr>
        <w:t>进行绩效分析</w:t>
      </w:r>
      <w:r>
        <w:rPr>
          <w:rFonts w:hint="eastAsia" w:ascii="Times New Roman" w:hAnsi="Times New Roman" w:eastAsia="方正仿宋_GBK" w:cs="Times New Roman"/>
          <w:sz w:val="33"/>
          <w:szCs w:val="33"/>
          <w:lang w:val="zh-CN" w:eastAsia="zh-CN"/>
        </w:rPr>
        <w:t>。</w:t>
      </w:r>
    </w:p>
    <w:p w14:paraId="77D51A05">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以202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工作安排为参考，以202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年工作计划为依据，预算安排共计</w:t>
      </w:r>
      <w:r>
        <w:rPr>
          <w:rFonts w:hint="eastAsia" w:ascii="Times New Roman" w:hAnsi="Times New Roman" w:eastAsia="方正仿宋_GBK" w:cs="Times New Roman"/>
          <w:sz w:val="33"/>
          <w:szCs w:val="33"/>
          <w:lang w:val="en-US" w:eastAsia="zh-CN"/>
        </w:rPr>
        <w:t>91.84</w:t>
      </w:r>
      <w:r>
        <w:rPr>
          <w:rFonts w:hint="eastAsia" w:ascii="Times New Roman" w:hAnsi="Times New Roman" w:eastAsia="方正仿宋_GBK" w:cs="Times New Roman"/>
          <w:sz w:val="33"/>
          <w:szCs w:val="33"/>
          <w:lang w:val="zh-CN" w:eastAsia="zh-CN"/>
        </w:rPr>
        <w:t>万元，以不断提高服务对象满意度，及时发现工作存在的问题，提升工人服务质量，提高政策知晓率。投入成本与预期产出及效果相匹配，成本测算依据充分。同时在支出过程中，严格履行政府采购程序，合理控制成本，确保资金投入与支出比例合理。当年实际支出</w:t>
      </w:r>
      <w:r>
        <w:rPr>
          <w:rFonts w:hint="eastAsia" w:ascii="Times New Roman" w:hAnsi="Times New Roman" w:eastAsia="方正仿宋_GBK" w:cs="Times New Roman"/>
          <w:sz w:val="33"/>
          <w:szCs w:val="33"/>
          <w:lang w:val="en-US" w:eastAsia="zh-CN"/>
        </w:rPr>
        <w:t>91.64</w:t>
      </w:r>
      <w:r>
        <w:rPr>
          <w:rFonts w:hint="eastAsia" w:ascii="Times New Roman" w:hAnsi="Times New Roman" w:eastAsia="方正仿宋_GBK" w:cs="Times New Roman"/>
          <w:sz w:val="33"/>
          <w:szCs w:val="33"/>
          <w:lang w:val="zh-CN" w:eastAsia="zh-CN"/>
        </w:rPr>
        <w:t>万元，执行率</w:t>
      </w:r>
      <w:r>
        <w:rPr>
          <w:rFonts w:hint="eastAsia" w:ascii="Times New Roman" w:hAnsi="Times New Roman" w:eastAsia="方正仿宋_GBK" w:cs="Times New Roman"/>
          <w:sz w:val="33"/>
          <w:szCs w:val="33"/>
          <w:lang w:val="en-US" w:eastAsia="zh-CN"/>
        </w:rPr>
        <w:t>99.78</w:t>
      </w:r>
      <w:r>
        <w:rPr>
          <w:rFonts w:hint="eastAsia" w:ascii="Times New Roman" w:hAnsi="Times New Roman" w:eastAsia="方正仿宋_GBK" w:cs="Times New Roman"/>
          <w:sz w:val="33"/>
          <w:szCs w:val="33"/>
          <w:lang w:val="zh-CN" w:eastAsia="zh-CN"/>
        </w:rPr>
        <w:t>%。</w:t>
      </w:r>
    </w:p>
    <w:p w14:paraId="182C2FA7">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2.项目执行</w:t>
      </w:r>
      <w:r>
        <w:rPr>
          <w:rFonts w:hint="eastAsia" w:ascii="Times New Roman" w:hAnsi="Times New Roman" w:eastAsia="方正仿宋_GBK" w:cs="Times New Roman"/>
          <w:sz w:val="33"/>
          <w:szCs w:val="33"/>
          <w:lang w:val="zh-CN" w:eastAsia="zh-CN"/>
        </w:rPr>
        <w:t>。围绕资金执行同向、项目调整、执行结果</w:t>
      </w:r>
      <w:r>
        <w:rPr>
          <w:rFonts w:hint="default" w:ascii="Times New Roman" w:hAnsi="Times New Roman" w:eastAsia="方正仿宋_GBK" w:cs="Times New Roman"/>
          <w:sz w:val="33"/>
          <w:szCs w:val="33"/>
          <w:lang w:val="zh-CN" w:eastAsia="zh-CN"/>
        </w:rPr>
        <w:t>进行绩效分析</w:t>
      </w:r>
      <w:r>
        <w:rPr>
          <w:rFonts w:hint="eastAsia" w:ascii="Times New Roman" w:hAnsi="Times New Roman" w:eastAsia="方正仿宋_GBK" w:cs="Times New Roman"/>
          <w:sz w:val="33"/>
          <w:szCs w:val="33"/>
          <w:lang w:val="zh-CN" w:eastAsia="zh-CN"/>
        </w:rPr>
        <w:t>。</w:t>
      </w:r>
    </w:p>
    <w:p w14:paraId="40C873B0">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项目实施期限主为202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年1月至12月，由</w:t>
      </w:r>
      <w:r>
        <w:rPr>
          <w:rFonts w:hint="eastAsia" w:ascii="Times New Roman" w:hAnsi="Times New Roman" w:eastAsia="方正仿宋_GBK" w:cs="Times New Roman"/>
          <w:sz w:val="33"/>
          <w:szCs w:val="33"/>
          <w:lang w:val="en-US" w:eastAsia="zh-CN"/>
        </w:rPr>
        <w:t>西区团委</w:t>
      </w:r>
      <w:r>
        <w:rPr>
          <w:rFonts w:hint="eastAsia" w:ascii="Times New Roman" w:hAnsi="Times New Roman" w:eastAsia="方正仿宋_GBK" w:cs="Times New Roman"/>
          <w:sz w:val="33"/>
          <w:szCs w:val="33"/>
          <w:lang w:val="zh-CN" w:eastAsia="zh-CN"/>
        </w:rPr>
        <w:t>申报，西区财政局审核批复，主要用于志愿服务事业发展经费、</w:t>
      </w:r>
      <w:r>
        <w:rPr>
          <w:rFonts w:hint="eastAsia" w:ascii="Times New Roman" w:hAnsi="Times New Roman" w:eastAsia="方正仿宋_GBK" w:cs="Times New Roman"/>
          <w:sz w:val="33"/>
          <w:szCs w:val="33"/>
          <w:lang w:val="en-US" w:eastAsia="zh-CN"/>
        </w:rPr>
        <w:t>少先队工作项目、关工委经费等</w:t>
      </w:r>
      <w:r>
        <w:rPr>
          <w:rFonts w:hint="eastAsia" w:ascii="Times New Roman" w:hAnsi="Times New Roman" w:eastAsia="方正仿宋_GBK" w:cs="Times New Roman"/>
          <w:sz w:val="33"/>
          <w:szCs w:val="33"/>
          <w:lang w:val="zh-CN" w:eastAsia="zh-CN"/>
        </w:rPr>
        <w:t>各项工作开展，加强项目实</w:t>
      </w:r>
      <w:r>
        <w:rPr>
          <w:rFonts w:hint="eastAsia" w:ascii="Times New Roman" w:hAnsi="Times New Roman" w:eastAsia="仿宋_GB2312" w:cs="仿宋_GB2312"/>
          <w:color w:val="auto"/>
          <w:kern w:val="2"/>
          <w:sz w:val="32"/>
          <w:szCs w:val="32"/>
          <w:highlight w:val="none"/>
          <w:lang w:val="zh-CN" w:eastAsia="zh-CN" w:bidi="ar-SA"/>
        </w:rPr>
        <w:t>施</w:t>
      </w:r>
      <w:r>
        <w:rPr>
          <w:rFonts w:hint="eastAsia" w:ascii="Times New Roman" w:hAnsi="Times New Roman" w:eastAsia="方正仿宋_GBK" w:cs="Times New Roman"/>
          <w:sz w:val="33"/>
          <w:szCs w:val="33"/>
          <w:lang w:val="zh-CN" w:eastAsia="zh-CN"/>
        </w:rPr>
        <w:t>过程中的监督审核，建立健全财政专项资金的公开机制、评审机制、跟踪检查机制，确保财政资金安全高效使用。</w:t>
      </w:r>
    </w:p>
    <w:p w14:paraId="50D6FAB6">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lang w:val="zh-CN" w:eastAsia="zh-CN"/>
        </w:rPr>
        <w:t>目标实现。围绕目标完成、目标偏离、实现效果</w:t>
      </w:r>
      <w:r>
        <w:rPr>
          <w:rFonts w:hint="default" w:ascii="Times New Roman" w:hAnsi="Times New Roman" w:eastAsia="方正仿宋_GBK" w:cs="Times New Roman"/>
          <w:sz w:val="33"/>
          <w:szCs w:val="33"/>
          <w:lang w:val="zh-CN" w:eastAsia="zh-CN"/>
        </w:rPr>
        <w:t>进行绩效分析</w:t>
      </w:r>
      <w:r>
        <w:rPr>
          <w:rFonts w:hint="eastAsia" w:ascii="Times New Roman" w:hAnsi="Times New Roman" w:eastAsia="方正仿宋_GBK" w:cs="Times New Roman"/>
          <w:sz w:val="33"/>
          <w:szCs w:val="33"/>
          <w:lang w:val="zh-CN" w:eastAsia="zh-CN"/>
        </w:rPr>
        <w:t>。</w:t>
      </w:r>
    </w:p>
    <w:p w14:paraId="72619618">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2024年西区团委</w:t>
      </w:r>
      <w:r>
        <w:rPr>
          <w:rFonts w:hint="eastAsia" w:ascii="Times New Roman" w:hAnsi="Times New Roman" w:eastAsia="方正仿宋_GBK" w:cs="Times New Roman"/>
          <w:sz w:val="33"/>
          <w:szCs w:val="33"/>
          <w:lang w:val="zh-CN" w:eastAsia="zh-CN"/>
        </w:rPr>
        <w:t>预算资金</w:t>
      </w:r>
      <w:r>
        <w:rPr>
          <w:rFonts w:hint="eastAsia" w:ascii="Times New Roman" w:hAnsi="Times New Roman" w:eastAsia="方正仿宋_GBK" w:cs="Times New Roman"/>
          <w:sz w:val="33"/>
          <w:szCs w:val="33"/>
          <w:lang w:val="en-US" w:eastAsia="zh-CN"/>
        </w:rPr>
        <w:t>91.84</w:t>
      </w:r>
      <w:r>
        <w:rPr>
          <w:rFonts w:hint="eastAsia" w:ascii="Times New Roman" w:hAnsi="Times New Roman" w:eastAsia="方正仿宋_GBK" w:cs="Times New Roman"/>
          <w:sz w:val="33"/>
          <w:szCs w:val="33"/>
          <w:lang w:val="zh-CN" w:eastAsia="zh-CN"/>
        </w:rPr>
        <w:t>万元由区财政局纳入一体化管理平台统一管理，专款专用，资金拨付执行审批程序，使用规范，入账手续齐全。</w:t>
      </w:r>
    </w:p>
    <w:p w14:paraId="51490751">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w:t>
      </w:r>
      <w:r>
        <w:rPr>
          <w:rFonts w:hint="eastAsia" w:ascii="Times New Roman" w:hAnsi="Times New Roman" w:eastAsia="方正仿宋_GBK" w:cs="Times New Roman"/>
          <w:sz w:val="33"/>
          <w:szCs w:val="33"/>
          <w:lang w:val="en-US" w:eastAsia="zh-CN"/>
        </w:rPr>
        <w:t>1）</w:t>
      </w:r>
      <w:r>
        <w:rPr>
          <w:rFonts w:hint="eastAsia" w:ascii="Times New Roman" w:hAnsi="Times New Roman" w:eastAsia="方正仿宋_GBK" w:cs="Times New Roman"/>
          <w:sz w:val="33"/>
          <w:szCs w:val="33"/>
          <w:lang w:val="zh-CN" w:eastAsia="zh-CN"/>
        </w:rPr>
        <w:t>项目的经济效益分析。</w:t>
      </w:r>
    </w:p>
    <w:p w14:paraId="4F7238B2">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14:paraId="0D60447F">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w:t>
      </w:r>
      <w:r>
        <w:rPr>
          <w:rFonts w:hint="eastAsia" w:ascii="Times New Roman" w:hAnsi="Times New Roman" w:eastAsia="方正仿宋_GBK" w:cs="Times New Roman"/>
          <w:sz w:val="33"/>
          <w:szCs w:val="33"/>
          <w:lang w:val="en-US" w:eastAsia="zh-CN"/>
        </w:rPr>
        <w:t>2）</w:t>
      </w:r>
      <w:r>
        <w:rPr>
          <w:rFonts w:hint="eastAsia" w:ascii="Times New Roman" w:hAnsi="Times New Roman" w:eastAsia="方正仿宋_GBK" w:cs="Times New Roman"/>
          <w:sz w:val="33"/>
          <w:szCs w:val="33"/>
          <w:lang w:val="zh-CN" w:eastAsia="zh-CN"/>
        </w:rPr>
        <w:t>项目的社会效益分析。</w:t>
      </w:r>
    </w:p>
    <w:p w14:paraId="3947E7A6">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促进地方经济发展、促进社会进步、带动就业、提高人民生活水平，顺利完成工作任务，达到预期目标。</w:t>
      </w:r>
    </w:p>
    <w:p w14:paraId="2719B338">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w:t>
      </w: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lang w:val="zh-CN" w:eastAsia="zh-CN"/>
        </w:rPr>
        <w:t>项目的可持续性分析。</w:t>
      </w:r>
    </w:p>
    <w:p w14:paraId="13C0E9F7">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eastAsia="zh-CN"/>
        </w:rPr>
        <w:t>202</w:t>
      </w:r>
      <w:r>
        <w:rPr>
          <w:rFonts w:hint="eastAsia" w:ascii="Times New Roman" w:hAnsi="Times New Roman" w:eastAsia="方正仿宋_GBK" w:cs="Times New Roman"/>
          <w:sz w:val="33"/>
          <w:szCs w:val="33"/>
          <w:lang w:val="en-US" w:eastAsia="zh-CN"/>
        </w:rPr>
        <w:t>4</w:t>
      </w:r>
      <w:r>
        <w:rPr>
          <w:rFonts w:hint="eastAsia" w:ascii="Times New Roman" w:hAnsi="Times New Roman" w:eastAsia="方正仿宋_GBK" w:cs="Times New Roman"/>
          <w:sz w:val="33"/>
          <w:szCs w:val="33"/>
          <w:lang w:val="zh-CN" w:eastAsia="zh-CN"/>
        </w:rPr>
        <w:t>年度较好地完成了年初制定的工作目标任务，各个项目有序开展，整体支出平稳，较好地实现了社会效益和可持续效益目标。</w:t>
      </w:r>
    </w:p>
    <w:p w14:paraId="46D87596">
      <w:pPr>
        <w:keepNext w:val="0"/>
        <w:keepLines w:val="0"/>
        <w:pageBreakBefore w:val="0"/>
        <w:widowControl w:val="0"/>
        <w:kinsoku/>
        <w:wordWrap/>
        <w:overflowPunct/>
        <w:topLinePunct w:val="0"/>
        <w:autoSpaceDE/>
        <w:autoSpaceDN/>
        <w:bidi w:val="0"/>
        <w:adjustRightInd/>
        <w:snapToGrid/>
        <w:spacing w:line="600" w:lineRule="exact"/>
        <w:ind w:firstLine="663"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b/>
          <w:bCs/>
          <w:sz w:val="33"/>
          <w:szCs w:val="33"/>
          <w:lang w:val="zh-CN" w:eastAsia="zh-CN"/>
        </w:rPr>
        <w:t>（</w:t>
      </w:r>
      <w:r>
        <w:rPr>
          <w:rFonts w:hint="eastAsia" w:ascii="Times New Roman" w:hAnsi="Times New Roman" w:eastAsia="方正仿宋_GBK" w:cs="Times New Roman"/>
          <w:b/>
          <w:bCs/>
          <w:sz w:val="33"/>
          <w:szCs w:val="33"/>
          <w:lang w:val="en-US" w:eastAsia="zh-CN"/>
        </w:rPr>
        <w:t>三</w:t>
      </w:r>
      <w:r>
        <w:rPr>
          <w:rFonts w:hint="default" w:ascii="Times New Roman" w:hAnsi="Times New Roman" w:eastAsia="方正仿宋_GBK" w:cs="Times New Roman"/>
          <w:b/>
          <w:bCs/>
          <w:sz w:val="33"/>
          <w:szCs w:val="33"/>
          <w:lang w:val="zh-CN" w:eastAsia="zh-CN"/>
        </w:rPr>
        <w:t>）绩效结果应用情况</w:t>
      </w:r>
      <w:r>
        <w:rPr>
          <w:rFonts w:hint="eastAsia" w:ascii="Times New Roman" w:hAnsi="Times New Roman" w:eastAsia="方正仿宋_GBK" w:cs="Times New Roman"/>
          <w:b/>
          <w:bCs/>
          <w:sz w:val="33"/>
          <w:szCs w:val="33"/>
          <w:lang w:val="zh-CN" w:eastAsia="zh-CN"/>
        </w:rPr>
        <w:t>。</w:t>
      </w:r>
      <w:r>
        <w:rPr>
          <w:rFonts w:hint="eastAsia" w:ascii="Times New Roman" w:hAnsi="Times New Roman" w:eastAsia="方正仿宋_GBK" w:cs="Times New Roman"/>
          <w:sz w:val="33"/>
          <w:szCs w:val="33"/>
          <w:lang w:val="zh-CN" w:eastAsia="zh-CN"/>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14:paraId="5D7B0F24">
      <w:pPr>
        <w:keepNext w:val="0"/>
        <w:keepLines w:val="0"/>
        <w:pageBreakBefore w:val="0"/>
        <w:widowControl w:val="0"/>
        <w:kinsoku/>
        <w:wordWrap/>
        <w:overflowPunct/>
        <w:topLinePunct w:val="0"/>
        <w:autoSpaceDE/>
        <w:autoSpaceDN/>
        <w:bidi w:val="0"/>
        <w:adjustRightInd/>
        <w:snapToGrid/>
        <w:ind w:firstLine="663" w:firstLineChars="200"/>
        <w:textAlignment w:val="auto"/>
        <w:rPr>
          <w:rFonts w:hint="default" w:asciiTheme="minorEastAsia" w:hAnsiTheme="minorEastAsia" w:eastAsiaTheme="minorEastAsia" w:cstheme="minorEastAsia"/>
          <w:b/>
          <w:bCs/>
          <w:sz w:val="33"/>
          <w:szCs w:val="33"/>
          <w:lang w:val="zh-CN" w:eastAsia="zh-CN"/>
        </w:rPr>
      </w:pPr>
      <w:r>
        <w:rPr>
          <w:rFonts w:hint="default" w:asciiTheme="minorEastAsia" w:hAnsiTheme="minorEastAsia" w:eastAsiaTheme="minorEastAsia" w:cstheme="minorEastAsia"/>
          <w:b/>
          <w:bCs/>
          <w:sz w:val="33"/>
          <w:szCs w:val="33"/>
          <w:lang w:val="zh-CN" w:eastAsia="zh-CN"/>
        </w:rPr>
        <w:t>四、评价结论及建议</w:t>
      </w:r>
    </w:p>
    <w:p w14:paraId="7FA7DE2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5AF54CA0">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2024年西区团委整体支出绩效自评较科学准确，真实地反映了本单位财政收支情况，较好完成年初绩效目标任务，自评优秀。评价得分97分,其中总体绩效62分，项目绩效35分。</w:t>
      </w:r>
    </w:p>
    <w:p w14:paraId="730E50D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2444848C">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一是在资金安排和使用上仍有不可预见性：如在预算执行中，有时会因临时新增重要的工作任务或者人员增加发生新的费用，而年初预算时很难精确测算相关支出，导致预算执行中需要追加经费；二是因为个别专项工作需按照上级部门安排部署开展，本年度无法完成，导致项目资金结转下年</w:t>
      </w:r>
      <w:r>
        <w:rPr>
          <w:rFonts w:hint="eastAsia" w:ascii="Times New Roman" w:hAnsi="Times New Roman" w:eastAsia="方正仿宋_GBK" w:cs="Times New Roman"/>
          <w:sz w:val="33"/>
          <w:szCs w:val="33"/>
          <w:lang w:val="en-US" w:eastAsia="zh-CN"/>
        </w:rPr>
        <w:t>。</w:t>
      </w:r>
    </w:p>
    <w:p w14:paraId="658D566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0" w:name="_Hlk110546638"/>
    </w:p>
    <w:bookmarkEnd w:id="60"/>
    <w:p w14:paraId="1EFE47C1">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进一步完善和加强单位内部财务管理制度，加强预算编制的精准性及预算项目的可实施性，加强资金使用动态管理，确保资金使用效益最大化。</w:t>
      </w:r>
    </w:p>
    <w:p w14:paraId="4B898CD8">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zh-CN" w:eastAsia="zh-CN"/>
        </w:rPr>
        <w:t>附表：</w:t>
      </w:r>
      <w:r>
        <w:rPr>
          <w:rFonts w:hint="eastAsia" w:ascii="Times New Roman" w:hAnsi="Times New Roman" w:eastAsia="方正仿宋_GBK" w:cs="Times New Roman"/>
          <w:sz w:val="33"/>
          <w:szCs w:val="33"/>
          <w:lang w:val="en-US" w:eastAsia="zh-CN"/>
        </w:rPr>
        <w:t>部门预算项目支出绩效自评表（2024年度）</w:t>
      </w:r>
    </w:p>
    <w:p w14:paraId="60828A35">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zh-CN" w:eastAsia="zh-CN"/>
        </w:rPr>
      </w:pPr>
    </w:p>
    <w:p w14:paraId="2EE88D9F">
      <w:pPr>
        <w:pStyle w:val="11"/>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3C21A0E">
      <w:pPr>
        <w:pStyle w:val="5"/>
        <w:rPr>
          <w:rFonts w:hint="eastAsia" w:ascii="Times New Roman" w:hAnsi="Times New Roman" w:cs="宋体"/>
          <w:color w:val="FF0000"/>
          <w:kern w:val="0"/>
          <w:sz w:val="32"/>
          <w:szCs w:val="32"/>
          <w:highlight w:val="yellow"/>
          <w:shd w:val="clear" w:color="auto" w:fill="FFFFFF"/>
          <w:lang w:val="zh-CN"/>
        </w:rPr>
      </w:pPr>
    </w:p>
    <w:p w14:paraId="64E0FB65">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1B9473F3">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Times New Roman" w:hAnsi="Times New Roman" w:eastAsia="方正小标宋_GBK" w:cs="Times New Roman"/>
          <w:b/>
          <w:bCs/>
          <w:sz w:val="44"/>
          <w:szCs w:val="44"/>
          <w:lang w:val="en-US" w:eastAsia="zh-CN"/>
        </w:rPr>
      </w:pPr>
      <w:bookmarkStart w:id="61" w:name="_Toc15396618"/>
      <w:r>
        <w:rPr>
          <w:rFonts w:hint="eastAsia" w:ascii="Times New Roman" w:hAnsi="Times New Roman" w:eastAsia="方正小标宋_GBK" w:cs="Times New Roman"/>
          <w:b/>
          <w:bCs/>
          <w:sz w:val="44"/>
          <w:szCs w:val="44"/>
          <w:lang w:val="en-US" w:eastAsia="zh-CN"/>
        </w:rPr>
        <w:t>第五部分 附表</w:t>
      </w:r>
      <w:bookmarkEnd w:id="58"/>
      <w:bookmarkEnd w:id="61"/>
      <w:bookmarkStart w:id="62" w:name="_Toc15396619"/>
    </w:p>
    <w:p w14:paraId="119E79FC">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Times New Roman" w:hAnsi="Times New Roman" w:eastAsia="方正小标宋_GBK" w:cs="Times New Roman"/>
          <w:b/>
          <w:bCs/>
          <w:sz w:val="44"/>
          <w:szCs w:val="44"/>
          <w:lang w:val="en-US" w:eastAsia="zh-CN"/>
        </w:rPr>
      </w:pPr>
    </w:p>
    <w:p w14:paraId="644D1FF7">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一、收入支出决算总表</w:t>
      </w:r>
      <w:bookmarkEnd w:id="62"/>
    </w:p>
    <w:p w14:paraId="07184F38">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bookmarkStart w:id="63" w:name="_Toc15396620"/>
      <w:r>
        <w:rPr>
          <w:rFonts w:hint="eastAsia" w:ascii="Times New Roman" w:hAnsi="Times New Roman" w:eastAsia="方正仿宋_GBK" w:cs="Times New Roman"/>
          <w:sz w:val="33"/>
          <w:szCs w:val="33"/>
          <w:lang w:val="en-US" w:eastAsia="zh-CN"/>
        </w:rPr>
        <w:t>二、收入决算表</w:t>
      </w:r>
      <w:bookmarkEnd w:id="63"/>
    </w:p>
    <w:p w14:paraId="4696EF22">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bookmarkStart w:id="64" w:name="_Toc15396621"/>
      <w:r>
        <w:rPr>
          <w:rFonts w:hint="eastAsia" w:ascii="Times New Roman" w:hAnsi="Times New Roman" w:eastAsia="方正仿宋_GBK" w:cs="Times New Roman"/>
          <w:sz w:val="33"/>
          <w:szCs w:val="33"/>
          <w:lang w:val="en-US" w:eastAsia="zh-CN"/>
        </w:rPr>
        <w:t>三、支出决算表</w:t>
      </w:r>
      <w:bookmarkEnd w:id="64"/>
    </w:p>
    <w:p w14:paraId="718AEFA5">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bookmarkStart w:id="65" w:name="_Toc15396622"/>
      <w:r>
        <w:rPr>
          <w:rFonts w:hint="eastAsia" w:ascii="Times New Roman" w:hAnsi="Times New Roman" w:eastAsia="方正仿宋_GBK" w:cs="Times New Roman"/>
          <w:sz w:val="33"/>
          <w:szCs w:val="33"/>
          <w:lang w:val="en-US" w:eastAsia="zh-CN"/>
        </w:rPr>
        <w:t>四、财政拨款收入支出决算总表</w:t>
      </w:r>
      <w:bookmarkEnd w:id="65"/>
    </w:p>
    <w:p w14:paraId="2A691D02">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bookmarkStart w:id="66" w:name="_Toc15396623"/>
      <w:r>
        <w:rPr>
          <w:rFonts w:hint="eastAsia" w:ascii="Times New Roman" w:hAnsi="Times New Roman" w:eastAsia="方正仿宋_GBK" w:cs="Times New Roman"/>
          <w:sz w:val="33"/>
          <w:szCs w:val="33"/>
          <w:lang w:val="en-US" w:eastAsia="zh-CN"/>
        </w:rPr>
        <w:t>五、财政拨款支出决算明细表</w:t>
      </w:r>
      <w:bookmarkEnd w:id="66"/>
      <w:bookmarkStart w:id="67" w:name="_Toc15396624"/>
    </w:p>
    <w:p w14:paraId="6CCD4F71">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六、一般公共预算财政拨款支出决算表</w:t>
      </w:r>
      <w:bookmarkEnd w:id="67"/>
    </w:p>
    <w:p w14:paraId="51CCA9D4">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bookmarkStart w:id="68" w:name="_Toc15396625"/>
      <w:r>
        <w:rPr>
          <w:rFonts w:hint="eastAsia" w:ascii="Times New Roman" w:hAnsi="Times New Roman" w:eastAsia="方正仿宋_GBK" w:cs="Times New Roman"/>
          <w:sz w:val="33"/>
          <w:szCs w:val="33"/>
          <w:lang w:val="en-US" w:eastAsia="zh-CN"/>
        </w:rPr>
        <w:t>七、一般公共预算财政拨款支出决算明细表</w:t>
      </w:r>
      <w:bookmarkEnd w:id="68"/>
    </w:p>
    <w:p w14:paraId="00F3760F">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bookmarkStart w:id="69" w:name="_Toc15396626"/>
      <w:r>
        <w:rPr>
          <w:rFonts w:hint="eastAsia" w:ascii="Times New Roman" w:hAnsi="Times New Roman" w:eastAsia="方正仿宋_GBK" w:cs="Times New Roman"/>
          <w:sz w:val="33"/>
          <w:szCs w:val="33"/>
          <w:lang w:val="en-US" w:eastAsia="zh-CN"/>
        </w:rPr>
        <w:t>八、一般公共预算财政拨款基本支出决算表</w:t>
      </w:r>
      <w:bookmarkEnd w:id="69"/>
    </w:p>
    <w:p w14:paraId="6DE3CBA4">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bookmarkStart w:id="70" w:name="_Toc15396627"/>
      <w:r>
        <w:rPr>
          <w:rFonts w:hint="eastAsia" w:ascii="Times New Roman" w:hAnsi="Times New Roman" w:eastAsia="方正仿宋_GBK" w:cs="Times New Roman"/>
          <w:sz w:val="33"/>
          <w:szCs w:val="33"/>
          <w:lang w:val="en-US" w:eastAsia="zh-CN"/>
        </w:rPr>
        <w:t>九、一般公共预算财政拨款项目支出决算表</w:t>
      </w:r>
      <w:bookmarkEnd w:id="70"/>
    </w:p>
    <w:p w14:paraId="42D8EDDF">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bookmarkStart w:id="71" w:name="_Toc15396628"/>
      <w:r>
        <w:rPr>
          <w:rFonts w:hint="eastAsia" w:ascii="Times New Roman" w:hAnsi="Times New Roman" w:eastAsia="方正仿宋_GBK" w:cs="Times New Roman"/>
          <w:sz w:val="33"/>
          <w:szCs w:val="33"/>
          <w:lang w:val="en-US" w:eastAsia="zh-CN"/>
        </w:rPr>
        <w:t>十、</w:t>
      </w:r>
      <w:bookmarkEnd w:id="71"/>
      <w:r>
        <w:rPr>
          <w:rFonts w:hint="eastAsia" w:ascii="Times New Roman" w:hAnsi="Times New Roman" w:eastAsia="方正仿宋_GBK" w:cs="Times New Roman"/>
          <w:sz w:val="33"/>
          <w:szCs w:val="33"/>
          <w:lang w:val="en-US" w:eastAsia="zh-CN"/>
        </w:rPr>
        <w:t>政府性基金预算财政拨款收入支出决算表</w:t>
      </w:r>
    </w:p>
    <w:p w14:paraId="1F8203EF">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bookmarkStart w:id="72" w:name="_Toc15396629"/>
      <w:r>
        <w:rPr>
          <w:rFonts w:hint="eastAsia" w:ascii="Times New Roman" w:hAnsi="Times New Roman" w:eastAsia="方正仿宋_GBK" w:cs="Times New Roman"/>
          <w:sz w:val="33"/>
          <w:szCs w:val="33"/>
          <w:lang w:val="en-US" w:eastAsia="zh-CN"/>
        </w:rPr>
        <w:t>十一、</w:t>
      </w:r>
      <w:bookmarkEnd w:id="72"/>
      <w:r>
        <w:rPr>
          <w:rFonts w:hint="eastAsia" w:ascii="Times New Roman" w:hAnsi="Times New Roman" w:eastAsia="方正仿宋_GBK" w:cs="Times New Roman"/>
          <w:sz w:val="33"/>
          <w:szCs w:val="33"/>
          <w:lang w:val="en-US" w:eastAsia="zh-CN"/>
        </w:rPr>
        <w:t>国有资本经营预算财政拨款收入支出决算表</w:t>
      </w:r>
    </w:p>
    <w:p w14:paraId="557FC7AA">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bookmarkStart w:id="73" w:name="_Toc15396630"/>
      <w:r>
        <w:rPr>
          <w:rFonts w:hint="eastAsia" w:ascii="Times New Roman" w:hAnsi="Times New Roman" w:eastAsia="方正仿宋_GBK" w:cs="Times New Roman"/>
          <w:sz w:val="33"/>
          <w:szCs w:val="33"/>
          <w:lang w:val="en-US" w:eastAsia="zh-CN"/>
        </w:rPr>
        <w:t>十二、</w:t>
      </w:r>
      <w:bookmarkEnd w:id="73"/>
      <w:r>
        <w:rPr>
          <w:rFonts w:hint="eastAsia" w:ascii="Times New Roman" w:hAnsi="Times New Roman" w:eastAsia="方正仿宋_GBK" w:cs="Times New Roman"/>
          <w:sz w:val="33"/>
          <w:szCs w:val="33"/>
          <w:lang w:val="en-US" w:eastAsia="zh-CN"/>
        </w:rPr>
        <w:t>国有资本经营预算财政拨款支出决算表</w:t>
      </w:r>
    </w:p>
    <w:p w14:paraId="2C58FB04">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bookmarkStart w:id="74" w:name="_Toc15396631"/>
      <w:r>
        <w:rPr>
          <w:rFonts w:hint="eastAsia" w:ascii="Times New Roman" w:hAnsi="Times New Roman" w:eastAsia="方正仿宋_GBK" w:cs="Times New Roman"/>
          <w:sz w:val="33"/>
          <w:szCs w:val="33"/>
          <w:lang w:val="en-US" w:eastAsia="zh-CN"/>
        </w:rPr>
        <w:t>十三、</w:t>
      </w:r>
      <w:bookmarkEnd w:id="74"/>
      <w:r>
        <w:rPr>
          <w:rFonts w:hint="eastAsia" w:ascii="Times New Roman" w:hAnsi="Times New Roman" w:eastAsia="方正仿宋_GBK" w:cs="Times New Roman"/>
          <w:sz w:val="33"/>
          <w:szCs w:val="33"/>
          <w:lang w:val="en-US" w:eastAsia="zh-CN"/>
        </w:rPr>
        <w:t>财政拨款“三公”经费支出决算表</w:t>
      </w:r>
    </w:p>
    <w:p w14:paraId="54715D6B">
      <w:pPr>
        <w:keepNext w:val="0"/>
        <w:keepLines w:val="0"/>
        <w:pageBreakBefore w:val="0"/>
        <w:widowControl w:val="0"/>
        <w:kinsoku/>
        <w:wordWrap/>
        <w:overflowPunct/>
        <w:topLinePunct w:val="0"/>
        <w:autoSpaceDE/>
        <w:autoSpaceDN/>
        <w:bidi w:val="0"/>
        <w:adjustRightInd/>
        <w:snapToGrid/>
        <w:spacing w:line="600" w:lineRule="exact"/>
        <w:ind w:firstLine="660" w:firstLineChars="200"/>
        <w:textAlignment w:val="auto"/>
        <w:rPr>
          <w:rFonts w:hint="eastAsia" w:ascii="Times New Roman" w:hAnsi="Times New Roman" w:eastAsia="方正仿宋_GBK" w:cs="Times New Roman"/>
          <w:sz w:val="33"/>
          <w:szCs w:val="33"/>
          <w:lang w:val="en-US"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D091">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C0FF1">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FC0FF1">
                    <w:pPr>
                      <w:pStyle w:val="14"/>
                    </w:pPr>
                    <w:r>
                      <w:fldChar w:fldCharType="begin"/>
                    </w:r>
                    <w:r>
                      <w:instrText xml:space="preserve"> PAGE  \* MERGEFORMAT </w:instrText>
                    </w:r>
                    <w:r>
                      <w:fldChar w:fldCharType="separate"/>
                    </w:r>
                    <w:r>
                      <w:t>- 1 -</w:t>
                    </w:r>
                    <w:r>
                      <w:fldChar w:fldCharType="end"/>
                    </w:r>
                  </w:p>
                </w:txbxContent>
              </v:textbox>
            </v:shape>
          </w:pict>
        </mc:Fallback>
      </mc:AlternateContent>
    </w:r>
  </w:p>
  <w:p w14:paraId="14DB28D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5A25">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E2A2F">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2E2A2F">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E0D8">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662E2">
                          <w:pPr>
                            <w:pStyle w:val="1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9662E2">
                    <w:pPr>
                      <w:pStyle w:val="14"/>
                    </w:pPr>
                    <w:r>
                      <w:fldChar w:fldCharType="begin"/>
                    </w:r>
                    <w:r>
                      <w:instrText xml:space="preserve"> PAGE  \* MERGEFORMAT </w:instrText>
                    </w:r>
                    <w:r>
                      <w:fldChar w:fldCharType="separate"/>
                    </w:r>
                    <w:r>
                      <w:t>- 2 -</w:t>
                    </w:r>
                    <w:r>
                      <w:fldChar w:fldCharType="end"/>
                    </w:r>
                  </w:p>
                </w:txbxContent>
              </v:textbox>
            </v:shape>
          </w:pict>
        </mc:Fallback>
      </mc:AlternateContent>
    </w:r>
  </w:p>
  <w:p w14:paraId="67CB2A0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F977C">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9441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B9441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BBF1F">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EC790E"/>
    <w:rsid w:val="02FEBE30"/>
    <w:rsid w:val="04916F1E"/>
    <w:rsid w:val="061E35DE"/>
    <w:rsid w:val="066E0107"/>
    <w:rsid w:val="07996F6E"/>
    <w:rsid w:val="07DFD8BA"/>
    <w:rsid w:val="097906FF"/>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2FFF3C0D"/>
    <w:rsid w:val="30331A2C"/>
    <w:rsid w:val="30442F65"/>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7E5268"/>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354635"/>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42241"/>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3737A3"/>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color w:val="000000"/>
    </w:rPr>
  </w:style>
  <w:style w:type="paragraph" w:styleId="3">
    <w:name w:val="Normal (Web)"/>
    <w:basedOn w:val="1"/>
    <w:next w:val="4"/>
    <w:qFormat/>
    <w:uiPriority w:val="0"/>
    <w:pPr>
      <w:spacing w:beforeAutospacing="1" w:after="100" w:afterLines="0" w:afterAutospacing="1"/>
      <w:ind w:left="0" w:right="0"/>
      <w:jc w:val="left"/>
    </w:pPr>
    <w:rPr>
      <w:kern w:val="0"/>
      <w:sz w:val="24"/>
      <w:lang w:val="en-US" w:eastAsia="zh-CN" w:bidi="ar"/>
    </w:rPr>
  </w:style>
  <w:style w:type="paragraph" w:styleId="4">
    <w:name w:val="Balloon Text"/>
    <w:basedOn w:val="5"/>
    <w:next w:val="5"/>
    <w:link w:val="35"/>
    <w:semiHidden/>
    <w:unhideWhenUsed/>
    <w:qFormat/>
    <w:uiPriority w:val="99"/>
    <w:rPr>
      <w:sz w:val="18"/>
      <w:szCs w:val="18"/>
    </w:rPr>
  </w:style>
  <w:style w:type="paragraph" w:styleId="5">
    <w:name w:val="Body Text"/>
    <w:basedOn w:val="1"/>
    <w:link w:val="29"/>
    <w:qFormat/>
    <w:uiPriority w:val="99"/>
    <w:pPr>
      <w:spacing w:beforeLines="30"/>
    </w:pPr>
    <w:rPr>
      <w:rFonts w:ascii="仿宋_GB2312" w:eastAsia="仿宋_GB2312"/>
      <w:kern w:val="0"/>
      <w:sz w:val="30"/>
    </w:rPr>
  </w:style>
  <w:style w:type="paragraph" w:styleId="9">
    <w:name w:val="Salutation"/>
    <w:basedOn w:val="1"/>
    <w:next w:val="1"/>
    <w:unhideWhenUsed/>
    <w:qFormat/>
    <w:uiPriority w:val="99"/>
    <w:rPr>
      <w:rFonts w:ascii="Times New Roman" w:hAnsi="Times New Roman"/>
    </w:rPr>
  </w:style>
  <w:style w:type="paragraph" w:styleId="10">
    <w:name w:val="Body Text Indent"/>
    <w:basedOn w:val="1"/>
    <w:next w:val="11"/>
    <w:qFormat/>
    <w:uiPriority w:val="0"/>
    <w:pPr>
      <w:spacing w:after="120"/>
      <w:ind w:leftChars="200"/>
    </w:pPr>
    <w:rPr>
      <w:rFonts w:ascii="仿宋_GB2312"/>
      <w:szCs w:val="32"/>
    </w:rPr>
  </w:style>
  <w:style w:type="paragraph" w:styleId="11">
    <w:name w:val="Body Text First Indent 2"/>
    <w:basedOn w:val="10"/>
    <w:unhideWhenUsed/>
    <w:qFormat/>
    <w:uiPriority w:val="99"/>
    <w:pPr>
      <w:ind w:firstLine="420" w:firstLineChars="200"/>
    </w:pPr>
  </w:style>
  <w:style w:type="paragraph" w:styleId="12">
    <w:name w:val="toc 5"/>
    <w:basedOn w:val="1"/>
    <w:next w:val="1"/>
    <w:unhideWhenUsed/>
    <w:qFormat/>
    <w:uiPriority w:val="39"/>
    <w:pPr>
      <w:ind w:left="1680" w:leftChars="800"/>
    </w:pPr>
  </w:style>
  <w:style w:type="paragraph" w:styleId="13">
    <w:name w:val="toc 3"/>
    <w:basedOn w:val="1"/>
    <w:next w:val="1"/>
    <w:unhideWhenUsed/>
    <w:qFormat/>
    <w:uiPriority w:val="39"/>
    <w:pPr>
      <w:tabs>
        <w:tab w:val="right" w:leader="dot" w:pos="8296"/>
      </w:tabs>
      <w:ind w:left="840" w:leftChars="400"/>
    </w:pPr>
  </w:style>
  <w:style w:type="paragraph" w:styleId="14">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11"/>
    <w:semiHidden/>
    <w:qFormat/>
    <w:uiPriority w:val="0"/>
    <w:pPr>
      <w:snapToGrid w:val="0"/>
      <w:jc w:val="left"/>
    </w:pPr>
    <w:rPr>
      <w:sz w:val="18"/>
      <w:szCs w:val="18"/>
    </w:rPr>
  </w:style>
  <w:style w:type="paragraph" w:styleId="18">
    <w:name w:val="toc 2"/>
    <w:basedOn w:val="1"/>
    <w:next w:val="1"/>
    <w:unhideWhenUsed/>
    <w:qFormat/>
    <w:uiPriority w:val="39"/>
    <w:pPr>
      <w:tabs>
        <w:tab w:val="right" w:leader="dot" w:pos="8296"/>
      </w:tabs>
      <w:ind w:left="420" w:leftChars="200"/>
    </w:p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5"/>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4"/>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5"/>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6"/>
    <w:qFormat/>
    <w:uiPriority w:val="9"/>
    <w:rPr>
      <w:rFonts w:ascii="Times New Roman" w:hAnsi="Times New Roman"/>
      <w:b/>
      <w:bCs/>
      <w:kern w:val="44"/>
      <w:sz w:val="44"/>
      <w:szCs w:val="44"/>
    </w:rPr>
  </w:style>
  <w:style w:type="character" w:customStyle="1" w:styleId="33">
    <w:name w:val="标题 2 Char"/>
    <w:basedOn w:val="20"/>
    <w:link w:val="7"/>
    <w:qFormat/>
    <w:uiPriority w:val="9"/>
    <w:rPr>
      <w:rFonts w:asciiTheme="majorHAnsi" w:hAnsiTheme="majorHAnsi" w:eastAsiaTheme="majorEastAsia" w:cstheme="majorBidi"/>
      <w:b/>
      <w:bCs/>
      <w:kern w:val="2"/>
      <w:sz w:val="32"/>
      <w:szCs w:val="32"/>
    </w:rPr>
  </w:style>
  <w:style w:type="paragraph" w:customStyle="1" w:styleId="34">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4"/>
    <w:semiHidden/>
    <w:qFormat/>
    <w:uiPriority w:val="99"/>
    <w:rPr>
      <w:rFonts w:ascii="Times New Roman" w:hAnsi="Times New Roman"/>
      <w:kern w:val="2"/>
      <w:sz w:val="18"/>
      <w:szCs w:val="18"/>
    </w:rPr>
  </w:style>
  <w:style w:type="character" w:customStyle="1" w:styleId="36">
    <w:name w:val="标题 3 Char"/>
    <w:basedOn w:val="20"/>
    <w:link w:val="8"/>
    <w:qFormat/>
    <w:uiPriority w:val="9"/>
    <w:rPr>
      <w:rFonts w:ascii="Times New Roman" w:hAnsi="Times New Roman"/>
      <w:b/>
      <w:bCs/>
      <w:kern w:val="2"/>
      <w:sz w:val="32"/>
      <w:szCs w:val="32"/>
    </w:rPr>
  </w:style>
  <w:style w:type="paragraph" w:customStyle="1" w:styleId="37">
    <w:name w:val="TOC Heading"/>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4238</Words>
  <Characters>5473</Characters>
  <Lines>61</Lines>
  <Paragraphs>17</Paragraphs>
  <TotalTime>9</TotalTime>
  <ScaleCrop>false</ScaleCrop>
  <LinksUpToDate>false</LinksUpToDate>
  <CharactersWithSpaces>5489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朱静怡</cp:lastModifiedBy>
  <cp:lastPrinted>2025-08-06T17:34:00Z</cp:lastPrinted>
  <dcterms:modified xsi:type="dcterms:W3CDTF">2025-10-24T03:30:07Z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eyJoZGlkIjoiOTFmMTU2Zjg3NGQ5NzIxZTEzN2Q0M2QzYzhlMjYyYTgiLCJ1c2VySWQiOiIxNjM2NzcxNDU1In0=</vt:lpwstr>
  </property>
</Properties>
</file>