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2F1BA">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597"/>
      <w:bookmarkStart w:id="2" w:name="_Toc15306267"/>
      <w:bookmarkStart w:id="3" w:name="_Toc15377425"/>
      <w:bookmarkStart w:id="4" w:name="_Toc15396475"/>
      <w:bookmarkStart w:id="5" w:name="_Toc15377193"/>
    </w:p>
    <w:p w14:paraId="2EA65DC8">
      <w:pPr>
        <w:pStyle w:val="7"/>
        <w:rPr>
          <w:rFonts w:hint="eastAsia" w:ascii="Times New Roman" w:hAnsi="Times New Roman" w:eastAsia="方正小标宋简体" w:cs="Times New Roman"/>
          <w:color w:val="auto"/>
          <w:kern w:val="2"/>
          <w:sz w:val="72"/>
          <w:szCs w:val="72"/>
          <w:highlight w:val="none"/>
          <w:lang w:val="en-US" w:eastAsia="zh-CN" w:bidi="ar-SA"/>
        </w:rPr>
      </w:pPr>
    </w:p>
    <w:p w14:paraId="0F575734">
      <w:pPr>
        <w:pStyle w:val="7"/>
        <w:rPr>
          <w:rFonts w:hint="eastAsia" w:ascii="Times New Roman" w:hAnsi="Times New Roman" w:eastAsia="方正小标宋简体" w:cs="Times New Roman"/>
          <w:color w:val="auto"/>
          <w:kern w:val="2"/>
          <w:sz w:val="72"/>
          <w:szCs w:val="72"/>
          <w:highlight w:val="none"/>
          <w:lang w:val="en-US" w:eastAsia="zh-CN" w:bidi="ar-SA"/>
        </w:rPr>
      </w:pPr>
    </w:p>
    <w:p w14:paraId="5B017F01">
      <w:pPr>
        <w:pStyle w:val="7"/>
        <w:jc w:val="center"/>
        <w:rPr>
          <w:rFonts w:hint="eastAsia" w:ascii="方正小标宋简体" w:hAnsi="方正小标宋简体" w:eastAsia="方正小标宋简体" w:cs="方正小标宋简体"/>
          <w:sz w:val="44"/>
          <w:szCs w:val="44"/>
        </w:rPr>
      </w:pPr>
      <w:bookmarkStart w:id="6" w:name="_Toc15377426"/>
      <w:bookmarkStart w:id="7" w:name="_Toc15396598"/>
      <w:bookmarkStart w:id="8" w:name="_Toc15377194"/>
      <w:bookmarkStart w:id="9" w:name="_Toc15378442"/>
      <w:bookmarkStart w:id="10" w:name="_Toc15396476"/>
      <w:r>
        <w:rPr>
          <w:rFonts w:hint="eastAsia" w:ascii="方正小标宋简体" w:hAnsi="宋体" w:eastAsia="方正小标宋简体" w:cs="Times New Roman"/>
          <w:color w:val="auto"/>
          <w:kern w:val="2"/>
          <w:sz w:val="44"/>
          <w:szCs w:val="44"/>
          <w:highlight w:val="none"/>
          <w:lang w:val="en-US" w:eastAsia="zh-CN" w:bidi="ar-SA"/>
        </w:rPr>
        <w:t>2024年度四川省</w:t>
      </w:r>
      <w:bookmarkEnd w:id="6"/>
      <w:bookmarkEnd w:id="7"/>
      <w:bookmarkEnd w:id="8"/>
      <w:bookmarkEnd w:id="9"/>
      <w:bookmarkEnd w:id="10"/>
      <w:r>
        <w:rPr>
          <w:rFonts w:hint="eastAsia" w:ascii="方正小标宋简体" w:hAnsi="方正小标宋简体" w:eastAsia="方正小标宋简体" w:cs="方正小标宋简体"/>
          <w:sz w:val="44"/>
          <w:szCs w:val="44"/>
        </w:rPr>
        <w:t>中共攀枝花市西区</w:t>
      </w:r>
    </w:p>
    <w:p w14:paraId="06FC6B1F">
      <w:pPr>
        <w:pStyle w:val="7"/>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小标宋简体" w:hAnsi="方正小标宋简体" w:eastAsia="方正小标宋简体" w:cs="方正小标宋简体"/>
          <w:sz w:val="44"/>
          <w:szCs w:val="44"/>
        </w:rPr>
        <w:t>区委政法委员会</w:t>
      </w:r>
      <w:r>
        <w:rPr>
          <w:rFonts w:hint="eastAsia" w:ascii="方正小标宋简体" w:hAnsi="方正小标宋简体" w:eastAsia="方正小标宋简体" w:cs="方正小标宋简体"/>
          <w:sz w:val="44"/>
          <w:szCs w:val="44"/>
          <w:lang w:eastAsia="zh-CN"/>
        </w:rPr>
        <w:t>部门</w:t>
      </w:r>
      <w:r>
        <w:rPr>
          <w:rFonts w:hint="eastAsia" w:ascii="Times New Roman" w:hAnsi="Times New Roman" w:eastAsia="方正小标宋简体" w:cs="Times New Roman"/>
          <w:color w:val="auto"/>
          <w:kern w:val="2"/>
          <w:sz w:val="44"/>
          <w:szCs w:val="44"/>
          <w:highlight w:val="none"/>
          <w:lang w:val="en-US" w:eastAsia="zh-CN" w:bidi="ar-SA"/>
        </w:rPr>
        <w:t>决算公开文字说明</w:t>
      </w:r>
    </w:p>
    <w:bookmarkEnd w:id="0"/>
    <w:bookmarkEnd w:id="1"/>
    <w:bookmarkEnd w:id="2"/>
    <w:bookmarkEnd w:id="3"/>
    <w:bookmarkEnd w:id="4"/>
    <w:bookmarkEnd w:id="5"/>
    <w:p w14:paraId="7197C7B2">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3C38749">
      <w:pPr>
        <w:widowControl/>
        <w:jc w:val="center"/>
        <w:rPr>
          <w:rFonts w:ascii="Times New Roman" w:hAnsi="Times New Roman" w:eastAsia="黑体" w:cstheme="minorBidi"/>
          <w:color w:val="auto"/>
          <w:sz w:val="28"/>
          <w:szCs w:val="28"/>
          <w:highlight w:val="none"/>
        </w:rPr>
      </w:pPr>
    </w:p>
    <w:p w14:paraId="5C474018">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bookmarkStart w:id="73" w:name="_GoBack"/>
      <w:bookmarkEnd w:id="73"/>
      <w:r>
        <w:rPr>
          <w:rFonts w:hint="eastAsia" w:ascii="Times New Roman" w:hAnsi="Times New Roman" w:eastAsia="仿宋_GB2312" w:cs="仿宋_GB2312"/>
          <w:color w:val="auto"/>
          <w:sz w:val="32"/>
          <w:szCs w:val="32"/>
          <w:highlight w:val="none"/>
        </w:rPr>
        <w:t>日</w:t>
      </w:r>
    </w:p>
    <w:p w14:paraId="5E01DCA7">
      <w:pPr>
        <w:rPr>
          <w:rFonts w:ascii="Times New Roman" w:hAnsi="Times New Roman"/>
          <w:color w:val="auto"/>
          <w:highlight w:val="none"/>
        </w:rPr>
      </w:pPr>
    </w:p>
    <w:p w14:paraId="10AAB81A">
      <w:pPr>
        <w:pStyle w:val="14"/>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lang w:eastAsia="zh-CN"/>
        </w:rPr>
        <w:t>部门</w:t>
      </w:r>
      <w:r>
        <w:rPr>
          <w:rFonts w:hint="eastAsia"/>
          <w:sz w:val="24"/>
        </w:rPr>
        <w:t>概况</w:t>
      </w:r>
    </w:p>
    <w:p w14:paraId="681F8AFA">
      <w:pPr>
        <w:pStyle w:val="16"/>
        <w:adjustRightInd w:val="0"/>
        <w:snapToGrid w:val="0"/>
        <w:spacing w:line="440" w:lineRule="exact"/>
        <w:jc w:val="left"/>
        <w:rPr>
          <w:rFonts w:hint="default" w:ascii="仿宋" w:hAnsi="仿宋" w:eastAsia="宋体"/>
          <w:sz w:val="24"/>
          <w:lang w:val="en-US" w:eastAsia="zh-CN"/>
        </w:rPr>
      </w:pPr>
      <w:r>
        <w:rPr>
          <w:rFonts w:hint="eastAsia"/>
          <w:sz w:val="24"/>
        </w:rPr>
        <w:t>一、</w:t>
      </w:r>
      <w:r>
        <w:rPr>
          <w:rFonts w:hint="eastAsia"/>
          <w:sz w:val="24"/>
          <w:lang w:eastAsia="zh-CN"/>
        </w:rPr>
        <w:t>部门</w:t>
      </w:r>
      <w:r>
        <w:rPr>
          <w:rFonts w:hint="eastAsia"/>
          <w:sz w:val="24"/>
        </w:rPr>
        <w:t>职责</w:t>
      </w:r>
      <w:r>
        <w:rPr>
          <w:rFonts w:hint="eastAsia"/>
          <w:sz w:val="24"/>
          <w:lang w:val="en-US" w:eastAsia="zh-CN"/>
        </w:rPr>
        <w:t>.............................................................................................3</w:t>
      </w:r>
    </w:p>
    <w:p w14:paraId="7E93D9EE">
      <w:pPr>
        <w:pStyle w:val="16"/>
        <w:adjustRightInd w:val="0"/>
        <w:snapToGrid w:val="0"/>
        <w:spacing w:line="440" w:lineRule="exact"/>
        <w:jc w:val="left"/>
        <w:rPr>
          <w:rFonts w:hint="default" w:ascii="仿宋" w:hAnsi="仿宋" w:eastAsia="宋体"/>
          <w:sz w:val="24"/>
          <w:lang w:val="en-US" w:eastAsia="zh-CN"/>
        </w:rPr>
      </w:pPr>
      <w:r>
        <w:rPr>
          <w:rFonts w:hint="eastAsia"/>
          <w:sz w:val="24"/>
        </w:rPr>
        <w:t>二、机构设置</w:t>
      </w:r>
      <w:r>
        <w:rPr>
          <w:rFonts w:hint="eastAsia"/>
          <w:sz w:val="24"/>
          <w:lang w:val="en-US" w:eastAsia="zh-CN"/>
        </w:rPr>
        <w:t>.............................................................................................4</w:t>
      </w:r>
    </w:p>
    <w:p w14:paraId="1BABECC0">
      <w:pPr>
        <w:pStyle w:val="14"/>
        <w:adjustRightInd w:val="0"/>
        <w:snapToGrid w:val="0"/>
        <w:spacing w:before="0" w:line="440" w:lineRule="exact"/>
        <w:jc w:val="left"/>
        <w:rPr>
          <w:sz w:val="24"/>
          <w:szCs w:val="24"/>
        </w:rPr>
      </w:pPr>
      <w:r>
        <w:rPr>
          <w:rFonts w:hint="eastAsia"/>
          <w:sz w:val="24"/>
        </w:rPr>
        <w:t>第二部分 202</w:t>
      </w:r>
      <w:r>
        <w:rPr>
          <w:rFonts w:hint="eastAsia"/>
          <w:sz w:val="24"/>
          <w:lang w:val="en-US" w:eastAsia="zh-CN"/>
        </w:rPr>
        <w:t>4</w:t>
      </w:r>
      <w:r>
        <w:rPr>
          <w:rFonts w:hint="eastAsia"/>
          <w:sz w:val="24"/>
        </w:rPr>
        <w:t>年度</w:t>
      </w:r>
      <w:r>
        <w:rPr>
          <w:rFonts w:hint="eastAsia"/>
          <w:sz w:val="24"/>
          <w:lang w:eastAsia="zh-CN"/>
        </w:rPr>
        <w:t>部门</w:t>
      </w:r>
      <w:r>
        <w:rPr>
          <w:rFonts w:hint="eastAsia"/>
          <w:sz w:val="24"/>
        </w:rPr>
        <w:t>决算情况说明</w:t>
      </w:r>
    </w:p>
    <w:p w14:paraId="7CBCCDA8">
      <w:pPr>
        <w:pStyle w:val="16"/>
        <w:adjustRightInd w:val="0"/>
        <w:snapToGrid w:val="0"/>
        <w:spacing w:line="440" w:lineRule="exact"/>
        <w:jc w:val="left"/>
        <w:rPr>
          <w:rFonts w:hint="default" w:ascii="仿宋" w:hAnsi="仿宋" w:eastAsia="宋体"/>
          <w:sz w:val="24"/>
          <w:lang w:val="en-US" w:eastAsia="zh-CN"/>
        </w:rPr>
      </w:pPr>
      <w:r>
        <w:rPr>
          <w:rFonts w:hint="eastAsia"/>
          <w:sz w:val="24"/>
        </w:rPr>
        <w:t>一、收入支出决算总体情况说明</w:t>
      </w:r>
      <w:r>
        <w:rPr>
          <w:rFonts w:hint="eastAsia"/>
          <w:sz w:val="24"/>
          <w:lang w:val="en-US" w:eastAsia="zh-CN"/>
        </w:rPr>
        <w:t>.............................................................5</w:t>
      </w:r>
    </w:p>
    <w:p w14:paraId="4324EFBE">
      <w:pPr>
        <w:pStyle w:val="16"/>
        <w:adjustRightInd w:val="0"/>
        <w:snapToGrid w:val="0"/>
        <w:spacing w:line="440" w:lineRule="exact"/>
        <w:jc w:val="left"/>
        <w:rPr>
          <w:rFonts w:hint="default" w:ascii="仿宋" w:hAnsi="仿宋" w:eastAsia="宋体"/>
          <w:sz w:val="24"/>
          <w:lang w:val="en-US" w:eastAsia="zh-CN"/>
        </w:rPr>
      </w:pPr>
      <w:r>
        <w:rPr>
          <w:rFonts w:hint="eastAsia"/>
          <w:sz w:val="24"/>
        </w:rPr>
        <w:t>二、收入决算情况说明</w:t>
      </w:r>
      <w:r>
        <w:rPr>
          <w:rFonts w:hint="eastAsia"/>
          <w:sz w:val="24"/>
          <w:lang w:val="en-US" w:eastAsia="zh-CN"/>
        </w:rPr>
        <w:t>.............................................................................5</w:t>
      </w:r>
    </w:p>
    <w:p w14:paraId="47B7D827">
      <w:pPr>
        <w:pStyle w:val="16"/>
        <w:adjustRightInd w:val="0"/>
        <w:snapToGrid w:val="0"/>
        <w:spacing w:line="440" w:lineRule="exact"/>
        <w:jc w:val="left"/>
        <w:rPr>
          <w:rFonts w:hint="default" w:ascii="仿宋" w:hAnsi="仿宋" w:eastAsia="宋体"/>
          <w:sz w:val="24"/>
          <w:lang w:val="en-US" w:eastAsia="zh-CN"/>
        </w:rPr>
      </w:pPr>
      <w:r>
        <w:rPr>
          <w:rFonts w:hint="eastAsia"/>
          <w:sz w:val="24"/>
        </w:rPr>
        <w:t>三、支出决算情况说明</w:t>
      </w:r>
      <w:r>
        <w:rPr>
          <w:rFonts w:hint="eastAsia"/>
          <w:sz w:val="24"/>
          <w:lang w:val="en-US" w:eastAsia="zh-CN"/>
        </w:rPr>
        <w:t>.............................................................................6</w:t>
      </w:r>
    </w:p>
    <w:p w14:paraId="67581CA1">
      <w:pPr>
        <w:pStyle w:val="16"/>
        <w:adjustRightInd w:val="0"/>
        <w:snapToGrid w:val="0"/>
        <w:spacing w:line="440" w:lineRule="exact"/>
        <w:jc w:val="left"/>
        <w:rPr>
          <w:rFonts w:hint="default" w:ascii="仿宋" w:hAnsi="仿宋" w:eastAsia="宋体"/>
          <w:sz w:val="24"/>
          <w:lang w:val="en-US" w:eastAsia="zh-CN"/>
        </w:rPr>
      </w:pPr>
      <w:r>
        <w:rPr>
          <w:rFonts w:hint="eastAsia"/>
          <w:sz w:val="24"/>
        </w:rPr>
        <w:t>四、财政拨款收入支出决算总体情况说明</w:t>
      </w:r>
      <w:r>
        <w:rPr>
          <w:rFonts w:hint="eastAsia"/>
          <w:sz w:val="24"/>
          <w:lang w:val="en-US" w:eastAsia="zh-CN"/>
        </w:rPr>
        <w:t>..............................................6</w:t>
      </w:r>
    </w:p>
    <w:p w14:paraId="42C9473D">
      <w:pPr>
        <w:pStyle w:val="16"/>
        <w:adjustRightInd w:val="0"/>
        <w:snapToGrid w:val="0"/>
        <w:spacing w:line="440" w:lineRule="exact"/>
        <w:jc w:val="left"/>
        <w:rPr>
          <w:rFonts w:hint="default" w:ascii="仿宋" w:hAnsi="仿宋" w:eastAsia="宋体"/>
          <w:sz w:val="24"/>
          <w:lang w:val="en-US" w:eastAsia="zh-CN"/>
        </w:rPr>
      </w:pPr>
      <w:r>
        <w:rPr>
          <w:rFonts w:hint="eastAsia"/>
          <w:sz w:val="24"/>
        </w:rPr>
        <w:t>五、一般公共预算财政拨款支出决算情况说明</w:t>
      </w:r>
      <w:r>
        <w:rPr>
          <w:rFonts w:hint="eastAsia"/>
          <w:sz w:val="24"/>
          <w:lang w:val="en-US" w:eastAsia="zh-CN"/>
        </w:rPr>
        <w:t>......................................7</w:t>
      </w:r>
    </w:p>
    <w:p w14:paraId="2BDC9B74">
      <w:pPr>
        <w:pStyle w:val="16"/>
        <w:adjustRightInd w:val="0"/>
        <w:snapToGrid w:val="0"/>
        <w:spacing w:line="440" w:lineRule="exact"/>
        <w:jc w:val="left"/>
        <w:rPr>
          <w:rFonts w:hint="default" w:ascii="仿宋" w:hAnsi="仿宋" w:eastAsia="宋体"/>
          <w:sz w:val="24"/>
          <w:lang w:val="en-US" w:eastAsia="zh-CN"/>
        </w:rPr>
      </w:pPr>
      <w:r>
        <w:rPr>
          <w:rFonts w:hint="eastAsia"/>
          <w:sz w:val="24"/>
        </w:rPr>
        <w:t>六、一般公共预算财政拨款基本支出决算情况说明</w:t>
      </w:r>
      <w:r>
        <w:rPr>
          <w:rFonts w:hint="eastAsia"/>
          <w:sz w:val="24"/>
          <w:lang w:val="en-US" w:eastAsia="zh-CN"/>
        </w:rPr>
        <w:t>.............................10</w:t>
      </w:r>
    </w:p>
    <w:p w14:paraId="4150A407">
      <w:pPr>
        <w:pStyle w:val="16"/>
        <w:adjustRightInd w:val="0"/>
        <w:snapToGrid w:val="0"/>
        <w:spacing w:line="440" w:lineRule="exact"/>
        <w:jc w:val="left"/>
        <w:rPr>
          <w:rFonts w:hint="default" w:ascii="仿宋" w:hAnsi="仿宋" w:eastAsia="宋体"/>
          <w:sz w:val="24"/>
          <w:lang w:val="en-US" w:eastAsia="zh-CN"/>
        </w:rPr>
      </w:pPr>
      <w:r>
        <w:rPr>
          <w:rFonts w:hint="eastAsia"/>
          <w:sz w:val="24"/>
        </w:rPr>
        <w:t>七、财政拨款“三公”经费支出决算情况说明</w:t>
      </w:r>
      <w:r>
        <w:rPr>
          <w:rFonts w:hint="eastAsia"/>
          <w:sz w:val="24"/>
          <w:lang w:val="en-US" w:eastAsia="zh-CN"/>
        </w:rPr>
        <w:t>.....................................11</w:t>
      </w:r>
    </w:p>
    <w:p w14:paraId="374EE1D4">
      <w:pPr>
        <w:pStyle w:val="16"/>
        <w:adjustRightInd w:val="0"/>
        <w:snapToGrid w:val="0"/>
        <w:spacing w:line="440" w:lineRule="exact"/>
        <w:jc w:val="left"/>
        <w:rPr>
          <w:rFonts w:hint="default" w:ascii="仿宋" w:hAnsi="仿宋" w:eastAsia="宋体"/>
          <w:sz w:val="24"/>
          <w:lang w:val="en-US" w:eastAsia="zh-CN"/>
        </w:rPr>
      </w:pPr>
      <w:r>
        <w:rPr>
          <w:rFonts w:hint="eastAsia"/>
          <w:sz w:val="24"/>
        </w:rPr>
        <w:t>八、政府性基金预算支出决算情况说明</w:t>
      </w:r>
      <w:r>
        <w:rPr>
          <w:rFonts w:hint="eastAsia"/>
          <w:sz w:val="24"/>
          <w:lang w:val="en-US" w:eastAsia="zh-CN"/>
        </w:rPr>
        <w:t>.................................................12</w:t>
      </w:r>
    </w:p>
    <w:p w14:paraId="42618972">
      <w:pPr>
        <w:pStyle w:val="16"/>
        <w:adjustRightInd w:val="0"/>
        <w:snapToGrid w:val="0"/>
        <w:spacing w:line="440" w:lineRule="exact"/>
        <w:ind w:leftChars="0"/>
        <w:jc w:val="left"/>
        <w:rPr>
          <w:rFonts w:hint="default" w:ascii="宋体" w:hAnsi="宋体" w:eastAsia="宋体" w:cs="宋体"/>
          <w:sz w:val="24"/>
          <w:lang w:val="en-US" w:eastAsia="zh-CN"/>
        </w:rPr>
      </w:pPr>
      <w:r>
        <w:rPr>
          <w:rFonts w:hint="eastAsia" w:ascii="宋体" w:hAnsi="宋体" w:cs="宋体"/>
          <w:sz w:val="24"/>
        </w:rPr>
        <w:t>九、国有资本经营预算支出决算情况说明</w:t>
      </w:r>
      <w:r>
        <w:rPr>
          <w:rFonts w:hint="eastAsia" w:ascii="宋体" w:hAnsi="宋体" w:cs="宋体"/>
          <w:sz w:val="24"/>
          <w:lang w:val="en-US" w:eastAsia="zh-CN"/>
        </w:rPr>
        <w:t>.......................12</w:t>
      </w:r>
    </w:p>
    <w:p w14:paraId="7B165216">
      <w:pPr>
        <w:adjustRightInd w:val="0"/>
        <w:snapToGrid w:val="0"/>
        <w:spacing w:line="440" w:lineRule="exact"/>
        <w:ind w:firstLine="420" w:firstLineChars="175"/>
        <w:jc w:val="left"/>
        <w:rPr>
          <w:rFonts w:hint="default" w:ascii="宋体" w:hAnsi="宋体" w:eastAsia="宋体" w:cs="宋体"/>
          <w:sz w:val="24"/>
          <w:lang w:val="en-US" w:eastAsia="zh-CN"/>
        </w:rPr>
      </w:pPr>
      <w:r>
        <w:rPr>
          <w:rStyle w:val="20"/>
          <w:rFonts w:hint="eastAsia" w:ascii="宋体" w:hAnsi="宋体" w:cs="宋体"/>
          <w:color w:val="auto"/>
          <w:sz w:val="24"/>
          <w:u w:val="none"/>
        </w:rPr>
        <w:t>十、</w:t>
      </w:r>
      <w:r>
        <w:rPr>
          <w:rFonts w:hint="eastAsia" w:ascii="宋体" w:hAnsi="宋体" w:cs="宋体"/>
          <w:sz w:val="24"/>
        </w:rPr>
        <w:t>其他重要事项的情况说明</w:t>
      </w:r>
      <w:r>
        <w:rPr>
          <w:rFonts w:hint="eastAsia" w:ascii="宋体" w:hAnsi="宋体" w:cs="宋体"/>
          <w:sz w:val="24"/>
        </w:rPr>
        <w:tab/>
      </w:r>
      <w:r>
        <w:rPr>
          <w:rFonts w:hint="eastAsia" w:ascii="宋体" w:hAnsi="宋体" w:cs="宋体"/>
          <w:sz w:val="24"/>
          <w:lang w:val="en-US" w:eastAsia="zh-CN"/>
        </w:rPr>
        <w:t>...............................13</w:t>
      </w:r>
    </w:p>
    <w:p w14:paraId="21F190B0">
      <w:pPr>
        <w:pStyle w:val="14"/>
        <w:adjustRightInd w:val="0"/>
        <w:snapToGrid w:val="0"/>
        <w:spacing w:before="0" w:line="440" w:lineRule="exact"/>
        <w:jc w:val="left"/>
        <w:rPr>
          <w:rFonts w:hint="default" w:eastAsia="仿宋"/>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.............................................16</w:t>
      </w:r>
    </w:p>
    <w:p w14:paraId="16DED2EA">
      <w:pPr>
        <w:pStyle w:val="14"/>
        <w:adjustRightInd w:val="0"/>
        <w:snapToGrid w:val="0"/>
        <w:spacing w:before="0" w:line="440" w:lineRule="exact"/>
        <w:jc w:val="left"/>
        <w:rPr>
          <w:rFonts w:hint="default" w:eastAsia="仿宋"/>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.................................................20</w:t>
      </w:r>
    </w:p>
    <w:p w14:paraId="79E09D74">
      <w:pPr>
        <w:pStyle w:val="14"/>
        <w:adjustRightInd w:val="0"/>
        <w:snapToGrid w:val="0"/>
        <w:spacing w:before="0" w:line="440" w:lineRule="exact"/>
        <w:jc w:val="left"/>
        <w:rPr>
          <w:rFonts w:hint="default" w:eastAsia="仿宋"/>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.................................................33</w:t>
      </w:r>
    </w:p>
    <w:p w14:paraId="41F91086">
      <w:pPr>
        <w:pStyle w:val="16"/>
        <w:adjustRightInd w:val="0"/>
        <w:snapToGrid w:val="0"/>
        <w:spacing w:line="440" w:lineRule="exact"/>
        <w:jc w:val="left"/>
        <w:rPr>
          <w:rFonts w:hint="eastAsia"/>
          <w:sz w:val="24"/>
        </w:rPr>
      </w:pPr>
      <w:r>
        <w:rPr>
          <w:rFonts w:hint="eastAsia"/>
          <w:sz w:val="24"/>
        </w:rPr>
        <w:t>一、收入支出决算总表</w:t>
      </w:r>
    </w:p>
    <w:p w14:paraId="17C45569">
      <w:pPr>
        <w:pStyle w:val="16"/>
        <w:adjustRightInd w:val="0"/>
        <w:snapToGrid w:val="0"/>
        <w:spacing w:line="440" w:lineRule="exact"/>
        <w:jc w:val="left"/>
        <w:rPr>
          <w:rFonts w:hint="eastAsia"/>
          <w:sz w:val="24"/>
        </w:rPr>
      </w:pPr>
      <w:r>
        <w:rPr>
          <w:rFonts w:hint="eastAsia"/>
          <w:sz w:val="24"/>
        </w:rPr>
        <w:t>二、收入决算表</w:t>
      </w:r>
    </w:p>
    <w:p w14:paraId="03807D66">
      <w:pPr>
        <w:pStyle w:val="16"/>
        <w:adjustRightInd w:val="0"/>
        <w:snapToGrid w:val="0"/>
        <w:spacing w:line="440" w:lineRule="exact"/>
        <w:jc w:val="left"/>
        <w:rPr>
          <w:rFonts w:hint="eastAsia"/>
          <w:sz w:val="24"/>
        </w:rPr>
      </w:pPr>
      <w:r>
        <w:rPr>
          <w:rFonts w:hint="eastAsia"/>
          <w:sz w:val="24"/>
        </w:rPr>
        <w:t>三、支出决算表</w:t>
      </w:r>
    </w:p>
    <w:p w14:paraId="36F4B9AA">
      <w:pPr>
        <w:pStyle w:val="16"/>
        <w:adjustRightInd w:val="0"/>
        <w:snapToGrid w:val="0"/>
        <w:spacing w:line="440" w:lineRule="exact"/>
        <w:jc w:val="left"/>
        <w:rPr>
          <w:rFonts w:hint="eastAsia"/>
          <w:sz w:val="24"/>
        </w:rPr>
      </w:pPr>
      <w:r>
        <w:rPr>
          <w:rFonts w:hint="eastAsia"/>
          <w:sz w:val="24"/>
        </w:rPr>
        <w:t>四、财政拨款收入支出决算总表</w:t>
      </w:r>
    </w:p>
    <w:p w14:paraId="51860C17">
      <w:pPr>
        <w:pStyle w:val="16"/>
        <w:adjustRightInd w:val="0"/>
        <w:snapToGrid w:val="0"/>
        <w:spacing w:line="440" w:lineRule="exact"/>
        <w:jc w:val="left"/>
        <w:rPr>
          <w:rFonts w:hint="eastAsia"/>
          <w:sz w:val="24"/>
        </w:rPr>
      </w:pPr>
      <w:r>
        <w:rPr>
          <w:rFonts w:hint="eastAsia"/>
          <w:sz w:val="24"/>
        </w:rPr>
        <w:t>五、财政拨款支出决算明细表</w:t>
      </w:r>
    </w:p>
    <w:p w14:paraId="29904003">
      <w:pPr>
        <w:pStyle w:val="16"/>
        <w:adjustRightInd w:val="0"/>
        <w:snapToGrid w:val="0"/>
        <w:spacing w:line="440" w:lineRule="exact"/>
        <w:jc w:val="left"/>
        <w:rPr>
          <w:rFonts w:hint="eastAsia"/>
          <w:sz w:val="24"/>
        </w:rPr>
      </w:pPr>
      <w:r>
        <w:rPr>
          <w:rFonts w:hint="eastAsia"/>
          <w:sz w:val="24"/>
        </w:rPr>
        <w:t>六、一般公共预算财政拨款支出决算表</w:t>
      </w:r>
    </w:p>
    <w:p w14:paraId="711BF4AF">
      <w:pPr>
        <w:pStyle w:val="16"/>
        <w:adjustRightInd w:val="0"/>
        <w:snapToGrid w:val="0"/>
        <w:spacing w:line="440" w:lineRule="exact"/>
        <w:jc w:val="left"/>
        <w:rPr>
          <w:rFonts w:hint="eastAsia"/>
          <w:sz w:val="24"/>
        </w:rPr>
      </w:pPr>
      <w:r>
        <w:rPr>
          <w:rFonts w:hint="eastAsia"/>
          <w:sz w:val="24"/>
        </w:rPr>
        <w:t>七、一般公共预算财政拨款支出决算明细表</w:t>
      </w:r>
    </w:p>
    <w:p w14:paraId="6F74EEEB">
      <w:pPr>
        <w:pStyle w:val="16"/>
        <w:adjustRightInd w:val="0"/>
        <w:snapToGrid w:val="0"/>
        <w:spacing w:line="440" w:lineRule="exact"/>
        <w:jc w:val="left"/>
        <w:rPr>
          <w:rFonts w:hint="eastAsia"/>
          <w:sz w:val="24"/>
        </w:rPr>
      </w:pPr>
      <w:r>
        <w:rPr>
          <w:rFonts w:hint="eastAsia"/>
          <w:sz w:val="24"/>
        </w:rPr>
        <w:t>八、一般公共预算财政拨款基本支出决算明细表</w:t>
      </w:r>
    </w:p>
    <w:p w14:paraId="2388C6B9">
      <w:pPr>
        <w:pStyle w:val="16"/>
        <w:adjustRightInd w:val="0"/>
        <w:snapToGrid w:val="0"/>
        <w:spacing w:line="440" w:lineRule="exact"/>
        <w:jc w:val="left"/>
        <w:rPr>
          <w:rFonts w:hint="eastAsia"/>
          <w:sz w:val="24"/>
        </w:rPr>
      </w:pPr>
      <w:r>
        <w:rPr>
          <w:rFonts w:hint="eastAsia"/>
          <w:sz w:val="24"/>
        </w:rPr>
        <w:t>九、一般公共预算财政拨款项目支出决算表</w:t>
      </w:r>
    </w:p>
    <w:p w14:paraId="5404CCE4">
      <w:pPr>
        <w:pStyle w:val="16"/>
        <w:adjustRightInd w:val="0"/>
        <w:snapToGrid w:val="0"/>
        <w:spacing w:line="440" w:lineRule="exact"/>
        <w:jc w:val="left"/>
        <w:rPr>
          <w:rFonts w:hint="eastAsia"/>
          <w:sz w:val="24"/>
        </w:rPr>
        <w:sectPr>
          <w:footerReference r:id="rId6" w:type="default"/>
          <w:pgSz w:w="11906" w:h="16838"/>
          <w:pgMar w:top="1440" w:right="1800" w:bottom="1440" w:left="1800" w:header="720" w:footer="720" w:gutter="0"/>
          <w:pgNumType w:fmt="decimal" w:start="1"/>
          <w:cols w:space="720" w:num="1"/>
          <w:docGrid w:type="lines" w:linePitch="312" w:charSpace="0"/>
        </w:sectPr>
      </w:pPr>
    </w:p>
    <w:p w14:paraId="356AC195">
      <w:pPr>
        <w:pStyle w:val="16"/>
        <w:adjustRightInd w:val="0"/>
        <w:snapToGrid w:val="0"/>
        <w:spacing w:line="440" w:lineRule="exact"/>
        <w:jc w:val="left"/>
        <w:rPr>
          <w:rFonts w:hint="eastAsia"/>
          <w:sz w:val="24"/>
        </w:rPr>
      </w:pPr>
      <w:r>
        <w:rPr>
          <w:rFonts w:hint="eastAsia"/>
          <w:sz w:val="24"/>
        </w:rPr>
        <w:t>十、政府性基金预算财政拨款收入支出决算表</w:t>
      </w:r>
    </w:p>
    <w:p w14:paraId="6E202B3A">
      <w:pPr>
        <w:pStyle w:val="16"/>
        <w:adjustRightInd w:val="0"/>
        <w:snapToGrid w:val="0"/>
        <w:spacing w:line="440" w:lineRule="exact"/>
        <w:jc w:val="left"/>
        <w:rPr>
          <w:rFonts w:hint="eastAsia"/>
          <w:sz w:val="24"/>
        </w:rPr>
      </w:pPr>
      <w:r>
        <w:rPr>
          <w:rFonts w:hint="eastAsia"/>
          <w:sz w:val="24"/>
        </w:rPr>
        <w:t>十一、国有资本经营预算财政拨款收入支出决算表</w:t>
      </w:r>
    </w:p>
    <w:p w14:paraId="5EE4FB0A">
      <w:pPr>
        <w:pStyle w:val="16"/>
        <w:adjustRightInd w:val="0"/>
        <w:snapToGrid w:val="0"/>
        <w:spacing w:line="440" w:lineRule="exact"/>
        <w:jc w:val="left"/>
        <w:rPr>
          <w:rFonts w:hint="eastAsia"/>
          <w:sz w:val="24"/>
        </w:rPr>
      </w:pPr>
      <w:r>
        <w:rPr>
          <w:rFonts w:hint="eastAsia"/>
          <w:sz w:val="24"/>
        </w:rPr>
        <w:t>十二、国有资本经营预算财政拨款支出决算表</w:t>
      </w:r>
    </w:p>
    <w:p w14:paraId="26879A7A">
      <w:pPr>
        <w:pStyle w:val="16"/>
        <w:adjustRightInd w:val="0"/>
        <w:snapToGrid w:val="0"/>
        <w:spacing w:line="440" w:lineRule="exact"/>
        <w:jc w:val="left"/>
        <w:rPr>
          <w:rFonts w:hint="eastAsia" w:ascii="宋体" w:hAnsi="宋体" w:cs="宋体"/>
          <w:sz w:val="24"/>
        </w:rPr>
      </w:pPr>
      <w:r>
        <w:rPr>
          <w:rFonts w:hint="eastAsia"/>
          <w:sz w:val="24"/>
        </w:rPr>
        <w:t>十三、财政拨款“三公”经费支出决算表</w:t>
      </w:r>
    </w:p>
    <w:p w14:paraId="2C866EA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14:paraId="4AD9D4AD">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1" w:name="_Toc15377196"/>
      <w:bookmarkStart w:id="12" w:name="_Toc15396599"/>
      <w:r>
        <w:rPr>
          <w:rFonts w:hint="eastAsia" w:ascii="Times New Roman" w:hAnsi="Times New Roman" w:eastAsia="仿宋_GB2312" w:cs="仿宋_GB2312"/>
          <w:b/>
          <w:color w:val="auto"/>
          <w:sz w:val="32"/>
          <w:szCs w:val="32"/>
          <w:highlight w:val="none"/>
        </w:rPr>
        <w:br w:type="page"/>
      </w:r>
    </w:p>
    <w:p w14:paraId="69151360">
      <w:pPr>
        <w:pStyle w:val="3"/>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eastAsia="方正小标宋简体" w:cs="方正小标宋简体"/>
          <w:b w:val="0"/>
          <w:bCs w:val="0"/>
          <w:color w:val="auto"/>
          <w:highlight w:val="none"/>
          <w:lang w:eastAsia="zh-CN"/>
        </w:rPr>
        <w:t>部门</w:t>
      </w:r>
      <w:r>
        <w:rPr>
          <w:rStyle w:val="30"/>
          <w:rFonts w:hint="eastAsia" w:ascii="Times New Roman" w:hAnsi="Times New Roman" w:eastAsia="方正小标宋简体" w:cs="方正小标宋简体"/>
          <w:b w:val="0"/>
          <w:bCs w:val="0"/>
          <w:color w:val="auto"/>
          <w:highlight w:val="none"/>
        </w:rPr>
        <w:t>概况</w:t>
      </w:r>
      <w:bookmarkEnd w:id="11"/>
      <w:bookmarkEnd w:id="12"/>
    </w:p>
    <w:p w14:paraId="18379EC4">
      <w:pPr>
        <w:widowControl/>
        <w:jc w:val="left"/>
        <w:rPr>
          <w:rFonts w:ascii="Times New Roman" w:hAnsi="Times New Roman" w:eastAsia="黑体"/>
          <w:color w:val="auto"/>
          <w:sz w:val="32"/>
          <w:szCs w:val="32"/>
          <w:highlight w:val="none"/>
        </w:rPr>
      </w:pPr>
    </w:p>
    <w:p w14:paraId="2B4079F5">
      <w:pPr>
        <w:pStyle w:val="4"/>
        <w:rPr>
          <w:rStyle w:val="31"/>
          <w:rFonts w:hint="eastAsia" w:ascii="Times New Roman" w:hAnsi="Times New Roman" w:eastAsia="黑体"/>
          <w:b w:val="0"/>
          <w:bCs w:val="0"/>
          <w:color w:val="auto"/>
          <w:highlight w:val="none"/>
          <w:lang w:eastAsia="zh-CN"/>
        </w:rPr>
      </w:pPr>
      <w:bookmarkStart w:id="13" w:name="_Toc15396600"/>
      <w:bookmarkStart w:id="14" w:name="_Toc15377197"/>
      <w:r>
        <w:rPr>
          <w:rFonts w:hint="eastAsia" w:ascii="Times New Roman" w:hAnsi="Times New Roman" w:eastAsia="黑体"/>
          <w:b w:val="0"/>
          <w:color w:val="auto"/>
          <w:highlight w:val="none"/>
        </w:rPr>
        <w:t>一、</w:t>
      </w:r>
      <w:bookmarkEnd w:id="13"/>
      <w:bookmarkEnd w:id="14"/>
      <w:r>
        <w:rPr>
          <w:rFonts w:hint="eastAsia" w:ascii="Times New Roman" w:hAnsi="Times New Roman" w:eastAsia="黑体"/>
          <w:b w:val="0"/>
          <w:color w:val="auto"/>
          <w:highlight w:val="none"/>
          <w:lang w:eastAsia="zh-CN"/>
        </w:rPr>
        <w:t>部门职责</w:t>
      </w:r>
    </w:p>
    <w:p w14:paraId="26DED250">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bookmarkStart w:id="15" w:name="_Toc15396601"/>
      <w:bookmarkStart w:id="16" w:name="_Toc15377200"/>
      <w:r>
        <w:rPr>
          <w:rFonts w:hint="eastAsia" w:ascii="仿宋" w:hAnsi="仿宋" w:eastAsia="仿宋"/>
          <w:sz w:val="32"/>
          <w:szCs w:val="32"/>
        </w:rPr>
        <w:t>1.</w:t>
      </w:r>
      <w:r>
        <w:rPr>
          <w:rFonts w:hint="eastAsia" w:ascii="仿宋" w:hAnsi="仿宋" w:eastAsia="仿宋"/>
          <w:bCs/>
          <w:kern w:val="0"/>
          <w:sz w:val="32"/>
          <w:szCs w:val="32"/>
        </w:rPr>
        <w:t>深入贯彻党的路线方针政策和决策部署，统一政法各部门思想和行动，坚持党对政法工作的绝对领导，坚决维护党中央权威和集中统一领导。</w:t>
      </w:r>
    </w:p>
    <w:p w14:paraId="504CE17C">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2.深入贯彻党中央决定和省委、市委、区委决策，对政法工作研究提出全局性部署，推进平安西区、法治西区建设，加强过硬队伍建设，深化智能化建设，坚决维护国家政治安全、确保社会大局稳定、促进社会公平正义、保障人民安居乐业。</w:t>
      </w:r>
    </w:p>
    <w:p w14:paraId="4F658B33">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3.了解掌握和分析研判政法工作情况动态，分析全区社会稳定形势，创新完善多部门参与的综治维稳工作机制，构建矛盾纠纷多元化解体系和机制，协调推动预防、化解影响稳定的社会矛盾和风险，协调应对和处置重大突发事件，统筹推动全区反分裂斗争和维护稳定工作。</w:t>
      </w:r>
    </w:p>
    <w:p w14:paraId="13F0F934">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4.加强对政法工作的督查，统筹协调维护政治安全、社会治安综合治理、维护社会稳定、反邪教有关法律法规政策的实施工作；指导全区政法系统网络安全和智能化建设工作。</w:t>
      </w:r>
    </w:p>
    <w:p w14:paraId="32165D53">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5.组织开展政法领域的调查研究，研究拟订全区政法工作的政策措施，及时向区委提出建议。</w:t>
      </w:r>
    </w:p>
    <w:p w14:paraId="412D22B0">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6.掌握分析政法舆情动态，指导协调政法部门媒体网络宣传工作，指导政法部门做好涉及政法工作的重大宣传和舆论引导工作。</w:t>
      </w:r>
    </w:p>
    <w:p w14:paraId="4B0590B4">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7.监督和支持政法各部门依法行使职权，指导和协调政法各部门密切配合，研究和协调重大、疑难案件，推进严格执法、公正司法。</w:t>
      </w:r>
    </w:p>
    <w:p w14:paraId="7F7D1FED">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8.组织研究政法改革中带有方向性、倾向性和普遍性的重大问题，深化政法改革。</w:t>
      </w:r>
    </w:p>
    <w:p w14:paraId="61F31798">
      <w:pPr>
        <w:pageBreakBefore w:val="0"/>
        <w:widowControl w:val="0"/>
        <w:kinsoku/>
        <w:wordWrap/>
        <w:overflowPunct/>
        <w:topLinePunct w:val="0"/>
        <w:autoSpaceDE/>
        <w:autoSpaceDN/>
        <w:bidi w:val="0"/>
        <w:adjustRightInd/>
        <w:snapToGrid/>
        <w:spacing w:line="353" w:lineRule="auto"/>
        <w:ind w:firstLine="640" w:firstLineChars="200"/>
        <w:textAlignment w:val="auto"/>
        <w:rPr>
          <w:rFonts w:hint="eastAsia" w:ascii="仿宋" w:hAnsi="仿宋" w:eastAsia="仿宋"/>
          <w:bCs/>
          <w:kern w:val="0"/>
          <w:sz w:val="32"/>
          <w:szCs w:val="32"/>
        </w:rPr>
      </w:pPr>
      <w:r>
        <w:rPr>
          <w:rFonts w:hint="eastAsia" w:ascii="仿宋" w:hAnsi="仿宋" w:eastAsia="仿宋"/>
          <w:bCs/>
          <w:kern w:val="0"/>
          <w:sz w:val="32"/>
          <w:szCs w:val="32"/>
        </w:rPr>
        <w:t>9.指导推动政法系统党的建设和政法队伍建设，协助区级有关职能部门管理监督政法领导干部，代管攀枝花市西区法学会。</w:t>
      </w:r>
    </w:p>
    <w:p w14:paraId="57F82954">
      <w:pPr>
        <w:pStyle w:val="4"/>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10.完成区委交办的其他任务。</w:t>
      </w:r>
    </w:p>
    <w:p w14:paraId="56396542">
      <w:pPr>
        <w:pStyle w:val="4"/>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5"/>
      <w:bookmarkEnd w:id="16"/>
    </w:p>
    <w:p w14:paraId="406D113E">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中共攀枝花市西区区委政法委员会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eastAsia="仿宋_GB2312" w:cs="仿宋_GB2312"/>
          <w:color w:val="auto"/>
          <w:sz w:val="32"/>
          <w:szCs w:val="32"/>
          <w:highlight w:val="none"/>
          <w:lang w:eastAsia="zh-CN"/>
        </w:rPr>
        <w:t>部门</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w:t>
      </w:r>
      <w:r>
        <w:rPr>
          <w:rFonts w:hint="eastAsia" w:eastAsia="仿宋_GB2312" w:cs="仿宋_GB2312"/>
          <w:color w:val="auto"/>
          <w:sz w:val="32"/>
          <w:szCs w:val="32"/>
          <w:highlight w:val="none"/>
          <w:lang w:eastAsia="zh-CN"/>
        </w:rPr>
        <w:t>部门</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w:t>
      </w:r>
      <w:r>
        <w:rPr>
          <w:rFonts w:hint="eastAsia" w:eastAsia="仿宋_GB2312" w:cs="仿宋_GB2312"/>
          <w:color w:val="auto"/>
          <w:sz w:val="32"/>
          <w:szCs w:val="32"/>
          <w:highlight w:val="none"/>
          <w:lang w:eastAsia="zh-CN"/>
        </w:rPr>
        <w:t>部门</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w:t>
      </w:r>
      <w:r>
        <w:rPr>
          <w:rFonts w:hint="eastAsia" w:eastAsia="仿宋_GB2312" w:cs="仿宋_GB2312"/>
          <w:color w:val="auto"/>
          <w:sz w:val="32"/>
          <w:szCs w:val="32"/>
          <w:highlight w:val="none"/>
          <w:lang w:eastAsia="zh-CN"/>
        </w:rPr>
        <w:t>部门</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3653A2AA">
      <w:pPr>
        <w:pStyle w:val="7"/>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中共攀枝花市西区区委政法委员会</w:t>
      </w:r>
      <w:r>
        <w:rPr>
          <w:rFonts w:hint="eastAsia" w:ascii="Times New Roman" w:hAnsi="Times New Roman" w:eastAsia="仿宋_GB2312" w:cs="仿宋_GB2312"/>
          <w:color w:val="auto"/>
          <w:sz w:val="32"/>
          <w:szCs w:val="32"/>
          <w:highlight w:val="none"/>
          <w:lang w:eastAsia="zh-CN"/>
        </w:rPr>
        <w:t>2024年度</w:t>
      </w:r>
      <w:r>
        <w:rPr>
          <w:rFonts w:hint="eastAsia" w:ascii="Times New Roman" w:cs="仿宋_GB2312"/>
          <w:color w:val="auto"/>
          <w:sz w:val="32"/>
          <w:szCs w:val="32"/>
          <w:highlight w:val="none"/>
          <w:lang w:eastAsia="zh-CN"/>
        </w:rPr>
        <w:t>部门</w:t>
      </w:r>
      <w:r>
        <w:rPr>
          <w:rFonts w:hint="eastAsia" w:ascii="Times New Roman" w:hAnsi="Times New Roman" w:eastAsia="仿宋_GB2312" w:cs="仿宋_GB2312"/>
          <w:color w:val="auto"/>
          <w:sz w:val="32"/>
          <w:szCs w:val="32"/>
          <w:highlight w:val="none"/>
        </w:rPr>
        <w:t>决算编制范围的二级预算</w:t>
      </w:r>
      <w:r>
        <w:rPr>
          <w:rFonts w:hint="eastAsia" w:ascii="Times New Roman" w:cs="仿宋_GB2312"/>
          <w:color w:val="auto"/>
          <w:sz w:val="32"/>
          <w:szCs w:val="32"/>
          <w:highlight w:val="none"/>
          <w:lang w:eastAsia="zh-CN"/>
        </w:rPr>
        <w:t>部门</w:t>
      </w:r>
      <w:r>
        <w:rPr>
          <w:rFonts w:hint="eastAsia" w:ascii="Times New Roman" w:hAnsi="Times New Roman" w:eastAsia="仿宋_GB2312" w:cs="仿宋_GB2312"/>
          <w:color w:val="auto"/>
          <w:sz w:val="32"/>
          <w:szCs w:val="32"/>
          <w:highlight w:val="none"/>
        </w:rPr>
        <w:t>包括：</w:t>
      </w:r>
    </w:p>
    <w:p w14:paraId="12858A1C">
      <w:pPr>
        <w:pStyle w:val="7"/>
        <w:numPr>
          <w:ilvl w:val="0"/>
          <w:numId w:val="1"/>
        </w:numPr>
        <w:adjustRightInd w:val="0"/>
        <w:snapToGrid w:val="0"/>
        <w:spacing w:before="93" w:line="600" w:lineRule="exact"/>
        <w:outlineLvl w:val="2"/>
        <w:rPr>
          <w:rFonts w:ascii="Times New Roman" w:hAnsi="Times New Roman" w:eastAsia="仿宋"/>
          <w:color w:val="auto"/>
          <w:kern w:val="0"/>
          <w:sz w:val="32"/>
          <w:szCs w:val="32"/>
          <w:highlight w:val="none"/>
        </w:rPr>
      </w:pPr>
      <w:bookmarkStart w:id="17" w:name="_Toc15378449"/>
      <w:bookmarkStart w:id="18" w:name="_Toc15377202"/>
      <w:bookmarkStart w:id="19" w:name="_Toc15306276"/>
      <w:bookmarkStart w:id="20" w:name="_Toc15377433"/>
      <w:r>
        <w:rPr>
          <w:rFonts w:hint="eastAsia" w:ascii="仿宋" w:hAnsi="仿宋" w:eastAsia="仿宋"/>
          <w:color w:val="auto"/>
          <w:sz w:val="32"/>
          <w:szCs w:val="32"/>
          <w:highlight w:val="none"/>
        </w:rPr>
        <w:t>攀枝花市西区社会治安综合治理工作中心</w:t>
      </w:r>
      <w:bookmarkEnd w:id="17"/>
      <w:bookmarkEnd w:id="18"/>
      <w:bookmarkEnd w:id="19"/>
      <w:bookmarkEnd w:id="20"/>
      <w:r>
        <w:rPr>
          <w:rFonts w:ascii="Times New Roman" w:hAnsi="Times New Roman" w:eastAsia="仿宋"/>
          <w:color w:val="auto"/>
          <w:sz w:val="32"/>
          <w:szCs w:val="32"/>
          <w:highlight w:val="none"/>
        </w:rPr>
        <w:br w:type="page"/>
      </w:r>
    </w:p>
    <w:p w14:paraId="4E60A89C">
      <w:pPr>
        <w:pStyle w:val="3"/>
        <w:jc w:val="center"/>
        <w:rPr>
          <w:rFonts w:hint="eastAsia" w:ascii="Times New Roman" w:hAnsi="Times New Roman" w:eastAsia="方正小标宋简体" w:cs="方正小标宋简体"/>
          <w:b w:val="0"/>
          <w:color w:val="auto"/>
          <w:highlight w:val="none"/>
        </w:rPr>
      </w:pPr>
      <w:bookmarkStart w:id="21" w:name="_Toc15396602"/>
      <w:bookmarkStart w:id="22"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部门</w:t>
      </w:r>
      <w:r>
        <w:rPr>
          <w:rFonts w:hint="eastAsia" w:ascii="Times New Roman" w:hAnsi="Times New Roman" w:eastAsia="方正小标宋简体" w:cs="方正小标宋简体"/>
          <w:b w:val="0"/>
          <w:color w:val="auto"/>
          <w:highlight w:val="none"/>
        </w:rPr>
        <w:t>决算情况说明</w:t>
      </w:r>
      <w:bookmarkEnd w:id="21"/>
      <w:bookmarkEnd w:id="22"/>
    </w:p>
    <w:p w14:paraId="640B171E">
      <w:pPr>
        <w:rPr>
          <w:rFonts w:ascii="Times New Roman" w:hAnsi="Times New Roman"/>
          <w:color w:val="auto"/>
          <w:highlight w:val="none"/>
        </w:rPr>
      </w:pPr>
    </w:p>
    <w:p w14:paraId="38BDEE4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3" w:name="_Toc15377205"/>
      <w:bookmarkStart w:id="24"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3"/>
      <w:bookmarkEnd w:id="24"/>
    </w:p>
    <w:p w14:paraId="39D7628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770.43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127.19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16.5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增加了社会治安立体化防控体系建设项目经费等。</w:t>
      </w:r>
    </w:p>
    <w:p w14:paraId="4FDFF2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384058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448175" cy="2705100"/>
            <wp:effectExtent l="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4448175" cy="2705100"/>
                    </a:xfrm>
                    <a:prstGeom prst="rect">
                      <a:avLst/>
                    </a:prstGeom>
                    <a:noFill/>
                    <a:ln>
                      <a:noFill/>
                    </a:ln>
                  </pic:spPr>
                </pic:pic>
              </a:graphicData>
            </a:graphic>
          </wp:inline>
        </w:drawing>
      </w:r>
    </w:p>
    <w:p w14:paraId="6DB54CF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5" w:name="_Toc15396604"/>
      <w:bookmarkStart w:id="26" w:name="_Toc15377206"/>
      <w:r>
        <w:rPr>
          <w:rFonts w:hint="eastAsia" w:ascii="Times New Roman" w:hAnsi="Times New Roman" w:eastAsia="黑体"/>
          <w:color w:val="auto"/>
          <w:sz w:val="32"/>
          <w:szCs w:val="32"/>
          <w:highlight w:val="none"/>
          <w:lang w:eastAsia="zh-CN"/>
        </w:rPr>
        <w:t>二、收入决算情况说明</w:t>
      </w:r>
      <w:bookmarkEnd w:id="25"/>
      <w:bookmarkEnd w:id="26"/>
    </w:p>
    <w:p w14:paraId="21F2A2B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544.24万元，其中：一般公共预算财政拨款收入483.8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88.89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60.43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11.1%</w:t>
      </w:r>
      <w:r>
        <w:rPr>
          <w:rFonts w:hint="eastAsia" w:ascii="仿宋_GB2312" w:hAnsi="仿宋_GB2312" w:eastAsia="仿宋_GB2312" w:cs="仿宋_GB2312"/>
          <w:color w:val="auto"/>
          <w:sz w:val="32"/>
          <w:szCs w:val="32"/>
          <w:highlight w:val="none"/>
          <w:lang w:eastAsia="zh-CN"/>
        </w:rPr>
        <w:t>。</w:t>
      </w:r>
    </w:p>
    <w:p w14:paraId="731DC00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3D03079D">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62475" cy="2590800"/>
            <wp:effectExtent l="0" t="0" r="9525"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1"/>
                    <a:stretch>
                      <a:fillRect/>
                    </a:stretch>
                  </pic:blipFill>
                  <pic:spPr>
                    <a:xfrm>
                      <a:off x="0" y="0"/>
                      <a:ext cx="4562475" cy="2590800"/>
                    </a:xfrm>
                    <a:prstGeom prst="rect">
                      <a:avLst/>
                    </a:prstGeom>
                    <a:noFill/>
                    <a:ln>
                      <a:noFill/>
                    </a:ln>
                  </pic:spPr>
                </pic:pic>
              </a:graphicData>
            </a:graphic>
          </wp:inline>
        </w:drawing>
      </w:r>
    </w:p>
    <w:p w14:paraId="22B5DAF2">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7" w:name="_Toc15396605"/>
      <w:bookmarkStart w:id="28"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7"/>
      <w:bookmarkEnd w:id="28"/>
    </w:p>
    <w:p w14:paraId="70592E4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770.43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469.99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300.44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38.99</w:t>
      </w:r>
      <w:r>
        <w:rPr>
          <w:rFonts w:hint="eastAsia" w:ascii="仿宋_GB2312" w:hAnsi="仿宋_GB2312" w:eastAsia="仿宋_GB2312" w:cs="仿宋_GB2312"/>
          <w:color w:val="auto"/>
          <w:sz w:val="32"/>
          <w:szCs w:val="32"/>
          <w:highlight w:val="none"/>
          <w:lang w:eastAsia="zh-CN"/>
        </w:rPr>
        <w:t>%。</w:t>
      </w:r>
    </w:p>
    <w:p w14:paraId="25BD6F0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0DD09EA">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3800475" cy="26955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12"/>
                    <a:stretch>
                      <a:fillRect/>
                    </a:stretch>
                  </pic:blipFill>
                  <pic:spPr>
                    <a:xfrm>
                      <a:off x="0" y="0"/>
                      <a:ext cx="3800475" cy="2695575"/>
                    </a:xfrm>
                    <a:prstGeom prst="rect">
                      <a:avLst/>
                    </a:prstGeom>
                    <a:noFill/>
                    <a:ln>
                      <a:noFill/>
                    </a:ln>
                  </pic:spPr>
                </pic:pic>
              </a:graphicData>
            </a:graphic>
          </wp:inline>
        </w:drawing>
      </w:r>
    </w:p>
    <w:p w14:paraId="2EAD3B00">
      <w:pPr>
        <w:spacing w:line="600" w:lineRule="exact"/>
        <w:ind w:firstLine="640" w:firstLineChars="200"/>
        <w:outlineLvl w:val="1"/>
        <w:rPr>
          <w:rStyle w:val="31"/>
          <w:rFonts w:ascii="Times New Roman" w:hAnsi="Times New Roman" w:eastAsia="黑体"/>
          <w:b w:val="0"/>
          <w:color w:val="auto"/>
          <w:highlight w:val="none"/>
        </w:rPr>
      </w:pPr>
      <w:bookmarkStart w:id="29" w:name="_Toc15377208"/>
      <w:bookmarkStart w:id="30"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9"/>
      <w:bookmarkEnd w:id="30"/>
    </w:p>
    <w:p w14:paraId="0C2B7782">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770.43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127.19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16.5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增加了社会治安立体化防控体系建设项目经费等。</w:t>
      </w:r>
    </w:p>
    <w:p w14:paraId="5F02F40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17A00C40">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24350" cy="2733675"/>
            <wp:effectExtent l="0" t="0" r="0"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3"/>
                    <a:stretch>
                      <a:fillRect/>
                    </a:stretch>
                  </pic:blipFill>
                  <pic:spPr>
                    <a:xfrm>
                      <a:off x="0" y="0"/>
                      <a:ext cx="4324350" cy="2733675"/>
                    </a:xfrm>
                    <a:prstGeom prst="rect">
                      <a:avLst/>
                    </a:prstGeom>
                    <a:noFill/>
                    <a:ln>
                      <a:noFill/>
                    </a:ln>
                  </pic:spPr>
                </pic:pic>
              </a:graphicData>
            </a:graphic>
          </wp:inline>
        </w:drawing>
      </w:r>
    </w:p>
    <w:p w14:paraId="19C1CD5C">
      <w:pPr>
        <w:spacing w:line="600" w:lineRule="exact"/>
        <w:ind w:firstLine="640" w:firstLineChars="200"/>
        <w:outlineLvl w:val="1"/>
        <w:rPr>
          <w:rStyle w:val="31"/>
          <w:rFonts w:ascii="Times New Roman" w:hAnsi="Times New Roman" w:eastAsia="黑体"/>
          <w:b w:val="0"/>
          <w:color w:val="auto"/>
          <w:highlight w:val="none"/>
        </w:rPr>
      </w:pPr>
      <w:bookmarkStart w:id="31" w:name="_Toc15396607"/>
      <w:bookmarkStart w:id="32"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31"/>
      <w:bookmarkEnd w:id="32"/>
    </w:p>
    <w:p w14:paraId="3AB8367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3"/>
    </w:p>
    <w:p w14:paraId="39C6C0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709.99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92.15</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%。与2023年度相比，一般公共预算财政拨款支出增加169.3万元，增长23.84%。主要变动原因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eastAsia="zh-CN"/>
        </w:rPr>
        <w:t>增加了社会治安立体化防控体系建设项目经费等。</w:t>
      </w:r>
    </w:p>
    <w:p w14:paraId="0E25A7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6ADF7C8">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52925" cy="2752725"/>
            <wp:effectExtent l="0" t="0" r="9525" b="9525"/>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4"/>
                    <a:stretch>
                      <a:fillRect/>
                    </a:stretch>
                  </pic:blipFill>
                  <pic:spPr>
                    <a:xfrm>
                      <a:off x="0" y="0"/>
                      <a:ext cx="4352925" cy="2752725"/>
                    </a:xfrm>
                    <a:prstGeom prst="rect">
                      <a:avLst/>
                    </a:prstGeom>
                    <a:noFill/>
                    <a:ln>
                      <a:noFill/>
                    </a:ln>
                  </pic:spPr>
                </pic:pic>
              </a:graphicData>
            </a:graphic>
          </wp:inline>
        </w:drawing>
      </w:r>
    </w:p>
    <w:p w14:paraId="61A5EAD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4"/>
    </w:p>
    <w:p w14:paraId="532D0BD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709.99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552.33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77.79</w:t>
      </w:r>
      <w:r>
        <w:rPr>
          <w:rFonts w:hint="eastAsia" w:ascii="Times New Roman" w:hAnsi="Times New Roman" w:eastAsia="仿宋_GB2312" w:cs="仿宋_GB2312"/>
          <w:color w:val="auto"/>
          <w:kern w:val="2"/>
          <w:sz w:val="32"/>
          <w:szCs w:val="32"/>
          <w:highlight w:val="none"/>
          <w:lang w:val="en-US" w:eastAsia="zh-CN" w:bidi="ar-SA"/>
        </w:rPr>
        <w:t>%；公共安全支出</w:t>
      </w:r>
      <w:r>
        <w:rPr>
          <w:rFonts w:hint="eastAsia" w:eastAsia="仿宋_GB2312" w:cs="仿宋_GB2312"/>
          <w:color w:val="auto"/>
          <w:kern w:val="2"/>
          <w:sz w:val="32"/>
          <w:szCs w:val="32"/>
          <w:highlight w:val="none"/>
          <w:lang w:val="en-US" w:eastAsia="zh-CN" w:bidi="ar-SA"/>
        </w:rPr>
        <w:t>10.56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1.49</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79.15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11.15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36.19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5.09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31.77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4.48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B6B8A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63A9988E">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638675" cy="2647950"/>
            <wp:effectExtent l="0" t="0" r="9525" b="0"/>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15"/>
                    <a:stretch>
                      <a:fillRect/>
                    </a:stretch>
                  </pic:blipFill>
                  <pic:spPr>
                    <a:xfrm>
                      <a:off x="0" y="0"/>
                      <a:ext cx="4638675" cy="2647950"/>
                    </a:xfrm>
                    <a:prstGeom prst="rect">
                      <a:avLst/>
                    </a:prstGeom>
                    <a:noFill/>
                    <a:ln>
                      <a:noFill/>
                    </a:ln>
                  </pic:spPr>
                </pic:pic>
              </a:graphicData>
            </a:graphic>
          </wp:inline>
        </w:drawing>
      </w:r>
    </w:p>
    <w:p w14:paraId="19E8E0E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5"/>
    </w:p>
    <w:p w14:paraId="7D3599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213"/>
      <w:bookmarkStart w:id="37" w:name="_Toc15377444"/>
      <w:bookmarkStart w:id="38"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709.99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6"/>
      <w:bookmarkEnd w:id="37"/>
      <w:bookmarkEnd w:id="38"/>
    </w:p>
    <w:p w14:paraId="6E8963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一般公共服务（类）其他共产党事务支出（款）行政运行（项）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145.62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8E60D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2.一般公共服务（类）其他共产党事务支出（款）</w:t>
      </w:r>
      <w:r>
        <w:rPr>
          <w:rFonts w:hint="eastAsia" w:eastAsia="仿宋_GB2312" w:cs="仿宋_GB2312"/>
          <w:color w:val="auto"/>
          <w:kern w:val="2"/>
          <w:sz w:val="32"/>
          <w:szCs w:val="32"/>
          <w:highlight w:val="none"/>
          <w:lang w:val="en-US" w:eastAsia="zh-CN" w:bidi="ar-SA"/>
        </w:rPr>
        <w:t>一般行政管理事务</w:t>
      </w:r>
      <w:r>
        <w:rPr>
          <w:rFonts w:hint="eastAsia" w:ascii="Times New Roman" w:hAnsi="Times New Roman" w:eastAsia="仿宋_GB2312" w:cs="仿宋_GB2312"/>
          <w:color w:val="auto"/>
          <w:kern w:val="2"/>
          <w:sz w:val="32"/>
          <w:szCs w:val="32"/>
          <w:highlight w:val="none"/>
          <w:lang w:val="en-US" w:eastAsia="zh-CN" w:bidi="ar-SA"/>
        </w:rPr>
        <w:t>（项）: 支出决算为</w:t>
      </w:r>
      <w:r>
        <w:rPr>
          <w:rFonts w:hint="eastAsia" w:eastAsia="仿宋_GB2312" w:cs="仿宋_GB2312"/>
          <w:color w:val="auto"/>
          <w:kern w:val="2"/>
          <w:sz w:val="32"/>
          <w:szCs w:val="32"/>
          <w:highlight w:val="none"/>
          <w:lang w:val="en-US" w:eastAsia="zh-CN" w:bidi="ar-SA"/>
        </w:rPr>
        <w:t>229.45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860B8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3.一般公共服务（类）其他共产党事务支出（款）</w:t>
      </w:r>
      <w:r>
        <w:rPr>
          <w:rFonts w:hint="eastAsia" w:eastAsia="仿宋_GB2312" w:cs="仿宋_GB2312"/>
          <w:color w:val="auto"/>
          <w:kern w:val="2"/>
          <w:sz w:val="32"/>
          <w:szCs w:val="32"/>
          <w:highlight w:val="none"/>
          <w:lang w:val="en-US" w:eastAsia="zh-CN" w:bidi="ar-SA"/>
        </w:rPr>
        <w:t>事业运行</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177.26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5240090">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4.公共安全支出（类）公安（款）一般行政管理事务（项）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10.56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7CA89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5.社会保障和就业支出（类）行政事业</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养老支出（款）行政</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2.03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4C8140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6.社会保障和就业支出（类）行政事业部门养老支出（款）事业部门离退休（项）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4.95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400F18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社会保障和就业支出（类）行政事业部门养老支出（款）机关事业部门基本养老保险缴费支出（项）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36.91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64C33C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社会保障和就业支出（类）行政事业部门养老支出（款）机关事业部门职业年金缴费支出（项）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8.98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A28F20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社会保障和就业支出（类）</w:t>
      </w:r>
      <w:r>
        <w:rPr>
          <w:rFonts w:hint="eastAsia" w:eastAsia="仿宋_GB2312" w:cs="仿宋_GB2312"/>
          <w:color w:val="auto"/>
          <w:kern w:val="2"/>
          <w:sz w:val="32"/>
          <w:szCs w:val="32"/>
          <w:highlight w:val="none"/>
          <w:lang w:val="en-US" w:eastAsia="zh-CN" w:bidi="ar-SA"/>
        </w:rPr>
        <w:t>抚恤</w:t>
      </w:r>
      <w:r>
        <w:rPr>
          <w:rFonts w:hint="eastAsia" w:ascii="Times New Roman" w:hAnsi="Times New Roman" w:eastAsia="仿宋_GB2312" w:cs="仿宋_GB2312"/>
          <w:color w:val="auto"/>
          <w:kern w:val="2"/>
          <w:sz w:val="32"/>
          <w:szCs w:val="32"/>
          <w:highlight w:val="none"/>
          <w:lang w:val="en-US" w:eastAsia="zh-CN" w:bidi="ar-SA"/>
        </w:rPr>
        <w:t>（款）死亡抚恤（项）：支出决算为26.28万元，完成预算100%。</w:t>
      </w:r>
    </w:p>
    <w:p w14:paraId="37AEE7C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卫生健康支出（类）</w:t>
      </w:r>
      <w:r>
        <w:rPr>
          <w:rFonts w:hint="eastAsia" w:eastAsia="仿宋_GB2312" w:cs="仿宋_GB2312"/>
          <w:color w:val="auto"/>
          <w:kern w:val="2"/>
          <w:sz w:val="32"/>
          <w:szCs w:val="32"/>
          <w:highlight w:val="none"/>
          <w:lang w:val="en-US" w:eastAsia="zh-CN" w:bidi="ar-SA"/>
        </w:rPr>
        <w:t>行政事业部门医疗</w:t>
      </w:r>
      <w:r>
        <w:rPr>
          <w:rFonts w:hint="eastAsia" w:ascii="Times New Roman" w:hAnsi="Times New Roman" w:eastAsia="仿宋_GB2312" w:cs="仿宋_GB2312"/>
          <w:color w:val="auto"/>
          <w:kern w:val="2"/>
          <w:sz w:val="32"/>
          <w:szCs w:val="32"/>
          <w:highlight w:val="none"/>
          <w:lang w:val="en-US" w:eastAsia="zh-CN" w:bidi="ar-SA"/>
        </w:rPr>
        <w:t>（款）行政部门医疗（项）：支出决算为9.12万元，完成预算100%。</w:t>
      </w:r>
    </w:p>
    <w:p w14:paraId="56C0FE5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卫生健康支出（类）</w:t>
      </w:r>
      <w:r>
        <w:rPr>
          <w:rFonts w:hint="eastAsia" w:eastAsia="仿宋_GB2312" w:cs="仿宋_GB2312"/>
          <w:color w:val="auto"/>
          <w:kern w:val="2"/>
          <w:sz w:val="32"/>
          <w:szCs w:val="32"/>
          <w:highlight w:val="none"/>
          <w:lang w:val="en-US" w:eastAsia="zh-CN" w:bidi="ar-SA"/>
        </w:rPr>
        <w:t>行政事业部门医疗</w:t>
      </w:r>
      <w:r>
        <w:rPr>
          <w:rFonts w:hint="eastAsia" w:ascii="Times New Roman" w:hAnsi="Times New Roman" w:eastAsia="仿宋_GB2312" w:cs="仿宋_GB2312"/>
          <w:color w:val="auto"/>
          <w:kern w:val="2"/>
          <w:sz w:val="32"/>
          <w:szCs w:val="32"/>
          <w:highlight w:val="none"/>
          <w:lang w:val="en-US" w:eastAsia="zh-CN" w:bidi="ar-SA"/>
        </w:rPr>
        <w:t>（款）事业部门医疗（项）：支出决算为12.26万元，完成预算100%。</w:t>
      </w:r>
    </w:p>
    <w:p w14:paraId="02B7A04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卫生健康支出（类）</w:t>
      </w:r>
      <w:r>
        <w:rPr>
          <w:rFonts w:hint="eastAsia" w:eastAsia="仿宋_GB2312" w:cs="仿宋_GB2312"/>
          <w:color w:val="auto"/>
          <w:kern w:val="2"/>
          <w:sz w:val="32"/>
          <w:szCs w:val="32"/>
          <w:highlight w:val="none"/>
          <w:lang w:val="en-US" w:eastAsia="zh-CN" w:bidi="ar-SA"/>
        </w:rPr>
        <w:t>行政事业部门医疗</w:t>
      </w:r>
      <w:r>
        <w:rPr>
          <w:rFonts w:hint="eastAsia" w:ascii="Times New Roman" w:hAnsi="Times New Roman" w:eastAsia="仿宋_GB2312" w:cs="仿宋_GB2312"/>
          <w:color w:val="auto"/>
          <w:kern w:val="2"/>
          <w:sz w:val="32"/>
          <w:szCs w:val="32"/>
          <w:highlight w:val="none"/>
          <w:lang w:val="en-US" w:eastAsia="zh-CN" w:bidi="ar-SA"/>
        </w:rPr>
        <w:t>（款）公务员医疗补助（项）：支出决算为6.91万元，完成预算100%。</w:t>
      </w:r>
    </w:p>
    <w:p w14:paraId="022B16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卫生健康支出（类）</w:t>
      </w:r>
      <w:r>
        <w:rPr>
          <w:rFonts w:hint="eastAsia" w:eastAsia="仿宋_GB2312" w:cs="仿宋_GB2312"/>
          <w:color w:val="auto"/>
          <w:kern w:val="2"/>
          <w:sz w:val="32"/>
          <w:szCs w:val="32"/>
          <w:highlight w:val="none"/>
          <w:lang w:val="en-US" w:eastAsia="zh-CN" w:bidi="ar-SA"/>
        </w:rPr>
        <w:t>行政事业部门医疗</w:t>
      </w:r>
      <w:r>
        <w:rPr>
          <w:rFonts w:hint="eastAsia" w:ascii="Times New Roman" w:hAnsi="Times New Roman" w:eastAsia="仿宋_GB2312" w:cs="仿宋_GB2312"/>
          <w:color w:val="auto"/>
          <w:kern w:val="2"/>
          <w:sz w:val="32"/>
          <w:szCs w:val="32"/>
          <w:highlight w:val="none"/>
          <w:lang w:val="en-US" w:eastAsia="zh-CN" w:bidi="ar-SA"/>
        </w:rPr>
        <w:t>（款）其他行政事业部门医疗支出（项）：支出决算为7.9万元，完成预算100%。</w:t>
      </w:r>
    </w:p>
    <w:p w14:paraId="417B58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31.77</w:t>
      </w:r>
      <w:r>
        <w:rPr>
          <w:rFonts w:hint="eastAsia" w:ascii="Times New Roman" w:hAnsi="Times New Roman" w:eastAsia="仿宋_GB2312" w:cs="仿宋_GB2312"/>
          <w:color w:val="auto"/>
          <w:kern w:val="2"/>
          <w:sz w:val="32"/>
          <w:szCs w:val="32"/>
          <w:highlight w:val="none"/>
          <w:lang w:val="en-US" w:eastAsia="zh-CN" w:bidi="ar-SA"/>
        </w:rPr>
        <w:t>万元，完成预算100%。</w:t>
      </w:r>
    </w:p>
    <w:p w14:paraId="45CFBC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66B31F7">
      <w:pPr>
        <w:tabs>
          <w:tab w:val="right" w:pos="8306"/>
        </w:tabs>
        <w:spacing w:line="600" w:lineRule="exact"/>
        <w:ind w:firstLine="640"/>
        <w:outlineLvl w:val="1"/>
        <w:rPr>
          <w:rStyle w:val="31"/>
          <w:rFonts w:ascii="Times New Roman" w:hAnsi="Times New Roman"/>
          <w:color w:val="auto"/>
          <w:highlight w:val="none"/>
        </w:rPr>
      </w:pPr>
      <w:bookmarkStart w:id="39" w:name="_Toc15396608"/>
      <w:bookmarkStart w:id="40"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9"/>
      <w:bookmarkEnd w:id="40"/>
      <w:r>
        <w:rPr>
          <w:rStyle w:val="31"/>
          <w:rFonts w:ascii="Times New Roman" w:hAnsi="Times New Roman" w:eastAsia="黑体"/>
          <w:b w:val="0"/>
          <w:color w:val="auto"/>
          <w:highlight w:val="none"/>
        </w:rPr>
        <w:tab/>
      </w:r>
    </w:p>
    <w:p w14:paraId="49177F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469.99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76CCC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434.99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基本养老保险缴费、职业年金缴费、其他社会保障缴费、其他工资福利支出、抚恤金、生活补助、奖励金、住房公积金等。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元，主要包括：办公费、差旅费、维修（护）费、公务接待费、劳务费、委托业务费、工会经费、福利费、其他交通费、其他商品和服务支出、办公设备购置、专用设备购置等。</w:t>
      </w:r>
    </w:p>
    <w:p w14:paraId="11F742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ECB27F5">
      <w:pPr>
        <w:spacing w:line="600" w:lineRule="exact"/>
        <w:ind w:firstLine="640"/>
        <w:outlineLvl w:val="1"/>
        <w:rPr>
          <w:rStyle w:val="31"/>
          <w:rFonts w:ascii="Times New Roman" w:hAnsi="Times New Roman" w:eastAsia="黑体"/>
          <w:b w:val="0"/>
          <w:color w:val="auto"/>
          <w:highlight w:val="none"/>
        </w:rPr>
      </w:pPr>
      <w:bookmarkStart w:id="41" w:name="_Toc15377215"/>
      <w:bookmarkStart w:id="42"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41"/>
      <w:bookmarkEnd w:id="42"/>
    </w:p>
    <w:p w14:paraId="0BDFF1B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3"/>
    </w:p>
    <w:p w14:paraId="389132F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0.26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08821E3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4"/>
    </w:p>
    <w:p w14:paraId="4819051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0.26</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01B99A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4A89604F">
      <w:pPr>
        <w:spacing w:line="240" w:lineRule="auto"/>
        <w:ind w:firstLine="0"/>
        <w:rPr>
          <w:rFonts w:hint="eastAsia" w:ascii="Times New Roman" w:hAnsi="Times New Roman" w:eastAsia="仿宋_GB2312" w:cs="仿宋_GB2312"/>
          <w:b/>
          <w:bCs/>
          <w:color w:val="auto"/>
          <w:kern w:val="2"/>
          <w:sz w:val="32"/>
          <w:szCs w:val="32"/>
          <w:highlight w:val="none"/>
          <w:lang w:val="en-US" w:eastAsia="zh-CN" w:bidi="ar-SA"/>
        </w:rPr>
      </w:pPr>
      <w:r>
        <w:drawing>
          <wp:inline distT="0" distB="0" distL="114300" distR="114300">
            <wp:extent cx="4486275" cy="2733675"/>
            <wp:effectExtent l="0" t="0" r="9525"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16"/>
                    <a:stretch>
                      <a:fillRect/>
                    </a:stretch>
                  </pic:blipFill>
                  <pic:spPr>
                    <a:xfrm>
                      <a:off x="0" y="0"/>
                      <a:ext cx="4486275" cy="2733675"/>
                    </a:xfrm>
                    <a:prstGeom prst="rect">
                      <a:avLst/>
                    </a:prstGeom>
                    <a:noFill/>
                    <a:ln>
                      <a:noFill/>
                    </a:ln>
                  </pic:spPr>
                </pic:pic>
              </a:graphicData>
            </a:graphic>
          </wp:inline>
        </w:drawing>
      </w:r>
    </w:p>
    <w:p w14:paraId="224C63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4D1B79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2BE844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ascii="仿宋" w:hAnsi="仿宋" w:eastAsia="仿宋"/>
          <w:sz w:val="32"/>
          <w:szCs w:val="32"/>
        </w:rPr>
        <w:t>与上年数据持平</w:t>
      </w:r>
      <w:r>
        <w:rPr>
          <w:rFonts w:hint="eastAsia" w:ascii="Times New Roman" w:hAnsi="Times New Roman" w:eastAsia="仿宋_GB2312" w:cs="仿宋_GB2312"/>
          <w:color w:val="auto"/>
          <w:kern w:val="2"/>
          <w:sz w:val="32"/>
          <w:szCs w:val="32"/>
          <w:highlight w:val="none"/>
          <w:lang w:val="en-US" w:eastAsia="zh-CN" w:bidi="ar-SA"/>
        </w:rPr>
        <w:t>。</w:t>
      </w:r>
    </w:p>
    <w:p w14:paraId="09935C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，其中：轿车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w:t>
      </w:r>
      <w:r>
        <w:rPr>
          <w:rFonts w:hint="eastAsia" w:eastAsia="仿宋_GB2312" w:cs="仿宋_GB2312"/>
          <w:color w:val="auto"/>
          <w:kern w:val="2"/>
          <w:sz w:val="32"/>
          <w:szCs w:val="32"/>
          <w:highlight w:val="none"/>
          <w:lang w:val="en-US" w:eastAsia="zh-CN" w:bidi="ar-SA"/>
        </w:rPr>
        <w:t>部门</w:t>
      </w:r>
      <w:r>
        <w:rPr>
          <w:rFonts w:hint="eastAsia" w:ascii="Times New Roman" w:hAnsi="Times New Roman" w:eastAsia="仿宋_GB2312" w:cs="仿宋_GB2312"/>
          <w:color w:val="auto"/>
          <w:kern w:val="2"/>
          <w:sz w:val="32"/>
          <w:szCs w:val="32"/>
          <w:highlight w:val="none"/>
          <w:lang w:val="en-US" w:eastAsia="zh-CN" w:bidi="ar-SA"/>
        </w:rPr>
        <w:t>共有公务用车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，其中：轿车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、越野车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、载客汽车</w:t>
      </w:r>
      <w:r>
        <w:rPr>
          <w:rFonts w:hint="eastAsia" w:eastAsia="仿宋_GB2312" w:cs="仿宋_GB2312"/>
          <w:color w:val="auto"/>
          <w:kern w:val="2"/>
          <w:sz w:val="32"/>
          <w:szCs w:val="32"/>
          <w:highlight w:val="none"/>
          <w:lang w:val="en-US" w:eastAsia="zh-CN" w:bidi="ar-SA"/>
        </w:rPr>
        <w:t>0辆</w:t>
      </w:r>
      <w:r>
        <w:rPr>
          <w:rFonts w:hint="eastAsia" w:ascii="Times New Roman" w:hAnsi="Times New Roman" w:eastAsia="仿宋_GB2312" w:cs="仿宋_GB2312"/>
          <w:color w:val="auto"/>
          <w:kern w:val="2"/>
          <w:sz w:val="32"/>
          <w:szCs w:val="32"/>
          <w:highlight w:val="none"/>
          <w:lang w:val="en-US" w:eastAsia="zh-CN" w:bidi="ar-SA"/>
        </w:rPr>
        <w:t>。</w:t>
      </w:r>
    </w:p>
    <w:p w14:paraId="6EDA58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665AB9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0.26万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%。主要原因是今年</w:t>
      </w:r>
      <w:r>
        <w:rPr>
          <w:rFonts w:hint="eastAsia" w:eastAsia="仿宋_GB2312" w:cs="仿宋_GB2312"/>
          <w:color w:val="auto"/>
          <w:kern w:val="2"/>
          <w:sz w:val="32"/>
          <w:szCs w:val="32"/>
          <w:highlight w:val="none"/>
          <w:lang w:val="en-US" w:eastAsia="zh-CN" w:bidi="ar-SA"/>
        </w:rPr>
        <w:t>因工作任务</w:t>
      </w:r>
      <w:r>
        <w:rPr>
          <w:rFonts w:hint="eastAsia" w:ascii="Times New Roman" w:hAnsi="Times New Roman" w:eastAsia="仿宋_GB2312" w:cs="仿宋_GB2312"/>
          <w:color w:val="auto"/>
          <w:kern w:val="2"/>
          <w:sz w:val="32"/>
          <w:szCs w:val="32"/>
          <w:highlight w:val="none"/>
          <w:lang w:val="en-US" w:eastAsia="zh-CN" w:bidi="ar-SA"/>
        </w:rPr>
        <w:t>增加了公务接待费。其中：</w:t>
      </w:r>
    </w:p>
    <w:p w14:paraId="71896A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元，主要用于开展业务活动开支的用餐费。国内公务接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23</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0.26</w:t>
      </w:r>
      <w:r>
        <w:rPr>
          <w:rFonts w:hint="eastAsia" w:ascii="Times New Roman" w:hAnsi="Times New Roman" w:eastAsia="仿宋_GB2312" w:cs="仿宋_GB2312"/>
          <w:color w:val="auto"/>
          <w:kern w:val="2"/>
          <w:sz w:val="32"/>
          <w:szCs w:val="32"/>
          <w:highlight w:val="none"/>
          <w:lang w:val="en-US" w:eastAsia="zh-CN" w:bidi="ar-SA"/>
        </w:rPr>
        <w:t>万元，具体内容包括：盐边县政法委、县司法局参观学习三说会堂、双中心建设接待费</w:t>
      </w:r>
      <w:r>
        <w:rPr>
          <w:rFonts w:hint="eastAsia" w:eastAsia="仿宋_GB2312" w:cs="仿宋_GB2312"/>
          <w:color w:val="auto"/>
          <w:kern w:val="2"/>
          <w:sz w:val="32"/>
          <w:szCs w:val="32"/>
          <w:highlight w:val="none"/>
          <w:lang w:val="en-US" w:eastAsia="zh-CN" w:bidi="ar-SA"/>
        </w:rPr>
        <w:t>0.19万元、</w:t>
      </w:r>
      <w:r>
        <w:rPr>
          <w:rFonts w:hint="eastAsia" w:ascii="Times New Roman" w:hAnsi="Times New Roman" w:eastAsia="仿宋_GB2312" w:cs="仿宋_GB2312"/>
          <w:color w:val="auto"/>
          <w:kern w:val="2"/>
          <w:sz w:val="32"/>
          <w:szCs w:val="32"/>
          <w:highlight w:val="none"/>
          <w:lang w:val="en-US" w:eastAsia="zh-CN" w:bidi="ar-SA"/>
        </w:rPr>
        <w:t>华坪县到西区交流考察学习0.07万元。</w:t>
      </w:r>
    </w:p>
    <w:p w14:paraId="0E39E7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1DD8478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5" w:name="_Toc15377218"/>
      <w:bookmarkStart w:id="46" w:name="_Toc15396610"/>
    </w:p>
    <w:p w14:paraId="5A965F18">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5"/>
      <w:bookmarkEnd w:id="46"/>
    </w:p>
    <w:p w14:paraId="3C4CA47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60.43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7.84</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42.12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69.7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减少了项目资金。</w:t>
      </w:r>
    </w:p>
    <w:p w14:paraId="3AD811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AED74F3">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7" w:name="_Toc15396611"/>
      <w:bookmarkStart w:id="48" w:name="_Toc15377219"/>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7"/>
      <w:bookmarkEnd w:id="48"/>
    </w:p>
    <w:p w14:paraId="7D19D6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国有资本经营预算财政拨款支出</w:t>
      </w:r>
      <w:r>
        <w:rPr>
          <w:rFonts w:hint="eastAsia" w:ascii="仿宋_GB2312" w:hAnsi="仿宋_GB2312" w:eastAsia="仿宋_GB2312" w:cs="仿宋_GB2312"/>
          <w:color w:val="auto"/>
          <w:kern w:val="2"/>
          <w:sz w:val="32"/>
          <w:szCs w:val="32"/>
          <w:highlight w:val="none"/>
          <w:lang w:val="en-US" w:eastAsia="zh-CN" w:bidi="ar-SA"/>
        </w:rPr>
        <w:t>。</w:t>
      </w:r>
    </w:p>
    <w:p w14:paraId="42A561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F87AF33">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9" w:name="_Toc15377221"/>
      <w:bookmarkStart w:id="50"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9"/>
      <w:bookmarkEnd w:id="50"/>
    </w:p>
    <w:p w14:paraId="3714360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2"/>
      <w:r>
        <w:rPr>
          <w:rFonts w:hint="eastAsia" w:ascii="Times New Roman" w:hAnsi="Times New Roman" w:eastAsia="楷体_GB2312" w:cs="楷体_GB2312"/>
          <w:b/>
          <w:color w:val="auto"/>
          <w:sz w:val="32"/>
          <w:szCs w:val="32"/>
          <w:highlight w:val="none"/>
        </w:rPr>
        <w:t>（一）机关运行经费支出情况</w:t>
      </w:r>
      <w:bookmarkEnd w:id="51"/>
    </w:p>
    <w:p w14:paraId="2BFF16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中共攀枝花市西区区委政法委员会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3.78</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10.8</w:t>
      </w:r>
      <w:r>
        <w:rPr>
          <w:rFonts w:hint="eastAsia" w:ascii="Times New Roman" w:hAnsi="Times New Roman" w:eastAsia="仿宋_GB2312" w:cs="仿宋_GB2312"/>
          <w:color w:val="auto"/>
          <w:kern w:val="2"/>
          <w:sz w:val="32"/>
          <w:szCs w:val="32"/>
          <w:highlight w:val="none"/>
          <w:lang w:val="en-US" w:eastAsia="zh-CN" w:bidi="ar-SA"/>
        </w:rPr>
        <w:t>%。主要原因是2023年部分订阅报刊费未支付，2024年支付，故运行经费增加</w:t>
      </w:r>
      <w:r>
        <w:rPr>
          <w:rFonts w:hint="eastAsia" w:eastAsia="仿宋_GB2312" w:cs="仿宋_GB2312"/>
          <w:color w:val="auto"/>
          <w:kern w:val="2"/>
          <w:sz w:val="32"/>
          <w:szCs w:val="32"/>
          <w:highlight w:val="none"/>
          <w:lang w:val="en-US" w:eastAsia="zh-CN" w:bidi="ar-SA"/>
        </w:rPr>
        <w:t>。</w:t>
      </w:r>
    </w:p>
    <w:p w14:paraId="0F689D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5BB519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3"/>
      <w:r>
        <w:rPr>
          <w:rFonts w:hint="eastAsia" w:ascii="Times New Roman" w:hAnsi="Times New Roman" w:eastAsia="楷体_GB2312" w:cs="楷体_GB2312"/>
          <w:b/>
          <w:color w:val="auto"/>
          <w:sz w:val="32"/>
          <w:szCs w:val="32"/>
          <w:highlight w:val="none"/>
        </w:rPr>
        <w:t>（二）政府采购支出情况</w:t>
      </w:r>
      <w:bookmarkEnd w:id="52"/>
    </w:p>
    <w:p w14:paraId="2CA84E2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中共攀枝花市西区区委政法委员会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9.26</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9.26</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w:t>
      </w:r>
      <w:r>
        <w:rPr>
          <w:rFonts w:hint="eastAsia" w:ascii="仿宋_GB2312" w:eastAsia="仿宋_GB2312"/>
          <w:color w:val="auto"/>
          <w:sz w:val="32"/>
          <w:szCs w:val="32"/>
          <w:highlight w:val="none"/>
        </w:rPr>
        <w:t>雪亮工程</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综治中心信息化维护</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网络运行等</w:t>
      </w:r>
      <w:r>
        <w:rPr>
          <w:rFonts w:hint="eastAsia" w:ascii="仿宋_GB2312" w:hAnsi="仿宋_GB2312" w:eastAsia="仿宋_GB2312" w:cs="仿宋_GB2312"/>
          <w:color w:val="auto"/>
          <w:kern w:val="2"/>
          <w:sz w:val="32"/>
          <w:szCs w:val="32"/>
          <w:highlight w:val="none"/>
          <w:lang w:val="en-US" w:eastAsia="zh-CN" w:bidi="ar-SA"/>
        </w:rPr>
        <w:t>。授予中小企业合同金额</w:t>
      </w:r>
      <w:r>
        <w:rPr>
          <w:rFonts w:hint="eastAsia" w:ascii="仿宋_GB2312" w:hAnsi="仿宋_GB2312" w:eastAsia="仿宋_GB2312" w:cs="仿宋_GB2312"/>
          <w:sz w:val="32"/>
          <w:szCs w:val="32"/>
        </w:rPr>
        <w:t>9.26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9.26</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240EF1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01E3A8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3" w:name="_Toc15377224"/>
      <w:r>
        <w:rPr>
          <w:rFonts w:hint="eastAsia" w:ascii="Times New Roman" w:hAnsi="Times New Roman" w:eastAsia="楷体_GB2312" w:cs="楷体_GB2312"/>
          <w:b/>
          <w:color w:val="auto"/>
          <w:sz w:val="32"/>
          <w:szCs w:val="32"/>
          <w:highlight w:val="none"/>
        </w:rPr>
        <w:t>（三）国有资产占有使用情况</w:t>
      </w:r>
      <w:bookmarkEnd w:id="53"/>
    </w:p>
    <w:p w14:paraId="56EF1B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中共攀枝花市西区区委政法委员会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595D8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38D068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CE0B6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平安建设项目、雪亮工程及综治中心运维服务2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2D330FD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组织对2024年度一般公共预算、政府性基金预算全面开展绩效自评，形成</w:t>
      </w:r>
      <w:r>
        <w:rPr>
          <w:rFonts w:hint="eastAsia" w:ascii="仿宋_GB2312" w:hAnsi="仿宋_GB2312" w:eastAsia="仿宋_GB2312" w:cs="仿宋_GB2312"/>
          <w:sz w:val="32"/>
          <w:szCs w:val="32"/>
          <w:lang w:eastAsia="zh-CN"/>
        </w:rPr>
        <w:t>中共攀枝花市西区区委政法委员会</w:t>
      </w:r>
      <w:r>
        <w:rPr>
          <w:rFonts w:hint="eastAsia" w:ascii="仿宋_GB2312" w:hAnsi="仿宋_GB2312" w:eastAsia="仿宋_GB2312" w:cs="仿宋_GB2312"/>
          <w:sz w:val="32"/>
          <w:szCs w:val="32"/>
        </w:rPr>
        <w:t>部门整体</w:t>
      </w:r>
      <w:r>
        <w:rPr>
          <w:rFonts w:hint="eastAsia" w:ascii="Times New Roman" w:hAnsi="Times New Roman" w:eastAsia="仿宋_GB2312" w:cs="仿宋_GB2312"/>
          <w:color w:val="auto"/>
          <w:kern w:val="2"/>
          <w:sz w:val="32"/>
          <w:szCs w:val="32"/>
          <w:highlight w:val="none"/>
          <w:lang w:val="en-US" w:eastAsia="zh-CN" w:bidi="ar-SA"/>
        </w:rPr>
        <w:t>绩效自评报告、</w:t>
      </w:r>
      <w:r>
        <w:rPr>
          <w:rFonts w:hint="eastAsia" w:eastAsia="仿宋_GB2312" w:cs="仿宋_GB2312"/>
          <w:color w:val="auto"/>
          <w:kern w:val="2"/>
          <w:sz w:val="32"/>
          <w:szCs w:val="32"/>
          <w:highlight w:val="none"/>
          <w:lang w:val="en-US" w:eastAsia="zh-CN" w:bidi="ar-SA"/>
        </w:rPr>
        <w:t>平安建设项目、雪亮工程及综治中心运维服务</w:t>
      </w:r>
      <w:r>
        <w:rPr>
          <w:rFonts w:hint="eastAsia" w:ascii="Times New Roman" w:hAnsi="Times New Roman" w:eastAsia="仿宋_GB2312" w:cs="仿宋_GB2312"/>
          <w:color w:val="auto"/>
          <w:kern w:val="2"/>
          <w:sz w:val="32"/>
          <w:szCs w:val="32"/>
          <w:highlight w:val="none"/>
          <w:lang w:val="en-US" w:eastAsia="zh-CN" w:bidi="ar-SA"/>
        </w:rPr>
        <w:t>专项预算项目绩效自评报告，其中，</w:t>
      </w:r>
      <w:r>
        <w:rPr>
          <w:rFonts w:hint="eastAsia" w:ascii="仿宋_GB2312" w:hAnsi="仿宋_GB2312" w:eastAsia="仿宋_GB2312" w:cs="仿宋_GB2312"/>
          <w:sz w:val="32"/>
          <w:szCs w:val="32"/>
        </w:rPr>
        <w:t>中共攀枝花市西区区委政法委员会部门整体（含部门预算项目）</w:t>
      </w:r>
      <w:r>
        <w:rPr>
          <w:rFonts w:hint="eastAsia" w:ascii="Times New Roman" w:hAnsi="Times New Roman" w:eastAsia="仿宋_GB2312" w:cs="仿宋_GB2312"/>
          <w:color w:val="auto"/>
          <w:kern w:val="2"/>
          <w:sz w:val="32"/>
          <w:szCs w:val="32"/>
          <w:highlight w:val="none"/>
          <w:lang w:val="en-US" w:eastAsia="zh-CN" w:bidi="ar-SA"/>
        </w:rPr>
        <w:t>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default" w:ascii="Times New Roman" w:hAnsi="Times New Roman" w:eastAsia="方正仿宋_GBK" w:cs="Times New Roman"/>
          <w:color w:val="000000"/>
          <w:kern w:val="0"/>
          <w:sz w:val="32"/>
          <w:szCs w:val="32"/>
          <w:shd w:val="clear" w:color="auto" w:fill="FFFFFF"/>
          <w:lang w:val="zh-CN"/>
        </w:rPr>
        <w:t>本</w:t>
      </w:r>
      <w:r>
        <w:rPr>
          <w:rFonts w:hint="eastAsia" w:ascii="Times New Roman" w:hAnsi="Times New Roman" w:eastAsia="方正仿宋_GBK" w:cs="Times New Roman"/>
          <w:color w:val="000000"/>
          <w:kern w:val="0"/>
          <w:sz w:val="32"/>
          <w:szCs w:val="32"/>
          <w:shd w:val="clear" w:color="auto" w:fill="FFFFFF"/>
          <w:lang w:val="zh-CN"/>
        </w:rPr>
        <w:t>部门</w:t>
      </w:r>
      <w:r>
        <w:rPr>
          <w:rFonts w:hint="default" w:ascii="Times New Roman" w:hAnsi="Times New Roman" w:eastAsia="方正仿宋_GBK" w:cs="Times New Roman"/>
          <w:color w:val="000000"/>
          <w:kern w:val="0"/>
          <w:sz w:val="32"/>
          <w:szCs w:val="32"/>
          <w:shd w:val="clear" w:color="auto" w:fill="FFFFFF"/>
          <w:lang w:val="zh-CN"/>
        </w:rPr>
        <w:t>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w:t>
      </w:r>
      <w:r>
        <w:rPr>
          <w:rFonts w:hint="eastAsia" w:ascii="Times New Roman" w:hAnsi="Times New Roman" w:eastAsia="方正仿宋_GBK" w:cs="Times New Roman"/>
          <w:color w:val="000000"/>
          <w:kern w:val="0"/>
          <w:sz w:val="32"/>
          <w:szCs w:val="32"/>
          <w:shd w:val="clear" w:color="auto" w:fill="FFFFFF"/>
          <w:lang w:val="zh-CN"/>
        </w:rPr>
        <w:t>部门</w:t>
      </w:r>
      <w:r>
        <w:rPr>
          <w:rFonts w:hint="default" w:ascii="Times New Roman" w:hAnsi="Times New Roman" w:eastAsia="方正仿宋_GBK" w:cs="Times New Roman"/>
          <w:color w:val="000000"/>
          <w:kern w:val="0"/>
          <w:sz w:val="32"/>
          <w:szCs w:val="32"/>
          <w:shd w:val="clear" w:color="auto" w:fill="FFFFFF"/>
          <w:lang w:val="zh-CN"/>
        </w:rPr>
        <w:t>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lang w:eastAsia="zh-CN"/>
        </w:rPr>
        <w:t>雪亮工程</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val="zh-CN" w:eastAsia="zh-CN"/>
        </w:rPr>
        <w:t>结合市域社会治理现代化，构建全方位、智能化、立体化社会治安防控体系，完成三级综治中心建设，探索创新网格化服务管理工作</w:t>
      </w:r>
      <w:r>
        <w:rPr>
          <w:rFonts w:hint="eastAsia" w:ascii="仿宋_GB2312" w:hAnsi="仿宋_GB2312" w:eastAsia="仿宋_GB2312" w:cs="仿宋_GB2312"/>
          <w:sz w:val="32"/>
          <w:szCs w:val="32"/>
          <w:lang w:val="en-US" w:eastAsia="zh-CN"/>
        </w:rPr>
        <w:t>，有效夯实了社会治理、智能治理能力和水平</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平安建设</w:t>
      </w:r>
      <w:r>
        <w:rPr>
          <w:rFonts w:hint="eastAsia" w:ascii="仿宋_GB2312" w:hAnsi="仿宋_GB2312" w:eastAsia="仿宋_GB2312" w:cs="仿宋_GB2312"/>
          <w:sz w:val="32"/>
          <w:szCs w:val="32"/>
        </w:rPr>
        <w:t>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分，绩效自评综述：</w:t>
      </w:r>
      <w:r>
        <w:rPr>
          <w:rFonts w:hint="eastAsia" w:ascii="Times New Roman" w:hAnsi="Times New Roman" w:eastAsia="仿宋_GB2312" w:cs="仿宋_GB2312"/>
          <w:color w:val="auto"/>
          <w:kern w:val="2"/>
          <w:sz w:val="32"/>
          <w:szCs w:val="32"/>
          <w:highlight w:val="none"/>
          <w:lang w:val="zh-CN" w:eastAsia="zh-CN" w:bidi="ar-SA"/>
        </w:rPr>
        <w:t>基层社会治理水平进一步提高，确保社会大局稳定，促进社会公平正义，保障人民安居乐业。着力推进网格化服务管理工作、化解社会矛盾、健全社会治安防控体系、整治突出问题、强化综治基层基础、创新社会治理方式方法、提升社会服务管理水平；着力抓好做好特定利益群体和重点稳控人员的教育稳控工作，打击防范敌对势力恐怖活动和宗教场所维稳阵地建设、防控打击等重点任务。</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4A6C32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696F1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22F72CC">
      <w:pPr>
        <w:pStyle w:val="2"/>
        <w:rPr>
          <w:rFonts w:hint="eastAsia" w:ascii="Times New Roman" w:hAnsi="Times New Roman" w:eastAsia="仿宋_GB2312" w:cs="仿宋_GB2312"/>
          <w:color w:val="auto"/>
          <w:kern w:val="2"/>
          <w:sz w:val="32"/>
          <w:szCs w:val="32"/>
          <w:highlight w:val="none"/>
          <w:lang w:val="en-US" w:eastAsia="zh-CN" w:bidi="ar-SA"/>
        </w:rPr>
      </w:pPr>
    </w:p>
    <w:p w14:paraId="62D35EF2">
      <w:pPr>
        <w:rPr>
          <w:rFonts w:hint="eastAsia" w:ascii="Times New Roman" w:hAnsi="Times New Roman" w:eastAsia="仿宋_GB2312" w:cs="仿宋_GB2312"/>
          <w:color w:val="auto"/>
          <w:kern w:val="2"/>
          <w:sz w:val="32"/>
          <w:szCs w:val="32"/>
          <w:highlight w:val="none"/>
          <w:lang w:val="en-US" w:eastAsia="zh-CN" w:bidi="ar-SA"/>
        </w:rPr>
      </w:pPr>
    </w:p>
    <w:p w14:paraId="10EBD38C">
      <w:pPr>
        <w:pStyle w:val="2"/>
        <w:rPr>
          <w:rFonts w:hint="eastAsia" w:ascii="Times New Roman" w:hAnsi="Times New Roman" w:eastAsia="仿宋_GB2312" w:cs="仿宋_GB2312"/>
          <w:color w:val="auto"/>
          <w:kern w:val="2"/>
          <w:sz w:val="32"/>
          <w:szCs w:val="32"/>
          <w:highlight w:val="none"/>
          <w:lang w:val="en-US" w:eastAsia="zh-CN" w:bidi="ar-SA"/>
        </w:rPr>
      </w:pPr>
    </w:p>
    <w:p w14:paraId="74834443">
      <w:pPr>
        <w:rPr>
          <w:rFonts w:hint="eastAsia" w:ascii="Times New Roman" w:hAnsi="Times New Roman" w:eastAsia="仿宋_GB2312" w:cs="仿宋_GB2312"/>
          <w:color w:val="auto"/>
          <w:kern w:val="2"/>
          <w:sz w:val="32"/>
          <w:szCs w:val="32"/>
          <w:highlight w:val="none"/>
          <w:lang w:val="en-US" w:eastAsia="zh-CN" w:bidi="ar-SA"/>
        </w:rPr>
      </w:pPr>
    </w:p>
    <w:p w14:paraId="4D77A7A5">
      <w:pPr>
        <w:pStyle w:val="2"/>
        <w:rPr>
          <w:rFonts w:hint="eastAsia" w:ascii="Times New Roman" w:hAnsi="Times New Roman" w:eastAsia="仿宋_GB2312" w:cs="仿宋_GB2312"/>
          <w:color w:val="auto"/>
          <w:kern w:val="2"/>
          <w:sz w:val="32"/>
          <w:szCs w:val="32"/>
          <w:highlight w:val="none"/>
          <w:lang w:val="en-US" w:eastAsia="zh-CN" w:bidi="ar-SA"/>
        </w:rPr>
      </w:pPr>
    </w:p>
    <w:p w14:paraId="2F9AA393">
      <w:pPr>
        <w:rPr>
          <w:rFonts w:hint="eastAsia" w:ascii="Times New Roman" w:hAnsi="Times New Roman" w:eastAsia="仿宋_GB2312" w:cs="仿宋_GB2312"/>
          <w:color w:val="auto"/>
          <w:kern w:val="2"/>
          <w:sz w:val="32"/>
          <w:szCs w:val="32"/>
          <w:highlight w:val="none"/>
          <w:lang w:val="en-US" w:eastAsia="zh-CN" w:bidi="ar-SA"/>
        </w:rPr>
      </w:pPr>
    </w:p>
    <w:p w14:paraId="58BDA841">
      <w:pPr>
        <w:pStyle w:val="2"/>
        <w:rPr>
          <w:rFonts w:hint="eastAsia" w:ascii="Times New Roman" w:hAnsi="Times New Roman" w:eastAsia="仿宋_GB2312" w:cs="仿宋_GB2312"/>
          <w:color w:val="auto"/>
          <w:kern w:val="2"/>
          <w:sz w:val="32"/>
          <w:szCs w:val="32"/>
          <w:highlight w:val="none"/>
          <w:lang w:val="en-US" w:eastAsia="zh-CN" w:bidi="ar-SA"/>
        </w:rPr>
      </w:pPr>
    </w:p>
    <w:p w14:paraId="777E6A6C">
      <w:pPr>
        <w:rPr>
          <w:rFonts w:hint="eastAsia" w:ascii="Times New Roman" w:hAnsi="Times New Roman" w:eastAsia="仿宋_GB2312" w:cs="仿宋_GB2312"/>
          <w:color w:val="auto"/>
          <w:kern w:val="2"/>
          <w:sz w:val="32"/>
          <w:szCs w:val="32"/>
          <w:highlight w:val="none"/>
          <w:lang w:val="en-US" w:eastAsia="zh-CN" w:bidi="ar-SA"/>
        </w:rPr>
      </w:pPr>
    </w:p>
    <w:p w14:paraId="70B4FBCC">
      <w:pPr>
        <w:pStyle w:val="2"/>
        <w:rPr>
          <w:rFonts w:hint="eastAsia" w:ascii="Times New Roman" w:hAnsi="Times New Roman" w:eastAsia="仿宋_GB2312" w:cs="仿宋_GB2312"/>
          <w:color w:val="auto"/>
          <w:kern w:val="2"/>
          <w:sz w:val="32"/>
          <w:szCs w:val="32"/>
          <w:highlight w:val="none"/>
          <w:lang w:val="en-US" w:eastAsia="zh-CN" w:bidi="ar-SA"/>
        </w:rPr>
      </w:pPr>
    </w:p>
    <w:p w14:paraId="196475FD">
      <w:pPr>
        <w:rPr>
          <w:rFonts w:hint="eastAsia" w:ascii="Times New Roman" w:hAnsi="Times New Roman" w:eastAsia="仿宋_GB2312" w:cs="仿宋_GB2312"/>
          <w:color w:val="auto"/>
          <w:kern w:val="2"/>
          <w:sz w:val="32"/>
          <w:szCs w:val="32"/>
          <w:highlight w:val="none"/>
          <w:lang w:val="en-US" w:eastAsia="zh-CN" w:bidi="ar-SA"/>
        </w:rPr>
      </w:pPr>
    </w:p>
    <w:p w14:paraId="53642F9E">
      <w:pPr>
        <w:pStyle w:val="2"/>
        <w:rPr>
          <w:rFonts w:hint="eastAsia"/>
          <w:lang w:val="en-US" w:eastAsia="zh-CN"/>
        </w:rPr>
      </w:pPr>
    </w:p>
    <w:p w14:paraId="325DAA0E">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4" w:name="_Toc15377225"/>
      <w:bookmarkStart w:id="55"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4"/>
      <w:bookmarkEnd w:id="55"/>
    </w:p>
    <w:p w14:paraId="79370839">
      <w:pPr>
        <w:spacing w:line="600" w:lineRule="exact"/>
        <w:jc w:val="left"/>
        <w:rPr>
          <w:rFonts w:ascii="Times New Roman" w:hAnsi="Times New Roman"/>
          <w:b/>
          <w:color w:val="auto"/>
          <w:sz w:val="44"/>
          <w:szCs w:val="44"/>
          <w:highlight w:val="none"/>
        </w:rPr>
      </w:pPr>
    </w:p>
    <w:p w14:paraId="263EAA59">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w:t>
      </w:r>
      <w:r>
        <w:rPr>
          <w:rFonts w:hint="eastAsia" w:ascii="仿宋_GB2312" w:eastAsia="仿宋_GB2312"/>
          <w:color w:val="auto"/>
          <w:sz w:val="32"/>
          <w:szCs w:val="32"/>
          <w:lang w:eastAsia="zh-CN"/>
        </w:rPr>
        <w:t>部门</w:t>
      </w:r>
      <w:r>
        <w:rPr>
          <w:rFonts w:hint="eastAsia" w:ascii="仿宋_GB2312" w:eastAsia="仿宋_GB2312"/>
          <w:color w:val="auto"/>
          <w:sz w:val="32"/>
          <w:szCs w:val="32"/>
        </w:rPr>
        <w:t>从同级财政部门取得的财政预算资金。</w:t>
      </w:r>
    </w:p>
    <w:p w14:paraId="03A484E6">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w:t>
      </w:r>
      <w:r>
        <w:rPr>
          <w:rFonts w:hint="eastAsia" w:ascii="仿宋_GB2312" w:eastAsia="仿宋_GB2312"/>
          <w:color w:val="auto"/>
          <w:sz w:val="32"/>
          <w:szCs w:val="32"/>
          <w:lang w:eastAsia="zh-CN"/>
        </w:rPr>
        <w:t>部门</w:t>
      </w:r>
      <w:r>
        <w:rPr>
          <w:rFonts w:hint="eastAsia" w:ascii="仿宋_GB2312" w:eastAsia="仿宋_GB2312"/>
          <w:color w:val="auto"/>
          <w:sz w:val="32"/>
          <w:szCs w:val="32"/>
        </w:rPr>
        <w:t>开展专业业务活动及辅助活动取得的收入。</w:t>
      </w:r>
    </w:p>
    <w:p w14:paraId="7DD11689">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年初结转和结余：指以前年度尚未完成、结转到本年按有关规定继续使用的资金。</w:t>
      </w:r>
    </w:p>
    <w:p w14:paraId="4C080E5D">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sz w:val="32"/>
          <w:szCs w:val="32"/>
        </w:rPr>
        <w:t>一般公共服务（类）其他共产党事务支出（款）行政运行（项）：指反映行政</w:t>
      </w:r>
      <w:r>
        <w:rPr>
          <w:rFonts w:hint="eastAsia" w:ascii="仿宋_GB2312" w:eastAsia="仿宋_GB2312"/>
          <w:sz w:val="32"/>
          <w:szCs w:val="32"/>
          <w:lang w:eastAsia="zh-CN"/>
        </w:rPr>
        <w:t>部门</w:t>
      </w:r>
      <w:r>
        <w:rPr>
          <w:rFonts w:hint="eastAsia" w:ascii="仿宋_GB2312" w:eastAsia="仿宋_GB2312"/>
          <w:sz w:val="32"/>
          <w:szCs w:val="32"/>
        </w:rPr>
        <w:t>（包括实行公务员管理的事业</w:t>
      </w:r>
      <w:r>
        <w:rPr>
          <w:rFonts w:hint="eastAsia" w:ascii="仿宋_GB2312" w:eastAsia="仿宋_GB2312"/>
          <w:sz w:val="32"/>
          <w:szCs w:val="32"/>
          <w:lang w:eastAsia="zh-CN"/>
        </w:rPr>
        <w:t>部门</w:t>
      </w:r>
      <w:r>
        <w:rPr>
          <w:rFonts w:hint="eastAsia" w:ascii="仿宋_GB2312" w:eastAsia="仿宋_GB2312"/>
          <w:sz w:val="32"/>
          <w:szCs w:val="32"/>
        </w:rPr>
        <w:t>）的基本支出</w:t>
      </w:r>
      <w:r>
        <w:rPr>
          <w:rFonts w:hint="eastAsia" w:ascii="仿宋_GB2312" w:eastAsia="仿宋_GB2312"/>
          <w:color w:val="auto"/>
          <w:sz w:val="32"/>
          <w:szCs w:val="32"/>
        </w:rPr>
        <w:t>。</w:t>
      </w:r>
      <w:r>
        <w:rPr>
          <w:rFonts w:ascii="仿宋_GB2312" w:eastAsia="仿宋_GB2312"/>
          <w:color w:val="auto"/>
          <w:sz w:val="32"/>
          <w:szCs w:val="32"/>
        </w:rPr>
        <w:t xml:space="preserve"> </w:t>
      </w:r>
    </w:p>
    <w:p w14:paraId="7555F92B">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sz w:val="32"/>
          <w:szCs w:val="32"/>
        </w:rPr>
        <w:t>一般公共服务（类）其他共产党事务支出（款）一般行政管理事务（项）：指反映行政</w:t>
      </w:r>
      <w:r>
        <w:rPr>
          <w:rFonts w:hint="eastAsia" w:ascii="仿宋_GB2312" w:eastAsia="仿宋_GB2312"/>
          <w:sz w:val="32"/>
          <w:szCs w:val="32"/>
          <w:lang w:eastAsia="zh-CN"/>
        </w:rPr>
        <w:t>部门</w:t>
      </w:r>
      <w:r>
        <w:rPr>
          <w:rFonts w:hint="eastAsia" w:ascii="仿宋_GB2312" w:eastAsia="仿宋_GB2312"/>
          <w:sz w:val="32"/>
          <w:szCs w:val="32"/>
        </w:rPr>
        <w:t>（包括实行公务员管理的事业</w:t>
      </w:r>
      <w:r>
        <w:rPr>
          <w:rFonts w:hint="eastAsia" w:ascii="仿宋_GB2312" w:eastAsia="仿宋_GB2312"/>
          <w:sz w:val="32"/>
          <w:szCs w:val="32"/>
          <w:lang w:eastAsia="zh-CN"/>
        </w:rPr>
        <w:t>部门</w:t>
      </w:r>
      <w:r>
        <w:rPr>
          <w:rFonts w:hint="eastAsia" w:ascii="仿宋_GB2312" w:eastAsia="仿宋_GB2312"/>
          <w:sz w:val="32"/>
          <w:szCs w:val="32"/>
        </w:rPr>
        <w:t>）未单独设置项级科目的其他项目支出</w:t>
      </w:r>
      <w:r>
        <w:rPr>
          <w:rFonts w:hint="eastAsia" w:ascii="仿宋_GB2312" w:eastAsia="仿宋_GB2312"/>
          <w:color w:val="auto"/>
          <w:sz w:val="32"/>
          <w:szCs w:val="32"/>
        </w:rPr>
        <w:t>。</w:t>
      </w:r>
      <w:r>
        <w:rPr>
          <w:rFonts w:ascii="仿宋_GB2312" w:eastAsia="仿宋_GB2312"/>
          <w:color w:val="auto"/>
          <w:sz w:val="32"/>
          <w:szCs w:val="32"/>
        </w:rPr>
        <w:t xml:space="preserve"> </w:t>
      </w:r>
    </w:p>
    <w:p w14:paraId="3B8933CF">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sz w:val="32"/>
          <w:szCs w:val="32"/>
        </w:rPr>
        <w:t>一般公共服务（类）其他共产党事务支出（款）事业运行（项）：指反映事业</w:t>
      </w:r>
      <w:r>
        <w:rPr>
          <w:rFonts w:hint="eastAsia" w:ascii="仿宋_GB2312" w:eastAsia="仿宋_GB2312"/>
          <w:sz w:val="32"/>
          <w:szCs w:val="32"/>
          <w:lang w:eastAsia="zh-CN"/>
        </w:rPr>
        <w:t>部门</w:t>
      </w:r>
      <w:r>
        <w:rPr>
          <w:rFonts w:hint="eastAsia" w:ascii="仿宋_GB2312" w:eastAsia="仿宋_GB2312"/>
          <w:sz w:val="32"/>
          <w:szCs w:val="32"/>
        </w:rPr>
        <w:t>的基本支出，不包括行政</w:t>
      </w:r>
      <w:r>
        <w:rPr>
          <w:rFonts w:hint="eastAsia" w:ascii="仿宋_GB2312" w:eastAsia="仿宋_GB2312"/>
          <w:sz w:val="32"/>
          <w:szCs w:val="32"/>
          <w:lang w:eastAsia="zh-CN"/>
        </w:rPr>
        <w:t>部门</w:t>
      </w:r>
      <w:r>
        <w:rPr>
          <w:rFonts w:hint="eastAsia" w:ascii="仿宋_GB2312" w:eastAsia="仿宋_GB2312"/>
          <w:sz w:val="32"/>
          <w:szCs w:val="32"/>
        </w:rPr>
        <w:t>（包括实行公务员管理的事业</w:t>
      </w:r>
      <w:r>
        <w:rPr>
          <w:rFonts w:hint="eastAsia" w:ascii="仿宋_GB2312" w:eastAsia="仿宋_GB2312"/>
          <w:sz w:val="32"/>
          <w:szCs w:val="32"/>
          <w:lang w:eastAsia="zh-CN"/>
        </w:rPr>
        <w:t>部门</w:t>
      </w:r>
      <w:r>
        <w:rPr>
          <w:rFonts w:hint="eastAsia" w:ascii="仿宋_GB2312" w:eastAsia="仿宋_GB2312"/>
          <w:sz w:val="32"/>
          <w:szCs w:val="32"/>
        </w:rPr>
        <w:t>）后勤服务中心、医务室等附属事业</w:t>
      </w:r>
      <w:r>
        <w:rPr>
          <w:rFonts w:hint="eastAsia" w:ascii="仿宋_GB2312" w:eastAsia="仿宋_GB2312"/>
          <w:sz w:val="32"/>
          <w:szCs w:val="32"/>
          <w:lang w:eastAsia="zh-CN"/>
        </w:rPr>
        <w:t>部门</w:t>
      </w:r>
      <w:r>
        <w:rPr>
          <w:rFonts w:hint="eastAsia" w:ascii="仿宋_GB2312" w:eastAsia="仿宋_GB2312"/>
          <w:color w:val="auto"/>
          <w:sz w:val="32"/>
          <w:szCs w:val="32"/>
        </w:rPr>
        <w:t>。</w:t>
      </w:r>
      <w:r>
        <w:rPr>
          <w:rFonts w:ascii="仿宋_GB2312" w:eastAsia="仿宋_GB2312"/>
          <w:color w:val="auto"/>
          <w:sz w:val="32"/>
          <w:szCs w:val="32"/>
        </w:rPr>
        <w:t xml:space="preserve"> </w:t>
      </w:r>
    </w:p>
    <w:p w14:paraId="5ED63352">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sz w:val="32"/>
          <w:szCs w:val="32"/>
        </w:rPr>
        <w:t>公共安全支出（类）公安（款）一般行政管理事务（项）：指反映行政</w:t>
      </w:r>
      <w:r>
        <w:rPr>
          <w:rFonts w:hint="eastAsia" w:ascii="仿宋_GB2312" w:eastAsia="仿宋_GB2312"/>
          <w:sz w:val="32"/>
          <w:szCs w:val="32"/>
          <w:lang w:eastAsia="zh-CN"/>
        </w:rPr>
        <w:t>部门</w:t>
      </w:r>
      <w:r>
        <w:rPr>
          <w:rFonts w:hint="eastAsia" w:ascii="仿宋_GB2312" w:eastAsia="仿宋_GB2312"/>
          <w:sz w:val="32"/>
          <w:szCs w:val="32"/>
        </w:rPr>
        <w:t>(包括实行公务员管理的事业</w:t>
      </w:r>
      <w:r>
        <w:rPr>
          <w:rFonts w:hint="eastAsia" w:ascii="仿宋_GB2312" w:eastAsia="仿宋_GB2312"/>
          <w:sz w:val="32"/>
          <w:szCs w:val="32"/>
          <w:lang w:eastAsia="zh-CN"/>
        </w:rPr>
        <w:t>部门</w:t>
      </w:r>
      <w:r>
        <w:rPr>
          <w:rFonts w:hint="eastAsia" w:ascii="仿宋_GB2312" w:eastAsia="仿宋_GB2312"/>
          <w:sz w:val="32"/>
          <w:szCs w:val="32"/>
        </w:rPr>
        <w:t>)未单</w:t>
      </w:r>
      <w:r>
        <w:rPr>
          <w:rFonts w:hint="eastAsia" w:ascii="仿宋_GB2312" w:eastAsia="仿宋_GB2312"/>
          <w:sz w:val="32"/>
          <w:szCs w:val="32"/>
          <w:lang w:eastAsia="zh-CN"/>
        </w:rPr>
        <w:t>独</w:t>
      </w:r>
      <w:r>
        <w:rPr>
          <w:rFonts w:hint="eastAsia" w:ascii="仿宋_GB2312" w:eastAsia="仿宋_GB2312"/>
          <w:sz w:val="32"/>
          <w:szCs w:val="32"/>
        </w:rPr>
        <w:t>设置项级科目的其他项目支出</w:t>
      </w:r>
      <w:r>
        <w:rPr>
          <w:rFonts w:hint="eastAsia" w:ascii="仿宋_GB2312" w:eastAsia="仿宋_GB2312"/>
          <w:color w:val="auto"/>
          <w:sz w:val="32"/>
          <w:szCs w:val="32"/>
        </w:rPr>
        <w:t>。</w:t>
      </w:r>
    </w:p>
    <w:p w14:paraId="2591492D">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.社会保障和就业支出</w:t>
      </w:r>
      <w:r>
        <w:rPr>
          <w:rFonts w:hint="eastAsia" w:ascii="仿宋_GB2312" w:eastAsia="仿宋_GB2312"/>
          <w:color w:val="auto"/>
          <w:sz w:val="32"/>
          <w:szCs w:val="32"/>
          <w:lang w:eastAsia="zh-CN"/>
        </w:rPr>
        <w:t>（类）行政事业部门养老支出（款）行政部门离退休（项）：指</w:t>
      </w:r>
      <w:r>
        <w:rPr>
          <w:rFonts w:ascii="Times New Roman" w:hAnsi="Times New Roman" w:eastAsia="仿宋_GB2312" w:cs="Times New Roman"/>
          <w:color w:val="auto"/>
          <w:sz w:val="32"/>
          <w:szCs w:val="32"/>
          <w:lang w:bidi="ar-SA"/>
        </w:rPr>
        <w:t>指反映未实行归口管理的行政</w:t>
      </w:r>
      <w:r>
        <w:rPr>
          <w:rFonts w:hint="eastAsia" w:ascii="Times New Roman" w:hAnsi="Times New Roman" w:eastAsia="仿宋_GB2312" w:cs="Times New Roman"/>
          <w:color w:val="auto"/>
          <w:sz w:val="32"/>
          <w:szCs w:val="32"/>
          <w:lang w:eastAsia="zh-CN" w:bidi="ar-SA"/>
        </w:rPr>
        <w:t>部门</w:t>
      </w:r>
      <w:r>
        <w:rPr>
          <w:rFonts w:ascii="Times New Roman" w:hAnsi="Times New Roman" w:eastAsia="仿宋_GB2312" w:cs="Times New Roman"/>
          <w:color w:val="auto"/>
          <w:sz w:val="32"/>
          <w:szCs w:val="32"/>
          <w:lang w:bidi="ar-SA"/>
        </w:rPr>
        <w:t>（包括实行公务员管理的事业</w:t>
      </w:r>
      <w:r>
        <w:rPr>
          <w:rFonts w:hint="eastAsia" w:ascii="Times New Roman" w:hAnsi="Times New Roman" w:eastAsia="仿宋_GB2312" w:cs="Times New Roman"/>
          <w:color w:val="auto"/>
          <w:sz w:val="32"/>
          <w:szCs w:val="32"/>
          <w:lang w:eastAsia="zh-CN" w:bidi="ar-SA"/>
        </w:rPr>
        <w:t>部门</w:t>
      </w:r>
      <w:r>
        <w:rPr>
          <w:rFonts w:ascii="Times New Roman" w:hAnsi="Times New Roman" w:eastAsia="仿宋_GB2312" w:cs="Times New Roman"/>
          <w:color w:val="auto"/>
          <w:sz w:val="32"/>
          <w:szCs w:val="32"/>
          <w:lang w:bidi="ar-SA"/>
        </w:rPr>
        <w:t>）开支的离退休支出</w:t>
      </w:r>
      <w:r>
        <w:rPr>
          <w:rFonts w:hint="eastAsia" w:ascii="仿宋_GB2312" w:eastAsia="仿宋_GB2312"/>
          <w:color w:val="auto"/>
          <w:sz w:val="32"/>
          <w:szCs w:val="32"/>
        </w:rPr>
        <w:t>。</w:t>
      </w:r>
    </w:p>
    <w:p w14:paraId="006D6351">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sz w:val="32"/>
          <w:szCs w:val="32"/>
        </w:rPr>
      </w:pPr>
      <w:r>
        <w:rPr>
          <w:rFonts w:ascii="仿宋_GB2312" w:eastAsia="仿宋_GB2312"/>
          <w:sz w:val="32"/>
          <w:szCs w:val="32"/>
        </w:rPr>
        <w:t>9.</w:t>
      </w:r>
      <w:r>
        <w:rPr>
          <w:rFonts w:hint="eastAsia" w:ascii="仿宋" w:hAnsi="仿宋" w:eastAsia="仿宋"/>
          <w:sz w:val="32"/>
          <w:szCs w:val="32"/>
        </w:rPr>
        <w:t>社会保障和就业支出（类）行政事业</w:t>
      </w:r>
      <w:r>
        <w:rPr>
          <w:rFonts w:hint="eastAsia" w:ascii="仿宋" w:hAnsi="仿宋" w:eastAsia="仿宋"/>
          <w:sz w:val="32"/>
          <w:szCs w:val="32"/>
          <w:lang w:eastAsia="zh-CN"/>
        </w:rPr>
        <w:t>部门</w:t>
      </w:r>
      <w:r>
        <w:rPr>
          <w:rFonts w:hint="eastAsia" w:ascii="仿宋" w:hAnsi="仿宋" w:eastAsia="仿宋"/>
          <w:sz w:val="32"/>
          <w:szCs w:val="32"/>
        </w:rPr>
        <w:t>养老支出（款）机关事业</w:t>
      </w:r>
      <w:r>
        <w:rPr>
          <w:rFonts w:hint="eastAsia" w:ascii="仿宋" w:hAnsi="仿宋" w:eastAsia="仿宋"/>
          <w:sz w:val="32"/>
          <w:szCs w:val="32"/>
          <w:lang w:eastAsia="zh-CN"/>
        </w:rPr>
        <w:t>部门</w:t>
      </w:r>
      <w:r>
        <w:rPr>
          <w:rFonts w:hint="eastAsia" w:ascii="仿宋" w:hAnsi="仿宋" w:eastAsia="仿宋"/>
          <w:sz w:val="32"/>
          <w:szCs w:val="32"/>
        </w:rPr>
        <w:t>基本养老保险缴费支出（项）：指机关事业</w:t>
      </w:r>
      <w:r>
        <w:rPr>
          <w:rFonts w:hint="eastAsia" w:ascii="仿宋" w:hAnsi="仿宋" w:eastAsia="仿宋"/>
          <w:sz w:val="32"/>
          <w:szCs w:val="32"/>
          <w:lang w:eastAsia="zh-CN"/>
        </w:rPr>
        <w:t>部门</w:t>
      </w:r>
      <w:r>
        <w:rPr>
          <w:rFonts w:hint="eastAsia" w:ascii="仿宋" w:hAnsi="仿宋" w:eastAsia="仿宋"/>
          <w:sz w:val="32"/>
          <w:szCs w:val="32"/>
        </w:rPr>
        <w:t>实施养老保险制度有</w:t>
      </w:r>
      <w:r>
        <w:rPr>
          <w:rFonts w:hint="eastAsia" w:ascii="仿宋" w:hAnsi="仿宋" w:eastAsia="仿宋"/>
          <w:sz w:val="32"/>
          <w:szCs w:val="32"/>
          <w:lang w:eastAsia="zh-CN"/>
        </w:rPr>
        <w:t>部门</w:t>
      </w:r>
      <w:r>
        <w:rPr>
          <w:rFonts w:hint="eastAsia" w:ascii="仿宋" w:hAnsi="仿宋" w:eastAsia="仿宋"/>
          <w:sz w:val="32"/>
          <w:szCs w:val="32"/>
        </w:rPr>
        <w:t>缴纳的基本养老保险费支出。</w:t>
      </w:r>
    </w:p>
    <w:p w14:paraId="2A606504">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pPr>
      <w:r>
        <w:rPr>
          <w:rFonts w:ascii="仿宋" w:hAnsi="仿宋" w:eastAsia="仿宋"/>
          <w:sz w:val="32"/>
          <w:szCs w:val="32"/>
        </w:rPr>
        <w:t>10.</w:t>
      </w:r>
      <w:r>
        <w:rPr>
          <w:rFonts w:hint="eastAsia" w:ascii="仿宋" w:hAnsi="仿宋" w:eastAsia="仿宋"/>
          <w:sz w:val="32"/>
          <w:szCs w:val="32"/>
        </w:rPr>
        <w:t>社会保障和就业支出（类）行政事业</w:t>
      </w:r>
      <w:r>
        <w:rPr>
          <w:rFonts w:hint="eastAsia" w:ascii="仿宋" w:hAnsi="仿宋" w:eastAsia="仿宋"/>
          <w:sz w:val="32"/>
          <w:szCs w:val="32"/>
          <w:lang w:eastAsia="zh-CN"/>
        </w:rPr>
        <w:t>部门</w:t>
      </w:r>
      <w:r>
        <w:rPr>
          <w:rFonts w:hint="eastAsia" w:ascii="仿宋" w:hAnsi="仿宋" w:eastAsia="仿宋"/>
          <w:sz w:val="32"/>
          <w:szCs w:val="32"/>
        </w:rPr>
        <w:t>养老支出（款）机关事业</w:t>
      </w:r>
      <w:r>
        <w:rPr>
          <w:rFonts w:hint="eastAsia" w:ascii="仿宋" w:hAnsi="仿宋" w:eastAsia="仿宋"/>
          <w:sz w:val="32"/>
          <w:szCs w:val="32"/>
          <w:lang w:eastAsia="zh-CN"/>
        </w:rPr>
        <w:t>部门</w:t>
      </w:r>
      <w:r>
        <w:rPr>
          <w:rFonts w:hint="eastAsia" w:ascii="仿宋" w:hAnsi="仿宋" w:eastAsia="仿宋"/>
          <w:sz w:val="32"/>
          <w:szCs w:val="32"/>
        </w:rPr>
        <w:t>职业年金缴费支出</w:t>
      </w:r>
      <w:r>
        <w:rPr>
          <w:rFonts w:hint="eastAsia" w:ascii="仿宋" w:hAnsi="仿宋" w:eastAsia="仿宋"/>
          <w:sz w:val="32"/>
          <w:szCs w:val="32"/>
          <w:lang w:eastAsia="zh-CN"/>
        </w:rPr>
        <w:t>（项）：指</w:t>
      </w:r>
      <w:r>
        <w:rPr>
          <w:rFonts w:hint="eastAsia" w:ascii="仿宋_GB2312" w:eastAsia="仿宋_GB2312"/>
          <w:color w:val="auto"/>
          <w:sz w:val="32"/>
          <w:szCs w:val="32"/>
          <w:highlight w:val="none"/>
        </w:rPr>
        <w:t>反映机关事业</w:t>
      </w:r>
      <w:r>
        <w:rPr>
          <w:rFonts w:hint="eastAsia" w:ascii="仿宋_GB2312" w:eastAsia="仿宋_GB2312"/>
          <w:color w:val="auto"/>
          <w:sz w:val="32"/>
          <w:szCs w:val="32"/>
          <w:highlight w:val="none"/>
          <w:lang w:eastAsia="zh-CN"/>
        </w:rPr>
        <w:t>部门</w:t>
      </w:r>
      <w:r>
        <w:rPr>
          <w:rFonts w:hint="eastAsia" w:ascii="仿宋_GB2312" w:eastAsia="仿宋_GB2312"/>
          <w:color w:val="auto"/>
          <w:sz w:val="32"/>
          <w:szCs w:val="32"/>
          <w:highlight w:val="none"/>
        </w:rPr>
        <w:t>实施养老保险制度由</w:t>
      </w:r>
      <w:r>
        <w:rPr>
          <w:rFonts w:hint="eastAsia" w:ascii="仿宋_GB2312" w:eastAsia="仿宋_GB2312"/>
          <w:color w:val="auto"/>
          <w:sz w:val="32"/>
          <w:szCs w:val="32"/>
          <w:highlight w:val="none"/>
          <w:lang w:eastAsia="zh-CN"/>
        </w:rPr>
        <w:t>部门</w:t>
      </w:r>
      <w:r>
        <w:rPr>
          <w:rFonts w:hint="eastAsia" w:ascii="仿宋_GB2312" w:eastAsia="仿宋_GB2312"/>
          <w:color w:val="auto"/>
          <w:sz w:val="32"/>
          <w:szCs w:val="32"/>
          <w:highlight w:val="none"/>
        </w:rPr>
        <w:t>实际缴纳的职业年金支出(含职业年金补记支出)</w:t>
      </w:r>
      <w:r>
        <w:rPr>
          <w:rFonts w:hint="eastAsia" w:ascii="仿宋_GB2312" w:eastAsia="仿宋_GB2312"/>
          <w:sz w:val="32"/>
          <w:szCs w:val="32"/>
        </w:rPr>
        <w:t>。</w:t>
      </w:r>
    </w:p>
    <w:p w14:paraId="0BD89EEA">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卫生健康支出（类）行政事业</w:t>
      </w:r>
      <w:r>
        <w:rPr>
          <w:rFonts w:hint="eastAsia" w:ascii="仿宋" w:hAnsi="仿宋" w:eastAsia="仿宋"/>
          <w:sz w:val="32"/>
          <w:szCs w:val="32"/>
          <w:lang w:eastAsia="zh-CN"/>
        </w:rPr>
        <w:t>部门</w:t>
      </w:r>
      <w:r>
        <w:rPr>
          <w:rFonts w:hint="eastAsia" w:ascii="仿宋" w:hAnsi="仿宋" w:eastAsia="仿宋"/>
          <w:sz w:val="32"/>
          <w:szCs w:val="32"/>
        </w:rPr>
        <w:t>医疗支出（款） 行政</w:t>
      </w:r>
      <w:r>
        <w:rPr>
          <w:rFonts w:hint="eastAsia" w:ascii="仿宋" w:hAnsi="仿宋" w:eastAsia="仿宋"/>
          <w:sz w:val="32"/>
          <w:szCs w:val="32"/>
          <w:lang w:eastAsia="zh-CN"/>
        </w:rPr>
        <w:t>部门</w:t>
      </w:r>
      <w:r>
        <w:rPr>
          <w:rFonts w:hint="eastAsia" w:ascii="仿宋" w:hAnsi="仿宋" w:eastAsia="仿宋"/>
          <w:sz w:val="32"/>
          <w:szCs w:val="32"/>
        </w:rPr>
        <w:t>医疗（项）：反映财政部门安排的行政</w:t>
      </w:r>
      <w:r>
        <w:rPr>
          <w:rFonts w:hint="eastAsia" w:ascii="仿宋" w:hAnsi="仿宋" w:eastAsia="仿宋"/>
          <w:sz w:val="32"/>
          <w:szCs w:val="32"/>
          <w:lang w:eastAsia="zh-CN"/>
        </w:rPr>
        <w:t>部门</w:t>
      </w:r>
      <w:r>
        <w:rPr>
          <w:rFonts w:hint="eastAsia" w:ascii="仿宋" w:hAnsi="仿宋" w:eastAsia="仿宋"/>
          <w:sz w:val="32"/>
          <w:szCs w:val="32"/>
        </w:rPr>
        <w:t>（包括实行公务员管理的事业</w:t>
      </w:r>
      <w:r>
        <w:rPr>
          <w:rFonts w:hint="eastAsia" w:ascii="仿宋" w:hAnsi="仿宋" w:eastAsia="仿宋"/>
          <w:sz w:val="32"/>
          <w:szCs w:val="32"/>
          <w:lang w:eastAsia="zh-CN"/>
        </w:rPr>
        <w:t>部门</w:t>
      </w:r>
      <w:r>
        <w:rPr>
          <w:rFonts w:hint="eastAsia" w:ascii="仿宋" w:hAnsi="仿宋" w:eastAsia="仿宋"/>
          <w:sz w:val="32"/>
          <w:szCs w:val="32"/>
        </w:rPr>
        <w:t>、下同）基本医疗保险缴费经费，未参加医疗保险的行政</w:t>
      </w:r>
      <w:r>
        <w:rPr>
          <w:rFonts w:hint="eastAsia" w:ascii="仿宋" w:hAnsi="仿宋" w:eastAsia="仿宋"/>
          <w:sz w:val="32"/>
          <w:szCs w:val="32"/>
          <w:lang w:eastAsia="zh-CN"/>
        </w:rPr>
        <w:t>部门</w:t>
      </w:r>
      <w:r>
        <w:rPr>
          <w:rFonts w:hint="eastAsia" w:ascii="仿宋" w:hAnsi="仿宋" w:eastAsia="仿宋"/>
          <w:sz w:val="32"/>
          <w:szCs w:val="32"/>
        </w:rPr>
        <w:t>的公费医疗经费，按国家规定享受离休人员、红军老战士待遇人员的医疗经费</w:t>
      </w:r>
      <w:r>
        <w:rPr>
          <w:rFonts w:hint="eastAsia" w:ascii="仿宋_GB2312" w:eastAsia="仿宋_GB2312"/>
          <w:sz w:val="32"/>
          <w:szCs w:val="32"/>
        </w:rPr>
        <w:t>。</w:t>
      </w:r>
    </w:p>
    <w:p w14:paraId="21A9BB95">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 w:hAnsi="仿宋" w:eastAsia="仿宋"/>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sz w:val="32"/>
          <w:szCs w:val="32"/>
        </w:rPr>
        <w:t>.</w:t>
      </w:r>
      <w:r>
        <w:rPr>
          <w:rFonts w:hint="eastAsia" w:ascii="仿宋" w:hAnsi="仿宋" w:eastAsia="仿宋"/>
          <w:sz w:val="32"/>
          <w:szCs w:val="32"/>
        </w:rPr>
        <w:t>卫生健康支出（类）行政事业</w:t>
      </w:r>
      <w:r>
        <w:rPr>
          <w:rFonts w:hint="eastAsia" w:ascii="仿宋" w:hAnsi="仿宋" w:eastAsia="仿宋"/>
          <w:sz w:val="32"/>
          <w:szCs w:val="32"/>
          <w:lang w:eastAsia="zh-CN"/>
        </w:rPr>
        <w:t>部门</w:t>
      </w:r>
      <w:r>
        <w:rPr>
          <w:rFonts w:hint="eastAsia" w:ascii="仿宋" w:hAnsi="仿宋" w:eastAsia="仿宋"/>
          <w:sz w:val="32"/>
          <w:szCs w:val="32"/>
        </w:rPr>
        <w:t>医疗支出（款）事业</w:t>
      </w:r>
      <w:r>
        <w:rPr>
          <w:rFonts w:hint="eastAsia" w:ascii="仿宋" w:hAnsi="仿宋" w:eastAsia="仿宋"/>
          <w:sz w:val="32"/>
          <w:szCs w:val="32"/>
          <w:lang w:eastAsia="zh-CN"/>
        </w:rPr>
        <w:t>部门</w:t>
      </w:r>
      <w:r>
        <w:rPr>
          <w:rFonts w:hint="eastAsia" w:ascii="仿宋" w:hAnsi="仿宋" w:eastAsia="仿宋"/>
          <w:sz w:val="32"/>
          <w:szCs w:val="32"/>
        </w:rPr>
        <w:t>医疗（项）：反映财政部门安排的事业</w:t>
      </w:r>
      <w:r>
        <w:rPr>
          <w:rFonts w:hint="eastAsia" w:ascii="仿宋" w:hAnsi="仿宋" w:eastAsia="仿宋"/>
          <w:sz w:val="32"/>
          <w:szCs w:val="32"/>
          <w:lang w:eastAsia="zh-CN"/>
        </w:rPr>
        <w:t>部门</w:t>
      </w:r>
      <w:r>
        <w:rPr>
          <w:rFonts w:hint="eastAsia" w:ascii="仿宋" w:hAnsi="仿宋" w:eastAsia="仿宋"/>
          <w:sz w:val="32"/>
          <w:szCs w:val="32"/>
        </w:rPr>
        <w:t>基本医疗保险缴费经费，未参加医疗保险的事业</w:t>
      </w:r>
      <w:r>
        <w:rPr>
          <w:rFonts w:hint="eastAsia" w:ascii="仿宋" w:hAnsi="仿宋" w:eastAsia="仿宋"/>
          <w:sz w:val="32"/>
          <w:szCs w:val="32"/>
          <w:lang w:eastAsia="zh-CN"/>
        </w:rPr>
        <w:t>部门</w:t>
      </w:r>
      <w:r>
        <w:rPr>
          <w:rFonts w:hint="eastAsia" w:ascii="仿宋" w:hAnsi="仿宋" w:eastAsia="仿宋"/>
          <w:sz w:val="32"/>
          <w:szCs w:val="32"/>
        </w:rPr>
        <w:t>的公费医疗经费，按国家规定享受离休人员待遇的医疗经费。</w:t>
      </w:r>
    </w:p>
    <w:p w14:paraId="5555AC7D">
      <w:pPr>
        <w:keepNext w:val="0"/>
        <w:keepLines w:val="0"/>
        <w:pageBreakBefore w:val="0"/>
        <w:widowControl w:val="0"/>
        <w:kinsoku/>
        <w:wordWrap/>
        <w:overflowPunct/>
        <w:topLinePunct w:val="0"/>
        <w:autoSpaceDE w:val="0"/>
        <w:autoSpaceDN w:val="0"/>
        <w:bidi w:val="0"/>
        <w:adjustRightInd w:val="0"/>
        <w:snapToGrid w:val="0"/>
        <w:spacing w:line="360" w:lineRule="auto"/>
        <w:ind w:firstLine="640" w:firstLineChars="200"/>
        <w:jc w:val="left"/>
        <w:textAlignment w:val="auto"/>
        <w:rPr>
          <w:rFonts w:ascii="仿宋" w:hAnsi="仿宋" w:eastAsia="仿宋"/>
          <w:sz w:val="32"/>
          <w:szCs w:val="32"/>
        </w:rPr>
      </w:pPr>
      <w:r>
        <w:rPr>
          <w:rFonts w:ascii="仿宋_GB2312" w:eastAsia="仿宋_GB2312"/>
          <w:sz w:val="32"/>
          <w:szCs w:val="32"/>
        </w:rPr>
        <w:t xml:space="preserve"> </w:t>
      </w:r>
      <w:r>
        <w:rPr>
          <w:rFonts w:hint="eastAsia" w:ascii="仿宋_GB2312" w:eastAsia="仿宋_GB2312"/>
          <w:sz w:val="32"/>
          <w:szCs w:val="32"/>
        </w:rPr>
        <w:t xml:space="preserve">   </w:t>
      </w:r>
      <w:r>
        <w:rPr>
          <w:rFonts w:ascii="仿宋_GB2312" w:eastAsia="仿宋_GB2312"/>
          <w:sz w:val="32"/>
          <w:szCs w:val="32"/>
        </w:rPr>
        <w:t>1</w:t>
      </w:r>
      <w:r>
        <w:rPr>
          <w:rFonts w:hint="eastAsia" w:ascii="仿宋_GB2312" w:eastAsia="仿宋_GB2312"/>
          <w:sz w:val="32"/>
          <w:szCs w:val="32"/>
        </w:rPr>
        <w:t>3</w:t>
      </w:r>
      <w:r>
        <w:rPr>
          <w:rFonts w:ascii="仿宋_GB2312" w:eastAsia="仿宋_GB2312"/>
          <w:sz w:val="32"/>
          <w:szCs w:val="32"/>
        </w:rPr>
        <w:t>.</w:t>
      </w:r>
      <w:r>
        <w:rPr>
          <w:rFonts w:hint="eastAsia" w:ascii="仿宋" w:hAnsi="仿宋" w:eastAsia="仿宋"/>
          <w:sz w:val="32"/>
          <w:szCs w:val="32"/>
        </w:rPr>
        <w:t>卫生健康支出（类）行政事业</w:t>
      </w:r>
      <w:r>
        <w:rPr>
          <w:rFonts w:hint="eastAsia" w:ascii="仿宋" w:hAnsi="仿宋" w:eastAsia="仿宋"/>
          <w:sz w:val="32"/>
          <w:szCs w:val="32"/>
          <w:lang w:eastAsia="zh-CN"/>
        </w:rPr>
        <w:t>部门</w:t>
      </w:r>
      <w:r>
        <w:rPr>
          <w:rFonts w:hint="eastAsia" w:ascii="仿宋" w:hAnsi="仿宋" w:eastAsia="仿宋"/>
          <w:sz w:val="32"/>
          <w:szCs w:val="32"/>
        </w:rPr>
        <w:t>医疗支出（款）公务员医疗补助：反映财政部门安排的公务员医疗补助经费。</w:t>
      </w:r>
    </w:p>
    <w:p w14:paraId="7E96AAD4">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卫生健康支出（类）行政事业</w:t>
      </w:r>
      <w:r>
        <w:rPr>
          <w:rFonts w:hint="eastAsia" w:ascii="仿宋" w:hAnsi="仿宋" w:eastAsia="仿宋"/>
          <w:sz w:val="32"/>
          <w:szCs w:val="32"/>
          <w:lang w:eastAsia="zh-CN"/>
        </w:rPr>
        <w:t>部门</w:t>
      </w:r>
      <w:r>
        <w:rPr>
          <w:rFonts w:hint="eastAsia" w:ascii="仿宋" w:hAnsi="仿宋" w:eastAsia="仿宋"/>
          <w:sz w:val="32"/>
          <w:szCs w:val="32"/>
        </w:rPr>
        <w:t>医疗支出（款）其他行政事业</w:t>
      </w:r>
      <w:r>
        <w:rPr>
          <w:rFonts w:hint="eastAsia" w:ascii="仿宋" w:hAnsi="仿宋" w:eastAsia="仿宋"/>
          <w:sz w:val="32"/>
          <w:szCs w:val="32"/>
          <w:lang w:eastAsia="zh-CN"/>
        </w:rPr>
        <w:t>部门</w:t>
      </w:r>
      <w:r>
        <w:rPr>
          <w:rFonts w:hint="eastAsia" w:ascii="仿宋" w:hAnsi="仿宋" w:eastAsia="仿宋"/>
          <w:sz w:val="32"/>
          <w:szCs w:val="32"/>
        </w:rPr>
        <w:t>医疗支出（项）：反映除上述项目以外的其他用于行政事业</w:t>
      </w:r>
      <w:r>
        <w:rPr>
          <w:rFonts w:hint="eastAsia" w:ascii="仿宋" w:hAnsi="仿宋" w:eastAsia="仿宋"/>
          <w:sz w:val="32"/>
          <w:szCs w:val="32"/>
          <w:lang w:eastAsia="zh-CN"/>
        </w:rPr>
        <w:t>部门</w:t>
      </w:r>
      <w:r>
        <w:rPr>
          <w:rFonts w:hint="eastAsia" w:ascii="仿宋" w:hAnsi="仿宋" w:eastAsia="仿宋"/>
          <w:sz w:val="32"/>
          <w:szCs w:val="32"/>
        </w:rPr>
        <w:t>医疗方面的支出。</w:t>
      </w:r>
    </w:p>
    <w:p w14:paraId="22135B49">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cs="仿宋"/>
          <w:color w:val="000000"/>
          <w:kern w:val="0"/>
          <w:sz w:val="32"/>
          <w:szCs w:val="32"/>
        </w:rPr>
        <w:t>城乡社区支出（类）国有土地使用权出让收入安排的支出（款）土地开发支出（项）：反映新疆生产建设兵团和地方政府用于前期土地开发性支出以及与前期土地开发相关的费用等支出</w:t>
      </w:r>
      <w:r>
        <w:rPr>
          <w:rFonts w:hint="eastAsia" w:ascii="仿宋" w:hAnsi="仿宋" w:eastAsia="仿宋"/>
          <w:sz w:val="32"/>
          <w:szCs w:val="32"/>
        </w:rPr>
        <w:t>。</w:t>
      </w:r>
    </w:p>
    <w:p w14:paraId="70F07A59">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sz w:val="32"/>
          <w:szCs w:val="32"/>
        </w:rPr>
      </w:pPr>
      <w:r>
        <w:rPr>
          <w:rFonts w:hint="eastAsia" w:ascii="仿宋" w:hAnsi="仿宋" w:eastAsia="仿宋"/>
          <w:sz w:val="32"/>
          <w:szCs w:val="32"/>
        </w:rPr>
        <w:t>16</w:t>
      </w:r>
      <w:r>
        <w:rPr>
          <w:rFonts w:ascii="仿宋" w:hAnsi="仿宋" w:eastAsia="仿宋"/>
          <w:sz w:val="32"/>
          <w:szCs w:val="32"/>
        </w:rPr>
        <w:t>.</w:t>
      </w:r>
      <w:r>
        <w:rPr>
          <w:rFonts w:hint="eastAsia" w:ascii="仿宋" w:hAnsi="仿宋" w:eastAsia="仿宋"/>
          <w:sz w:val="32"/>
          <w:szCs w:val="32"/>
        </w:rPr>
        <w:t>住房保障支出（类）住房改革支出（款）住房公积金（项）：指行政事业</w:t>
      </w:r>
      <w:r>
        <w:rPr>
          <w:rFonts w:hint="eastAsia" w:ascii="仿宋" w:hAnsi="仿宋" w:eastAsia="仿宋"/>
          <w:sz w:val="32"/>
          <w:szCs w:val="32"/>
          <w:lang w:eastAsia="zh-CN"/>
        </w:rPr>
        <w:t>部门</w:t>
      </w:r>
      <w:r>
        <w:rPr>
          <w:rFonts w:hint="eastAsia" w:ascii="仿宋" w:hAnsi="仿宋" w:eastAsia="仿宋"/>
          <w:sz w:val="32"/>
          <w:szCs w:val="32"/>
        </w:rPr>
        <w:t>按人力资源和社会保障部、财政部规定的基本工资和津贴补贴以及规定比例为职工缴纳的住房公积金。</w:t>
      </w:r>
    </w:p>
    <w:p w14:paraId="732035F7">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sz w:val="32"/>
          <w:szCs w:val="32"/>
        </w:rPr>
      </w:pPr>
      <w:r>
        <w:rPr>
          <w:rFonts w:ascii="仿宋_GB2312" w:eastAsia="仿宋_GB2312"/>
          <w:sz w:val="32"/>
          <w:szCs w:val="32"/>
        </w:rPr>
        <w:t>1</w:t>
      </w: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r>
        <w:rPr>
          <w:rFonts w:hint="eastAsia" w:ascii="仿宋" w:hAnsi="仿宋" w:eastAsia="仿宋"/>
          <w:sz w:val="32"/>
          <w:szCs w:val="32"/>
        </w:rPr>
        <w:t>。</w:t>
      </w:r>
    </w:p>
    <w:p w14:paraId="33A7E073">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ascii="仿宋" w:hAnsi="仿宋" w:eastAsia="仿宋"/>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hint="eastAsia" w:ascii="仿宋" w:hAnsi="仿宋" w:eastAsia="仿宋"/>
          <w:sz w:val="32"/>
          <w:szCs w:val="32"/>
        </w:rPr>
        <w:t>。</w:t>
      </w:r>
    </w:p>
    <w:p w14:paraId="599410BB">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ascii="仿宋_GB2312" w:eastAsia="仿宋_GB2312"/>
          <w:color w:val="auto"/>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w:t>
      </w:r>
      <w:r>
        <w:rPr>
          <w:rFonts w:hint="eastAsia" w:ascii="仿宋_GB2312" w:eastAsia="仿宋_GB2312"/>
          <w:color w:val="auto"/>
          <w:sz w:val="32"/>
          <w:szCs w:val="32"/>
          <w:lang w:eastAsia="zh-CN"/>
        </w:rPr>
        <w:t>部门</w:t>
      </w:r>
      <w:r>
        <w:rPr>
          <w:rFonts w:hint="eastAsia" w:ascii="仿宋_GB2312" w:eastAsia="仿宋_GB2312"/>
          <w:color w:val="auto"/>
          <w:sz w:val="32"/>
          <w:szCs w:val="32"/>
        </w:rPr>
        <w:t>公务出国（境）的国际旅费、国外城市间交通费、住宿费、伙食费、培训费、公杂费等支出；公务用车购置及运行费反映</w:t>
      </w:r>
      <w:r>
        <w:rPr>
          <w:rFonts w:hint="eastAsia" w:ascii="仿宋_GB2312" w:eastAsia="仿宋_GB2312"/>
          <w:color w:val="auto"/>
          <w:sz w:val="32"/>
          <w:szCs w:val="32"/>
          <w:lang w:eastAsia="zh-CN"/>
        </w:rPr>
        <w:t>部门</w:t>
      </w:r>
      <w:r>
        <w:rPr>
          <w:rFonts w:hint="eastAsia" w:ascii="仿宋_GB2312" w:eastAsia="仿宋_GB2312"/>
          <w:color w:val="auto"/>
          <w:sz w:val="32"/>
          <w:szCs w:val="32"/>
        </w:rPr>
        <w:t>公务用车车辆购置支出（含车辆购置税）及租用费、燃料费、维修费、过路过桥费、保险费等支出；公务接待费反映</w:t>
      </w:r>
      <w:r>
        <w:rPr>
          <w:rFonts w:hint="eastAsia" w:ascii="仿宋_GB2312" w:eastAsia="仿宋_GB2312"/>
          <w:color w:val="auto"/>
          <w:sz w:val="32"/>
          <w:szCs w:val="32"/>
          <w:lang w:eastAsia="zh-CN"/>
        </w:rPr>
        <w:t>部门</w:t>
      </w:r>
      <w:r>
        <w:rPr>
          <w:rFonts w:hint="eastAsia" w:ascii="仿宋_GB2312" w:eastAsia="仿宋_GB2312"/>
          <w:color w:val="auto"/>
          <w:sz w:val="32"/>
          <w:szCs w:val="32"/>
        </w:rPr>
        <w:t>按规定开支的各类公务接待（含外宾接待）支出。</w:t>
      </w:r>
    </w:p>
    <w:p w14:paraId="4A177BA8">
      <w:pPr>
        <w:pStyle w:val="28"/>
        <w:keepNext w:val="0"/>
        <w:keepLines w:val="0"/>
        <w:pageBreakBefore w:val="0"/>
        <w:widowControl w:val="0"/>
        <w:kinsoku/>
        <w:wordWrap/>
        <w:overflowPunct/>
        <w:topLinePunct w:val="0"/>
        <w:bidi w:val="0"/>
        <w:adjustRightInd w:val="0"/>
        <w:spacing w:line="360" w:lineRule="auto"/>
        <w:ind w:firstLine="640" w:firstLineChars="20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0</w:t>
      </w:r>
      <w:r>
        <w:rPr>
          <w:rFonts w:ascii="仿宋_GB2312" w:eastAsia="仿宋_GB2312"/>
          <w:color w:val="auto"/>
          <w:sz w:val="32"/>
          <w:szCs w:val="32"/>
        </w:rPr>
        <w:t>.</w:t>
      </w:r>
      <w:r>
        <w:rPr>
          <w:rFonts w:hint="eastAsia" w:ascii="仿宋_GB2312" w:eastAsia="仿宋_GB2312"/>
          <w:color w:val="auto"/>
          <w:sz w:val="32"/>
          <w:szCs w:val="32"/>
        </w:rPr>
        <w:t>机关运行经费：为保障行政</w:t>
      </w:r>
      <w:r>
        <w:rPr>
          <w:rFonts w:hint="eastAsia" w:ascii="仿宋_GB2312" w:eastAsia="仿宋_GB2312"/>
          <w:color w:val="auto"/>
          <w:sz w:val="32"/>
          <w:szCs w:val="32"/>
          <w:lang w:eastAsia="zh-CN"/>
        </w:rPr>
        <w:t>部门</w:t>
      </w:r>
      <w:r>
        <w:rPr>
          <w:rFonts w:hint="eastAsia" w:ascii="仿宋_GB2312" w:eastAsia="仿宋_GB2312"/>
          <w:color w:val="auto"/>
          <w:sz w:val="32"/>
          <w:szCs w:val="32"/>
        </w:rPr>
        <w:t>（含参照公务员法管理的事业</w:t>
      </w:r>
      <w:r>
        <w:rPr>
          <w:rFonts w:hint="eastAsia" w:ascii="仿宋_GB2312" w:eastAsia="仿宋_GB2312"/>
          <w:color w:val="auto"/>
          <w:sz w:val="32"/>
          <w:szCs w:val="32"/>
          <w:lang w:eastAsia="zh-CN"/>
        </w:rPr>
        <w:t>部门</w:t>
      </w:r>
      <w:r>
        <w:rPr>
          <w:rFonts w:hint="eastAsia" w:ascii="仿宋_GB2312" w:eastAsia="仿宋_GB2312"/>
          <w:color w:val="auto"/>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2F19F69">
      <w:pPr>
        <w:spacing w:line="600" w:lineRule="exact"/>
        <w:jc w:val="center"/>
        <w:rPr>
          <w:rStyle w:val="30"/>
          <w:rFonts w:hint="eastAsia" w:ascii="Times New Roman" w:hAnsi="Times New Roman" w:eastAsia="黑体"/>
          <w:b w:val="0"/>
          <w:color w:val="auto"/>
          <w:highlight w:val="none"/>
          <w:lang w:eastAsia="zh-CN"/>
        </w:rPr>
      </w:pPr>
      <w:bookmarkStart w:id="56"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7"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7"/>
    </w:p>
    <w:p w14:paraId="3BE1E2B4">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E680C8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A8BF22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0380094">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eastAsia="zh-CN"/>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3978E6A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w:t>
      </w:r>
      <w:r>
        <w:rPr>
          <w:rFonts w:hint="eastAsia" w:eastAsia="仿宋_GB2312" w:cs="Times New Roman"/>
          <w:sz w:val="32"/>
          <w:szCs w:val="32"/>
          <w:highlight w:val="none"/>
          <w:shd w:val="clear" w:color="auto" w:fill="FFFFFF"/>
          <w:lang w:eastAsia="zh-CN"/>
        </w:rPr>
        <w:t>部门</w:t>
      </w:r>
      <w:r>
        <w:rPr>
          <w:rFonts w:hint="default" w:ascii="Times New Roman" w:hAnsi="Times New Roman" w:eastAsia="仿宋_GB2312" w:cs="Times New Roman"/>
          <w:sz w:val="32"/>
          <w:szCs w:val="32"/>
          <w:highlight w:val="none"/>
          <w:shd w:val="clear" w:color="auto" w:fill="FFFFFF"/>
        </w:rPr>
        <w:t>）</w:t>
      </w:r>
    </w:p>
    <w:p w14:paraId="2A154D74">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7CF88AB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eastAsia" w:eastAsia="黑体" w:cs="Times New Roman"/>
          <w:color w:val="000000"/>
          <w:kern w:val="0"/>
          <w:sz w:val="32"/>
          <w:szCs w:val="32"/>
          <w:highlight w:val="none"/>
          <w:shd w:val="clear" w:color="auto" w:fill="FFFFFF"/>
          <w:lang w:val="zh-CN"/>
        </w:rPr>
        <w:t>部门</w:t>
      </w:r>
      <w:r>
        <w:rPr>
          <w:rFonts w:hint="default" w:ascii="Times New Roman" w:hAnsi="Times New Roman" w:eastAsia="黑体" w:cs="Times New Roman"/>
          <w:color w:val="000000"/>
          <w:kern w:val="0"/>
          <w:sz w:val="32"/>
          <w:szCs w:val="32"/>
          <w:highlight w:val="none"/>
          <w:shd w:val="clear" w:color="auto" w:fill="FFFFFF"/>
          <w:lang w:val="zh-CN"/>
        </w:rPr>
        <w:t>（</w:t>
      </w:r>
      <w:r>
        <w:rPr>
          <w:rFonts w:hint="eastAsia" w:eastAsia="黑体" w:cs="Times New Roman"/>
          <w:color w:val="000000"/>
          <w:kern w:val="0"/>
          <w:sz w:val="32"/>
          <w:szCs w:val="32"/>
          <w:highlight w:val="none"/>
          <w:shd w:val="clear" w:color="auto" w:fill="FFFFFF"/>
          <w:lang w:val="zh-CN"/>
        </w:rPr>
        <w:t>部门</w:t>
      </w:r>
      <w:r>
        <w:rPr>
          <w:rFonts w:hint="default" w:ascii="Times New Roman" w:hAnsi="Times New Roman" w:eastAsia="黑体" w:cs="Times New Roman"/>
          <w:color w:val="000000"/>
          <w:kern w:val="0"/>
          <w:sz w:val="32"/>
          <w:szCs w:val="32"/>
          <w:highlight w:val="none"/>
          <w:shd w:val="clear" w:color="auto" w:fill="FFFFFF"/>
          <w:lang w:val="zh-CN"/>
        </w:rPr>
        <w:t>）基本情况</w:t>
      </w:r>
    </w:p>
    <w:p w14:paraId="6CA3517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default" w:ascii="Times New Roman" w:hAnsi="Times New Roman" w:eastAsia="方正仿宋_GBK" w:cs="Times New Roman"/>
          <w:color w:val="000000"/>
          <w:kern w:val="0"/>
          <w:sz w:val="32"/>
          <w:szCs w:val="32"/>
          <w:shd w:val="clear" w:color="auto" w:fill="FFFFFF"/>
          <w:lang w:val="zh-CN"/>
        </w:rPr>
        <w:t>区委政法委内设机构</w:t>
      </w:r>
      <w:r>
        <w:rPr>
          <w:rFonts w:hint="default" w:ascii="Times New Roman" w:hAnsi="Times New Roman" w:eastAsia="方正仿宋_GBK" w:cs="Times New Roman"/>
          <w:color w:val="000000"/>
          <w:kern w:val="0"/>
          <w:sz w:val="32"/>
          <w:szCs w:val="32"/>
          <w:shd w:val="clear" w:color="auto" w:fill="FFFFFF"/>
          <w:lang w:val="en-US" w:eastAsia="zh-CN"/>
        </w:rPr>
        <w:t>7</w:t>
      </w:r>
      <w:r>
        <w:rPr>
          <w:rFonts w:hint="default" w:ascii="Times New Roman" w:hAnsi="Times New Roman" w:eastAsia="方正仿宋_GBK" w:cs="Times New Roman"/>
          <w:color w:val="000000"/>
          <w:kern w:val="0"/>
          <w:sz w:val="32"/>
          <w:szCs w:val="32"/>
          <w:shd w:val="clear" w:color="auto" w:fill="FFFFFF"/>
          <w:lang w:val="zh-CN"/>
        </w:rPr>
        <w:t>个，分别是:办公室、政策研究室、政治部、维稳督导室、综治督导室、执法监督室、人民防线办公室</w:t>
      </w:r>
      <w:r>
        <w:rPr>
          <w:rFonts w:hint="default" w:ascii="Times New Roman" w:hAnsi="Times New Roman" w:eastAsia="仿宋_GB2312" w:cs="仿宋_GB2312"/>
          <w:color w:val="auto"/>
          <w:kern w:val="2"/>
          <w:sz w:val="32"/>
          <w:szCs w:val="32"/>
          <w:highlight w:val="none"/>
          <w:lang w:val="en-US" w:eastAsia="zh-CN" w:bidi="ar-SA"/>
        </w:rPr>
        <w:t>。</w:t>
      </w:r>
    </w:p>
    <w:p w14:paraId="7BF1E63F">
      <w:pPr>
        <w:keepNext w:val="0"/>
        <w:keepLines w:val="0"/>
        <w:pageBreakBefore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default" w:ascii="Times New Roman" w:hAnsi="Times New Roman" w:eastAsia="方正仿宋_GBK" w:cs="Times New Roman"/>
          <w:color w:val="000000"/>
          <w:kern w:val="0"/>
          <w:sz w:val="32"/>
          <w:szCs w:val="32"/>
          <w:shd w:val="clear" w:color="auto" w:fill="FFFFFF"/>
          <w:lang w:val="zh-CN"/>
        </w:rPr>
        <w:t>区委政法委</w:t>
      </w:r>
      <w:r>
        <w:rPr>
          <w:rFonts w:hint="default" w:ascii="Times New Roman" w:hAnsi="Times New Roman" w:eastAsia="方正仿宋_GBK" w:cs="Times New Roman"/>
          <w:sz w:val="32"/>
          <w:szCs w:val="32"/>
        </w:rPr>
        <w:t>的主要职责：深入贯彻党的路线方针政策和决策部署，统一政法各部门思想和行动，坚持党对政法工作的绝对领导，坚决维护党中央权威和集中统一领导。深入贯彻党中央决定和省委、市委、区委决策，对政法工作研究提出全局性部署，推进平安西区、法治西区建设，加强过硬队伍建设，深化智能化建设，坚决维护国家政治安全、确保社会大局稳定、促进社会公平正义、保障人民安居乐业。了解掌握和分析研判政法工作情况动态，分析全区社会稳定形势，创新完善多部门参与的综治维稳工作机制，构建矛盾纠纷多元化解体系和机制，协调推动预防、化解影响稳定的社会矛盾和风险，协调应对和处置重大突发事件，统筹推动全区反分裂斗争和维护稳定工作。加强对政法工作的督导，统筹协调维护政治安全、社会治安综合治理、维护社会稳定、反邪教有关法律法规政策的实施工作。指导全区政法系统网络安全和智能化建设工作。组织开展政法领域的调查研究，研究拟订全区政法工作的政策措施，及时向区委提出建议。掌握分析政法舆情动态，指导协调政法部门媒体网络宣传工作，指导政法部门做好涉及政法工作的重大宣传和舆论引导工作。</w:t>
      </w:r>
    </w:p>
    <w:p w14:paraId="0A5DAA0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方正仿宋_GBK" w:cs="Times New Roman"/>
          <w:sz w:val="32"/>
          <w:szCs w:val="32"/>
        </w:rPr>
        <w:t>监督和支持政法各部门依法行使职权，指导和协调政法各部门密切配合，研究和协调重大、疑难案件，推进严格执法、公正司法。组织研究政法改革中带有方向性、倾向性和普遍性的重大问题，深化政法改革。指导推动政法系统党的建设和政法队伍建设，协助区级有关职能部门管理监督政法领导干部，代管攀枝花市西区法学会</w:t>
      </w:r>
      <w:r>
        <w:rPr>
          <w:rFonts w:hint="eastAsia" w:ascii="Times New Roman" w:hAnsi="Times New Roman" w:eastAsia="仿宋_GB2312" w:cs="Times New Roman"/>
          <w:sz w:val="32"/>
          <w:szCs w:val="32"/>
          <w:lang w:val="en-US" w:eastAsia="zh-CN"/>
        </w:rPr>
        <w:t>。</w:t>
      </w:r>
    </w:p>
    <w:p w14:paraId="110EA20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方正仿宋_GBK" w:cs="Times New Roman"/>
          <w:sz w:val="32"/>
          <w:szCs w:val="32"/>
        </w:rPr>
        <w:t>截至2024年末，区委政法委共有编制23名，其中行政编制5名、事业编制15名、临聘编制3名，实有人员2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人，其中在编人员</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人，聘用人员3人</w:t>
      </w:r>
      <w:r>
        <w:rPr>
          <w:rFonts w:hint="eastAsia" w:ascii="Times New Roman" w:hAnsi="Times New Roman" w:eastAsia="仿宋_GB2312" w:cs="Times New Roman"/>
          <w:sz w:val="32"/>
          <w:szCs w:val="32"/>
          <w:lang w:val="en-US" w:eastAsia="zh-CN"/>
        </w:rPr>
        <w:t>。</w:t>
      </w:r>
    </w:p>
    <w:p w14:paraId="23DE17D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w:t>
      </w:r>
      <w:r>
        <w:rPr>
          <w:rFonts w:hint="eastAsia" w:eastAsia="黑体" w:cs="Times New Roman"/>
          <w:color w:val="000000"/>
          <w:kern w:val="0"/>
          <w:sz w:val="32"/>
          <w:szCs w:val="32"/>
          <w:highlight w:val="none"/>
          <w:shd w:val="clear" w:color="auto" w:fill="FFFFFF"/>
          <w:lang w:val="zh-CN" w:eastAsia="zh-CN"/>
        </w:rPr>
        <w:t>部门</w:t>
      </w:r>
      <w:r>
        <w:rPr>
          <w:rFonts w:hint="default" w:ascii="Times New Roman" w:hAnsi="Times New Roman" w:eastAsia="黑体" w:cs="Times New Roman"/>
          <w:color w:val="000000"/>
          <w:kern w:val="0"/>
          <w:sz w:val="32"/>
          <w:szCs w:val="32"/>
          <w:highlight w:val="none"/>
          <w:shd w:val="clear" w:color="auto" w:fill="FFFFFF"/>
          <w:lang w:val="zh-CN" w:eastAsia="zh-CN"/>
        </w:rPr>
        <w:t>资金收支情况</w:t>
      </w:r>
    </w:p>
    <w:p w14:paraId="2FB7351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方正仿宋_GBK" w:cs="Times New Roman"/>
          <w:sz w:val="32"/>
          <w:szCs w:val="32"/>
        </w:rPr>
        <w:t>区委政法委</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zh-CN"/>
        </w:rPr>
        <w:t>年全年预算收入</w:t>
      </w:r>
      <w:r>
        <w:rPr>
          <w:rFonts w:hint="default" w:ascii="Times New Roman" w:hAnsi="Times New Roman" w:eastAsia="方正仿宋_GBK" w:cs="Times New Roman"/>
          <w:sz w:val="32"/>
          <w:szCs w:val="32"/>
        </w:rPr>
        <w:t>622.94</w:t>
      </w:r>
      <w:r>
        <w:rPr>
          <w:rFonts w:hint="default" w:ascii="Times New Roman" w:hAnsi="Times New Roman" w:eastAsia="方正仿宋_GBK" w:cs="Times New Roman"/>
          <w:sz w:val="32"/>
          <w:szCs w:val="32"/>
          <w:lang w:val="zh-CN"/>
        </w:rPr>
        <w:t>万元，其中：一般公共预算拨款收入</w:t>
      </w:r>
      <w:r>
        <w:rPr>
          <w:rFonts w:hint="default" w:ascii="Times New Roman" w:hAnsi="Times New Roman" w:eastAsia="方正仿宋_GBK" w:cs="Times New Roman"/>
          <w:sz w:val="32"/>
          <w:szCs w:val="32"/>
        </w:rPr>
        <w:t>562.5</w:t>
      </w:r>
      <w:r>
        <w:rPr>
          <w:rFonts w:hint="default" w:ascii="Times New Roman" w:hAnsi="Times New Roman" w:eastAsia="方正仿宋_GBK" w:cs="Times New Roman"/>
          <w:sz w:val="32"/>
          <w:szCs w:val="32"/>
          <w:lang w:val="zh-CN"/>
        </w:rPr>
        <w:t>万元，占总收入</w:t>
      </w:r>
      <w:r>
        <w:rPr>
          <w:rFonts w:hint="default" w:ascii="Times New Roman" w:hAnsi="Times New Roman" w:eastAsia="方正仿宋_GBK" w:cs="Times New Roman"/>
          <w:sz w:val="32"/>
          <w:szCs w:val="32"/>
        </w:rPr>
        <w:t>90.3</w:t>
      </w:r>
      <w:r>
        <w:rPr>
          <w:rFonts w:hint="default" w:ascii="Times New Roman" w:hAnsi="Times New Roman" w:eastAsia="方正仿宋_GBK" w:cs="Times New Roman"/>
          <w:sz w:val="32"/>
          <w:szCs w:val="32"/>
          <w:lang w:val="zh-CN"/>
        </w:rPr>
        <w:t>%；政府性基金预算拨款支出</w:t>
      </w:r>
      <w:r>
        <w:rPr>
          <w:rFonts w:hint="default" w:ascii="Times New Roman" w:hAnsi="Times New Roman" w:eastAsia="方正仿宋_GBK" w:cs="Times New Roman"/>
          <w:sz w:val="32"/>
          <w:szCs w:val="32"/>
        </w:rPr>
        <w:t>60.44</w:t>
      </w:r>
      <w:r>
        <w:rPr>
          <w:rFonts w:hint="default" w:ascii="Times New Roman" w:hAnsi="Times New Roman" w:eastAsia="方正仿宋_GBK" w:cs="Times New Roman"/>
          <w:sz w:val="32"/>
          <w:szCs w:val="32"/>
          <w:lang w:val="zh-CN"/>
        </w:rPr>
        <w:t>万元，占总收入</w:t>
      </w:r>
      <w:r>
        <w:rPr>
          <w:rFonts w:hint="default" w:ascii="Times New Roman" w:hAnsi="Times New Roman" w:eastAsia="方正仿宋_GBK" w:cs="Times New Roman"/>
          <w:sz w:val="32"/>
          <w:szCs w:val="32"/>
        </w:rPr>
        <w:t>9.7</w:t>
      </w:r>
      <w:r>
        <w:rPr>
          <w:rFonts w:hint="default" w:ascii="Times New Roman" w:hAnsi="Times New Roman" w:eastAsia="方正仿宋_GBK" w:cs="Times New Roman"/>
          <w:sz w:val="32"/>
          <w:szCs w:val="32"/>
          <w:lang w:val="zh-CN"/>
        </w:rPr>
        <w:t>%</w:t>
      </w:r>
      <w:r>
        <w:rPr>
          <w:rFonts w:hint="eastAsia" w:ascii="Times New Roman" w:hAnsi="Times New Roman" w:eastAsia="仿宋_GB2312" w:cs="Times New Roman"/>
          <w:sz w:val="32"/>
          <w:szCs w:val="32"/>
          <w:lang w:val="en-US" w:eastAsia="zh-CN"/>
        </w:rPr>
        <w:t>。</w:t>
      </w:r>
    </w:p>
    <w:p w14:paraId="01B3C591">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shd w:val="clear" w:color="auto" w:fill="FFFFFF"/>
          <w:lang w:val="zh-CN"/>
        </w:rPr>
        <w:t>202</w:t>
      </w:r>
      <w:r>
        <w:rPr>
          <w:rFonts w:hint="default" w:ascii="Times New Roman" w:hAnsi="Times New Roman" w:eastAsia="方正仿宋_GBK" w:cs="Times New Roman"/>
          <w:color w:val="000000"/>
          <w:kern w:val="0"/>
          <w:sz w:val="32"/>
          <w:szCs w:val="32"/>
          <w:shd w:val="clear" w:color="auto" w:fill="FFFFFF"/>
        </w:rPr>
        <w:t>4</w:t>
      </w:r>
      <w:r>
        <w:rPr>
          <w:rFonts w:hint="default" w:ascii="Times New Roman" w:hAnsi="Times New Roman" w:eastAsia="方正仿宋_GBK" w:cs="Times New Roman"/>
          <w:color w:val="000000"/>
          <w:kern w:val="0"/>
          <w:sz w:val="32"/>
          <w:szCs w:val="32"/>
          <w:shd w:val="clear" w:color="auto" w:fill="FFFFFF"/>
          <w:lang w:val="zh-CN"/>
        </w:rPr>
        <w:t>年财政资金支出</w:t>
      </w:r>
      <w:r>
        <w:rPr>
          <w:rFonts w:hint="default" w:ascii="Times New Roman" w:hAnsi="Times New Roman" w:eastAsia="方正仿宋_GBK" w:cs="Times New Roman"/>
          <w:color w:val="000000"/>
          <w:kern w:val="0"/>
          <w:sz w:val="32"/>
          <w:szCs w:val="32"/>
          <w:shd w:val="clear" w:color="auto" w:fill="FFFFFF"/>
        </w:rPr>
        <w:t>622.94</w:t>
      </w:r>
      <w:r>
        <w:rPr>
          <w:rFonts w:hint="default" w:ascii="Times New Roman" w:hAnsi="Times New Roman" w:eastAsia="方正仿宋_GBK" w:cs="Times New Roman"/>
          <w:color w:val="000000"/>
          <w:kern w:val="0"/>
          <w:sz w:val="32"/>
          <w:szCs w:val="32"/>
          <w:shd w:val="clear" w:color="auto" w:fill="FFFFFF"/>
          <w:lang w:val="zh-CN"/>
        </w:rPr>
        <w:t>万元，其中：基本支出</w:t>
      </w:r>
      <w:r>
        <w:rPr>
          <w:rFonts w:hint="default" w:ascii="Times New Roman" w:hAnsi="Times New Roman" w:eastAsia="方正仿宋_GBK" w:cs="Times New Roman"/>
          <w:color w:val="000000"/>
          <w:kern w:val="0"/>
          <w:sz w:val="32"/>
          <w:szCs w:val="32"/>
          <w:shd w:val="clear" w:color="auto" w:fill="FFFFFF"/>
        </w:rPr>
        <w:t>469.99</w:t>
      </w:r>
      <w:r>
        <w:rPr>
          <w:rFonts w:hint="default" w:ascii="Times New Roman" w:hAnsi="Times New Roman" w:eastAsia="方正仿宋_GBK" w:cs="Times New Roman"/>
          <w:color w:val="000000"/>
          <w:kern w:val="0"/>
          <w:sz w:val="32"/>
          <w:szCs w:val="32"/>
          <w:shd w:val="clear" w:color="auto" w:fill="FFFFFF"/>
          <w:lang w:val="zh-CN"/>
        </w:rPr>
        <w:t>万元，其中：人员经费</w:t>
      </w:r>
      <w:r>
        <w:rPr>
          <w:rFonts w:hint="default" w:ascii="Times New Roman" w:hAnsi="Times New Roman" w:eastAsia="方正仿宋_GBK" w:cs="Times New Roman"/>
          <w:color w:val="000000"/>
          <w:kern w:val="0"/>
          <w:sz w:val="32"/>
          <w:szCs w:val="32"/>
          <w:shd w:val="clear" w:color="auto" w:fill="FFFFFF"/>
        </w:rPr>
        <w:t>434.99</w:t>
      </w:r>
      <w:r>
        <w:rPr>
          <w:rFonts w:hint="default" w:ascii="Times New Roman" w:hAnsi="Times New Roman" w:eastAsia="方正仿宋_GBK" w:cs="Times New Roman"/>
          <w:color w:val="000000"/>
          <w:kern w:val="0"/>
          <w:sz w:val="32"/>
          <w:szCs w:val="32"/>
          <w:shd w:val="clear" w:color="auto" w:fill="FFFFFF"/>
          <w:lang w:val="zh-CN"/>
        </w:rPr>
        <w:t>万元，公用经费</w:t>
      </w:r>
      <w:r>
        <w:rPr>
          <w:rFonts w:hint="default" w:ascii="Times New Roman" w:hAnsi="Times New Roman" w:eastAsia="方正仿宋_GBK" w:cs="Times New Roman"/>
          <w:color w:val="000000"/>
          <w:kern w:val="0"/>
          <w:sz w:val="32"/>
          <w:szCs w:val="32"/>
          <w:shd w:val="clear" w:color="auto" w:fill="FFFFFF"/>
        </w:rPr>
        <w:t>35</w:t>
      </w:r>
      <w:r>
        <w:rPr>
          <w:rFonts w:hint="default" w:ascii="Times New Roman" w:hAnsi="Times New Roman" w:eastAsia="方正仿宋_GBK" w:cs="Times New Roman"/>
          <w:color w:val="000000"/>
          <w:kern w:val="0"/>
          <w:sz w:val="32"/>
          <w:szCs w:val="32"/>
          <w:shd w:val="clear" w:color="auto" w:fill="FFFFFF"/>
          <w:lang w:val="zh-CN"/>
        </w:rPr>
        <w:t>万元；项目经费支出</w:t>
      </w:r>
      <w:r>
        <w:rPr>
          <w:rFonts w:hint="default" w:ascii="Times New Roman" w:hAnsi="Times New Roman" w:eastAsia="方正仿宋_GBK" w:cs="Times New Roman"/>
          <w:color w:val="000000"/>
          <w:kern w:val="0"/>
          <w:sz w:val="32"/>
          <w:szCs w:val="32"/>
          <w:shd w:val="clear" w:color="auto" w:fill="FFFFFF"/>
        </w:rPr>
        <w:t>152.95</w:t>
      </w:r>
      <w:r>
        <w:rPr>
          <w:rFonts w:hint="default" w:ascii="Times New Roman" w:hAnsi="Times New Roman" w:eastAsia="方正仿宋_GBK" w:cs="Times New Roman"/>
          <w:color w:val="000000"/>
          <w:kern w:val="0"/>
          <w:sz w:val="32"/>
          <w:szCs w:val="32"/>
          <w:shd w:val="clear" w:color="auto" w:fill="FFFFFF"/>
          <w:lang w:val="zh-CN"/>
        </w:rPr>
        <w:t>万元</w:t>
      </w:r>
      <w:r>
        <w:rPr>
          <w:rFonts w:hint="eastAsia" w:ascii="Times New Roman" w:hAnsi="Times New Roman" w:eastAsia="仿宋_GB2312" w:cs="Times New Roman"/>
          <w:sz w:val="32"/>
          <w:szCs w:val="32"/>
          <w:lang w:val="en-US" w:eastAsia="zh-CN"/>
        </w:rPr>
        <w:t>。</w:t>
      </w:r>
    </w:p>
    <w:p w14:paraId="2D164B5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方正仿宋_GBK" w:cs="Times New Roman"/>
          <w:sz w:val="32"/>
          <w:szCs w:val="32"/>
        </w:rPr>
        <w:t>区委政法委2024年决算使用收回</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国库集中支付结余资金安排雪亮工程及综治中心运维服务项目78.7万元</w:t>
      </w:r>
      <w:r>
        <w:rPr>
          <w:rFonts w:hint="default" w:ascii="Times New Roman" w:hAnsi="Times New Roman" w:eastAsia="仿宋_GB2312" w:cs="Times New Roman"/>
          <w:sz w:val="32"/>
          <w:szCs w:val="32"/>
          <w:lang w:val="en-US" w:eastAsia="zh-CN"/>
        </w:rPr>
        <w:t>。</w:t>
      </w:r>
    </w:p>
    <w:p w14:paraId="02890D2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w:t>
      </w:r>
      <w:r>
        <w:rPr>
          <w:rFonts w:hint="eastAsia" w:eastAsia="黑体" w:cs="Times New Roman"/>
          <w:color w:val="000000"/>
          <w:kern w:val="0"/>
          <w:sz w:val="32"/>
          <w:szCs w:val="32"/>
          <w:highlight w:val="none"/>
          <w:shd w:val="clear" w:color="auto" w:fill="FFFFFF"/>
          <w:lang w:val="zh-CN" w:eastAsia="zh-CN"/>
        </w:rPr>
        <w:t>部门</w:t>
      </w:r>
      <w:r>
        <w:rPr>
          <w:rFonts w:hint="default" w:ascii="Times New Roman" w:hAnsi="Times New Roman" w:eastAsia="黑体" w:cs="Times New Roman"/>
          <w:color w:val="000000"/>
          <w:kern w:val="0"/>
          <w:sz w:val="32"/>
          <w:szCs w:val="32"/>
          <w:highlight w:val="none"/>
          <w:shd w:val="clear" w:color="auto" w:fill="FFFFFF"/>
          <w:lang w:val="zh-CN" w:eastAsia="zh-CN"/>
        </w:rPr>
        <w:t>预算绩效分析</w:t>
      </w:r>
    </w:p>
    <w:p w14:paraId="5698473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部门</w:t>
      </w:r>
      <w:r>
        <w:rPr>
          <w:rFonts w:hint="eastAsia" w:ascii="Times New Roman" w:hAnsi="Times New Roman" w:eastAsia="楷体_GB2312" w:cs="Times New Roman"/>
          <w:b/>
          <w:bCs/>
          <w:color w:val="000000"/>
          <w:kern w:val="0"/>
          <w:sz w:val="32"/>
          <w:szCs w:val="32"/>
          <w:highlight w:val="none"/>
          <w:shd w:val="clear" w:color="auto" w:fill="FFFFFF"/>
          <w:lang w:val="zh-CN"/>
        </w:rPr>
        <w:t>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w:t>
      </w:r>
      <w:r>
        <w:rPr>
          <w:rFonts w:hint="eastAsia" w:eastAsia="仿宋_GB2312" w:cs="仿宋_GB2312"/>
          <w:color w:val="auto"/>
          <w:kern w:val="2"/>
          <w:sz w:val="32"/>
          <w:szCs w:val="32"/>
          <w:highlight w:val="none"/>
          <w:lang w:val="zh-CN" w:eastAsia="zh-CN" w:bidi="ar-SA"/>
        </w:rPr>
        <w:t>部门</w:t>
      </w:r>
      <w:r>
        <w:rPr>
          <w:rFonts w:hint="default" w:ascii="Times New Roman" w:hAnsi="Times New Roman" w:eastAsia="仿宋_GB2312" w:cs="仿宋_GB2312"/>
          <w:color w:val="auto"/>
          <w:kern w:val="2"/>
          <w:sz w:val="32"/>
          <w:szCs w:val="32"/>
          <w:highlight w:val="none"/>
          <w:lang w:val="zh-CN" w:eastAsia="zh-CN" w:bidi="ar-SA"/>
        </w:rPr>
        <w:t>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1F1512E2">
      <w:pPr>
        <w:keepNext w:val="0"/>
        <w:keepLines w:val="0"/>
        <w:pageBreakBefore w:val="0"/>
        <w:kinsoku/>
        <w:wordWrap/>
        <w:overflowPunct/>
        <w:topLinePunct w:val="0"/>
        <w:autoSpaceDE/>
        <w:autoSpaceDN/>
        <w:bidi w:val="0"/>
        <w:adjustRightInd w:val="0"/>
        <w:snapToGrid w:val="0"/>
        <w:spacing w:line="540" w:lineRule="exact"/>
        <w:ind w:firstLine="640" w:firstLineChars="200"/>
        <w:contextualSpacing/>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r>
        <w:rPr>
          <w:rFonts w:hint="default" w:ascii="Times New Roman" w:hAnsi="Times New Roman" w:eastAsia="方正仿宋_GBK" w:cs="Times New Roman"/>
          <w:b/>
          <w:bCs/>
          <w:color w:val="000000"/>
          <w:kern w:val="0"/>
          <w:sz w:val="32"/>
          <w:szCs w:val="32"/>
          <w:shd w:val="clear" w:color="auto" w:fill="FFFFFF"/>
          <w:lang w:val="zh-CN"/>
        </w:rPr>
        <w:t>一是</w:t>
      </w:r>
      <w:r>
        <w:rPr>
          <w:rFonts w:hint="default" w:ascii="Times New Roman" w:hAnsi="Times New Roman" w:eastAsia="方正仿宋_GBK" w:cs="Times New Roman"/>
          <w:b/>
          <w:bCs/>
          <w:sz w:val="32"/>
          <w:szCs w:val="32"/>
        </w:rPr>
        <w:t>推进政治建设，党管政法工作开启新篇章。</w:t>
      </w:r>
      <w:r>
        <w:rPr>
          <w:rFonts w:hint="default" w:ascii="Times New Roman" w:hAnsi="Times New Roman" w:eastAsia="方正仿宋_GBK" w:cs="Times New Roman"/>
          <w:b/>
          <w:bCs/>
          <w:kern w:val="2"/>
          <w:sz w:val="32"/>
          <w:szCs w:val="32"/>
        </w:rPr>
        <w:t>一是以高度理论自觉淬炼思想之“魂”。</w:t>
      </w:r>
      <w:r>
        <w:rPr>
          <w:rFonts w:hint="default" w:ascii="Times New Roman" w:hAnsi="Times New Roman" w:eastAsia="方正仿宋_GBK" w:cs="Times New Roman"/>
          <w:kern w:val="2"/>
          <w:sz w:val="32"/>
          <w:szCs w:val="32"/>
        </w:rPr>
        <w:t>坚持以习近平新时代中国特色社会主义思想为指导，分层分类开展政治轮训，先后组织全区政法系统干部参加政法系统学习贯彻习近平新时代中国特色社会主义思想轮训、“四川政法大讲堂”、全市政法系统领导干部综合能力提升培训班等学习培训，组织党员干部参加全市基层党员重点培训，组织政法干警参加各类培训600余人次。深入开展党纪学习教育，认真落实“第一议题”、理论学习中心组学习、“三会一课”、主题党日等制度，坚持以上率下领头学、系统上下联动学、线上线下融合学、专题研讨深入学、突出重点系统学的“五学”模式，组织开展理论学习中心组学习10次，党员学习11次，讲授专题党课3次，交流研讨28人次。</w:t>
      </w:r>
      <w:r>
        <w:rPr>
          <w:rFonts w:hint="default" w:ascii="Times New Roman" w:hAnsi="Times New Roman" w:eastAsia="方正仿宋_GBK" w:cs="Times New Roman"/>
          <w:b/>
          <w:bCs/>
          <w:kern w:val="2"/>
          <w:sz w:val="32"/>
          <w:szCs w:val="32"/>
        </w:rPr>
        <w:t>二是以高度政治自觉培育忠诚之“心”。</w:t>
      </w:r>
      <w:r>
        <w:rPr>
          <w:rFonts w:hint="default" w:ascii="Times New Roman" w:hAnsi="Times New Roman" w:eastAsia="方正仿宋_GBK" w:cs="Times New Roman"/>
          <w:kern w:val="2"/>
          <w:sz w:val="32"/>
          <w:szCs w:val="32"/>
        </w:rPr>
        <w:t>认真贯彻落实《中国共产党政法工作条例》及省实施细则、市实施意见，严格落实“第一议题”和重大事项报告制度，健全完善统筹协调、抽查检查、定期报告、跟踪问效等全流程工作机制。对上级决策部署、重要会议精神，通过区委常委会、区政府常务会等多种形式及时传达学习、专题研究部署，不折不扣贯彻落实上级各项决策部署，把党的领导贯穿到政法工作各方面和全过程。</w:t>
      </w:r>
      <w:r>
        <w:rPr>
          <w:rFonts w:hint="default" w:ascii="Times New Roman" w:hAnsi="Times New Roman" w:eastAsia="方正仿宋_GBK" w:cs="Times New Roman"/>
          <w:b/>
          <w:bCs/>
          <w:kern w:val="2"/>
          <w:sz w:val="32"/>
          <w:szCs w:val="32"/>
        </w:rPr>
        <w:t>三是以高度行动自觉践行政法姓党之“质”。</w:t>
      </w:r>
      <w:r>
        <w:rPr>
          <w:rFonts w:hint="default" w:ascii="Times New Roman" w:hAnsi="Times New Roman" w:eastAsia="方正仿宋_GBK" w:cs="Times New Roman"/>
          <w:kern w:val="2"/>
          <w:sz w:val="32"/>
          <w:szCs w:val="32"/>
        </w:rPr>
        <w:t>加强执法司法规范化建设，深入推进刑罚执行一体化建设，完善《关于加强执法司法制约监督体系建设的实施意见》，建立“执行110”工作机制，深化执行工作强制性与专业警务化保障有机结合，构建“执行+警务”大执行工作格局和全域协同工作的快速响应工作机制，不断构建与新的执法司法权运行模式相适应的制约监督体系。</w:t>
      </w:r>
    </w:p>
    <w:p w14:paraId="07286BFE">
      <w:pPr>
        <w:pStyle w:val="7"/>
        <w:keepNext w:val="0"/>
        <w:keepLines w:val="0"/>
        <w:pageBreakBefore w:val="0"/>
        <w:kinsoku/>
        <w:wordWrap/>
        <w:overflowPunct/>
        <w:topLinePunct w:val="0"/>
        <w:autoSpaceDE/>
        <w:autoSpaceDN/>
        <w:bidi w:val="0"/>
        <w:spacing w:after="0" w:line="54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推进</w:t>
      </w:r>
      <w:r>
        <w:rPr>
          <w:rFonts w:hint="default" w:ascii="Times New Roman" w:hAnsi="Times New Roman" w:eastAsia="方正仿宋_GBK" w:cs="Times New Roman"/>
          <w:b/>
          <w:bCs/>
          <w:kern w:val="0"/>
          <w:sz w:val="32"/>
          <w:szCs w:val="32"/>
        </w:rPr>
        <w:t>法治建设，服务保障经济展现新作为。</w:t>
      </w:r>
      <w:r>
        <w:rPr>
          <w:rFonts w:hint="default" w:ascii="Times New Roman" w:hAnsi="Times New Roman" w:eastAsia="方正仿宋_GBK" w:cs="Times New Roman"/>
          <w:b/>
          <w:bCs/>
          <w:sz w:val="32"/>
          <w:szCs w:val="32"/>
        </w:rPr>
        <w:t>一是围绕中心服务大局。</w:t>
      </w:r>
      <w:r>
        <w:rPr>
          <w:rFonts w:hint="default" w:ascii="Times New Roman" w:hAnsi="Times New Roman" w:eastAsia="方正仿宋_GBK" w:cs="Times New Roman"/>
          <w:sz w:val="32"/>
          <w:szCs w:val="32"/>
        </w:rPr>
        <w:t>聚焦区委“一区一城”建设，印发《关于进一步发挥首席法律咨询专家队伍作用全力服务保障共同富裕试验区建设的工作方案》，首席法律咨询专家入驻“双中心”，开展专家“咨询日”活动，西区首席法律咨询专家共提供咨询意见40余条、化解疑难复杂纠纷14件、解决历史积案4个。做好市委政法委、市法学会“共同富裕试验区建设中的政法服务保障研究”课题调研工作，形成《国有企业社会职能移交视野下的老旧小区物业管理现状与对策研究》《政法服务保障县域经济高质量发展路径探究与实践创新》调研论文。牵头相关</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积极参与第十届“治蜀兴川”法治论坛、第十九届西部法治论坛、第十九届“泛珠三角合作与发展法治论坛”等的论文撰写，撰写论文16篇，为政法服务经济社会发展、老旧小区治理出谋划策。</w:t>
      </w:r>
      <w:r>
        <w:rPr>
          <w:rFonts w:hint="default" w:ascii="Times New Roman" w:hAnsi="Times New Roman" w:eastAsia="方正仿宋_GBK" w:cs="Times New Roman"/>
          <w:b/>
          <w:bCs/>
          <w:sz w:val="32"/>
          <w:szCs w:val="32"/>
        </w:rPr>
        <w:t>二是优化法治营商环境。</w:t>
      </w:r>
      <w:r>
        <w:rPr>
          <w:rFonts w:hint="default" w:ascii="Times New Roman" w:hAnsi="Times New Roman" w:eastAsia="方正仿宋_GBK" w:cs="Times New Roman"/>
          <w:sz w:val="32"/>
          <w:szCs w:val="32"/>
        </w:rPr>
        <w:t>制定《关于优化法治化营商环境专项普法活动方案》，坚持“治罪”与“治理”并重，扎实开展“检察护企”专项行动，为25家民营企业开展“巡诊式法治体检”“共促安全生产”“以案释法”等服务40余次，为企业“量身定制”检察建议5 件；聘请10位企业代表为检企联络员，邀请企业代表参加企业法治需求和意见建议座谈会，持续清理涉企“挂案”。审结全国首例消费者起诉销售假冒“攀枝花芒果”案，切实发挥司法裁判指引评价功能，被多家媒体宣传报道，彰显司法护航“攀果”产业发展的坚定决心，实现法律效果和社会效果的有机统一。</w:t>
      </w:r>
      <w:r>
        <w:rPr>
          <w:rFonts w:hint="default" w:ascii="Times New Roman" w:hAnsi="Times New Roman" w:eastAsia="方正仿宋_GBK" w:cs="Times New Roman"/>
          <w:b/>
          <w:bCs/>
          <w:sz w:val="32"/>
          <w:szCs w:val="32"/>
        </w:rPr>
        <w:t>三是创新政法服务举措。</w:t>
      </w:r>
      <w:r>
        <w:rPr>
          <w:rFonts w:hint="default" w:ascii="Times New Roman" w:hAnsi="Times New Roman" w:eastAsia="方正仿宋_GBK" w:cs="Times New Roman"/>
          <w:sz w:val="32"/>
          <w:szCs w:val="32"/>
        </w:rPr>
        <w:t>全面深化政法领域改革，运用好集法学会会员、警察、法官、检察官、律师为一体的格里坪工业园区政法服务站，办理涉园区企案件104件，依托园区涉企行政复议基层服务点开辟涉企行政复议“绿色通道”，立涉企行政执法监督联系点1个，开展企业管理人员法治素养试点工作，建立涉及合同、劳动、税务、环保等涉企案例库220条。公安实施服务保障经济高质量发展“警随‘企’后”行动，制定3类11项工作机制，细化21项具体职责任务；“一窗通办”窗口共办理户政类业务3503件、交管类业务762件，窗口满意度评价达100%。</w:t>
      </w:r>
    </w:p>
    <w:p w14:paraId="20771810">
      <w:pPr>
        <w:keepNext w:val="0"/>
        <w:keepLines w:val="0"/>
        <w:pageBreakBefore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推进基础建设，社会安定和谐开创新局面。一是维护政治安全。</w:t>
      </w:r>
      <w:r>
        <w:rPr>
          <w:rFonts w:hint="default" w:ascii="Times New Roman" w:hAnsi="Times New Roman" w:eastAsia="方正仿宋_GBK" w:cs="Times New Roman"/>
          <w:sz w:val="32"/>
          <w:szCs w:val="32"/>
        </w:rPr>
        <w:t>全面践行总体国家安全观，强化国家安全人民防线建设，制发《关于开展“全能神”邪教底数摸排的工作方案》等文件，细化工作措施，及时分别对国家安全人民防线建设、反邪等工作领导小组</w:t>
      </w:r>
      <w:r>
        <w:rPr>
          <w:rFonts w:hint="default" w:ascii="Times New Roman" w:hAnsi="Times New Roman" w:eastAsia="方正仿宋_GBK" w:cs="Times New Roman"/>
          <w:color w:val="000000"/>
          <w:sz w:val="32"/>
          <w:szCs w:val="32"/>
        </w:rPr>
        <w:t>进行调整。严格落实意识形态工作责任制，深入开展网络净声活动，严</w:t>
      </w:r>
      <w:r>
        <w:rPr>
          <w:rFonts w:hint="default" w:ascii="Times New Roman" w:hAnsi="Times New Roman" w:eastAsia="方正仿宋_GBK" w:cs="Times New Roman"/>
          <w:sz w:val="32"/>
          <w:szCs w:val="32"/>
        </w:rPr>
        <w:t>厉打击网络政治谣言</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加强互联网监管和舆情引导，落实档案文件保管使用和保密工作。切实强化反恐防暴工作，组织相关部门开展反恐防暴演练，在敏感节点、重要时段、重点领域（区域）常态化开展涉疆、涉恐、涉爆等基础信息摸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坚持一体推进各类涉邪教人员教转、巩固、解脱工作。</w:t>
      </w:r>
      <w:r>
        <w:rPr>
          <w:rFonts w:hint="default" w:ascii="Times New Roman" w:hAnsi="Times New Roman" w:eastAsia="方正仿宋_GBK" w:cs="Times New Roman"/>
          <w:b/>
          <w:bCs/>
          <w:sz w:val="32"/>
          <w:szCs w:val="32"/>
        </w:rPr>
        <w:t>二是防范化解风险。</w:t>
      </w:r>
      <w:r>
        <w:rPr>
          <w:rFonts w:hint="default" w:ascii="Times New Roman" w:hAnsi="Times New Roman" w:eastAsia="方正仿宋_GBK" w:cs="Times New Roman"/>
          <w:sz w:val="32"/>
          <w:szCs w:val="32"/>
        </w:rPr>
        <w:t>采取“集中排查+滚动排查” “清单制+责任制”等多种方式，集中开展5次影响社会稳定矛盾摸排，对金融、住建、移民、教育和企业改制、征地拆迁、生态环保等重点领域，出租车、棚改、涉众经济利益受损人员、退役军人等重点群体，以及刑满释放、情绪极端易肇事肇祸人员、易肇事肇祸精神障碍患者、涉政涉邪涉毒等重点人员的苗头性倾向性不稳定因素进行滚动全面摸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一人一策一专班”原则，对“重中之重”对象个性化定制服务管理方案，明确责任人员、稳控人员，细化拟定务实、具体、管用的盯防措施，落实“一日一见面”，在提供走访慰问、事务代办、帮扶救助、思想疏导等服务中了解掌握有关人员动态。</w:t>
      </w:r>
      <w:r>
        <w:rPr>
          <w:rFonts w:hint="default" w:ascii="Times New Roman" w:hAnsi="Times New Roman" w:eastAsia="方正仿宋_GBK" w:cs="Times New Roman"/>
          <w:b/>
          <w:bCs/>
          <w:sz w:val="32"/>
          <w:szCs w:val="32"/>
        </w:rPr>
        <w:t>三是强化社会面管控。</w:t>
      </w:r>
      <w:r>
        <w:rPr>
          <w:rFonts w:hint="default" w:ascii="Times New Roman" w:hAnsi="Times New Roman" w:eastAsia="方正仿宋_GBK" w:cs="Times New Roman"/>
          <w:sz w:val="32"/>
          <w:szCs w:val="32"/>
        </w:rPr>
        <w:t>健全应急协调联动和快速反应机制，下发《西区重点（人员密集）场所安全防护情况自查表》，以“两排查一整治”为载体，对公共交通系统、交易市场、党政机关、金融网点和水、电、油、气等重点部位开展安全防范，对重点地区、重点场所、重点部位巡逻管控。重点时段值守医院、广场等人员密集场所15个，在玉泉广场、攀钢家属区广场、东盟国际广场、星瑞时代广场和清香坪步行街等重要公共场所和人口聚集区，实行24小时屯警街面和动态巡逻，提高见警率和警示威慑，圆满完成特殊敏感时段安保维稳工作，有效维护社会安定。</w:t>
      </w:r>
    </w:p>
    <w:p w14:paraId="51004FCF">
      <w:pPr>
        <w:keepNext w:val="0"/>
        <w:keepLines w:val="0"/>
        <w:pageBreakBefore w:val="0"/>
        <w:kinsoku/>
        <w:wordWrap/>
        <w:overflowPunct/>
        <w:topLinePunct w:val="0"/>
        <w:autoSpaceDE/>
        <w:autoSpaceDN/>
        <w:bidi w:val="0"/>
        <w:spacing w:line="54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推进</w:t>
      </w:r>
      <w:r>
        <w:rPr>
          <w:rFonts w:hint="default" w:ascii="Times New Roman" w:hAnsi="Times New Roman" w:eastAsia="方正仿宋_GBK" w:cs="Times New Roman"/>
          <w:b/>
          <w:bCs/>
          <w:kern w:val="0"/>
          <w:sz w:val="32"/>
          <w:szCs w:val="32"/>
        </w:rPr>
        <w:t>平安建设，基层社会治理激发新动能。</w:t>
      </w:r>
      <w:r>
        <w:rPr>
          <w:rFonts w:hint="default" w:ascii="Times New Roman" w:hAnsi="Times New Roman" w:eastAsia="方正仿宋_GBK" w:cs="Times New Roman"/>
          <w:b/>
          <w:bCs/>
          <w:sz w:val="32"/>
          <w:szCs w:val="32"/>
          <w:lang w:val="zh-CN"/>
        </w:rPr>
        <w:t>一是夯实平安建设基石。</w:t>
      </w:r>
      <w:r>
        <w:rPr>
          <w:rFonts w:hint="default" w:ascii="Times New Roman" w:hAnsi="Times New Roman" w:eastAsia="方正仿宋_GBK" w:cs="Times New Roman"/>
          <w:sz w:val="32"/>
          <w:szCs w:val="32"/>
        </w:rPr>
        <w:t>为提高平安建设知晓率，向西区群众发送平安建设满意度测评宣传短信近10万条，印制平安建设满意度调查、禁毒、反电诈、见义勇为、纠纷多元化解、未成年人保护等宣传资料、海报、小礼物等5000余份。清香坪街道智学社区成功创建省级“六无”平安村（社区）。修订《攀枝花市西区专职网格管理员管理办法（试行）的通知》，优化网格设置，创新推出“1+N”的网格信息员微治理模式，全区共设置一级网格2个，二级网格59个网格，配备61名专职网格员，网格化管理体系不断完善。组织看望慰问我区见义勇为人员5名，李乾被评为市级有突出表现的见义勇为人员、四川省第二期见义勇为典型人物。组织开展校园周边环境综合整治4次，对校园周边治安安全等隐患问题进行排查整改，确保校园周边环境安全。</w:t>
      </w:r>
      <w:r>
        <w:rPr>
          <w:rFonts w:hint="default" w:ascii="Times New Roman" w:hAnsi="Times New Roman" w:eastAsia="方正仿宋_GBK" w:cs="Times New Roman"/>
          <w:b/>
          <w:bCs/>
          <w:sz w:val="32"/>
          <w:szCs w:val="32"/>
        </w:rPr>
        <w:t>二是做实矛盾纠纷多元化解。</w:t>
      </w:r>
      <w:r>
        <w:rPr>
          <w:rFonts w:hint="default" w:ascii="Times New Roman" w:hAnsi="Times New Roman" w:eastAsia="方正仿宋_GBK" w:cs="Times New Roman"/>
          <w:sz w:val="32"/>
          <w:szCs w:val="32"/>
        </w:rPr>
        <w:t>制定《关于推动各级各部门党员干部积极参与矛盾纠纷多元化解工作的六条措施》《“三说会堂”多元解纷模式提质增效工作实施方案》等，加快推进专职人民调解员队伍建设、推动格里坪工业园区“三说会堂”分中心建设、加强行业分中心建设、建立首席法律咨询专家包片联系机制、健全“干部说理”激励约束机制以及完善线上系统功能等重点任务。优化“三说会堂”专家组成，分类组建家庭婚恋、邻里关系、劳资人事、物业管理、交通运输、市场消费、物权争议等7个领域的区级专家组；全市首家检察机关“民事和解工作室”在格里坪法庭正式挂牌成立，为民商事纠纷多元化解工作再添“法检对接”调解模式新领域，全力化解基层矛盾纠纷。</w:t>
      </w:r>
      <w:r>
        <w:rPr>
          <w:rFonts w:hint="default" w:ascii="Times New Roman" w:hAnsi="Times New Roman" w:eastAsia="方正仿宋_GBK" w:cs="Times New Roman"/>
          <w:b/>
          <w:bCs/>
          <w:sz w:val="32"/>
          <w:szCs w:val="32"/>
        </w:rPr>
        <w:t>三是常态化开展扫黑除恶斗争。</w:t>
      </w:r>
      <w:r>
        <w:rPr>
          <w:rFonts w:hint="default" w:ascii="Times New Roman" w:hAnsi="Times New Roman" w:eastAsia="方正仿宋_GBK" w:cs="Times New Roman"/>
          <w:sz w:val="32"/>
          <w:szCs w:val="32"/>
        </w:rPr>
        <w:t>强化摸排，重拳出击，组织有关成员</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召开扫黑除恶斗争工作会议5次，开展集中宣传1次，开展专项督导2次，制发“三书一函”15份，推动各行业领域责任</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进一步提升监管水平，确保行业领域乱点乱象得到有效整治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辖区违法犯罪得到有力打击遏制，行业乱点乱象得到有效治理，群众满意度持续提升。</w:t>
      </w:r>
    </w:p>
    <w:p w14:paraId="2B4FB79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方正仿宋_GBK" w:cs="Times New Roman"/>
          <w:b/>
          <w:bCs/>
          <w:sz w:val="32"/>
          <w:szCs w:val="32"/>
        </w:rPr>
        <w:t>推进队伍建设，锻造政法铁军呈现新面貌。一是坚持从严治警。</w:t>
      </w:r>
      <w:r>
        <w:rPr>
          <w:rFonts w:hint="default" w:ascii="Times New Roman" w:hAnsi="Times New Roman" w:eastAsia="方正仿宋_GBK" w:cs="Times New Roman"/>
          <w:sz w:val="32"/>
          <w:szCs w:val="32"/>
        </w:rPr>
        <w:t>以开展党纪学习教育工作和“大抓落实年”为契机，全力推进政法干警作风建设，深入学习《重大经济事项决策规定（试行）》《领导干部违规插手干预重大事项记录和报告办法（试行）》等文件，开展年轻干部思想动态和工作状态分析，认真落实经常性谈心谈话制度。深入开展涉企执法突出问题专项整治工作、群众身边不正之风和腐败问题集中整治工作，组织委机关全体党员干部围绕“以案促改”教训、“一岗双责”履行情况等方面开展谈心交心18人次，及时掌握干部职工思想动态，对照亲清政商交往突出问题专项整治重点和政商交往正负面清单进行自查。</w:t>
      </w:r>
      <w:r>
        <w:rPr>
          <w:rFonts w:hint="default" w:ascii="Times New Roman" w:hAnsi="Times New Roman" w:eastAsia="方正仿宋_GBK" w:cs="Times New Roman"/>
          <w:b/>
          <w:bCs/>
          <w:sz w:val="32"/>
          <w:szCs w:val="32"/>
        </w:rPr>
        <w:t>二是坚持担当强警。</w:t>
      </w:r>
      <w:r>
        <w:rPr>
          <w:rFonts w:hint="default" w:ascii="Times New Roman" w:hAnsi="Times New Roman" w:eastAsia="方正仿宋_GBK" w:cs="Times New Roman"/>
          <w:sz w:val="32"/>
          <w:szCs w:val="32"/>
        </w:rPr>
        <w:t>加强岗位练兵、技能比武，注重实战淬炼，全周期递进式“育”人，打造政法系统全周期全链条全类别人才培养体系，系统实施“红色薪火工程”“青励工程”“青为工程”“领军工程”，为政法法事业长远发展储备专业人才。依托上挂下派、一线锻炼、师徒结对、以案代训、跟班学习等平台和途径，加大政法系统优秀年轻干部培养锻炼力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bCs/>
          <w:sz w:val="32"/>
          <w:szCs w:val="32"/>
        </w:rPr>
        <w:t>三是坚持从优待警。</w:t>
      </w:r>
      <w:r>
        <w:rPr>
          <w:rFonts w:hint="default" w:ascii="Times New Roman" w:hAnsi="Times New Roman" w:eastAsia="方正仿宋_GBK" w:cs="Times New Roman"/>
          <w:sz w:val="32"/>
          <w:szCs w:val="32"/>
        </w:rPr>
        <w:t>加强政法系统干部的统筹协调和管理，加强与组织、人社部门的沟通，选优配强政法班子；派员参加政法</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聘用制人员招考工作，加强西区政法系统区管干部的统筹协调和管理。进一步落实从优待警政策，举办政法系统家庭教育讲座，引导干警树立正确的家庭教育理念，构建和谐亲子关系。有序开展“温馨家访”关爱提升行动， 87名干警、18个集体荣获表彰奖励，为9名退休政法干警举行荣誉退休仪式，队伍凝聚力不断增强</w:t>
      </w:r>
      <w:r>
        <w:rPr>
          <w:rFonts w:hint="eastAsia" w:ascii="Times New Roman" w:hAnsi="Times New Roman" w:eastAsia="仿宋_GB2312" w:cs="仿宋_GB2312"/>
          <w:color w:val="auto"/>
          <w:kern w:val="2"/>
          <w:sz w:val="32"/>
          <w:szCs w:val="32"/>
          <w:highlight w:val="none"/>
          <w:lang w:val="zh-CN" w:eastAsia="zh-CN" w:bidi="ar-SA"/>
        </w:rPr>
        <w:t>。</w:t>
      </w:r>
    </w:p>
    <w:p w14:paraId="0D9BB9C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方正仿宋_GBK" w:cs="Times New Roman"/>
          <w:sz w:val="32"/>
          <w:szCs w:val="32"/>
        </w:rPr>
        <w:t>2024年区委政法委严格按照区财政局预算编制通知和有关要求，按时按质完成报送决算编制等工作，并按时提交部门预算编制草案，不存在应编、未编、错误列编，区财政局根据预算编制草案，进行审核，批复2024年部门预算收入527.18万元，其中：工资福利支出412.84万元、日常公用支出43.34万元、项目支出71万元</w:t>
      </w:r>
      <w:r>
        <w:rPr>
          <w:rFonts w:hint="eastAsia" w:ascii="Times New Roman" w:hAnsi="Times New Roman" w:eastAsia="仿宋_GB2312" w:cs="仿宋_GB2312"/>
          <w:color w:val="auto"/>
          <w:kern w:val="2"/>
          <w:sz w:val="32"/>
          <w:szCs w:val="32"/>
          <w:highlight w:val="none"/>
          <w:lang w:val="zh-CN" w:eastAsia="zh-CN" w:bidi="ar-SA"/>
        </w:rPr>
        <w:t>。</w:t>
      </w:r>
    </w:p>
    <w:p w14:paraId="2CD0054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方正仿宋_GBK" w:cs="Times New Roman"/>
          <w:color w:val="000000"/>
          <w:kern w:val="0"/>
          <w:sz w:val="32"/>
          <w:szCs w:val="32"/>
          <w:shd w:val="clear" w:color="auto" w:fill="FFFFFF"/>
          <w:lang w:val="zh-CN"/>
        </w:rPr>
        <w:t>建立健全了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r>
        <w:rPr>
          <w:rFonts w:hint="eastAsia" w:ascii="Times New Roman" w:hAnsi="Times New Roman" w:eastAsia="仿宋_GB2312" w:cs="仿宋_GB2312"/>
          <w:color w:val="auto"/>
          <w:kern w:val="2"/>
          <w:sz w:val="32"/>
          <w:szCs w:val="32"/>
          <w:highlight w:val="none"/>
          <w:lang w:val="zh-CN" w:eastAsia="zh-CN" w:bidi="ar-SA"/>
        </w:rPr>
        <w:t>。</w:t>
      </w:r>
    </w:p>
    <w:p w14:paraId="31BB212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方正仿宋_GBK" w:cs="Times New Roman"/>
          <w:color w:val="000000"/>
          <w:kern w:val="0"/>
          <w:sz w:val="32"/>
          <w:szCs w:val="32"/>
          <w:shd w:val="clear" w:color="auto" w:fill="FFFFFF"/>
          <w:lang w:val="zh-CN"/>
        </w:rPr>
        <w:t>高度重视闲置资产管理，建立动态清查机制，定期梳理闲置资产明细，通过内部调剂、共享使用等方式，将闲置设备、办公用品等调配至需求科室。同时，在资产系统内对固定资产及状态及时进行更新，优化资源配置，显著提升资产利用率，有效避免资源浪费，为机关高效运转提供有力保障</w:t>
      </w:r>
      <w:r>
        <w:rPr>
          <w:rFonts w:hint="eastAsia" w:ascii="Times New Roman" w:hAnsi="Times New Roman" w:eastAsia="仿宋_GB2312" w:cs="仿宋_GB2312"/>
          <w:color w:val="auto"/>
          <w:kern w:val="2"/>
          <w:sz w:val="32"/>
          <w:szCs w:val="32"/>
          <w:highlight w:val="none"/>
          <w:lang w:val="zh-CN" w:eastAsia="zh-CN" w:bidi="ar-SA"/>
        </w:rPr>
        <w:t>。</w:t>
      </w:r>
    </w:p>
    <w:p w14:paraId="19CC05C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方正仿宋_GBK" w:cs="Times New Roman"/>
          <w:color w:val="000000"/>
          <w:kern w:val="0"/>
          <w:sz w:val="32"/>
          <w:szCs w:val="32"/>
          <w:shd w:val="clear" w:color="auto" w:fill="FFFFFF"/>
          <w:lang w:val="zh-CN"/>
        </w:rPr>
        <w:t>严格按照采购管理文件要求执行，采购前精准预算编制，结合实际需求科学规划；采购中坚持公开透明，严格执行采购程序；采购后加强验收与监督，确保物资质量达标，同时强化档案管理，保障采购全程留痕、规范有序</w:t>
      </w:r>
      <w:r>
        <w:rPr>
          <w:rFonts w:hint="eastAsia" w:ascii="Times New Roman" w:hAnsi="Times New Roman" w:eastAsia="仿宋_GB2312" w:cs="仿宋_GB2312"/>
          <w:color w:val="auto"/>
          <w:kern w:val="2"/>
          <w:sz w:val="32"/>
          <w:szCs w:val="32"/>
          <w:highlight w:val="none"/>
          <w:lang w:val="zh-CN" w:eastAsia="zh-CN" w:bidi="ar-SA"/>
        </w:rPr>
        <w:t>。</w:t>
      </w:r>
    </w:p>
    <w:p w14:paraId="32EF6DB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w:t>
      </w:r>
      <w:r>
        <w:rPr>
          <w:rFonts w:hint="eastAsia" w:eastAsia="楷体_GB2312" w:cs="Times New Roman"/>
          <w:b/>
          <w:bCs/>
          <w:color w:val="000000"/>
          <w:kern w:val="0"/>
          <w:sz w:val="32"/>
          <w:szCs w:val="32"/>
          <w:highlight w:val="none"/>
          <w:shd w:val="clear" w:color="auto" w:fill="FFFFFF"/>
          <w:lang w:val="zh-CN"/>
        </w:rPr>
        <w:t>部门</w:t>
      </w:r>
      <w:r>
        <w:rPr>
          <w:rFonts w:hint="default" w:ascii="Times New Roman" w:hAnsi="Times New Roman" w:eastAsia="楷体_GB2312" w:cs="Times New Roman"/>
          <w:b/>
          <w:bCs/>
          <w:color w:val="000000"/>
          <w:kern w:val="0"/>
          <w:sz w:val="32"/>
          <w:szCs w:val="32"/>
          <w:highlight w:val="none"/>
          <w:shd w:val="clear" w:color="auto" w:fill="FFFFFF"/>
          <w:lang w:val="zh-CN"/>
        </w:rPr>
        <w:t>预算项目绩效分析。</w:t>
      </w:r>
      <w:r>
        <w:rPr>
          <w:rFonts w:hint="eastAsia" w:ascii="Times New Roman" w:hAnsi="Times New Roman" w:eastAsia="仿宋_GB2312" w:cs="仿宋_GB2312"/>
          <w:color w:val="auto"/>
          <w:kern w:val="2"/>
          <w:sz w:val="32"/>
          <w:szCs w:val="32"/>
          <w:highlight w:val="none"/>
          <w:lang w:val="zh-CN" w:eastAsia="zh-CN" w:bidi="ar-SA"/>
        </w:rPr>
        <w:t>填报以下数据，并</w:t>
      </w:r>
      <w:r>
        <w:rPr>
          <w:rFonts w:hint="default" w:ascii="Times New Roman" w:hAnsi="Times New Roman" w:eastAsia="仿宋_GB2312" w:cs="仿宋_GB2312"/>
          <w:color w:val="auto"/>
          <w:kern w:val="2"/>
          <w:sz w:val="32"/>
          <w:szCs w:val="32"/>
          <w:highlight w:val="none"/>
          <w:lang w:val="zh-CN" w:eastAsia="zh-CN" w:bidi="ar-SA"/>
        </w:rPr>
        <w:t>根据</w:t>
      </w:r>
      <w:r>
        <w:rPr>
          <w:rFonts w:hint="eastAsia" w:eastAsia="仿宋_GB2312" w:cs="仿宋_GB2312"/>
          <w:color w:val="auto"/>
          <w:kern w:val="2"/>
          <w:sz w:val="32"/>
          <w:szCs w:val="32"/>
          <w:highlight w:val="none"/>
          <w:lang w:val="zh-CN" w:eastAsia="zh-CN" w:bidi="ar-SA"/>
        </w:rPr>
        <w:t>部门</w:t>
      </w:r>
      <w:r>
        <w:rPr>
          <w:rFonts w:hint="default" w:ascii="Times New Roman" w:hAnsi="Times New Roman" w:eastAsia="仿宋_GB2312" w:cs="仿宋_GB2312"/>
          <w:color w:val="auto"/>
          <w:kern w:val="2"/>
          <w:sz w:val="32"/>
          <w:szCs w:val="32"/>
          <w:highlight w:val="none"/>
          <w:lang w:val="zh-CN" w:eastAsia="zh-CN" w:bidi="ar-SA"/>
        </w:rPr>
        <w:t>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项目绩效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，依次包括项目</w:t>
      </w:r>
      <w:r>
        <w:rPr>
          <w:rFonts w:hint="default" w:ascii="Times New Roman" w:hAnsi="Times New Roman" w:eastAsia="仿宋_GB2312" w:cs="仿宋_GB2312"/>
          <w:color w:val="auto"/>
          <w:kern w:val="2"/>
          <w:sz w:val="32"/>
          <w:szCs w:val="32"/>
          <w:highlight w:val="none"/>
          <w:lang w:val="en-US" w:eastAsia="zh-CN" w:bidi="ar-SA"/>
        </w:rPr>
        <w:t>决策、项目执行、目标实现等情况</w:t>
      </w:r>
      <w:r>
        <w:rPr>
          <w:rFonts w:hint="eastAsia" w:ascii="Times New Roman" w:hAnsi="Times New Roman" w:eastAsia="仿宋_GB2312" w:cs="仿宋_GB2312"/>
          <w:color w:val="auto"/>
          <w:kern w:val="2"/>
          <w:sz w:val="32"/>
          <w:szCs w:val="32"/>
          <w:highlight w:val="none"/>
          <w:lang w:val="en-US" w:eastAsia="zh-CN" w:bidi="ar-SA"/>
        </w:rPr>
        <w:t>。</w:t>
      </w:r>
    </w:p>
    <w:p w14:paraId="1E6995E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方正仿宋_GBK" w:cs="Times New Roman"/>
          <w:color w:val="000000"/>
          <w:kern w:val="0"/>
          <w:sz w:val="32"/>
          <w:szCs w:val="32"/>
          <w:shd w:val="clear" w:color="auto" w:fill="FFFFFF"/>
        </w:rPr>
        <w:t>常年项目绩效分析。</w:t>
      </w:r>
      <w:r>
        <w:rPr>
          <w:rFonts w:hint="default" w:ascii="Times New Roman" w:hAnsi="Times New Roman" w:eastAsia="方正仿宋_GBK" w:cs="Times New Roman"/>
          <w:color w:val="000000"/>
          <w:kern w:val="0"/>
          <w:sz w:val="32"/>
          <w:szCs w:val="32"/>
          <w:shd w:val="clear" w:color="auto" w:fill="FFFFFF"/>
          <w:lang w:val="zh-CN"/>
        </w:rPr>
        <w:t>该类项目总数</w:t>
      </w:r>
      <w:r>
        <w:rPr>
          <w:rFonts w:hint="default" w:ascii="Times New Roman" w:hAnsi="Times New Roman" w:eastAsia="方正仿宋_GBK" w:cs="Times New Roman"/>
          <w:color w:val="000000"/>
          <w:kern w:val="0"/>
          <w:sz w:val="32"/>
          <w:szCs w:val="32"/>
          <w:shd w:val="clear" w:color="auto" w:fill="FFFFFF"/>
        </w:rPr>
        <w:t>7</w:t>
      </w:r>
      <w:r>
        <w:rPr>
          <w:rFonts w:hint="default" w:ascii="Times New Roman" w:hAnsi="Times New Roman" w:eastAsia="方正仿宋_GBK" w:cs="Times New Roman"/>
          <w:color w:val="000000"/>
          <w:kern w:val="0"/>
          <w:sz w:val="32"/>
          <w:szCs w:val="32"/>
          <w:shd w:val="clear" w:color="auto" w:fill="FFFFFF"/>
          <w:lang w:val="zh-CN"/>
        </w:rPr>
        <w:t>个，涉及预算总金额</w:t>
      </w:r>
      <w:r>
        <w:rPr>
          <w:rFonts w:hint="default" w:ascii="Times New Roman" w:hAnsi="Times New Roman" w:eastAsia="方正仿宋_GBK" w:cs="Times New Roman"/>
          <w:color w:val="000000"/>
          <w:kern w:val="0"/>
          <w:sz w:val="32"/>
          <w:szCs w:val="32"/>
          <w:shd w:val="clear" w:color="auto" w:fill="FFFFFF"/>
        </w:rPr>
        <w:t>152.95</w:t>
      </w:r>
      <w:r>
        <w:rPr>
          <w:rFonts w:hint="default" w:ascii="Times New Roman" w:hAnsi="Times New Roman" w:eastAsia="方正仿宋_GBK" w:cs="Times New Roman"/>
          <w:color w:val="000000"/>
          <w:kern w:val="0"/>
          <w:sz w:val="32"/>
          <w:szCs w:val="32"/>
          <w:shd w:val="clear" w:color="auto" w:fill="FFFFFF"/>
          <w:lang w:val="zh-CN"/>
        </w:rPr>
        <w:t>万元，1—1</w:t>
      </w:r>
      <w:r>
        <w:rPr>
          <w:rFonts w:hint="default" w:ascii="Times New Roman" w:hAnsi="Times New Roman" w:eastAsia="方正仿宋_GBK" w:cs="Times New Roman"/>
          <w:color w:val="000000"/>
          <w:kern w:val="0"/>
          <w:sz w:val="32"/>
          <w:szCs w:val="32"/>
          <w:shd w:val="clear" w:color="auto" w:fill="FFFFFF"/>
        </w:rPr>
        <w:t>2</w:t>
      </w:r>
      <w:r>
        <w:rPr>
          <w:rFonts w:hint="default" w:ascii="Times New Roman" w:hAnsi="Times New Roman" w:eastAsia="方正仿宋_GBK" w:cs="Times New Roman"/>
          <w:color w:val="000000"/>
          <w:kern w:val="0"/>
          <w:sz w:val="32"/>
          <w:szCs w:val="32"/>
          <w:shd w:val="clear" w:color="auto" w:fill="FFFFFF"/>
          <w:lang w:val="zh-CN"/>
        </w:rPr>
        <w:t>月预算执行总体进度为</w:t>
      </w:r>
      <w:r>
        <w:rPr>
          <w:rFonts w:hint="default" w:ascii="Times New Roman" w:hAnsi="Times New Roman" w:eastAsia="方正仿宋_GBK" w:cs="Times New Roman"/>
          <w:color w:val="000000"/>
          <w:kern w:val="0"/>
          <w:sz w:val="32"/>
          <w:szCs w:val="32"/>
          <w:shd w:val="clear" w:color="auto" w:fill="FFFFFF"/>
        </w:rPr>
        <w:t>100</w:t>
      </w:r>
      <w:r>
        <w:rPr>
          <w:rFonts w:hint="default" w:ascii="Times New Roman" w:hAnsi="Times New Roman" w:eastAsia="方正仿宋_GBK" w:cs="Times New Roman"/>
          <w:color w:val="000000"/>
          <w:kern w:val="0"/>
          <w:sz w:val="32"/>
          <w:szCs w:val="32"/>
          <w:shd w:val="clear" w:color="auto" w:fill="FFFFFF"/>
          <w:lang w:val="zh-CN"/>
        </w:rPr>
        <w:t>%，其中：预算结余率大于</w:t>
      </w:r>
      <w:r>
        <w:rPr>
          <w:rFonts w:hint="default" w:ascii="Times New Roman" w:hAnsi="Times New Roman" w:eastAsia="方正仿宋_GBK" w:cs="Times New Roman"/>
          <w:color w:val="000000"/>
          <w:kern w:val="0"/>
          <w:sz w:val="32"/>
          <w:szCs w:val="32"/>
          <w:shd w:val="clear" w:color="auto" w:fill="FFFFFF"/>
        </w:rPr>
        <w:t>10%</w:t>
      </w:r>
      <w:r>
        <w:rPr>
          <w:rFonts w:hint="default" w:ascii="Times New Roman" w:hAnsi="Times New Roman" w:eastAsia="方正仿宋_GBK" w:cs="Times New Roman"/>
          <w:color w:val="000000"/>
          <w:kern w:val="0"/>
          <w:sz w:val="32"/>
          <w:szCs w:val="32"/>
          <w:shd w:val="clear" w:color="auto" w:fill="FFFFFF"/>
          <w:lang w:val="zh-CN"/>
        </w:rPr>
        <w:t>的项目共计</w:t>
      </w:r>
      <w:r>
        <w:rPr>
          <w:rFonts w:hint="default" w:ascii="Times New Roman" w:hAnsi="Times New Roman" w:eastAsia="方正仿宋_GBK" w:cs="Times New Roman"/>
          <w:color w:val="000000"/>
          <w:kern w:val="0"/>
          <w:sz w:val="32"/>
          <w:szCs w:val="32"/>
          <w:shd w:val="clear" w:color="auto" w:fill="FFFFFF"/>
        </w:rPr>
        <w:t>0</w:t>
      </w:r>
      <w:r>
        <w:rPr>
          <w:rFonts w:hint="default" w:ascii="Times New Roman" w:hAnsi="Times New Roman" w:eastAsia="方正仿宋_GBK" w:cs="Times New Roman"/>
          <w:color w:val="000000"/>
          <w:kern w:val="0"/>
          <w:sz w:val="32"/>
          <w:szCs w:val="32"/>
          <w:shd w:val="clear" w:color="auto" w:fill="FFFFFF"/>
          <w:lang w:val="zh-CN"/>
        </w:rPr>
        <w:t>个</w:t>
      </w:r>
      <w:r>
        <w:rPr>
          <w:rFonts w:hint="default" w:ascii="Times New Roman" w:hAnsi="Times New Roman" w:eastAsia="仿宋_GB2312" w:cs="仿宋_GB2312"/>
          <w:color w:val="auto"/>
          <w:kern w:val="2"/>
          <w:sz w:val="32"/>
          <w:szCs w:val="32"/>
          <w:highlight w:val="none"/>
          <w:lang w:val="zh-CN" w:eastAsia="zh-CN" w:bidi="ar-SA"/>
        </w:rPr>
        <w:t>。</w:t>
      </w:r>
    </w:p>
    <w:p w14:paraId="1B903F4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方正仿宋_GBK" w:cs="Times New Roman"/>
          <w:color w:val="000000"/>
          <w:kern w:val="0"/>
          <w:sz w:val="32"/>
          <w:szCs w:val="32"/>
          <w:shd w:val="clear" w:color="auto" w:fill="FFFFFF"/>
        </w:rPr>
        <w:t>阶段（含一次性）项目绩效分析。</w:t>
      </w:r>
      <w:r>
        <w:rPr>
          <w:rFonts w:hint="default" w:ascii="Times New Roman" w:hAnsi="Times New Roman" w:eastAsia="方正仿宋_GBK" w:cs="Times New Roman"/>
          <w:color w:val="000000"/>
          <w:kern w:val="0"/>
          <w:sz w:val="32"/>
          <w:szCs w:val="32"/>
          <w:shd w:val="clear" w:color="auto" w:fill="FFFFFF"/>
          <w:lang w:val="zh-CN"/>
        </w:rPr>
        <w:t>该类项目总数</w:t>
      </w:r>
      <w:r>
        <w:rPr>
          <w:rFonts w:hint="default" w:ascii="Times New Roman" w:hAnsi="Times New Roman" w:eastAsia="方正仿宋_GBK" w:cs="Times New Roman"/>
          <w:color w:val="000000"/>
          <w:kern w:val="0"/>
          <w:sz w:val="32"/>
          <w:szCs w:val="32"/>
          <w:shd w:val="clear" w:color="auto" w:fill="FFFFFF"/>
        </w:rPr>
        <w:t>7</w:t>
      </w:r>
      <w:r>
        <w:rPr>
          <w:rFonts w:hint="default" w:ascii="Times New Roman" w:hAnsi="Times New Roman" w:eastAsia="方正仿宋_GBK" w:cs="Times New Roman"/>
          <w:color w:val="000000"/>
          <w:kern w:val="0"/>
          <w:sz w:val="32"/>
          <w:szCs w:val="32"/>
          <w:shd w:val="clear" w:color="auto" w:fill="FFFFFF"/>
          <w:lang w:val="zh-CN"/>
        </w:rPr>
        <w:t>个，涉及预算总金额</w:t>
      </w:r>
      <w:r>
        <w:rPr>
          <w:rFonts w:hint="default" w:ascii="Times New Roman" w:hAnsi="Times New Roman" w:eastAsia="方正仿宋_GBK" w:cs="Times New Roman"/>
          <w:color w:val="000000"/>
          <w:kern w:val="0"/>
          <w:sz w:val="32"/>
          <w:szCs w:val="32"/>
          <w:shd w:val="clear" w:color="auto" w:fill="FFFFFF"/>
        </w:rPr>
        <w:t>152.95</w:t>
      </w:r>
      <w:r>
        <w:rPr>
          <w:rFonts w:hint="default" w:ascii="Times New Roman" w:hAnsi="Times New Roman" w:eastAsia="方正仿宋_GBK" w:cs="Times New Roman"/>
          <w:color w:val="000000"/>
          <w:kern w:val="0"/>
          <w:sz w:val="32"/>
          <w:szCs w:val="32"/>
          <w:shd w:val="clear" w:color="auto" w:fill="FFFFFF"/>
          <w:lang w:val="zh-CN"/>
        </w:rPr>
        <w:t>万元，1—1</w:t>
      </w:r>
      <w:r>
        <w:rPr>
          <w:rFonts w:hint="default" w:ascii="Times New Roman" w:hAnsi="Times New Roman" w:eastAsia="方正仿宋_GBK" w:cs="Times New Roman"/>
          <w:color w:val="000000"/>
          <w:kern w:val="0"/>
          <w:sz w:val="32"/>
          <w:szCs w:val="32"/>
          <w:shd w:val="clear" w:color="auto" w:fill="FFFFFF"/>
        </w:rPr>
        <w:t>2</w:t>
      </w:r>
      <w:r>
        <w:rPr>
          <w:rFonts w:hint="default" w:ascii="Times New Roman" w:hAnsi="Times New Roman" w:eastAsia="方正仿宋_GBK" w:cs="Times New Roman"/>
          <w:color w:val="000000"/>
          <w:kern w:val="0"/>
          <w:sz w:val="32"/>
          <w:szCs w:val="32"/>
          <w:shd w:val="clear" w:color="auto" w:fill="FFFFFF"/>
          <w:lang w:val="zh-CN"/>
        </w:rPr>
        <w:t>月预算执行总体进度为</w:t>
      </w:r>
      <w:r>
        <w:rPr>
          <w:rFonts w:hint="default" w:ascii="Times New Roman" w:hAnsi="Times New Roman" w:eastAsia="方正仿宋_GBK" w:cs="Times New Roman"/>
          <w:color w:val="000000"/>
          <w:kern w:val="0"/>
          <w:sz w:val="32"/>
          <w:szCs w:val="32"/>
          <w:shd w:val="clear" w:color="auto" w:fill="FFFFFF"/>
        </w:rPr>
        <w:t>100</w:t>
      </w:r>
      <w:r>
        <w:rPr>
          <w:rFonts w:hint="default" w:ascii="Times New Roman" w:hAnsi="Times New Roman" w:eastAsia="方正仿宋_GBK" w:cs="Times New Roman"/>
          <w:color w:val="000000"/>
          <w:kern w:val="0"/>
          <w:sz w:val="32"/>
          <w:szCs w:val="32"/>
          <w:shd w:val="clear" w:color="auto" w:fill="FFFFFF"/>
          <w:lang w:val="zh-CN"/>
        </w:rPr>
        <w:t>%，其中：预算结余率大于</w:t>
      </w:r>
      <w:r>
        <w:rPr>
          <w:rFonts w:hint="default" w:ascii="Times New Roman" w:hAnsi="Times New Roman" w:eastAsia="方正仿宋_GBK" w:cs="Times New Roman"/>
          <w:color w:val="000000"/>
          <w:kern w:val="0"/>
          <w:sz w:val="32"/>
          <w:szCs w:val="32"/>
          <w:shd w:val="clear" w:color="auto" w:fill="FFFFFF"/>
        </w:rPr>
        <w:t>10%</w:t>
      </w:r>
      <w:r>
        <w:rPr>
          <w:rFonts w:hint="default" w:ascii="Times New Roman" w:hAnsi="Times New Roman" w:eastAsia="方正仿宋_GBK" w:cs="Times New Roman"/>
          <w:color w:val="000000"/>
          <w:kern w:val="0"/>
          <w:sz w:val="32"/>
          <w:szCs w:val="32"/>
          <w:shd w:val="clear" w:color="auto" w:fill="FFFFFF"/>
          <w:lang w:val="zh-CN"/>
        </w:rPr>
        <w:t>的项目共计</w:t>
      </w:r>
      <w:r>
        <w:rPr>
          <w:rFonts w:hint="default" w:ascii="Times New Roman" w:hAnsi="Times New Roman" w:eastAsia="方正仿宋_GBK" w:cs="Times New Roman"/>
          <w:color w:val="000000"/>
          <w:kern w:val="0"/>
          <w:sz w:val="32"/>
          <w:szCs w:val="32"/>
          <w:shd w:val="clear" w:color="auto" w:fill="FFFFFF"/>
        </w:rPr>
        <w:t>0</w:t>
      </w:r>
      <w:r>
        <w:rPr>
          <w:rFonts w:hint="default" w:ascii="Times New Roman" w:hAnsi="Times New Roman" w:eastAsia="方正仿宋_GBK" w:cs="Times New Roman"/>
          <w:color w:val="000000"/>
          <w:kern w:val="0"/>
          <w:sz w:val="32"/>
          <w:szCs w:val="32"/>
          <w:shd w:val="clear" w:color="auto" w:fill="FFFFFF"/>
          <w:lang w:val="zh-CN"/>
        </w:rPr>
        <w:t>个</w:t>
      </w:r>
      <w:r>
        <w:rPr>
          <w:rFonts w:hint="default" w:ascii="Times New Roman" w:hAnsi="Times New Roman" w:eastAsia="仿宋_GB2312" w:cs="仿宋_GB2312"/>
          <w:color w:val="auto"/>
          <w:kern w:val="2"/>
          <w:sz w:val="32"/>
          <w:szCs w:val="32"/>
          <w:highlight w:val="none"/>
          <w:lang w:val="zh-CN" w:eastAsia="zh-CN" w:bidi="ar-SA"/>
        </w:rPr>
        <w:t>。</w:t>
      </w:r>
    </w:p>
    <w:p w14:paraId="1028955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项目决策。</w:t>
      </w:r>
      <w:r>
        <w:rPr>
          <w:rFonts w:hint="default" w:ascii="Times New Roman" w:hAnsi="Times New Roman" w:eastAsia="方正仿宋_GBK" w:cs="Times New Roman"/>
          <w:color w:val="000000"/>
          <w:kern w:val="0"/>
          <w:sz w:val="32"/>
          <w:szCs w:val="32"/>
          <w:shd w:val="clear" w:color="auto" w:fill="FFFFFF"/>
        </w:rPr>
        <w:t>以2024工作安排为参考，以2024年工作计划为依据，以不断提高服务对象满意度，及时发现工作存在的问题，提升服务质量，提高政策知晓率。投入成本与预期产出及效果相匹配，成本测算依据充分。同时在支出过程中，严格履行政府采购程序，合理控制成本，确保资金投入与支出比例合理。当年实际支出622.94万元，执行率100%</w:t>
      </w:r>
      <w:r>
        <w:rPr>
          <w:rFonts w:hint="eastAsia" w:ascii="Times New Roman" w:hAnsi="Times New Roman" w:eastAsia="仿宋_GB2312" w:cs="仿宋_GB2312"/>
          <w:color w:val="auto"/>
          <w:kern w:val="2"/>
          <w:sz w:val="32"/>
          <w:szCs w:val="32"/>
          <w:highlight w:val="none"/>
          <w:lang w:val="zh-CN" w:eastAsia="zh-CN" w:bidi="ar-SA"/>
        </w:rPr>
        <w:t>。</w:t>
      </w:r>
    </w:p>
    <w:p w14:paraId="2166E94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方正仿宋_GBK" w:cs="Times New Roman"/>
          <w:color w:val="000000"/>
          <w:kern w:val="0"/>
          <w:sz w:val="32"/>
          <w:szCs w:val="32"/>
          <w:shd w:val="clear" w:color="auto" w:fill="FFFFFF"/>
        </w:rPr>
        <w:t>项目实施期限主为2024年1月至12月，由区委政法委申报，区财政局审核批复，主要用于保障社会治安防控专项工作经费、扫黑除恶专项经费、维稳工作经费、平安建设专项经费等各项工作开展，加强项目实施过程中的监督审核，建立健全财政专项资金的公开机制、评审机制、跟踪检查机制，确保财政资金安全高效使用</w:t>
      </w:r>
      <w:r>
        <w:rPr>
          <w:rFonts w:hint="eastAsia" w:ascii="Times New Roman" w:hAnsi="Times New Roman" w:eastAsia="仿宋_GB2312" w:cs="仿宋_GB2312"/>
          <w:color w:val="auto"/>
          <w:kern w:val="2"/>
          <w:sz w:val="32"/>
          <w:szCs w:val="32"/>
          <w:highlight w:val="none"/>
          <w:lang w:val="zh-CN" w:eastAsia="zh-CN" w:bidi="ar-SA"/>
        </w:rPr>
        <w:t>。</w:t>
      </w:r>
    </w:p>
    <w:p w14:paraId="416835E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r>
        <w:rPr>
          <w:rFonts w:hint="default" w:ascii="Times New Roman" w:hAnsi="Times New Roman" w:eastAsia="方正仿宋_GBK" w:cs="Times New Roman"/>
          <w:sz w:val="32"/>
          <w:szCs w:val="32"/>
        </w:rPr>
        <w:t>2024年区委政法委预算资金622.94万元由区财政局纳入一体化管理平台统一管理，专款专用，资金拨付执行审批程序，使用规范，入账手续齐全</w:t>
      </w:r>
      <w:r>
        <w:rPr>
          <w:rFonts w:hint="eastAsia" w:ascii="Times New Roman" w:hAnsi="Times New Roman" w:eastAsia="仿宋_GB2312" w:cs="仿宋_GB2312"/>
          <w:color w:val="auto"/>
          <w:kern w:val="2"/>
          <w:sz w:val="32"/>
          <w:szCs w:val="32"/>
          <w:highlight w:val="none"/>
          <w:lang w:val="zh-CN" w:eastAsia="zh-CN" w:bidi="ar-SA"/>
        </w:rPr>
        <w:t>。</w:t>
      </w:r>
    </w:p>
    <w:p w14:paraId="5DAD4D4B">
      <w:pPr>
        <w:keepNext w:val="0"/>
        <w:keepLines w:val="0"/>
        <w:pageBreakBefore w:val="0"/>
        <w:kinsoku/>
        <w:wordWrap/>
        <w:overflowPunct/>
        <w:topLinePunct w:val="0"/>
        <w:autoSpaceDE/>
        <w:autoSpaceDN/>
        <w:bidi w:val="0"/>
        <w:spacing w:line="54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（1）项目的经济效益分析。</w:t>
      </w:r>
    </w:p>
    <w:p w14:paraId="0ED46000">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项工作经费的预算符合国家财经法规和财务管理制度以及有关资金管理办法的规定，资金的拨付报帐有完整的审批程序和手续，资金使用符合项目预算批复，项目开展不超预算成本。严格执行项目管理制度，同时财务人员定期或不定期对资金使用、管理情况进行自查和检查，做到财务会计资料信息真实、及时、完整，资金的拨付有完整的审批程序和手续，各项制度执行落实较好，资金使用较为安全规范。项目开展控制在预算范围内。</w:t>
      </w:r>
    </w:p>
    <w:p w14:paraId="2DF1810A">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（2）项目的社会效益分析。</w:t>
      </w:r>
    </w:p>
    <w:p w14:paraId="1CCA37D8">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坚持围绕中心、服务大局、突出重点、夯实基础，进一步加强作风建设，提升社会治安综合治理的能力和水平，为全区的经济、社会发展、生态环境做出应有贡献，顺利完成工作任务，达到预期目标。</w:t>
      </w:r>
    </w:p>
    <w:p w14:paraId="048630D6">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（3）项目的可持续性分析。</w:t>
      </w:r>
    </w:p>
    <w:p w14:paraId="15C2366A">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方正仿宋_GBK" w:cs="Times New Roman"/>
          <w:sz w:val="32"/>
          <w:szCs w:val="32"/>
        </w:rPr>
        <w:t>2024年度较好地完成了年初制定的工作目标任务，各个项目有序开展，整体支出平稳，较好地实现了社会效益和可持续效益目标。</w:t>
      </w:r>
      <w:r>
        <w:rPr>
          <w:rFonts w:hint="eastAsia" w:ascii="Times New Roman" w:hAnsi="Times New Roman" w:eastAsia="仿宋_GB2312" w:cs="Times New Roman"/>
          <w:sz w:val="32"/>
          <w:szCs w:val="32"/>
          <w:highlight w:val="none"/>
          <w:lang w:val="en-US" w:eastAsia="zh-CN"/>
        </w:rPr>
        <w:t>。</w:t>
      </w:r>
    </w:p>
    <w:p w14:paraId="0CB3F435">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方正仿宋_GBK" w:cs="Times New Roman"/>
          <w:color w:val="000000"/>
          <w:kern w:val="0"/>
          <w:sz w:val="32"/>
          <w:szCs w:val="32"/>
          <w:shd w:val="clear" w:color="auto" w:fill="FFFFFF"/>
          <w:lang w:val="zh-CN"/>
        </w:rPr>
        <w:t>本</w:t>
      </w:r>
      <w:r>
        <w:rPr>
          <w:rFonts w:hint="eastAsia" w:ascii="Times New Roman" w:hAnsi="Times New Roman" w:eastAsia="方正仿宋_GBK" w:cs="Times New Roman"/>
          <w:color w:val="000000"/>
          <w:kern w:val="0"/>
          <w:sz w:val="32"/>
          <w:szCs w:val="32"/>
          <w:shd w:val="clear" w:color="auto" w:fill="FFFFFF"/>
          <w:lang w:val="zh-CN"/>
        </w:rPr>
        <w:t>部门</w:t>
      </w:r>
      <w:r>
        <w:rPr>
          <w:rFonts w:hint="default" w:ascii="Times New Roman" w:hAnsi="Times New Roman" w:eastAsia="方正仿宋_GBK" w:cs="Times New Roman"/>
          <w:color w:val="000000"/>
          <w:kern w:val="0"/>
          <w:sz w:val="32"/>
          <w:szCs w:val="32"/>
          <w:shd w:val="clear" w:color="auto" w:fill="FFFFFF"/>
          <w:lang w:val="zh-CN"/>
        </w:rPr>
        <w:t>所有开支均按照财管管理制度执行，资金的使用严格把关，机关的日常工作运行基本得到保障。绩效评价对全年工作目标起到积极的促进作用。强调部门目标的层层分解与传递以明确岗位职责提高执行力，为明年的工作开展及实施奠定坚实的基础。我</w:t>
      </w:r>
      <w:r>
        <w:rPr>
          <w:rFonts w:hint="eastAsia" w:ascii="Times New Roman" w:hAnsi="Times New Roman" w:eastAsia="方正仿宋_GBK" w:cs="Times New Roman"/>
          <w:color w:val="000000"/>
          <w:kern w:val="0"/>
          <w:sz w:val="32"/>
          <w:szCs w:val="32"/>
          <w:shd w:val="clear" w:color="auto" w:fill="FFFFFF"/>
          <w:lang w:val="zh-CN"/>
        </w:rPr>
        <w:t>部门</w:t>
      </w:r>
      <w:r>
        <w:rPr>
          <w:rFonts w:hint="default" w:ascii="Times New Roman" w:hAnsi="Times New Roman" w:eastAsia="方正仿宋_GBK" w:cs="Times New Roman"/>
          <w:color w:val="000000"/>
          <w:kern w:val="0"/>
          <w:sz w:val="32"/>
          <w:szCs w:val="32"/>
          <w:shd w:val="clear" w:color="auto" w:fill="FFFFFF"/>
          <w:lang w:val="zh-CN"/>
        </w:rPr>
        <w:t>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r>
        <w:rPr>
          <w:rFonts w:hint="eastAsia" w:ascii="Times New Roman" w:hAnsi="Times New Roman" w:eastAsia="仿宋_GB2312" w:cs="Times New Roman"/>
          <w:sz w:val="32"/>
          <w:szCs w:val="32"/>
          <w:highlight w:val="none"/>
          <w:u w:val="none"/>
          <w:lang w:val="zh-CN" w:eastAsia="zh-CN" w:bidi="ar"/>
        </w:rPr>
        <w:t>。</w:t>
      </w:r>
    </w:p>
    <w:p w14:paraId="1CD2350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37201BE">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default" w:ascii="Times New Roman" w:hAnsi="Times New Roman" w:eastAsia="方正仿宋_GBK" w:cs="Times New Roman"/>
          <w:color w:val="000000"/>
          <w:kern w:val="0"/>
          <w:sz w:val="32"/>
          <w:szCs w:val="32"/>
          <w:shd w:val="clear" w:color="auto" w:fill="FFFFFF"/>
        </w:rPr>
        <w:t>2024年区委政法委整体支出绩效自评较科学准确，真实地反映了本</w:t>
      </w:r>
      <w:r>
        <w:rPr>
          <w:rFonts w:hint="eastAsia" w:ascii="Times New Roman" w:hAnsi="Times New Roman" w:eastAsia="方正仿宋_GBK" w:cs="Times New Roman"/>
          <w:color w:val="000000"/>
          <w:kern w:val="0"/>
          <w:sz w:val="32"/>
          <w:szCs w:val="32"/>
          <w:shd w:val="clear" w:color="auto" w:fill="FFFFFF"/>
          <w:lang w:eastAsia="zh-CN"/>
        </w:rPr>
        <w:t>部门</w:t>
      </w:r>
      <w:r>
        <w:rPr>
          <w:rFonts w:hint="default" w:ascii="Times New Roman" w:hAnsi="Times New Roman" w:eastAsia="方正仿宋_GBK" w:cs="Times New Roman"/>
          <w:color w:val="000000"/>
          <w:kern w:val="0"/>
          <w:sz w:val="32"/>
          <w:szCs w:val="32"/>
          <w:shd w:val="clear" w:color="auto" w:fill="FFFFFF"/>
        </w:rPr>
        <w:t>财政收支情况，较好完成年初绩效目标任务，自评优秀。评价得分97分,其中总体绩效62分，项目绩效35分</w:t>
      </w:r>
      <w:r>
        <w:rPr>
          <w:rFonts w:hint="eastAsia" w:ascii="Times New Roman" w:hAnsi="Times New Roman" w:eastAsia="仿宋_GB2312" w:cs="Times New Roman"/>
          <w:sz w:val="32"/>
          <w:szCs w:val="32"/>
          <w:u w:val="none"/>
          <w:lang w:val="en-US" w:eastAsia="zh-CN" w:bidi="ar"/>
        </w:rPr>
        <w:t>。</w:t>
      </w:r>
    </w:p>
    <w:p w14:paraId="1E51BA0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Times New Roman" w:hAnsi="Times New Roman" w:eastAsia="方正仿宋_GBK" w:cs="Times New Roman"/>
          <w:b/>
          <w:sz w:val="32"/>
          <w:szCs w:val="32"/>
        </w:rPr>
        <w:t>一是</w:t>
      </w:r>
      <w:r>
        <w:rPr>
          <w:rFonts w:hint="default" w:ascii="Times New Roman" w:hAnsi="Times New Roman" w:eastAsia="方正仿宋_GBK" w:cs="Times New Roman"/>
          <w:sz w:val="32"/>
          <w:szCs w:val="32"/>
        </w:rPr>
        <w:t>在资金安排和使用上仍有不可预见性：如在预算执行中，有时会因临时新增重要的工作任务或者人员增加发生新的费用，而年初预算时很难精确测算相关支出，导致预算执行中需要追加经费；</w:t>
      </w:r>
      <w:r>
        <w:rPr>
          <w:rFonts w:hint="default" w:ascii="Times New Roman" w:hAnsi="Times New Roman" w:eastAsia="方正仿宋_GBK" w:cs="Times New Roman"/>
          <w:b/>
          <w:sz w:val="32"/>
          <w:szCs w:val="32"/>
        </w:rPr>
        <w:t>二是</w:t>
      </w:r>
      <w:r>
        <w:rPr>
          <w:rFonts w:hint="default" w:ascii="Times New Roman" w:hAnsi="Times New Roman" w:eastAsia="方正仿宋_GBK" w:cs="Times New Roman"/>
          <w:sz w:val="32"/>
          <w:szCs w:val="32"/>
        </w:rPr>
        <w:t>因为个别专项工作需按照上级部门安排部署开展，本年度无法完成，导致项目资金结转下年</w:t>
      </w:r>
      <w:r>
        <w:rPr>
          <w:rFonts w:hint="eastAsia" w:ascii="Times New Roman" w:hAnsi="Times New Roman" w:eastAsia="仿宋_GB2312" w:cs="Times New Roman"/>
          <w:sz w:val="32"/>
          <w:szCs w:val="32"/>
          <w:u w:val="none"/>
          <w:lang w:val="en-US" w:eastAsia="zh-CN" w:bidi="ar"/>
        </w:rPr>
        <w:t>。</w:t>
      </w:r>
    </w:p>
    <w:p w14:paraId="581D51E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u w:val="none"/>
          <w:lang w:val="en"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8" w:name="_Hlk110546638"/>
      <w:r>
        <w:rPr>
          <w:rFonts w:hint="default" w:ascii="Times New Roman" w:hAnsi="Times New Roman" w:eastAsia="方正仿宋_GBK" w:cs="Times New Roman"/>
          <w:color w:val="000000"/>
          <w:kern w:val="0"/>
          <w:sz w:val="32"/>
          <w:szCs w:val="32"/>
          <w:shd w:val="clear" w:color="auto" w:fill="FFFFFF"/>
        </w:rPr>
        <w:t>进一步完善和加强</w:t>
      </w:r>
      <w:r>
        <w:rPr>
          <w:rFonts w:hint="eastAsia" w:ascii="Times New Roman" w:hAnsi="Times New Roman" w:eastAsia="方正仿宋_GBK" w:cs="Times New Roman"/>
          <w:color w:val="000000"/>
          <w:kern w:val="0"/>
          <w:sz w:val="32"/>
          <w:szCs w:val="32"/>
          <w:shd w:val="clear" w:color="auto" w:fill="FFFFFF"/>
          <w:lang w:eastAsia="zh-CN"/>
        </w:rPr>
        <w:t>部门</w:t>
      </w:r>
      <w:r>
        <w:rPr>
          <w:rFonts w:hint="default" w:ascii="Times New Roman" w:hAnsi="Times New Roman" w:eastAsia="方正仿宋_GBK" w:cs="Times New Roman"/>
          <w:color w:val="000000"/>
          <w:kern w:val="0"/>
          <w:sz w:val="32"/>
          <w:szCs w:val="32"/>
          <w:shd w:val="clear" w:color="auto" w:fill="FFFFFF"/>
        </w:rPr>
        <w:t>内部财务管理制度，加强预算编制的精准性及预算项目的可实施性，加强资金使用动态管理，确保资金使用效益最大化</w:t>
      </w:r>
      <w:r>
        <w:rPr>
          <w:rFonts w:hint="eastAsia" w:ascii="Times New Roman" w:hAnsi="Times New Roman" w:eastAsia="仿宋_GB2312" w:cs="Times New Roman"/>
          <w:sz w:val="32"/>
          <w:szCs w:val="32"/>
          <w:u w:val="none"/>
          <w:lang w:val="en-US" w:eastAsia="zh-CN" w:bidi="ar"/>
        </w:rPr>
        <w:t>。</w:t>
      </w:r>
    </w:p>
    <w:bookmarkEnd w:id="58"/>
    <w:p w14:paraId="210A11CA">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BAFBAC9">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部门</w:t>
      </w:r>
      <w:r>
        <w:rPr>
          <w:rFonts w:hint="eastAsia" w:ascii="Times New Roman" w:hAnsi="Times New Roman" w:eastAsia="仿宋_GB2312" w:cs="Times New Roman"/>
          <w:kern w:val="2"/>
          <w:sz w:val="32"/>
          <w:szCs w:val="32"/>
          <w:u w:val="none"/>
          <w:lang w:val="en-US" w:eastAsia="zh-CN" w:bidi="ar"/>
        </w:rPr>
        <w:t>预算项目支出绩效自评表（2024年度）</w:t>
      </w:r>
    </w:p>
    <w:p w14:paraId="42A88F0B">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9C4FED1">
      <w:pPr>
        <w:pStyle w:val="7"/>
        <w:rPr>
          <w:rFonts w:hint="eastAsia" w:ascii="Times New Roman" w:hAnsi="Times New Roman" w:cs="宋体"/>
          <w:color w:val="FF0000"/>
          <w:kern w:val="0"/>
          <w:sz w:val="32"/>
          <w:szCs w:val="32"/>
          <w:highlight w:val="yellow"/>
          <w:shd w:val="clear" w:color="auto" w:fill="FFFFFF"/>
          <w:lang w:val="zh-CN"/>
        </w:rPr>
      </w:pPr>
    </w:p>
    <w:p w14:paraId="1065AD0F">
      <w:pPr>
        <w:rPr>
          <w:rFonts w:hint="eastAsia" w:ascii="Times New Roman" w:hAnsi="Times New Roman" w:eastAsia="仿宋_GB2312" w:cs="仿宋_GB2312"/>
          <w:b w:val="0"/>
          <w:bCs w:val="0"/>
          <w:kern w:val="0"/>
          <w:position w:val="0"/>
          <w:sz w:val="32"/>
          <w:szCs w:val="32"/>
          <w:highlight w:val="none"/>
          <w:lang w:val="en-US" w:eastAsia="zh-CN" w:bidi="ar-SA"/>
        </w:rPr>
      </w:pPr>
      <w:bookmarkStart w:id="5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724AFFB2">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6"/>
      <w:bookmarkEnd w:id="59"/>
      <w:bookmarkStart w:id="60" w:name="_Toc15396619"/>
    </w:p>
    <w:p w14:paraId="7E7D58E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39EFA4A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0"/>
    </w:p>
    <w:p w14:paraId="4370BCC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0"/>
      <w:r>
        <w:rPr>
          <w:rFonts w:hint="eastAsia" w:ascii="Times New Roman" w:hAnsi="Times New Roman" w:eastAsia="仿宋_GB2312" w:cs="仿宋_GB2312"/>
          <w:color w:val="auto"/>
          <w:sz w:val="32"/>
          <w:szCs w:val="32"/>
          <w:highlight w:val="none"/>
        </w:rPr>
        <w:t>二、收入决算表</w:t>
      </w:r>
      <w:bookmarkEnd w:id="61"/>
    </w:p>
    <w:p w14:paraId="2CF6663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1"/>
      <w:r>
        <w:rPr>
          <w:rFonts w:hint="eastAsia" w:ascii="Times New Roman" w:hAnsi="Times New Roman" w:eastAsia="仿宋_GB2312" w:cs="仿宋_GB2312"/>
          <w:color w:val="auto"/>
          <w:sz w:val="32"/>
          <w:szCs w:val="32"/>
          <w:highlight w:val="none"/>
        </w:rPr>
        <w:t>三、支出决算表</w:t>
      </w:r>
      <w:bookmarkEnd w:id="62"/>
    </w:p>
    <w:p w14:paraId="0680022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2"/>
      <w:r>
        <w:rPr>
          <w:rFonts w:hint="eastAsia" w:ascii="Times New Roman" w:hAnsi="Times New Roman" w:eastAsia="仿宋_GB2312" w:cs="仿宋_GB2312"/>
          <w:color w:val="auto"/>
          <w:sz w:val="32"/>
          <w:szCs w:val="32"/>
          <w:highlight w:val="none"/>
        </w:rPr>
        <w:t>四、财政拨款收入支出决算总表</w:t>
      </w:r>
      <w:bookmarkEnd w:id="63"/>
    </w:p>
    <w:p w14:paraId="26C2479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3"/>
      <w:r>
        <w:rPr>
          <w:rFonts w:hint="eastAsia" w:ascii="Times New Roman" w:hAnsi="Times New Roman" w:eastAsia="仿宋_GB2312" w:cs="仿宋_GB2312"/>
          <w:color w:val="auto"/>
          <w:sz w:val="32"/>
          <w:szCs w:val="32"/>
          <w:highlight w:val="none"/>
        </w:rPr>
        <w:t>五、财政拨款支出决算明细表</w:t>
      </w:r>
      <w:bookmarkEnd w:id="64"/>
      <w:bookmarkStart w:id="65" w:name="_Toc15396624"/>
    </w:p>
    <w:p w14:paraId="15E427B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5"/>
    </w:p>
    <w:p w14:paraId="0AE5A4C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5"/>
      <w:r>
        <w:rPr>
          <w:rFonts w:hint="eastAsia" w:ascii="Times New Roman" w:hAnsi="Times New Roman" w:eastAsia="仿宋_GB2312" w:cs="仿宋_GB2312"/>
          <w:color w:val="auto"/>
          <w:sz w:val="32"/>
          <w:szCs w:val="32"/>
          <w:highlight w:val="none"/>
        </w:rPr>
        <w:t>七、一般公共预算财政拨款支出决算明细表</w:t>
      </w:r>
      <w:bookmarkEnd w:id="66"/>
    </w:p>
    <w:p w14:paraId="65D800E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6"/>
      <w:r>
        <w:rPr>
          <w:rFonts w:hint="eastAsia" w:ascii="Times New Roman" w:hAnsi="Times New Roman" w:eastAsia="仿宋_GB2312" w:cs="仿宋_GB2312"/>
          <w:color w:val="auto"/>
          <w:sz w:val="32"/>
          <w:szCs w:val="32"/>
          <w:highlight w:val="none"/>
        </w:rPr>
        <w:t>八、一般公共预算财政拨款基本支出决算表</w:t>
      </w:r>
      <w:bookmarkEnd w:id="67"/>
    </w:p>
    <w:p w14:paraId="7B5FDCE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7"/>
      <w:r>
        <w:rPr>
          <w:rFonts w:hint="eastAsia" w:ascii="Times New Roman" w:hAnsi="Times New Roman" w:eastAsia="仿宋_GB2312" w:cs="仿宋_GB2312"/>
          <w:color w:val="auto"/>
          <w:sz w:val="32"/>
          <w:szCs w:val="32"/>
          <w:highlight w:val="none"/>
        </w:rPr>
        <w:t>九、一般公共预算财政拨款项目支出决算表</w:t>
      </w:r>
      <w:bookmarkEnd w:id="68"/>
    </w:p>
    <w:p w14:paraId="03F26C8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8"/>
      <w:r>
        <w:rPr>
          <w:rFonts w:hint="eastAsia" w:ascii="Times New Roman" w:hAnsi="Times New Roman" w:eastAsia="仿宋_GB2312" w:cs="仿宋_GB2312"/>
          <w:color w:val="auto"/>
          <w:sz w:val="32"/>
          <w:szCs w:val="32"/>
          <w:highlight w:val="none"/>
        </w:rPr>
        <w:t>十、</w:t>
      </w:r>
      <w:bookmarkEnd w:id="69"/>
      <w:r>
        <w:rPr>
          <w:rFonts w:hint="eastAsia" w:ascii="Times New Roman" w:hAnsi="Times New Roman" w:eastAsia="仿宋_GB2312" w:cs="仿宋_GB2312"/>
          <w:color w:val="auto"/>
          <w:sz w:val="32"/>
          <w:szCs w:val="32"/>
          <w:highlight w:val="none"/>
        </w:rPr>
        <w:t>政府性基金预算财政拨款收入支出决算表</w:t>
      </w:r>
    </w:p>
    <w:p w14:paraId="62A6302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9"/>
      <w:r>
        <w:rPr>
          <w:rFonts w:hint="eastAsia" w:ascii="Times New Roman" w:hAnsi="Times New Roman" w:eastAsia="仿宋_GB2312" w:cs="仿宋_GB2312"/>
          <w:color w:val="auto"/>
          <w:sz w:val="32"/>
          <w:szCs w:val="32"/>
          <w:highlight w:val="none"/>
        </w:rPr>
        <w:t>十一、</w:t>
      </w:r>
      <w:bookmarkEnd w:id="7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667AC5F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30"/>
      <w:r>
        <w:rPr>
          <w:rFonts w:hint="eastAsia" w:ascii="Times New Roman" w:hAnsi="Times New Roman" w:eastAsia="仿宋_GB2312" w:cs="仿宋_GB2312"/>
          <w:color w:val="auto"/>
          <w:sz w:val="32"/>
          <w:szCs w:val="32"/>
          <w:highlight w:val="none"/>
        </w:rPr>
        <w:t>十二、</w:t>
      </w:r>
      <w:bookmarkEnd w:id="71"/>
      <w:r>
        <w:rPr>
          <w:rFonts w:hint="eastAsia" w:ascii="Times New Roman" w:hAnsi="Times New Roman" w:eastAsia="仿宋_GB2312" w:cs="仿宋_GB2312"/>
          <w:color w:val="auto"/>
          <w:sz w:val="32"/>
          <w:szCs w:val="32"/>
          <w:highlight w:val="none"/>
          <w:lang w:eastAsia="zh-CN"/>
        </w:rPr>
        <w:t>国有资本经营预算财政拨款支出决算表</w:t>
      </w:r>
    </w:p>
    <w:p w14:paraId="26EFEB6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2" w:name="_Toc15396631"/>
      <w:r>
        <w:rPr>
          <w:rFonts w:hint="eastAsia" w:ascii="Times New Roman" w:hAnsi="Times New Roman" w:eastAsia="仿宋_GB2312" w:cs="仿宋_GB2312"/>
          <w:color w:val="auto"/>
          <w:sz w:val="32"/>
          <w:szCs w:val="32"/>
          <w:highlight w:val="none"/>
        </w:rPr>
        <w:t>十三、</w:t>
      </w:r>
      <w:bookmarkEnd w:id="72"/>
      <w:r>
        <w:rPr>
          <w:rFonts w:hint="eastAsia" w:ascii="Times New Roman" w:hAnsi="Times New Roman" w:eastAsia="仿宋_GB2312" w:cs="仿宋_GB2312"/>
          <w:color w:val="auto"/>
          <w:sz w:val="32"/>
          <w:szCs w:val="32"/>
          <w:highlight w:val="none"/>
          <w:lang w:eastAsia="zh-CN"/>
        </w:rPr>
        <w:t>财政拨款“三公”经费支出决算表</w:t>
      </w:r>
    </w:p>
    <w:p w14:paraId="457E5F3B">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068E">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4C4A4">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A4C4A4">
                    <w:pPr>
                      <w:pStyle w:val="12"/>
                    </w:pPr>
                    <w:r>
                      <w:fldChar w:fldCharType="begin"/>
                    </w:r>
                    <w:r>
                      <w:instrText xml:space="preserve"> PAGE  \* MERGEFORMAT </w:instrText>
                    </w:r>
                    <w:r>
                      <w:fldChar w:fldCharType="separate"/>
                    </w:r>
                    <w:r>
                      <w:t>- 1 -</w:t>
                    </w:r>
                    <w:r>
                      <w:fldChar w:fldCharType="end"/>
                    </w:r>
                  </w:p>
                </w:txbxContent>
              </v:textbox>
            </v:shape>
          </w:pict>
        </mc:Fallback>
      </mc:AlternateContent>
    </w:r>
  </w:p>
  <w:p w14:paraId="26643E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C0B5">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A7D30">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7A7D30">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B188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ED68E0">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EED68E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EEA2D">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AE8AB">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9AE8AB">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68478E66">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2FE2D">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2E979">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F2E979">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67492">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88D5E6E"/>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8F3CDE"/>
    <w:rsid w:val="36AA5135"/>
    <w:rsid w:val="36BE0DA7"/>
    <w:rsid w:val="376B6AA6"/>
    <w:rsid w:val="376D39B2"/>
    <w:rsid w:val="37E16F03"/>
    <w:rsid w:val="37F53A3B"/>
    <w:rsid w:val="389B6C89"/>
    <w:rsid w:val="38D469F0"/>
    <w:rsid w:val="39627CCD"/>
    <w:rsid w:val="397BAF1F"/>
    <w:rsid w:val="39AE289C"/>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3A02AB"/>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5A3546"/>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6">
    <w:name w:val="index 5"/>
    <w:basedOn w:val="1"/>
    <w:next w:val="1"/>
    <w:qFormat/>
    <w:uiPriority w:val="99"/>
    <w:pPr>
      <w:ind w:left="1680"/>
    </w:pPr>
    <w:rPr>
      <w:rFonts w:ascii="仿宋_GB2312" w:hAnsi="Times New Roman" w:eastAsia="仿宋_GB2312"/>
      <w:sz w:val="32"/>
    </w:rPr>
  </w:style>
  <w:style w:type="paragraph" w:styleId="7">
    <w:name w:val="Body Text"/>
    <w:basedOn w:val="1"/>
    <w:next w:val="6"/>
    <w:link w:val="27"/>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13476</Words>
  <Characters>14995</Characters>
  <Lines>61</Lines>
  <Paragraphs>17</Paragraphs>
  <TotalTime>1</TotalTime>
  <ScaleCrop>false</ScaleCrop>
  <LinksUpToDate>false</LinksUpToDate>
  <CharactersWithSpaces>15025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玥凝</cp:lastModifiedBy>
  <cp:lastPrinted>2025-08-06T17:34:00Z</cp:lastPrinted>
  <dcterms:modified xsi:type="dcterms:W3CDTF">2025-10-24T03:37:25Z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DEB4836EDC43467BBE7035320AE50F4F</vt:lpwstr>
  </property>
  <property fmtid="{D5CDD505-2E9C-101B-9397-08002B2CF9AE}" pid="4" name="KSOTemplateDocerSaveRecord">
    <vt:lpwstr>eyJoZGlkIjoiMmY2YmUxZjk2NzRmYTg5MDQ2ZDU3YTM2YzM2MGI4ZDIiLCJ1c2VySWQiOiI1NzIwNzc5ODAifQ==</vt:lpwstr>
  </property>
</Properties>
</file>