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CCE5C">
      <w:pPr>
        <w:pStyle w:val="3"/>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77425"/>
      <w:bookmarkStart w:id="2" w:name="_Toc15306267"/>
      <w:bookmarkStart w:id="3" w:name="_Toc15377193"/>
      <w:bookmarkStart w:id="4" w:name="_Toc15378441"/>
      <w:bookmarkStart w:id="5" w:name="_Toc15396597"/>
    </w:p>
    <w:p w14:paraId="54B69745">
      <w:pPr>
        <w:pStyle w:val="3"/>
        <w:rPr>
          <w:rFonts w:hint="eastAsia" w:ascii="Times New Roman" w:hAnsi="Times New Roman" w:eastAsia="方正小标宋简体" w:cs="Times New Roman"/>
          <w:color w:val="auto"/>
          <w:kern w:val="2"/>
          <w:sz w:val="72"/>
          <w:szCs w:val="72"/>
          <w:highlight w:val="none"/>
          <w:lang w:val="en-US" w:eastAsia="zh-CN" w:bidi="ar-SA"/>
        </w:rPr>
      </w:pPr>
    </w:p>
    <w:p w14:paraId="65FC39C2">
      <w:pPr>
        <w:pStyle w:val="3"/>
        <w:rPr>
          <w:rFonts w:hint="eastAsia" w:ascii="Times New Roman" w:hAnsi="Times New Roman" w:eastAsia="方正小标宋简体" w:cs="Times New Roman"/>
          <w:color w:val="auto"/>
          <w:kern w:val="2"/>
          <w:sz w:val="72"/>
          <w:szCs w:val="72"/>
          <w:highlight w:val="none"/>
          <w:lang w:val="en-US" w:eastAsia="zh-CN" w:bidi="ar-SA"/>
        </w:rPr>
      </w:pPr>
    </w:p>
    <w:p w14:paraId="03405DD9">
      <w:pPr>
        <w:pStyle w:val="3"/>
        <w:jc w:val="center"/>
        <w:rPr>
          <w:rFonts w:hint="eastAsia" w:ascii="方正小标宋简体" w:hAnsi="宋体" w:eastAsia="方正小标宋简体"/>
          <w:sz w:val="44"/>
          <w:szCs w:val="44"/>
        </w:rPr>
      </w:pPr>
      <w:r>
        <w:rPr>
          <w:rFonts w:hint="eastAsia" w:ascii="方正小标宋简体" w:hAnsi="宋体" w:eastAsia="方正小标宋简体" w:cs="Times New Roman"/>
          <w:color w:val="auto"/>
          <w:kern w:val="2"/>
          <w:sz w:val="44"/>
          <w:szCs w:val="44"/>
          <w:highlight w:val="none"/>
          <w:lang w:val="en-US" w:eastAsia="zh-CN" w:bidi="ar-SA"/>
        </w:rPr>
        <w:t>2024年度</w:t>
      </w:r>
      <w:bookmarkStart w:id="6" w:name="_Toc15396476"/>
      <w:bookmarkStart w:id="7" w:name="_Toc15378442"/>
      <w:bookmarkStart w:id="8" w:name="_Toc15377426"/>
      <w:bookmarkStart w:id="9" w:name="_Toc15377194"/>
      <w:bookmarkStart w:id="10" w:name="_Toc15396598"/>
      <w:r>
        <w:rPr>
          <w:rFonts w:hint="eastAsia" w:ascii="方正小标宋简体" w:hAnsi="宋体" w:eastAsia="方正小标宋简体" w:cs="Times New Roman"/>
          <w:color w:val="auto"/>
          <w:kern w:val="2"/>
          <w:sz w:val="44"/>
          <w:szCs w:val="44"/>
          <w:highlight w:val="none"/>
          <w:lang w:val="en-US" w:eastAsia="zh-CN" w:bidi="ar-SA"/>
        </w:rPr>
        <w:t>四川省</w:t>
      </w:r>
      <w:bookmarkStart w:id="11" w:name="_Toc15306268"/>
      <w:r>
        <w:rPr>
          <w:rFonts w:hint="eastAsia" w:ascii="方正小标宋简体" w:hAnsi="宋体" w:eastAsia="方正小标宋简体"/>
          <w:sz w:val="44"/>
          <w:szCs w:val="44"/>
        </w:rPr>
        <w:t>攀枝花市西区</w:t>
      </w:r>
    </w:p>
    <w:p w14:paraId="67DF4A00">
      <w:pPr>
        <w:pStyle w:val="3"/>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方正小标宋简体" w:hAnsi="宋体" w:eastAsia="方正小标宋简体"/>
          <w:sz w:val="44"/>
          <w:szCs w:val="44"/>
        </w:rPr>
        <w:t>工商业联合会</w:t>
      </w:r>
      <w:r>
        <w:rPr>
          <w:rFonts w:hint="eastAsia" w:ascii="方正小标宋简体" w:hAnsi="宋体"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r>
        <w:rPr>
          <w:rFonts w:hint="eastAsia" w:ascii="Times New Roman" w:hAnsi="Times New Roman" w:eastAsia="方正小标宋简体" w:cs="Times New Roman"/>
          <w:color w:val="auto"/>
          <w:kern w:val="2"/>
          <w:sz w:val="44"/>
          <w:szCs w:val="44"/>
          <w:highlight w:val="none"/>
          <w:lang w:val="en-US" w:eastAsia="zh-CN" w:bidi="ar-SA"/>
        </w:rPr>
        <w:t>公开文字说明</w:t>
      </w:r>
    </w:p>
    <w:p w14:paraId="2B69DFDF">
      <w:pPr>
        <w:pStyle w:val="21"/>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05268CF8">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06069A5B">
      <w:pPr>
        <w:widowControl/>
        <w:jc w:val="center"/>
        <w:rPr>
          <w:rFonts w:ascii="Times New Roman" w:hAnsi="Times New Roman" w:eastAsia="黑体" w:cstheme="minorBidi"/>
          <w:color w:val="auto"/>
          <w:sz w:val="28"/>
          <w:szCs w:val="28"/>
          <w:highlight w:val="none"/>
        </w:rPr>
      </w:pPr>
    </w:p>
    <w:p w14:paraId="29673C01">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24</w:t>
      </w:r>
      <w:bookmarkStart w:id="70" w:name="_GoBack"/>
      <w:bookmarkEnd w:id="70"/>
      <w:r>
        <w:rPr>
          <w:rFonts w:hint="eastAsia" w:ascii="Times New Roman" w:hAnsi="Times New Roman" w:eastAsia="仿宋_GB2312" w:cs="仿宋_GB2312"/>
          <w:color w:val="auto"/>
          <w:sz w:val="32"/>
          <w:szCs w:val="32"/>
          <w:highlight w:val="none"/>
        </w:rPr>
        <w:t>日</w:t>
      </w:r>
    </w:p>
    <w:p w14:paraId="48945577">
      <w:pPr>
        <w:rPr>
          <w:rFonts w:ascii="Times New Roman" w:hAnsi="Times New Roman"/>
          <w:color w:val="auto"/>
          <w:highlight w:val="none"/>
        </w:rPr>
      </w:pPr>
    </w:p>
    <w:p w14:paraId="0F307ECD">
      <w:pPr>
        <w:pStyle w:val="14"/>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p>
    <w:p w14:paraId="2DC4ECA1">
      <w:pPr>
        <w:pStyle w:val="16"/>
        <w:adjustRightInd w:val="0"/>
        <w:snapToGrid w:val="0"/>
        <w:spacing w:line="440" w:lineRule="exact"/>
        <w:jc w:val="left"/>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部门职责</w:t>
      </w:r>
      <w:r>
        <w:rPr>
          <w:rFonts w:hint="eastAsia"/>
          <w:color w:val="auto"/>
          <w:sz w:val="24"/>
          <w:highlight w:val="none"/>
          <w:lang w:val="en-US" w:eastAsia="zh-CN"/>
        </w:rPr>
        <w:t>............................................................................................3</w:t>
      </w:r>
    </w:p>
    <w:p w14:paraId="0EF13248">
      <w:pPr>
        <w:pStyle w:val="16"/>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............................................................................................4</w:t>
      </w:r>
    </w:p>
    <w:p w14:paraId="5E826C00">
      <w:pPr>
        <w:pStyle w:val="14"/>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2024年度</w:t>
      </w:r>
      <w:r>
        <w:rPr>
          <w:rFonts w:hint="eastAsia"/>
          <w:color w:val="auto"/>
          <w:sz w:val="24"/>
          <w:highlight w:val="none"/>
        </w:rPr>
        <w:t>部门决算情况说明</w:t>
      </w:r>
    </w:p>
    <w:p w14:paraId="1339A951">
      <w:pPr>
        <w:pStyle w:val="16"/>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............................................................5</w:t>
      </w:r>
    </w:p>
    <w:p w14:paraId="125D0CAD">
      <w:pPr>
        <w:pStyle w:val="16"/>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............................................................................5</w:t>
      </w:r>
    </w:p>
    <w:p w14:paraId="051F35C6">
      <w:pPr>
        <w:pStyle w:val="16"/>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............................................................................6</w:t>
      </w:r>
    </w:p>
    <w:p w14:paraId="6288A160">
      <w:pPr>
        <w:pStyle w:val="16"/>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............................................6</w:t>
      </w:r>
    </w:p>
    <w:p w14:paraId="229093BF">
      <w:pPr>
        <w:pStyle w:val="16"/>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....................................7</w:t>
      </w:r>
    </w:p>
    <w:p w14:paraId="4966ED08">
      <w:pPr>
        <w:pStyle w:val="16"/>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............................9</w:t>
      </w:r>
    </w:p>
    <w:p w14:paraId="385F10CA">
      <w:pPr>
        <w:pStyle w:val="16"/>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...................................10</w:t>
      </w:r>
    </w:p>
    <w:p w14:paraId="536EDDFF">
      <w:pPr>
        <w:pStyle w:val="16"/>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...............................................11</w:t>
      </w:r>
    </w:p>
    <w:p w14:paraId="258CB911">
      <w:pPr>
        <w:pStyle w:val="16"/>
        <w:adjustRightInd w:val="0"/>
        <w:snapToGrid w:val="0"/>
        <w:spacing w:line="440" w:lineRule="exact"/>
        <w:ind w:leftChars="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eastAsia="zh-CN"/>
        </w:rPr>
        <w:t>国</w:t>
      </w:r>
      <w:r>
        <w:rPr>
          <w:rFonts w:hint="eastAsia" w:ascii="宋体" w:hAnsi="宋体" w:eastAsia="宋体" w:cs="宋体"/>
          <w:color w:val="auto"/>
          <w:sz w:val="24"/>
          <w:highlight w:val="none"/>
        </w:rPr>
        <w:t>有资本经营预算支出决算情况说明</w:t>
      </w:r>
      <w:r>
        <w:rPr>
          <w:rFonts w:hint="eastAsia" w:ascii="宋体" w:hAnsi="宋体" w:cs="宋体"/>
          <w:color w:val="auto"/>
          <w:sz w:val="24"/>
          <w:highlight w:val="none"/>
          <w:lang w:val="en-US" w:eastAsia="zh-CN"/>
        </w:rPr>
        <w:t>......................12</w:t>
      </w:r>
    </w:p>
    <w:p w14:paraId="5451CC9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宋体" w:hAnsi="宋体" w:eastAsia="宋体" w:cs="宋体"/>
          <w:color w:val="auto"/>
          <w:sz w:val="24"/>
          <w:highlight w:val="none"/>
          <w:lang w:val="en-US" w:eastAsia="zh-CN"/>
        </w:rPr>
      </w:pPr>
      <w:r>
        <w:rPr>
          <w:rStyle w:val="20"/>
          <w:rFonts w:hint="eastAsia" w:ascii="宋体" w:hAnsi="宋体" w:eastAsia="宋体" w:cs="宋体"/>
          <w:color w:val="auto"/>
          <w:sz w:val="24"/>
          <w:highlight w:val="none"/>
          <w:u w:val="none"/>
          <w:lang w:eastAsia="zh-CN"/>
        </w:rPr>
        <w:t>十</w:t>
      </w:r>
      <w:r>
        <w:rPr>
          <w:rStyle w:val="20"/>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其他重要事项的情况说明</w:t>
      </w:r>
      <w:r>
        <w:rPr>
          <w:rFonts w:hint="eastAsia" w:ascii="宋体" w:hAnsi="宋体" w:eastAsia="宋体" w:cs="宋体"/>
          <w:color w:val="auto"/>
          <w:sz w:val="24"/>
          <w:highlight w:val="none"/>
        </w:rPr>
        <w:tab/>
      </w:r>
      <w:r>
        <w:rPr>
          <w:rFonts w:hint="eastAsia" w:ascii="宋体" w:hAnsi="宋体" w:cs="宋体"/>
          <w:color w:val="auto"/>
          <w:sz w:val="24"/>
          <w:highlight w:val="none"/>
          <w:lang w:val="en-US" w:eastAsia="zh-CN"/>
        </w:rPr>
        <w:t>..............................12</w:t>
      </w:r>
    </w:p>
    <w:p w14:paraId="05C46DBF">
      <w:pPr>
        <w:pStyle w:val="14"/>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............................................14</w:t>
      </w:r>
    </w:p>
    <w:p w14:paraId="61614F36">
      <w:pPr>
        <w:pStyle w:val="14"/>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................................................17</w:t>
      </w:r>
    </w:p>
    <w:p w14:paraId="6716DB7F">
      <w:pPr>
        <w:pStyle w:val="14"/>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................................................25</w:t>
      </w:r>
    </w:p>
    <w:p w14:paraId="194E3E4B">
      <w:pPr>
        <w:pStyle w:val="16"/>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14:paraId="21AF9CEB">
      <w:pPr>
        <w:pStyle w:val="16"/>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14:paraId="45CD22E5">
      <w:pPr>
        <w:pStyle w:val="16"/>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6CFE593F">
      <w:pPr>
        <w:pStyle w:val="16"/>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3AE3801E">
      <w:pPr>
        <w:pStyle w:val="16"/>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7CBBCD64">
      <w:pPr>
        <w:pStyle w:val="16"/>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14:paraId="57FFB01F">
      <w:pPr>
        <w:pStyle w:val="16"/>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14:paraId="78C87641">
      <w:pPr>
        <w:pStyle w:val="16"/>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2E20F76C">
      <w:pPr>
        <w:pStyle w:val="16"/>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14:paraId="7E8B709E">
      <w:pPr>
        <w:pStyle w:val="16"/>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14:paraId="6FA5A4D3">
      <w:pPr>
        <w:pStyle w:val="16"/>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14:paraId="3CD7F673">
      <w:pPr>
        <w:pStyle w:val="16"/>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381ED9B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color w:val="auto"/>
          <w:sz w:val="24"/>
          <w:highlight w:val="none"/>
        </w:rPr>
        <w:t>十三、财政拨款“三公”经费支出决算表</w:t>
      </w:r>
    </w:p>
    <w:p w14:paraId="759E0FA4">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96599"/>
      <w:bookmarkStart w:id="13" w:name="_Toc15377196"/>
      <w:r>
        <w:rPr>
          <w:rFonts w:hint="eastAsia" w:ascii="Times New Roman" w:hAnsi="Times New Roman" w:eastAsia="仿宋_GB2312" w:cs="仿宋_GB2312"/>
          <w:b/>
          <w:color w:val="auto"/>
          <w:sz w:val="32"/>
          <w:szCs w:val="32"/>
          <w:highlight w:val="none"/>
        </w:rPr>
        <w:br w:type="page"/>
      </w:r>
    </w:p>
    <w:p w14:paraId="1AA7D88A">
      <w:pPr>
        <w:pStyle w:val="8"/>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12"/>
      <w:bookmarkEnd w:id="13"/>
    </w:p>
    <w:p w14:paraId="26632AF4">
      <w:pPr>
        <w:widowControl/>
        <w:jc w:val="left"/>
        <w:rPr>
          <w:rFonts w:ascii="Times New Roman" w:hAnsi="Times New Roman" w:eastAsia="黑体"/>
          <w:color w:val="auto"/>
          <w:sz w:val="32"/>
          <w:szCs w:val="32"/>
          <w:highlight w:val="none"/>
        </w:rPr>
      </w:pPr>
    </w:p>
    <w:p w14:paraId="7B9D2F35">
      <w:pPr>
        <w:pStyle w:val="9"/>
        <w:rPr>
          <w:rStyle w:val="31"/>
          <w:rFonts w:hint="eastAsia" w:ascii="Times New Roman" w:hAnsi="Times New Roman" w:eastAsia="黑体"/>
          <w:b w:val="0"/>
          <w:bCs w:val="0"/>
          <w:color w:val="auto"/>
          <w:highlight w:val="none"/>
          <w:lang w:eastAsia="zh-CN"/>
        </w:rPr>
      </w:pPr>
      <w:bookmarkStart w:id="14" w:name="_Toc15377197"/>
      <w:bookmarkStart w:id="15" w:name="_Toc15396600"/>
      <w:r>
        <w:rPr>
          <w:rFonts w:hint="eastAsia" w:ascii="Times New Roman" w:hAnsi="Times New Roman" w:eastAsia="黑体"/>
          <w:b w:val="0"/>
          <w:color w:val="auto"/>
          <w:highlight w:val="none"/>
        </w:rPr>
        <w:t>一、</w:t>
      </w:r>
      <w:bookmarkEnd w:id="14"/>
      <w:bookmarkEnd w:id="15"/>
      <w:r>
        <w:rPr>
          <w:rFonts w:hint="eastAsia" w:ascii="Times New Roman" w:hAnsi="Times New Roman" w:eastAsia="黑体"/>
          <w:b w:val="0"/>
          <w:color w:val="auto"/>
          <w:highlight w:val="none"/>
          <w:lang w:eastAsia="zh-CN"/>
        </w:rPr>
        <w:t>部门职责</w:t>
      </w:r>
    </w:p>
    <w:p w14:paraId="0942DB8D">
      <w:pPr>
        <w:ind w:firstLine="640" w:firstLineChars="200"/>
        <w:rPr>
          <w:rFonts w:hint="eastAsia" w:ascii="仿宋_GB2312" w:hAnsi="仿宋_GB2312" w:eastAsia="仿宋_GB2312" w:cs="仿宋_GB2312"/>
          <w:color w:val="auto"/>
          <w:sz w:val="32"/>
          <w:szCs w:val="32"/>
          <w:highlight w:val="none"/>
          <w:lang w:val="en-US" w:eastAsia="zh-CN"/>
        </w:rPr>
      </w:pPr>
      <w:bookmarkStart w:id="16" w:name="_Toc15396601"/>
      <w:bookmarkStart w:id="17" w:name="_Toc15377200"/>
      <w:r>
        <w:rPr>
          <w:rFonts w:hint="eastAsia" w:ascii="仿宋_GB2312" w:hAnsi="仿宋_GB2312" w:eastAsia="仿宋_GB2312" w:cs="仿宋_GB2312"/>
          <w:color w:val="auto"/>
          <w:sz w:val="32"/>
          <w:szCs w:val="32"/>
          <w:highlight w:val="none"/>
          <w:lang w:val="en-US" w:eastAsia="zh-CN"/>
        </w:rPr>
        <w:t>（1）参与区委、区政府大政方针及政治、经济、社会生活中的重要问题的政治协商，发挥民主监督作用，参政议政。</w:t>
      </w:r>
    </w:p>
    <w:p w14:paraId="4252D8CF">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（2）引导会员积极参加国家经济建设，推动社会主义市场经济体制逐步完善，促进社会全面发展。</w:t>
      </w:r>
    </w:p>
    <w:p w14:paraId="62FFBB5D">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（3）做好工商界代表人士政治安排的推荐工作。</w:t>
      </w:r>
    </w:p>
    <w:p w14:paraId="325E8B5E">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（4）指导同业公会和行业商会等专业组织的工作。</w:t>
      </w:r>
    </w:p>
    <w:p w14:paraId="168366BD">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发扬自我教育的优良传统，宣传、贯彻党和国家的方针政策，加强和改进思想政治工作，坚持对广大会员进行团结、帮助、引导、教育，促进非公有制经济健康发展，提倡爱国、敬业、守法，提高会员素质。</w:t>
      </w:r>
    </w:p>
    <w:p w14:paraId="675DADF9">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（6）代表并维护会员的合法权益，反映会员的意见、要求和建议为会员提供有关证明，协调关系，参与调解经济纠</w:t>
      </w:r>
      <w:r>
        <w:rPr>
          <w:rFonts w:hint="eastAsia" w:ascii="仿宋_GB2312" w:hAnsi="仿宋_GB2312" w:eastAsia="仿宋_GB2312" w:cs="仿宋_GB2312"/>
          <w:color w:val="auto"/>
          <w:sz w:val="32"/>
          <w:szCs w:val="32"/>
          <w:highlight w:val="none"/>
          <w:lang w:eastAsia="zh-CN"/>
        </w:rPr>
        <w:t>。</w:t>
      </w:r>
    </w:p>
    <w:p w14:paraId="093662E3">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引导会员把自身企业的发展与国家发展结合起来，把个人富裕与全体人民的共同富裕结合起来，把遵守市场规则与发扬社会主义道德结合起来，弘扬中华民族传统，先富帮后富，走共同富裕的道路，热心社会公益事业，积极参加扶贫光彩事业。</w:t>
      </w:r>
    </w:p>
    <w:p w14:paraId="21FAD93F">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（8）为会员提供信息、培训、科技、管理、法律、会计、审计、融资、咨询等服务，帮助会员改进经营管理、完善财务制度，照章纳税，提高自身素质和生产技术、产品质量</w:t>
      </w:r>
      <w:r>
        <w:rPr>
          <w:rFonts w:hint="eastAsia" w:ascii="仿宋_GB2312" w:hAnsi="仿宋_GB2312" w:eastAsia="仿宋_GB2312" w:cs="仿宋_GB2312"/>
          <w:color w:val="auto"/>
          <w:sz w:val="32"/>
          <w:szCs w:val="32"/>
          <w:highlight w:val="none"/>
          <w:lang w:eastAsia="zh-CN"/>
        </w:rPr>
        <w:t>。</w:t>
      </w:r>
    </w:p>
    <w:p w14:paraId="1C16A558">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组织会员出国、出境考察访问，举办和参加各种对内对外展销会、交易会，帮助会员开拓国内、国际市场；增进与香港、澳门特别行政区、台湾地区和世界各国工商社团及工商经济界人士的联系和友谊，促进经济、技术和贸易合作的发展，协助引进资金、技术、人。</w:t>
      </w:r>
    </w:p>
    <w:p w14:paraId="27E7FB0C">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（10）承办政府交办和有关部门委托事。</w:t>
      </w:r>
    </w:p>
    <w:p w14:paraId="08997B78">
      <w:pPr>
        <w:pStyle w:val="9"/>
        <w:rPr>
          <w:rStyle w:val="31"/>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6"/>
      <w:bookmarkEnd w:id="17"/>
    </w:p>
    <w:p w14:paraId="3DA55A62">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攀枝花市西区工商业联合会</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4E7C04C0">
      <w:pPr>
        <w:pStyle w:val="3"/>
        <w:adjustRightInd w:val="0"/>
        <w:snapToGrid w:val="0"/>
        <w:spacing w:before="93" w:line="600" w:lineRule="exact"/>
        <w:ind w:firstLine="672" w:firstLineChars="210"/>
        <w:rPr>
          <w:rFonts w:hint="eastAsia" w:ascii="Times New Roman" w:hAnsi="Times New Roman" w:eastAsia="仿宋" w:cs="仿宋_GB2312"/>
          <w:color w:val="auto"/>
          <w:sz w:val="32"/>
          <w:szCs w:val="32"/>
          <w:highlight w:val="none"/>
          <w:lang w:eastAsia="zh-CN"/>
        </w:rPr>
      </w:pPr>
      <w:r>
        <w:rPr>
          <w:rFonts w:hint="eastAsia" w:ascii="仿宋" w:hAnsi="仿宋" w:eastAsia="仿宋"/>
          <w:sz w:val="32"/>
          <w:szCs w:val="32"/>
        </w:rPr>
        <w:t>纳入西区工商联无202</w:t>
      </w:r>
      <w:r>
        <w:rPr>
          <w:rFonts w:hint="eastAsia" w:ascii="仿宋" w:hAnsi="仿宋" w:eastAsia="仿宋"/>
          <w:sz w:val="32"/>
          <w:szCs w:val="32"/>
          <w:lang w:val="en-US" w:eastAsia="zh-CN"/>
        </w:rPr>
        <w:t>4</w:t>
      </w:r>
      <w:r>
        <w:rPr>
          <w:rFonts w:hint="eastAsia" w:ascii="仿宋" w:hAnsi="仿宋" w:eastAsia="仿宋"/>
          <w:sz w:val="32"/>
          <w:szCs w:val="32"/>
        </w:rPr>
        <w:t>年度部门决算编制范围的二级预算单位</w:t>
      </w:r>
      <w:r>
        <w:rPr>
          <w:rFonts w:hint="eastAsia" w:ascii="仿宋" w:hAnsi="仿宋" w:eastAsia="仿宋"/>
          <w:sz w:val="32"/>
          <w:szCs w:val="32"/>
          <w:lang w:eastAsia="zh-CN"/>
        </w:rPr>
        <w:t>。</w:t>
      </w:r>
    </w:p>
    <w:p w14:paraId="2082D07D">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1A741120">
      <w:pPr>
        <w:pStyle w:val="8"/>
        <w:jc w:val="center"/>
        <w:rPr>
          <w:rFonts w:hint="eastAsia" w:ascii="Times New Roman" w:hAnsi="Times New Roman" w:eastAsia="方正小标宋简体" w:cs="方正小标宋简体"/>
          <w:b w:val="0"/>
          <w:color w:val="auto"/>
          <w:highlight w:val="none"/>
        </w:rPr>
      </w:pPr>
      <w:bookmarkStart w:id="18" w:name="_Toc15377204"/>
      <w:bookmarkStart w:id="19"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8"/>
      <w:bookmarkEnd w:id="19"/>
    </w:p>
    <w:p w14:paraId="6D8D383F">
      <w:pPr>
        <w:rPr>
          <w:rFonts w:ascii="Times New Roman" w:hAnsi="Times New Roman"/>
          <w:color w:val="auto"/>
          <w:highlight w:val="none"/>
        </w:rPr>
      </w:pPr>
    </w:p>
    <w:p w14:paraId="6FB7D5B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0" w:name="_Toc15377205"/>
      <w:bookmarkStart w:id="21"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20"/>
      <w:bookmarkEnd w:id="21"/>
    </w:p>
    <w:p w14:paraId="1F662C5E">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75.51</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31.42</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41.61</w:t>
      </w:r>
      <w:r>
        <w:rPr>
          <w:rFonts w:hint="eastAsia" w:ascii="Times New Roman" w:hAnsi="Times New Roman" w:eastAsia="仿宋_GB2312" w:cs="仿宋_GB2312"/>
          <w:color w:val="auto"/>
          <w:sz w:val="32"/>
          <w:szCs w:val="32"/>
          <w:highlight w:val="none"/>
        </w:rPr>
        <w:t>%。主要变动原因是人员经费减少</w:t>
      </w:r>
      <w:r>
        <w:rPr>
          <w:rFonts w:hint="eastAsia" w:eastAsia="仿宋_GB2312" w:cs="仿宋_GB2312"/>
          <w:color w:val="auto"/>
          <w:sz w:val="32"/>
          <w:szCs w:val="32"/>
          <w:highlight w:val="none"/>
          <w:lang w:eastAsia="zh-CN"/>
        </w:rPr>
        <w:t>。</w:t>
      </w:r>
    </w:p>
    <w:p w14:paraId="2E28DE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160EC5E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324350" cy="2733675"/>
            <wp:effectExtent l="0" t="0" r="0"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4324350" cy="2733675"/>
                    </a:xfrm>
                    <a:prstGeom prst="rect">
                      <a:avLst/>
                    </a:prstGeom>
                    <a:noFill/>
                    <a:ln>
                      <a:noFill/>
                    </a:ln>
                  </pic:spPr>
                </pic:pic>
              </a:graphicData>
            </a:graphic>
          </wp:inline>
        </w:drawing>
      </w:r>
    </w:p>
    <w:p w14:paraId="2568DBDB">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96604"/>
      <w:bookmarkStart w:id="23" w:name="_Toc15377206"/>
      <w:r>
        <w:rPr>
          <w:rFonts w:hint="eastAsia" w:ascii="Times New Roman" w:hAnsi="Times New Roman" w:eastAsia="黑体"/>
          <w:color w:val="auto"/>
          <w:sz w:val="32"/>
          <w:szCs w:val="32"/>
          <w:highlight w:val="none"/>
          <w:lang w:eastAsia="zh-CN"/>
        </w:rPr>
        <w:t>二、收入决算情况说明</w:t>
      </w:r>
      <w:bookmarkEnd w:id="22"/>
      <w:bookmarkEnd w:id="23"/>
    </w:p>
    <w:p w14:paraId="5DA06AB1">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75.51万元，其中：一般公共预算财政拨款收入73.09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96.79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2.42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3.2</w:t>
      </w:r>
      <w:r>
        <w:rPr>
          <w:rFonts w:hint="eastAsia" w:ascii="仿宋_GB2312" w:hAnsi="仿宋_GB2312" w:eastAsia="仿宋_GB2312" w:cs="仿宋_GB2312"/>
          <w:color w:val="auto"/>
          <w:sz w:val="32"/>
          <w:szCs w:val="32"/>
          <w:highlight w:val="none"/>
          <w:lang w:eastAsia="zh-CN"/>
        </w:rPr>
        <w:t>%。</w:t>
      </w:r>
    </w:p>
    <w:p w14:paraId="1365A3A2">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520F7576">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429125" cy="2562225"/>
            <wp:effectExtent l="0" t="0" r="9525"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4429125" cy="2562225"/>
                    </a:xfrm>
                    <a:prstGeom prst="rect">
                      <a:avLst/>
                    </a:prstGeom>
                    <a:noFill/>
                    <a:ln>
                      <a:noFill/>
                    </a:ln>
                  </pic:spPr>
                </pic:pic>
              </a:graphicData>
            </a:graphic>
          </wp:inline>
        </w:drawing>
      </w:r>
    </w:p>
    <w:p w14:paraId="697CF20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4" w:name="_Toc15377207"/>
      <w:bookmarkStart w:id="25"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24"/>
      <w:bookmarkEnd w:id="25"/>
    </w:p>
    <w:p w14:paraId="6385608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75.51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71.63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94.85</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3.88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5.14</w:t>
      </w:r>
      <w:r>
        <w:rPr>
          <w:rFonts w:hint="eastAsia" w:ascii="仿宋_GB2312" w:hAnsi="仿宋_GB2312" w:eastAsia="仿宋_GB2312" w:cs="仿宋_GB2312"/>
          <w:color w:val="auto"/>
          <w:sz w:val="32"/>
          <w:szCs w:val="32"/>
          <w:highlight w:val="none"/>
          <w:lang w:eastAsia="zh-CN"/>
        </w:rPr>
        <w:t>%。</w:t>
      </w:r>
    </w:p>
    <w:p w14:paraId="4C72E6F1">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06E92417">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3467100" cy="2771775"/>
            <wp:effectExtent l="0" t="0" r="0" b="952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1"/>
                    <a:stretch>
                      <a:fillRect/>
                    </a:stretch>
                  </pic:blipFill>
                  <pic:spPr>
                    <a:xfrm>
                      <a:off x="0" y="0"/>
                      <a:ext cx="3467100" cy="2771775"/>
                    </a:xfrm>
                    <a:prstGeom prst="rect">
                      <a:avLst/>
                    </a:prstGeom>
                    <a:noFill/>
                    <a:ln>
                      <a:noFill/>
                    </a:ln>
                  </pic:spPr>
                </pic:pic>
              </a:graphicData>
            </a:graphic>
          </wp:inline>
        </w:drawing>
      </w:r>
    </w:p>
    <w:p w14:paraId="69A7778E">
      <w:pPr>
        <w:spacing w:line="600" w:lineRule="exact"/>
        <w:ind w:firstLine="640" w:firstLineChars="200"/>
        <w:outlineLvl w:val="1"/>
        <w:rPr>
          <w:rStyle w:val="31"/>
          <w:rFonts w:ascii="Times New Roman" w:hAnsi="Times New Roman" w:eastAsia="黑体"/>
          <w:b w:val="0"/>
          <w:color w:val="auto"/>
          <w:highlight w:val="none"/>
        </w:rPr>
      </w:pPr>
      <w:bookmarkStart w:id="26" w:name="_Toc15396606"/>
      <w:bookmarkStart w:id="27" w:name="_Toc15377208"/>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6"/>
      <w:bookmarkEnd w:id="27"/>
    </w:p>
    <w:p w14:paraId="3C5D8D4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75.51</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w:t>
      </w:r>
      <w:r>
        <w:rPr>
          <w:rFonts w:hint="eastAsia" w:ascii="Times New Roman" w:hAnsi="Times New Roman" w:eastAsia="仿宋_GB2312" w:cs="仿宋_GB2312"/>
          <w:color w:val="auto"/>
          <w:sz w:val="32"/>
          <w:szCs w:val="32"/>
          <w:highlight w:val="none"/>
        </w:rPr>
        <w:t>各减少</w:t>
      </w:r>
      <w:r>
        <w:rPr>
          <w:rFonts w:hint="eastAsia" w:eastAsia="仿宋_GB2312" w:cs="仿宋_GB2312"/>
          <w:color w:val="auto"/>
          <w:sz w:val="32"/>
          <w:szCs w:val="32"/>
          <w:highlight w:val="none"/>
          <w:lang w:val="en-US" w:eastAsia="zh-CN"/>
        </w:rPr>
        <w:t>31.42</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41.61</w:t>
      </w:r>
      <w:r>
        <w:rPr>
          <w:rFonts w:hint="eastAsia" w:ascii="Times New Roman" w:hAnsi="Times New Roman" w:eastAsia="仿宋_GB2312" w:cs="仿宋_GB2312"/>
          <w:color w:val="auto"/>
          <w:sz w:val="32"/>
          <w:szCs w:val="32"/>
          <w:highlight w:val="none"/>
        </w:rPr>
        <w:t>%。主要变动原因是人员经费减少</w:t>
      </w:r>
      <w:r>
        <w:rPr>
          <w:rFonts w:hint="eastAsia" w:ascii="Times New Roman" w:hAnsi="Times New Roman" w:eastAsia="仿宋_GB2312" w:cs="仿宋_GB2312"/>
          <w:color w:val="auto"/>
          <w:sz w:val="32"/>
          <w:szCs w:val="32"/>
          <w:highlight w:val="none"/>
          <w:lang w:eastAsia="zh-CN"/>
        </w:rPr>
        <w:t>。</w:t>
      </w:r>
    </w:p>
    <w:p w14:paraId="13DE503C">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355C6287">
      <w:pPr>
        <w:spacing w:line="240" w:lineRule="auto"/>
        <w:ind w:firstLine="0"/>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371975" cy="2676525"/>
            <wp:effectExtent l="0" t="0" r="9525" b="952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2"/>
                    <a:stretch>
                      <a:fillRect/>
                    </a:stretch>
                  </pic:blipFill>
                  <pic:spPr>
                    <a:xfrm>
                      <a:off x="0" y="0"/>
                      <a:ext cx="4371975" cy="2676525"/>
                    </a:xfrm>
                    <a:prstGeom prst="rect">
                      <a:avLst/>
                    </a:prstGeom>
                    <a:noFill/>
                    <a:ln>
                      <a:noFill/>
                    </a:ln>
                  </pic:spPr>
                </pic:pic>
              </a:graphicData>
            </a:graphic>
          </wp:inline>
        </w:drawing>
      </w:r>
    </w:p>
    <w:p w14:paraId="4DB4CB7F">
      <w:pPr>
        <w:spacing w:line="600" w:lineRule="exact"/>
        <w:ind w:firstLine="640" w:firstLineChars="200"/>
        <w:outlineLvl w:val="1"/>
        <w:rPr>
          <w:rStyle w:val="31"/>
          <w:rFonts w:ascii="Times New Roman" w:hAnsi="Times New Roman" w:eastAsia="黑体"/>
          <w:b w:val="0"/>
          <w:color w:val="auto"/>
          <w:highlight w:val="none"/>
        </w:rPr>
      </w:pPr>
      <w:bookmarkStart w:id="28" w:name="_Toc15396607"/>
      <w:bookmarkStart w:id="29"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8"/>
      <w:bookmarkEnd w:id="29"/>
    </w:p>
    <w:p w14:paraId="3848E0A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14:paraId="73CC49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73.09</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96.79</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%。与2023年度相比，一般公共预算财政拨款支出减少27.67万元，下降37.86%。主要变动原因是人员经费减少。</w:t>
      </w:r>
    </w:p>
    <w:p w14:paraId="0027D0D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6DC8D7B8">
      <w:pPr>
        <w:spacing w:line="240" w:lineRule="auto"/>
        <w:ind w:firstLine="0"/>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476750" cy="2714625"/>
            <wp:effectExtent l="0" t="0" r="0" b="952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3"/>
                    <a:stretch>
                      <a:fillRect/>
                    </a:stretch>
                  </pic:blipFill>
                  <pic:spPr>
                    <a:xfrm>
                      <a:off x="0" y="0"/>
                      <a:ext cx="4476750" cy="2714625"/>
                    </a:xfrm>
                    <a:prstGeom prst="rect">
                      <a:avLst/>
                    </a:prstGeom>
                    <a:noFill/>
                    <a:ln>
                      <a:noFill/>
                    </a:ln>
                  </pic:spPr>
                </pic:pic>
              </a:graphicData>
            </a:graphic>
          </wp:inline>
        </w:drawing>
      </w:r>
    </w:p>
    <w:p w14:paraId="7B109CE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1"/>
    </w:p>
    <w:p w14:paraId="26BC617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73.09</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52.39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71.68</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8.95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12.25</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6.74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9.22</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6.85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B4EAC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1253A644">
      <w:pPr>
        <w:spacing w:line="240" w:lineRule="auto"/>
        <w:ind w:firstLine="0"/>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619625" cy="2619375"/>
            <wp:effectExtent l="0" t="0" r="9525" b="952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4"/>
                    <a:stretch>
                      <a:fillRect/>
                    </a:stretch>
                  </pic:blipFill>
                  <pic:spPr>
                    <a:xfrm>
                      <a:off x="0" y="0"/>
                      <a:ext cx="4619625" cy="2619375"/>
                    </a:xfrm>
                    <a:prstGeom prst="rect">
                      <a:avLst/>
                    </a:prstGeom>
                    <a:noFill/>
                    <a:ln>
                      <a:noFill/>
                    </a:ln>
                  </pic:spPr>
                </pic:pic>
              </a:graphicData>
            </a:graphic>
          </wp:inline>
        </w:drawing>
      </w:r>
    </w:p>
    <w:p w14:paraId="18F25F3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2"/>
    </w:p>
    <w:p w14:paraId="00BF2CD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3" w:name="_Toc15378460"/>
      <w:bookmarkStart w:id="34" w:name="_Toc15377213"/>
      <w:bookmarkStart w:id="35"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73.09</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完成预算**%。其中：</w:t>
      </w:r>
      <w:bookmarkEnd w:id="33"/>
      <w:bookmarkEnd w:id="34"/>
      <w:bookmarkEnd w:id="35"/>
    </w:p>
    <w:p w14:paraId="486E9FF5">
      <w:pPr>
        <w:spacing w:line="600" w:lineRule="exact"/>
        <w:ind w:firstLine="643" w:firstLineChars="200"/>
        <w:rPr>
          <w:rFonts w:ascii="仿宋" w:hAnsi="仿宋" w:eastAsia="仿宋"/>
          <w:b/>
          <w:color w:val="auto"/>
          <w:sz w:val="32"/>
          <w:szCs w:val="32"/>
          <w:highlight w:val="none"/>
        </w:rPr>
      </w:pPr>
      <w:r>
        <w:rPr>
          <w:rStyle w:val="19"/>
          <w:rFonts w:ascii="仿宋" w:hAnsi="仿宋" w:eastAsia="仿宋"/>
          <w:bCs/>
          <w:color w:val="auto"/>
          <w:sz w:val="32"/>
          <w:szCs w:val="32"/>
          <w:highlight w:val="none"/>
        </w:rPr>
        <w:t>1.</w:t>
      </w:r>
      <w:r>
        <w:rPr>
          <w:rStyle w:val="19"/>
          <w:rFonts w:hint="eastAsia" w:ascii="仿宋" w:hAnsi="仿宋" w:eastAsia="仿宋"/>
          <w:bCs/>
          <w:color w:val="auto"/>
          <w:sz w:val="32"/>
          <w:szCs w:val="32"/>
          <w:highlight w:val="none"/>
        </w:rPr>
        <w:t>一般公共服务</w:t>
      </w:r>
      <w:r>
        <w:rPr>
          <w:rStyle w:val="19"/>
          <w:rFonts w:hint="eastAsia" w:ascii="仿宋" w:hAnsi="仿宋" w:eastAsia="仿宋"/>
          <w:bCs/>
          <w:color w:val="auto"/>
          <w:sz w:val="32"/>
          <w:szCs w:val="32"/>
          <w:highlight w:val="none"/>
          <w:lang w:eastAsia="zh-CN"/>
        </w:rPr>
        <w:t>支出</w:t>
      </w:r>
      <w:r>
        <w:rPr>
          <w:rStyle w:val="19"/>
          <w:rFonts w:hint="eastAsia" w:ascii="仿宋" w:hAnsi="仿宋" w:eastAsia="仿宋"/>
          <w:bCs/>
          <w:color w:val="auto"/>
          <w:sz w:val="32"/>
          <w:szCs w:val="32"/>
          <w:highlight w:val="none"/>
        </w:rPr>
        <w:t>（类）民主党派及工商联事务（款）行政运行（项）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50.93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2FEBDC4F">
      <w:pPr>
        <w:spacing w:line="600" w:lineRule="exact"/>
        <w:ind w:firstLine="643" w:firstLineChars="200"/>
        <w:rPr>
          <w:rStyle w:val="19"/>
          <w:rFonts w:ascii="仿宋" w:hAnsi="仿宋" w:eastAsia="仿宋"/>
          <w:bCs/>
          <w:color w:val="auto"/>
          <w:sz w:val="32"/>
          <w:szCs w:val="32"/>
          <w:highlight w:val="none"/>
        </w:rPr>
      </w:pPr>
      <w:r>
        <w:rPr>
          <w:rStyle w:val="19"/>
          <w:rFonts w:ascii="仿宋" w:hAnsi="仿宋" w:eastAsia="仿宋"/>
          <w:bCs/>
          <w:color w:val="auto"/>
          <w:sz w:val="32"/>
          <w:szCs w:val="32"/>
          <w:highlight w:val="none"/>
        </w:rPr>
        <w:t>2.</w:t>
      </w:r>
      <w:r>
        <w:rPr>
          <w:rStyle w:val="19"/>
          <w:rFonts w:hint="eastAsia" w:ascii="仿宋" w:hAnsi="仿宋" w:eastAsia="仿宋"/>
          <w:bCs/>
          <w:color w:val="auto"/>
          <w:sz w:val="32"/>
          <w:szCs w:val="32"/>
          <w:highlight w:val="none"/>
        </w:rPr>
        <w:t>一般公共服务</w:t>
      </w:r>
      <w:r>
        <w:rPr>
          <w:rStyle w:val="19"/>
          <w:rFonts w:hint="eastAsia" w:ascii="仿宋" w:hAnsi="仿宋" w:eastAsia="仿宋"/>
          <w:bCs/>
          <w:color w:val="auto"/>
          <w:sz w:val="32"/>
          <w:szCs w:val="32"/>
          <w:highlight w:val="none"/>
          <w:lang w:eastAsia="zh-CN"/>
        </w:rPr>
        <w:t>支出</w:t>
      </w:r>
      <w:r>
        <w:rPr>
          <w:rStyle w:val="19"/>
          <w:rFonts w:hint="eastAsia" w:ascii="仿宋" w:hAnsi="仿宋" w:eastAsia="仿宋"/>
          <w:bCs/>
          <w:color w:val="auto"/>
          <w:sz w:val="32"/>
          <w:szCs w:val="32"/>
          <w:highlight w:val="none"/>
        </w:rPr>
        <w:t>（类）民主党派及工商联事务（款）其他民主党派及工商联事务支出（项）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1.46</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45F5E550">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3</w:t>
      </w:r>
      <w:r>
        <w:rPr>
          <w:rStyle w:val="19"/>
          <w:rFonts w:hint="eastAsia" w:ascii="仿宋" w:hAnsi="仿宋" w:eastAsia="仿宋"/>
          <w:bCs/>
          <w:color w:val="auto"/>
          <w:sz w:val="32"/>
          <w:szCs w:val="32"/>
          <w:highlight w:val="none"/>
        </w:rPr>
        <w:t>社会保障和就业支出（类）行政事业单位养老支出（款）行政单位离退休（项）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2.8</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1FA2FDF2">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4</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社会保障和就业支出（类）行政事业单位养老支出（款）机关事业单位基本养老保险缴费支出（项）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5.81</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6F26A09F">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5</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社会保障和就业支出（类）行政事业单位养老支出（款）机关事业单位职业年金缴费支出（项）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0.35</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029FB2CE">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6</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卫生健康支出（类）行政事业单位医疗（款）行政单位医疗（项）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3.27</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69442A3C">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7</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卫生健康支出（类）行政事业单位医疗（款）公务员医疗补助（项）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3.47</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69CD8E5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Style w:val="19"/>
          <w:rFonts w:hint="eastAsia" w:ascii="仿宋" w:hAnsi="仿宋" w:eastAsia="仿宋"/>
          <w:bCs/>
          <w:color w:val="auto"/>
          <w:sz w:val="32"/>
          <w:szCs w:val="32"/>
          <w:highlight w:val="none"/>
          <w:lang w:val="en-US" w:eastAsia="zh-CN"/>
        </w:rPr>
        <w:t>8</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住房保障支出</w:t>
      </w:r>
      <w:r>
        <w:rPr>
          <w:rStyle w:val="19"/>
          <w:rFonts w:hint="eastAsia" w:ascii="仿宋" w:hAnsi="仿宋" w:eastAsia="仿宋"/>
          <w:bCs/>
          <w:color w:val="auto"/>
          <w:sz w:val="32"/>
          <w:szCs w:val="32"/>
          <w:highlight w:val="none"/>
        </w:rPr>
        <w:t>（类）住房改革支出（款）住房公积金（项）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28E9846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A0DAA84">
      <w:pPr>
        <w:tabs>
          <w:tab w:val="right" w:pos="8306"/>
        </w:tabs>
        <w:spacing w:line="600" w:lineRule="exact"/>
        <w:ind w:firstLine="640"/>
        <w:outlineLvl w:val="1"/>
        <w:rPr>
          <w:rStyle w:val="31"/>
          <w:rFonts w:ascii="Times New Roman" w:hAnsi="Times New Roman"/>
          <w:color w:val="auto"/>
          <w:highlight w:val="none"/>
        </w:rPr>
      </w:pPr>
      <w:bookmarkStart w:id="36" w:name="_Toc15396608"/>
      <w:bookmarkStart w:id="37"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36"/>
      <w:bookmarkEnd w:id="37"/>
      <w:r>
        <w:rPr>
          <w:rStyle w:val="31"/>
          <w:rFonts w:ascii="Times New Roman" w:hAnsi="Times New Roman" w:eastAsia="黑体"/>
          <w:b w:val="0"/>
          <w:color w:val="auto"/>
          <w:highlight w:val="none"/>
        </w:rPr>
        <w:tab/>
      </w:r>
    </w:p>
    <w:p w14:paraId="35BB18D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71.63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3E10C7F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67.02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元，主要包括：基本工资、津贴补贴、奖金、机关事业单位基本养老保险缴费、职业年金缴费、其他社会保障缴费、其他工资福利支出、生活补助、奖励金、住房公积金等。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4.61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元，主要包括：办公费、劳务费、委托业务费、工会经费、福利费、其他交通费、其他商品和服务支出等。</w:t>
      </w:r>
    </w:p>
    <w:p w14:paraId="7FECD58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820C831">
      <w:pPr>
        <w:spacing w:line="600" w:lineRule="exact"/>
        <w:ind w:firstLine="640"/>
        <w:outlineLvl w:val="1"/>
        <w:rPr>
          <w:rStyle w:val="31"/>
          <w:rFonts w:ascii="Times New Roman" w:hAnsi="Times New Roman" w:eastAsia="黑体"/>
          <w:b w:val="0"/>
          <w:color w:val="auto"/>
          <w:highlight w:val="none"/>
        </w:rPr>
      </w:pPr>
      <w:bookmarkStart w:id="38" w:name="_Toc15396609"/>
      <w:bookmarkStart w:id="39" w:name="_Toc15377215"/>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8"/>
      <w:bookmarkEnd w:id="39"/>
    </w:p>
    <w:p w14:paraId="528F7BB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14:paraId="219B2E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度持平</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eastAsia="zh-CN"/>
        </w:rPr>
        <w:t>无三公经费支出</w:t>
      </w:r>
      <w:r>
        <w:rPr>
          <w:rFonts w:hint="eastAsia" w:ascii="仿宋" w:hAnsi="仿宋" w:eastAsia="仿宋"/>
          <w:color w:val="auto"/>
          <w:sz w:val="32"/>
          <w:szCs w:val="32"/>
          <w:highlight w:val="none"/>
        </w:rPr>
        <w:t>。</w:t>
      </w:r>
    </w:p>
    <w:p w14:paraId="5F3392C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1"/>
    </w:p>
    <w:p w14:paraId="677495A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58D4F8E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1083FA8D">
      <w:pPr>
        <w:spacing w:line="240" w:lineRule="auto"/>
        <w:ind w:firstLine="0"/>
        <w:rPr>
          <w:rFonts w:hint="eastAsia" w:ascii="Times New Roman" w:hAnsi="Times New Roman" w:eastAsia="仿宋_GB2312" w:cs="仿宋_GB2312"/>
          <w:b/>
          <w:bCs/>
          <w:color w:val="auto"/>
          <w:kern w:val="2"/>
          <w:sz w:val="32"/>
          <w:szCs w:val="32"/>
          <w:highlight w:val="none"/>
          <w:lang w:val="en-US" w:eastAsia="zh-CN" w:bidi="ar-SA"/>
        </w:rPr>
      </w:pPr>
    </w:p>
    <w:p w14:paraId="36454CD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度持平</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未支出因公出国（境）经费支出</w:t>
      </w:r>
      <w:r>
        <w:rPr>
          <w:rFonts w:hint="eastAsia" w:ascii="仿宋_GB2312" w:eastAsia="仿宋_GB2312"/>
          <w:color w:val="auto"/>
          <w:sz w:val="32"/>
          <w:szCs w:val="32"/>
          <w:highlight w:val="none"/>
          <w:lang w:val="en-US" w:eastAsia="zh-CN"/>
        </w:rPr>
        <w:t>。</w:t>
      </w:r>
    </w:p>
    <w:p w14:paraId="3D1B022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开支内容包括</w:t>
      </w:r>
      <w:r>
        <w:rPr>
          <w:rFonts w:hint="eastAsia" w:eastAsia="仿宋_GB2312" w:cs="仿宋_GB2312"/>
          <w:color w:val="auto"/>
          <w:kern w:val="2"/>
          <w:sz w:val="32"/>
          <w:szCs w:val="32"/>
          <w:highlight w:val="none"/>
          <w:lang w:val="en-US" w:eastAsia="zh-CN" w:bidi="ar-SA"/>
        </w:rPr>
        <w:t>：无。</w:t>
      </w:r>
    </w:p>
    <w:p w14:paraId="749B8AF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度持平</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本单位无车辆</w:t>
      </w:r>
      <w:r>
        <w:rPr>
          <w:rFonts w:hint="eastAsia" w:eastAsia="仿宋_GB2312" w:cs="仿宋_GB2312"/>
          <w:color w:val="auto"/>
          <w:kern w:val="2"/>
          <w:sz w:val="32"/>
          <w:szCs w:val="32"/>
          <w:highlight w:val="none"/>
          <w:lang w:val="en-US" w:eastAsia="zh-CN" w:bidi="ar-SA"/>
        </w:rPr>
        <w:t>。</w:t>
      </w:r>
    </w:p>
    <w:p w14:paraId="50266FB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6964890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7A1811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eastAsia="仿宋_GB2312"/>
          <w:color w:val="auto"/>
          <w:sz w:val="32"/>
          <w:szCs w:val="32"/>
          <w:highlight w:val="none"/>
        </w:rPr>
        <w:t>公务接待费支出决算</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度持平</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无公务接待费支出</w:t>
      </w:r>
      <w:r>
        <w:rPr>
          <w:rFonts w:hint="eastAsia" w:ascii="仿宋_GB2312" w:eastAsia="仿宋_GB2312"/>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其中：</w:t>
      </w:r>
    </w:p>
    <w:p w14:paraId="0195A9C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p>
    <w:p w14:paraId="217D7F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14:paraId="55D3E74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2" w:name="_Toc15377218"/>
      <w:bookmarkStart w:id="43" w:name="_Toc15396610"/>
    </w:p>
    <w:p w14:paraId="7A58F88E">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42"/>
      <w:bookmarkEnd w:id="43"/>
    </w:p>
    <w:p w14:paraId="36AB4469">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2.42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3.2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3.75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154.95</w:t>
      </w:r>
      <w:r>
        <w:rPr>
          <w:rFonts w:hint="eastAsia" w:ascii="Times New Roman" w:hAnsi="Times New Roman" w:eastAsia="仿宋_GB2312" w:cs="仿宋_GB2312"/>
          <w:color w:val="auto"/>
          <w:kern w:val="2"/>
          <w:sz w:val="32"/>
          <w:szCs w:val="32"/>
          <w:highlight w:val="none"/>
          <w:lang w:val="en-US" w:eastAsia="zh-CN" w:bidi="ar-SA"/>
        </w:rPr>
        <w:t>%。主要变动原因是减少了主席会、执委会换届选举</w:t>
      </w:r>
      <w:r>
        <w:rPr>
          <w:rFonts w:hint="eastAsia" w:eastAsia="仿宋_GB2312" w:cs="仿宋_GB2312"/>
          <w:color w:val="auto"/>
          <w:kern w:val="2"/>
          <w:sz w:val="32"/>
          <w:szCs w:val="32"/>
          <w:highlight w:val="none"/>
          <w:lang w:val="en-US" w:eastAsia="zh-CN" w:bidi="ar-SA"/>
        </w:rPr>
        <w:t>项目经费减少。</w:t>
      </w:r>
    </w:p>
    <w:p w14:paraId="1048745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4476715">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44" w:name="_Toc15396611"/>
      <w:bookmarkStart w:id="45" w:name="_Toc15377219"/>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44"/>
      <w:bookmarkEnd w:id="45"/>
    </w:p>
    <w:p w14:paraId="6ACC836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color w:val="auto"/>
          <w:kern w:val="2"/>
          <w:sz w:val="32"/>
          <w:szCs w:val="32"/>
          <w:highlight w:val="none"/>
          <w:lang w:val="en-US" w:eastAsia="zh-CN" w:bidi="ar-SA"/>
        </w:rPr>
        <w:t>国有资本经营预算财政拨款支出。</w:t>
      </w:r>
    </w:p>
    <w:p w14:paraId="40BFACC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ACD3A71">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46" w:name="_Toc15396612"/>
      <w:bookmarkStart w:id="47" w:name="_Toc15377221"/>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46"/>
      <w:bookmarkEnd w:id="47"/>
    </w:p>
    <w:p w14:paraId="45EB90F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14:paraId="3358FC7C">
      <w:pPr>
        <w:spacing w:line="600" w:lineRule="exact"/>
        <w:ind w:firstLine="640"/>
        <w:rPr>
          <w:rFonts w:hint="eastAsia" w:ascii="Times New Roman" w:hAnsi="Times New Roman" w:eastAsia="仿宋"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攀枝花市西区工商业联合会</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4.61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元，比2023年减少</w:t>
      </w:r>
      <w:r>
        <w:rPr>
          <w:rFonts w:hint="eastAsia" w:eastAsia="仿宋_GB2312" w:cs="仿宋_GB2312"/>
          <w:color w:val="auto"/>
          <w:kern w:val="2"/>
          <w:sz w:val="32"/>
          <w:szCs w:val="32"/>
          <w:highlight w:val="none"/>
          <w:lang w:val="en-US" w:eastAsia="zh-CN" w:bidi="ar-SA"/>
        </w:rPr>
        <w:t>2.04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44.25</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sz w:val="32"/>
          <w:szCs w:val="32"/>
        </w:rPr>
        <w:t>主要原因是</w:t>
      </w:r>
      <w:r>
        <w:rPr>
          <w:rFonts w:ascii="仿宋" w:hAnsi="仿宋" w:eastAsia="仿宋"/>
          <w:sz w:val="32"/>
          <w:szCs w:val="32"/>
        </w:rPr>
        <w:t>厉行节约，压缩开支</w:t>
      </w:r>
      <w:r>
        <w:rPr>
          <w:rFonts w:hint="eastAsia" w:ascii="仿宋" w:hAnsi="仿宋" w:eastAsia="仿宋"/>
          <w:sz w:val="32"/>
          <w:szCs w:val="32"/>
          <w:lang w:eastAsia="zh-CN"/>
        </w:rPr>
        <w:t>。</w:t>
      </w:r>
    </w:p>
    <w:p w14:paraId="70179B7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586A50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3"/>
      <w:r>
        <w:rPr>
          <w:rFonts w:hint="eastAsia" w:ascii="Times New Roman" w:hAnsi="Times New Roman" w:eastAsia="楷体_GB2312" w:cs="楷体_GB2312"/>
          <w:b/>
          <w:color w:val="auto"/>
          <w:sz w:val="32"/>
          <w:szCs w:val="32"/>
          <w:highlight w:val="none"/>
        </w:rPr>
        <w:t>（二）政府采购支出情况</w:t>
      </w:r>
      <w:bookmarkEnd w:id="49"/>
    </w:p>
    <w:p w14:paraId="29567ADC">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攀枝花市西区工商业联合会</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544E0B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A095B3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14:paraId="4AD7A8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攀枝花市西区工商业联合会</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4BB92DF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7D97AA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627A1099">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hAnsi="Times New Roman" w:eastAsia="仿宋_GB2312" w:cs="Times New Roman"/>
          <w:color w:val="auto"/>
          <w:sz w:val="32"/>
          <w:szCs w:val="32"/>
          <w:highlight w:val="none"/>
          <w:lang w:eastAsia="zh-CN"/>
        </w:rPr>
        <w:t>本单位在</w:t>
      </w:r>
      <w:r>
        <w:rPr>
          <w:rFonts w:hint="eastAsia" w:ascii="仿宋_GB2312" w:hAnsi="Times New Roman" w:eastAsia="仿宋_GB2312" w:cs="Times New Roman"/>
          <w:color w:val="auto"/>
          <w:sz w:val="32"/>
          <w:szCs w:val="32"/>
          <w:highlight w:val="none"/>
          <w:lang w:val="en-US" w:eastAsia="zh-CN"/>
        </w:rPr>
        <w:t>2024年度</w:t>
      </w:r>
      <w:r>
        <w:rPr>
          <w:rFonts w:hint="eastAsia" w:ascii="仿宋_GB2312" w:hAnsi="Times New Roman" w:eastAsia="仿宋_GB2312" w:cs="Times New Roman"/>
          <w:color w:val="auto"/>
          <w:sz w:val="32"/>
          <w:szCs w:val="32"/>
          <w:highlight w:val="none"/>
          <w:lang w:eastAsia="zh-CN"/>
        </w:rPr>
        <w:t>预算编制阶段，组织对</w:t>
      </w:r>
      <w:r>
        <w:rPr>
          <w:rFonts w:hint="eastAsia" w:ascii="仿宋_GB2312" w:hAnsi="Times New Roman" w:eastAsia="仿宋_GB2312" w:cs="Times New Roman"/>
          <w:color w:val="auto"/>
          <w:sz w:val="32"/>
          <w:szCs w:val="32"/>
          <w:highlight w:val="none"/>
          <w:lang w:val="en-US" w:eastAsia="zh-CN"/>
        </w:rPr>
        <w:t>联系协调非公企业经费、购买社会服务费</w:t>
      </w:r>
      <w:r>
        <w:rPr>
          <w:rFonts w:hint="eastAsia" w:ascii="仿宋_GB2312" w:hAnsi="Times New Roman" w:eastAsia="仿宋_GB2312" w:cs="Times New Roman"/>
          <w:color w:val="auto"/>
          <w:sz w:val="32"/>
          <w:szCs w:val="32"/>
          <w:highlight w:val="none"/>
          <w:lang w:eastAsia="zh-CN"/>
        </w:rPr>
        <w:t>项目</w:t>
      </w:r>
      <w:r>
        <w:rPr>
          <w:rFonts w:hint="eastAsia" w:ascii="仿宋_GB2312" w:hAnsi="Times New Roman" w:eastAsia="仿宋_GB2312" w:cs="Times New Roman"/>
          <w:color w:val="auto"/>
          <w:sz w:val="32"/>
          <w:szCs w:val="32"/>
          <w:highlight w:val="none"/>
          <w:lang w:val="en-US" w:eastAsia="zh-CN"/>
        </w:rPr>
        <w:t>2个项目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hAnsi="Times New Roman"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hAnsi="Times New Roman"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hAnsi="Times New Roman" w:eastAsia="仿宋_GB2312" w:cs="Times New Roman"/>
          <w:color w:val="auto"/>
          <w:sz w:val="32"/>
          <w:szCs w:val="32"/>
          <w:highlight w:val="none"/>
          <w:lang w:val="en-US" w:eastAsia="zh-CN"/>
        </w:rPr>
        <w:t>2个项目开展绩效自评，</w:t>
      </w:r>
    </w:p>
    <w:p w14:paraId="6F49A0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2024年度一般公共预算、</w:t>
      </w:r>
      <w:r>
        <w:rPr>
          <w:rFonts w:hint="eastAsia" w:ascii="仿宋_GB2312" w:hAnsi="仿宋_GB2312" w:eastAsia="仿宋_GB2312" w:cs="仿宋_GB2312"/>
          <w:color w:val="auto"/>
          <w:sz w:val="32"/>
          <w:szCs w:val="32"/>
          <w:highlight w:val="none"/>
          <w:lang w:eastAsia="zh-CN"/>
        </w:rPr>
        <w:t>政府性基金预算</w:t>
      </w:r>
      <w:r>
        <w:rPr>
          <w:rFonts w:hint="eastAsia" w:ascii="仿宋_GB2312" w:hAnsi="仿宋_GB2312" w:eastAsia="仿宋_GB2312" w:cs="仿宋_GB2312"/>
          <w:color w:val="auto"/>
          <w:sz w:val="32"/>
          <w:szCs w:val="32"/>
          <w:highlight w:val="none"/>
          <w:lang w:val="en-US" w:eastAsia="zh-CN"/>
        </w:rPr>
        <w:t>全面开展绩效自评，形成</w:t>
      </w:r>
      <w:r>
        <w:rPr>
          <w:rFonts w:hint="eastAsia" w:ascii="仿宋_GB2312" w:eastAsia="仿宋_GB2312"/>
          <w:color w:val="auto"/>
          <w:sz w:val="32"/>
          <w:szCs w:val="32"/>
          <w:highlight w:val="none"/>
          <w:lang w:eastAsia="zh-CN"/>
        </w:rPr>
        <w:t>西区工商联</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Times New Roman" w:eastAsia="仿宋_GB2312" w:cs="Times New Roman"/>
          <w:color w:val="auto"/>
          <w:sz w:val="32"/>
          <w:szCs w:val="32"/>
          <w:highlight w:val="none"/>
          <w:lang w:eastAsia="zh-CN"/>
        </w:rPr>
        <w:t>对</w:t>
      </w:r>
      <w:r>
        <w:rPr>
          <w:rFonts w:hint="eastAsia" w:ascii="仿宋_GB2312" w:hAnsi="Times New Roman" w:eastAsia="仿宋_GB2312" w:cs="Times New Roman"/>
          <w:color w:val="auto"/>
          <w:sz w:val="32"/>
          <w:szCs w:val="32"/>
          <w:highlight w:val="none"/>
          <w:lang w:val="en-US" w:eastAsia="zh-CN"/>
        </w:rPr>
        <w:t>联系协调非公企业经费、购买社会服务费</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绩效自评报告，其中，</w:t>
      </w:r>
      <w:r>
        <w:rPr>
          <w:rFonts w:hint="eastAsia" w:ascii="仿宋_GB2312" w:eastAsia="仿宋_GB2312"/>
          <w:color w:val="auto"/>
          <w:sz w:val="32"/>
          <w:szCs w:val="32"/>
          <w:highlight w:val="none"/>
          <w:lang w:eastAsia="zh-CN"/>
        </w:rPr>
        <w:t>西区工商联</w:t>
      </w:r>
      <w:r>
        <w:rPr>
          <w:rFonts w:hint="eastAsia" w:ascii="仿宋_GB2312" w:hAnsi="仿宋_GB2312" w:eastAsia="仿宋_GB2312" w:cs="仿宋_GB2312"/>
          <w:color w:val="auto"/>
          <w:sz w:val="32"/>
          <w:szCs w:val="32"/>
          <w:highlight w:val="none"/>
          <w:lang w:val="en-US" w:eastAsia="zh-CN"/>
        </w:rPr>
        <w:t>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100分，绩效自评综述：根据确定的年度绩效管理目标制定具体实施计划，明确内部业务分工，落实承办人员及其工作责任，明确时序进度和目标要求，落实工作措施，总结汇集工作成果，并记录实施过程。通过自评，财政部门能够清晰完整地了解区工商联在预决算执行过程的问题，自评结果准确反映了区工商联在执行预算支出绩效总体较好</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6B69F5FB">
      <w:pPr>
        <w:pStyle w:val="3"/>
        <w:rPr>
          <w:rFonts w:hint="eastAsia" w:ascii="Times New Roman" w:hAnsi="Times New Roman" w:eastAsia="仿宋_GB2312" w:cs="仿宋_GB2312"/>
          <w:color w:val="auto"/>
          <w:kern w:val="2"/>
          <w:sz w:val="32"/>
          <w:szCs w:val="32"/>
          <w:highlight w:val="none"/>
          <w:lang w:val="en-US" w:eastAsia="zh-CN" w:bidi="ar-SA"/>
        </w:rPr>
      </w:pPr>
    </w:p>
    <w:p w14:paraId="60AFE94D">
      <w:pPr>
        <w:pStyle w:val="28"/>
        <w:rPr>
          <w:rFonts w:hint="eastAsia" w:ascii="Times New Roman" w:hAnsi="Times New Roman" w:eastAsia="仿宋_GB2312" w:cs="仿宋_GB2312"/>
          <w:color w:val="auto"/>
          <w:kern w:val="2"/>
          <w:sz w:val="32"/>
          <w:szCs w:val="32"/>
          <w:highlight w:val="none"/>
          <w:lang w:val="en-US" w:eastAsia="zh-CN" w:bidi="ar-SA"/>
        </w:rPr>
      </w:pPr>
    </w:p>
    <w:p w14:paraId="0021FDF8">
      <w:pPr>
        <w:pStyle w:val="28"/>
        <w:rPr>
          <w:rFonts w:hint="eastAsia" w:ascii="Times New Roman" w:hAnsi="Times New Roman" w:eastAsia="仿宋_GB2312" w:cs="仿宋_GB2312"/>
          <w:color w:val="auto"/>
          <w:kern w:val="2"/>
          <w:sz w:val="32"/>
          <w:szCs w:val="32"/>
          <w:highlight w:val="none"/>
          <w:lang w:val="en-US" w:eastAsia="zh-CN" w:bidi="ar-SA"/>
        </w:rPr>
      </w:pPr>
    </w:p>
    <w:p w14:paraId="0EF27760">
      <w:pPr>
        <w:pStyle w:val="28"/>
        <w:rPr>
          <w:rFonts w:hint="eastAsia" w:ascii="Times New Roman" w:hAnsi="Times New Roman" w:eastAsia="仿宋_GB2312" w:cs="仿宋_GB2312"/>
          <w:color w:val="auto"/>
          <w:kern w:val="2"/>
          <w:sz w:val="32"/>
          <w:szCs w:val="32"/>
          <w:highlight w:val="none"/>
          <w:lang w:val="en-US" w:eastAsia="zh-CN" w:bidi="ar-SA"/>
        </w:rPr>
      </w:pPr>
    </w:p>
    <w:p w14:paraId="29887798">
      <w:pPr>
        <w:pStyle w:val="28"/>
        <w:rPr>
          <w:rFonts w:hint="eastAsia" w:ascii="Times New Roman" w:hAnsi="Times New Roman" w:eastAsia="仿宋_GB2312" w:cs="仿宋_GB2312"/>
          <w:color w:val="auto"/>
          <w:kern w:val="2"/>
          <w:sz w:val="32"/>
          <w:szCs w:val="32"/>
          <w:highlight w:val="none"/>
          <w:lang w:val="en-US" w:eastAsia="zh-CN" w:bidi="ar-SA"/>
        </w:rPr>
      </w:pPr>
    </w:p>
    <w:p w14:paraId="043DF32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DFE5529">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1" w:name="_Toc15377225"/>
      <w:bookmarkStart w:id="52"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1"/>
      <w:bookmarkEnd w:id="52"/>
    </w:p>
    <w:p w14:paraId="6D2953BE">
      <w:pPr>
        <w:spacing w:line="600" w:lineRule="exact"/>
        <w:jc w:val="left"/>
        <w:rPr>
          <w:rFonts w:ascii="Times New Roman" w:hAnsi="Times New Roman"/>
          <w:b/>
          <w:color w:val="auto"/>
          <w:sz w:val="44"/>
          <w:szCs w:val="44"/>
          <w:highlight w:val="none"/>
        </w:rPr>
      </w:pPr>
    </w:p>
    <w:p w14:paraId="38AB34DE">
      <w:pPr>
        <w:pStyle w:val="28"/>
        <w:spacing w:line="560" w:lineRule="exact"/>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1.</w:t>
      </w:r>
      <w:r>
        <w:rPr>
          <w:rFonts w:hint="eastAsia" w:ascii="Times New Roman" w:hAnsi="Times New Roman" w:eastAsia="仿宋_GB2312" w:cs="Times New Roman"/>
          <w:color w:val="auto"/>
          <w:kern w:val="2"/>
          <w:sz w:val="32"/>
          <w:szCs w:val="32"/>
          <w:highlight w:val="none"/>
          <w:shd w:val="clear" w:color="auto" w:fill="FFFFFF"/>
          <w:lang w:val="en-US" w:eastAsia="zh-CN" w:bidi="ar-SA"/>
        </w:rPr>
        <w:t>财政拨款收入：指单位从同级财政部门取得的财政预算资金。</w:t>
      </w:r>
    </w:p>
    <w:p w14:paraId="20AFE290">
      <w:pPr>
        <w:pStyle w:val="28"/>
        <w:spacing w:line="560" w:lineRule="exact"/>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2.</w:t>
      </w:r>
      <w:r>
        <w:rPr>
          <w:rFonts w:hint="eastAsia" w:ascii="Times New Roman" w:hAnsi="Times New Roman" w:eastAsia="仿宋_GB2312" w:cs="Times New Roman"/>
          <w:color w:val="auto"/>
          <w:kern w:val="2"/>
          <w:sz w:val="32"/>
          <w:szCs w:val="32"/>
          <w:highlight w:val="none"/>
          <w:shd w:val="clear" w:color="auto" w:fill="FFFFFF"/>
          <w:lang w:val="en-US" w:eastAsia="zh-CN" w:bidi="ar-SA"/>
        </w:rPr>
        <w:t>事业收入：指事业单位开展专业业务活动及辅助活动取得的收入。</w:t>
      </w:r>
    </w:p>
    <w:p w14:paraId="218EA5DF">
      <w:pPr>
        <w:pStyle w:val="28"/>
        <w:spacing w:line="560" w:lineRule="exact"/>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3.</w:t>
      </w:r>
      <w:r>
        <w:rPr>
          <w:rFonts w:hint="eastAsia" w:ascii="Times New Roman" w:hAnsi="Times New Roman" w:eastAsia="仿宋_GB2312" w:cs="Times New Roman"/>
          <w:color w:val="auto"/>
          <w:kern w:val="2"/>
          <w:sz w:val="32"/>
          <w:szCs w:val="32"/>
          <w:highlight w:val="none"/>
          <w:shd w:val="clear" w:color="auto" w:fill="FFFFFF"/>
          <w:lang w:val="en-US" w:eastAsia="zh-CN" w:bidi="ar-SA"/>
        </w:rPr>
        <w:t>经营收入：指事业单位在专业业务活动及其辅助活动之外开展非独立核算经营活动取得的收入。</w:t>
      </w:r>
    </w:p>
    <w:p w14:paraId="50C45B5A">
      <w:pPr>
        <w:pStyle w:val="28"/>
        <w:spacing w:line="560" w:lineRule="exact"/>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4.</w:t>
      </w:r>
      <w:r>
        <w:rPr>
          <w:rFonts w:hint="eastAsia" w:ascii="Times New Roman" w:hAnsi="Times New Roman" w:eastAsia="仿宋_GB2312" w:cs="Times New Roman"/>
          <w:color w:val="auto"/>
          <w:kern w:val="2"/>
          <w:sz w:val="32"/>
          <w:szCs w:val="32"/>
          <w:highlight w:val="none"/>
          <w:shd w:val="clear" w:color="auto" w:fill="FFFFFF"/>
          <w:lang w:val="en-US" w:eastAsia="zh-CN" w:bidi="ar-SA"/>
        </w:rPr>
        <w:t>其他收入：指单位取得的除上述收入以外的各项收入。</w:t>
      </w:r>
    </w:p>
    <w:p w14:paraId="0B300678">
      <w:pPr>
        <w:pStyle w:val="28"/>
        <w:spacing w:line="560" w:lineRule="exact"/>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5.</w:t>
      </w:r>
      <w:r>
        <w:rPr>
          <w:rFonts w:hint="eastAsia" w:ascii="Times New Roman" w:hAnsi="Times New Roman" w:eastAsia="仿宋_GB2312" w:cs="Times New Roman"/>
          <w:color w:val="auto"/>
          <w:kern w:val="2"/>
          <w:sz w:val="32"/>
          <w:szCs w:val="32"/>
          <w:highlight w:val="none"/>
          <w:shd w:val="clear" w:color="auto" w:fill="FFFFFF"/>
          <w:lang w:val="en-US" w:eastAsia="zh-CN" w:bidi="ar-SA"/>
        </w:rPr>
        <w:t>使用非财政拨款结余：指事业单位使用以前年度积累的非财政拨款结余弥补当年收支差额的金额。</w:t>
      </w:r>
    </w:p>
    <w:p w14:paraId="3832A5B3">
      <w:pPr>
        <w:pStyle w:val="28"/>
        <w:spacing w:line="560" w:lineRule="exact"/>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6.</w:t>
      </w:r>
      <w:r>
        <w:rPr>
          <w:rFonts w:hint="eastAsia" w:ascii="Times New Roman" w:hAnsi="Times New Roman" w:eastAsia="仿宋_GB2312" w:cs="Times New Roman"/>
          <w:color w:val="auto"/>
          <w:kern w:val="2"/>
          <w:sz w:val="32"/>
          <w:szCs w:val="32"/>
          <w:highlight w:val="none"/>
          <w:shd w:val="clear" w:color="auto" w:fill="FFFFFF"/>
          <w:lang w:val="en-US" w:eastAsia="zh-CN" w:bidi="ar-SA"/>
        </w:rPr>
        <w:t>年初结转和结余：指以前年度尚未完成、结转到本年按有关规定继续使用的资金。</w:t>
      </w:r>
    </w:p>
    <w:p w14:paraId="25269A6F">
      <w:pPr>
        <w:pStyle w:val="28"/>
        <w:spacing w:line="560" w:lineRule="exact"/>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7.</w:t>
      </w:r>
      <w:r>
        <w:rPr>
          <w:rFonts w:hint="eastAsia" w:ascii="Times New Roman" w:hAnsi="Times New Roman" w:eastAsia="仿宋_GB2312" w:cs="Times New Roman"/>
          <w:color w:val="auto"/>
          <w:kern w:val="2"/>
          <w:sz w:val="32"/>
          <w:szCs w:val="32"/>
          <w:highlight w:val="none"/>
          <w:shd w:val="clear" w:color="auto" w:fill="FFFFFF"/>
          <w:lang w:val="en-US" w:eastAsia="zh-CN" w:bidi="ar-SA"/>
        </w:rPr>
        <w:t>结余分配：指事业单位按照会计制度规定缴纳的所得税、提取的专用结余以及转入非财政拨款结余的金额等。</w:t>
      </w:r>
    </w:p>
    <w:p w14:paraId="078A1D02">
      <w:pPr>
        <w:pStyle w:val="28"/>
        <w:spacing w:line="560" w:lineRule="exact"/>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8</w:t>
      </w:r>
      <w:r>
        <w:rPr>
          <w:rFonts w:hint="eastAsia" w:ascii="Times New Roman" w:hAnsi="Times New Roman" w:eastAsia="仿宋_GB2312" w:cs="Times New Roman"/>
          <w:color w:val="auto"/>
          <w:kern w:val="2"/>
          <w:sz w:val="32"/>
          <w:szCs w:val="32"/>
          <w:highlight w:val="none"/>
          <w:shd w:val="clear" w:color="auto" w:fill="FFFFFF"/>
          <w:lang w:val="en-US" w:eastAsia="zh-CN" w:bidi="ar-SA"/>
        </w:rPr>
        <w:t>.年末结转和结余：指单位按有关规定结转到下年或以后年度继续使用的资金。</w:t>
      </w:r>
    </w:p>
    <w:p w14:paraId="083467A2">
      <w:pPr>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9.</w:t>
      </w:r>
      <w:r>
        <w:rPr>
          <w:rFonts w:hint="eastAsia" w:ascii="Times New Roman" w:hAnsi="Times New Roman" w:eastAsia="仿宋_GB2312" w:cs="Times New Roman"/>
          <w:color w:val="auto"/>
          <w:kern w:val="2"/>
          <w:sz w:val="32"/>
          <w:szCs w:val="32"/>
          <w:highlight w:val="none"/>
          <w:shd w:val="clear" w:color="auto" w:fill="FFFFFF"/>
          <w:lang w:val="en-US" w:eastAsia="zh-CN" w:bidi="ar-SA"/>
        </w:rPr>
        <w:t>一般公共服务支出（类）民主党派及工商联事务（款）行政运行（项）：反映行政单位（包括实行公务员管理的事业单位）的基本支出。</w:t>
      </w:r>
    </w:p>
    <w:p w14:paraId="0F9598CE">
      <w:pPr>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10.</w:t>
      </w:r>
      <w:r>
        <w:rPr>
          <w:rFonts w:hint="eastAsia" w:ascii="Times New Roman" w:hAnsi="Times New Roman" w:eastAsia="仿宋_GB2312" w:cs="Times New Roman"/>
          <w:color w:val="auto"/>
          <w:kern w:val="2"/>
          <w:sz w:val="32"/>
          <w:szCs w:val="32"/>
          <w:highlight w:val="none"/>
          <w:shd w:val="clear" w:color="auto" w:fill="FFFFFF"/>
          <w:lang w:val="en-US" w:eastAsia="zh-CN" w:bidi="ar-SA"/>
        </w:rPr>
        <w:t>一般公共服务支出（类）民主党派及工商联事务（款）其他民主党派及工商联事务支出（项）：反映除上述项目以外其他用于民主党派及工商联事务方面的支出。</w:t>
      </w:r>
    </w:p>
    <w:p w14:paraId="5DBDFB50">
      <w:pPr>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11.社会保障和就业支出（类）行政事业单位养老支出（款）行政单位离退休（项）: 指行政单位（包括实行公务员管理的事业单位）开支的离退休支出。</w:t>
      </w:r>
    </w:p>
    <w:p w14:paraId="48B07947">
      <w:pPr>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1</w:t>
      </w:r>
      <w:r>
        <w:rPr>
          <w:rFonts w:hint="eastAsia" w:ascii="Times New Roman" w:hAnsi="Times New Roman" w:eastAsia="仿宋_GB2312" w:cs="Times New Roman"/>
          <w:color w:val="auto"/>
          <w:kern w:val="2"/>
          <w:sz w:val="32"/>
          <w:szCs w:val="32"/>
          <w:highlight w:val="none"/>
          <w:shd w:val="clear" w:color="auto" w:fill="FFFFFF"/>
          <w:lang w:val="en-US" w:eastAsia="zh-CN" w:bidi="ar-SA"/>
        </w:rPr>
        <w:t>2</w:t>
      </w:r>
      <w:r>
        <w:rPr>
          <w:rFonts w:hint="default" w:ascii="Times New Roman" w:hAnsi="Times New Roman" w:eastAsia="仿宋_GB2312" w:cs="Times New Roman"/>
          <w:color w:val="auto"/>
          <w:kern w:val="2"/>
          <w:sz w:val="32"/>
          <w:szCs w:val="32"/>
          <w:highlight w:val="none"/>
          <w:shd w:val="clear" w:color="auto" w:fill="FFFFFF"/>
          <w:lang w:val="en-US" w:eastAsia="zh-CN" w:bidi="ar-SA"/>
        </w:rPr>
        <w:t>.</w:t>
      </w:r>
      <w:r>
        <w:rPr>
          <w:rFonts w:hint="eastAsia" w:ascii="Times New Roman" w:hAnsi="Times New Roman" w:eastAsia="仿宋_GB2312" w:cs="Times New Roman"/>
          <w:color w:val="auto"/>
          <w:kern w:val="2"/>
          <w:sz w:val="32"/>
          <w:szCs w:val="32"/>
          <w:highlight w:val="none"/>
          <w:shd w:val="clear" w:color="auto" w:fill="FFFFFF"/>
          <w:lang w:val="en-US" w:eastAsia="zh-CN" w:bidi="ar-SA"/>
        </w:rPr>
        <w:t>社会保障和就业支出（类）行政事业单位养老支出（款）机关事业单位基本养老保险缴费支出（项）：指机关事业单位实施养老保险制度有单位缴纳的基本养老保险费支出。</w:t>
      </w:r>
    </w:p>
    <w:p w14:paraId="391C220E">
      <w:pPr>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1</w:t>
      </w:r>
      <w:r>
        <w:rPr>
          <w:rFonts w:hint="eastAsia" w:ascii="Times New Roman" w:hAnsi="Times New Roman" w:eastAsia="仿宋_GB2312" w:cs="Times New Roman"/>
          <w:color w:val="auto"/>
          <w:kern w:val="2"/>
          <w:sz w:val="32"/>
          <w:szCs w:val="32"/>
          <w:highlight w:val="none"/>
          <w:shd w:val="clear" w:color="auto" w:fill="FFFFFF"/>
          <w:lang w:val="en-US" w:eastAsia="zh-CN" w:bidi="ar-SA"/>
        </w:rPr>
        <w:t>3</w:t>
      </w:r>
      <w:r>
        <w:rPr>
          <w:rFonts w:hint="default" w:ascii="Times New Roman" w:hAnsi="Times New Roman" w:eastAsia="仿宋_GB2312" w:cs="Times New Roman"/>
          <w:color w:val="auto"/>
          <w:kern w:val="2"/>
          <w:sz w:val="32"/>
          <w:szCs w:val="32"/>
          <w:highlight w:val="none"/>
          <w:shd w:val="clear" w:color="auto" w:fill="FFFFFF"/>
          <w:lang w:val="en-US" w:eastAsia="zh-CN" w:bidi="ar-SA"/>
        </w:rPr>
        <w:t>.</w:t>
      </w:r>
      <w:r>
        <w:rPr>
          <w:rFonts w:hint="eastAsia" w:ascii="Times New Roman" w:hAnsi="Times New Roman" w:eastAsia="仿宋_GB2312" w:cs="Times New Roman"/>
          <w:color w:val="auto"/>
          <w:kern w:val="2"/>
          <w:sz w:val="32"/>
          <w:szCs w:val="32"/>
          <w:highlight w:val="none"/>
          <w:shd w:val="clear" w:color="auto" w:fill="FFFFFF"/>
          <w:lang w:val="en-US" w:eastAsia="zh-CN" w:bidi="ar-SA"/>
        </w:rPr>
        <w:t>社会保障和就业支出（类）行政事业单位养老支出（款）机关事业单位职业年金缴费支出（项）:指反映机关事业单位实施养老保险制度由单位实际缴纳的职业年金支出。</w:t>
      </w:r>
    </w:p>
    <w:p w14:paraId="480E3712">
      <w:pPr>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14.卫生健康支出支出（类）行政事业单位医疗支出（款） 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14:paraId="4B31C40F">
      <w:pPr>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1</w:t>
      </w:r>
      <w:r>
        <w:rPr>
          <w:rFonts w:hint="eastAsia" w:ascii="Times New Roman" w:hAnsi="Times New Roman" w:eastAsia="仿宋_GB2312" w:cs="Times New Roman"/>
          <w:color w:val="auto"/>
          <w:kern w:val="2"/>
          <w:sz w:val="32"/>
          <w:szCs w:val="32"/>
          <w:highlight w:val="none"/>
          <w:shd w:val="clear" w:color="auto" w:fill="FFFFFF"/>
          <w:lang w:val="en-US" w:eastAsia="zh-CN" w:bidi="ar-SA"/>
        </w:rPr>
        <w:t>5</w:t>
      </w:r>
      <w:r>
        <w:rPr>
          <w:rFonts w:hint="default" w:ascii="Times New Roman" w:hAnsi="Times New Roman" w:eastAsia="仿宋_GB2312" w:cs="Times New Roman"/>
          <w:color w:val="auto"/>
          <w:kern w:val="2"/>
          <w:sz w:val="32"/>
          <w:szCs w:val="32"/>
          <w:highlight w:val="none"/>
          <w:shd w:val="clear" w:color="auto" w:fill="FFFFFF"/>
          <w:lang w:val="en-US" w:eastAsia="zh-CN" w:bidi="ar-SA"/>
        </w:rPr>
        <w:t>.</w:t>
      </w:r>
      <w:r>
        <w:rPr>
          <w:rFonts w:hint="eastAsia" w:ascii="Times New Roman" w:hAnsi="Times New Roman" w:eastAsia="仿宋_GB2312" w:cs="Times New Roman"/>
          <w:color w:val="auto"/>
          <w:kern w:val="2"/>
          <w:sz w:val="32"/>
          <w:szCs w:val="32"/>
          <w:highlight w:val="none"/>
          <w:shd w:val="clear" w:color="auto" w:fill="FFFFFF"/>
          <w:lang w:val="en-US" w:eastAsia="zh-CN" w:bidi="ar-SA"/>
        </w:rPr>
        <w:t>卫生健康支出支出（类）行政事业单位医疗支出（款）公务员医疗补助：反映财政部门安排的公务员医疗补助经费。</w:t>
      </w:r>
    </w:p>
    <w:p w14:paraId="4B0A4D80">
      <w:pPr>
        <w:autoSpaceDE w:val="0"/>
        <w:autoSpaceDN w:val="0"/>
        <w:adjustRightInd w:val="0"/>
        <w:spacing w:line="353" w:lineRule="auto"/>
        <w:jc w:val="left"/>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 xml:space="preserve">    </w:t>
      </w:r>
      <w:r>
        <w:rPr>
          <w:rFonts w:hint="default" w:ascii="Times New Roman" w:hAnsi="Times New Roman" w:eastAsia="仿宋_GB2312" w:cs="Times New Roman"/>
          <w:color w:val="auto"/>
          <w:kern w:val="2"/>
          <w:sz w:val="32"/>
          <w:szCs w:val="32"/>
          <w:highlight w:val="none"/>
          <w:shd w:val="clear" w:color="auto" w:fill="FFFFFF"/>
          <w:lang w:val="en-US" w:eastAsia="zh-CN" w:bidi="ar-SA"/>
        </w:rPr>
        <w:t>1</w:t>
      </w:r>
      <w:r>
        <w:rPr>
          <w:rFonts w:hint="eastAsia" w:ascii="Times New Roman" w:hAnsi="Times New Roman" w:eastAsia="仿宋_GB2312" w:cs="Times New Roman"/>
          <w:color w:val="auto"/>
          <w:kern w:val="2"/>
          <w:sz w:val="32"/>
          <w:szCs w:val="32"/>
          <w:highlight w:val="none"/>
          <w:shd w:val="clear" w:color="auto" w:fill="FFFFFF"/>
          <w:lang w:val="en-US" w:eastAsia="zh-CN" w:bidi="ar-SA"/>
        </w:rPr>
        <w:t>6</w:t>
      </w:r>
      <w:r>
        <w:rPr>
          <w:rFonts w:hint="default" w:ascii="Times New Roman" w:hAnsi="Times New Roman" w:eastAsia="仿宋_GB2312" w:cs="Times New Roman"/>
          <w:color w:val="auto"/>
          <w:kern w:val="2"/>
          <w:sz w:val="32"/>
          <w:szCs w:val="32"/>
          <w:highlight w:val="none"/>
          <w:shd w:val="clear" w:color="auto" w:fill="FFFFFF"/>
          <w:lang w:val="en-US" w:eastAsia="zh-CN" w:bidi="ar-SA"/>
        </w:rPr>
        <w:t>.</w:t>
      </w:r>
      <w:r>
        <w:rPr>
          <w:rFonts w:hint="eastAsia" w:ascii="Times New Roman" w:hAnsi="Times New Roman" w:eastAsia="仿宋_GB2312" w:cs="Times New Roman"/>
          <w:color w:val="auto"/>
          <w:kern w:val="2"/>
          <w:sz w:val="32"/>
          <w:szCs w:val="32"/>
          <w:highlight w:val="none"/>
          <w:shd w:val="clear" w:color="auto" w:fill="FFFFFF"/>
          <w:lang w:val="en-US" w:eastAsia="zh-CN" w:bidi="ar-SA"/>
        </w:rPr>
        <w:t>城乡社区支出(类)国有土地使用权出让收入安排的支出(款)土地开发支出(项):反映新疆生产建设兵团和地方政府用于前期土地开发性支出以及与前期土地开发相关的费用等支出。</w:t>
      </w:r>
    </w:p>
    <w:p w14:paraId="55564572">
      <w:pPr>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1</w:t>
      </w:r>
      <w:r>
        <w:rPr>
          <w:rFonts w:hint="eastAsia" w:ascii="Times New Roman" w:hAnsi="Times New Roman" w:eastAsia="仿宋_GB2312" w:cs="Times New Roman"/>
          <w:color w:val="auto"/>
          <w:kern w:val="2"/>
          <w:sz w:val="32"/>
          <w:szCs w:val="32"/>
          <w:highlight w:val="none"/>
          <w:shd w:val="clear" w:color="auto" w:fill="FFFFFF"/>
          <w:lang w:val="en-US" w:eastAsia="zh-CN" w:bidi="ar-SA"/>
        </w:rPr>
        <w:t>7</w:t>
      </w:r>
      <w:r>
        <w:rPr>
          <w:rFonts w:hint="default" w:ascii="Times New Roman" w:hAnsi="Times New Roman" w:eastAsia="仿宋_GB2312" w:cs="Times New Roman"/>
          <w:color w:val="auto"/>
          <w:kern w:val="2"/>
          <w:sz w:val="32"/>
          <w:szCs w:val="32"/>
          <w:highlight w:val="none"/>
          <w:shd w:val="clear" w:color="auto" w:fill="FFFFFF"/>
          <w:lang w:val="en-US" w:eastAsia="zh-CN" w:bidi="ar-SA"/>
        </w:rPr>
        <w:t xml:space="preserve">. </w:t>
      </w:r>
      <w:r>
        <w:rPr>
          <w:rFonts w:hint="eastAsia" w:ascii="Times New Roman" w:hAnsi="Times New Roman" w:eastAsia="仿宋_GB2312" w:cs="Times New Roman"/>
          <w:color w:val="auto"/>
          <w:kern w:val="2"/>
          <w:sz w:val="32"/>
          <w:szCs w:val="32"/>
          <w:highlight w:val="none"/>
          <w:shd w:val="clear" w:color="auto" w:fill="FFFFFF"/>
          <w:lang w:val="en-US" w:eastAsia="zh-CN" w:bidi="ar-SA"/>
        </w:rPr>
        <w:t>住房保障支出（类）住房改革支出（款）住房公积金（项）：指行政事业单位按人力资源和社会保障部、财政部规定的基本工资和津贴补贴以及规定比例为职工缴纳的住房公积金。</w:t>
      </w:r>
    </w:p>
    <w:p w14:paraId="3CAD9DCE">
      <w:pPr>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18</w:t>
      </w:r>
      <w:r>
        <w:rPr>
          <w:rFonts w:hint="default" w:ascii="Times New Roman" w:hAnsi="Times New Roman" w:eastAsia="仿宋_GB2312" w:cs="Times New Roman"/>
          <w:color w:val="auto"/>
          <w:kern w:val="2"/>
          <w:sz w:val="32"/>
          <w:szCs w:val="32"/>
          <w:highlight w:val="none"/>
          <w:shd w:val="clear" w:color="auto" w:fill="FFFFFF"/>
          <w:lang w:val="en-US" w:eastAsia="zh-CN" w:bidi="ar-SA"/>
        </w:rPr>
        <w:t>.</w:t>
      </w:r>
      <w:r>
        <w:rPr>
          <w:rFonts w:hint="eastAsia" w:ascii="Times New Roman" w:hAnsi="Times New Roman" w:eastAsia="仿宋_GB2312" w:cs="Times New Roman"/>
          <w:color w:val="auto"/>
          <w:kern w:val="2"/>
          <w:sz w:val="32"/>
          <w:szCs w:val="32"/>
          <w:highlight w:val="none"/>
          <w:shd w:val="clear" w:color="auto" w:fill="FFFFFF"/>
          <w:lang w:val="en-US" w:eastAsia="zh-CN" w:bidi="ar-SA"/>
        </w:rPr>
        <w:t>基本支出：指为保障机构正常运转、完成日常工作任务而发生的人员支出和公用支出。</w:t>
      </w:r>
    </w:p>
    <w:p w14:paraId="7F617F16">
      <w:pPr>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19</w:t>
      </w:r>
      <w:r>
        <w:rPr>
          <w:rFonts w:hint="default" w:ascii="Times New Roman" w:hAnsi="Times New Roman" w:eastAsia="仿宋_GB2312" w:cs="Times New Roman"/>
          <w:color w:val="auto"/>
          <w:kern w:val="2"/>
          <w:sz w:val="32"/>
          <w:szCs w:val="32"/>
          <w:highlight w:val="none"/>
          <w:shd w:val="clear" w:color="auto" w:fill="FFFFFF"/>
          <w:lang w:val="en-US" w:eastAsia="zh-CN" w:bidi="ar-SA"/>
        </w:rPr>
        <w:t>.</w:t>
      </w:r>
      <w:r>
        <w:rPr>
          <w:rFonts w:hint="eastAsia" w:ascii="Times New Roman" w:hAnsi="Times New Roman" w:eastAsia="仿宋_GB2312" w:cs="Times New Roman"/>
          <w:color w:val="auto"/>
          <w:kern w:val="2"/>
          <w:sz w:val="32"/>
          <w:szCs w:val="32"/>
          <w:highlight w:val="none"/>
          <w:shd w:val="clear" w:color="auto" w:fill="FFFFFF"/>
          <w:lang w:val="en-US" w:eastAsia="zh-CN" w:bidi="ar-SA"/>
        </w:rPr>
        <w:t>项目支出：指在基本支出之外为完成特定行政任务和事业发展目标所发生的支出。</w:t>
      </w:r>
    </w:p>
    <w:p w14:paraId="60078A96">
      <w:pPr>
        <w:pStyle w:val="28"/>
        <w:spacing w:line="560" w:lineRule="exact"/>
        <w:ind w:firstLine="640" w:firstLineChars="200"/>
        <w:rPr>
          <w:rFonts w:hint="eastAsia"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20</w:t>
      </w:r>
      <w:r>
        <w:rPr>
          <w:rFonts w:hint="default" w:ascii="Times New Roman" w:hAnsi="Times New Roman" w:eastAsia="仿宋_GB2312" w:cs="Times New Roman"/>
          <w:color w:val="auto"/>
          <w:kern w:val="2"/>
          <w:sz w:val="32"/>
          <w:szCs w:val="32"/>
          <w:highlight w:val="none"/>
          <w:shd w:val="clear" w:color="auto" w:fill="FFFFFF"/>
          <w:lang w:val="en-US" w:eastAsia="zh-CN" w:bidi="ar-SA"/>
        </w:rPr>
        <w:t>.</w:t>
      </w:r>
      <w:r>
        <w:rPr>
          <w:rFonts w:hint="eastAsia" w:ascii="Times New Roman" w:hAnsi="Times New Roman" w:eastAsia="仿宋_GB2312" w:cs="Times New Roman"/>
          <w:color w:val="auto"/>
          <w:kern w:val="2"/>
          <w:sz w:val="32"/>
          <w:szCs w:val="32"/>
          <w:highlight w:val="none"/>
          <w:shd w:val="clear" w:color="auto" w:fill="FFFFFF"/>
          <w:lang w:val="en-US" w:eastAsia="zh-CN"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CF6E7F4">
      <w:pPr>
        <w:spacing w:line="600" w:lineRule="exact"/>
        <w:ind w:firstLine="640"/>
        <w:rPr>
          <w:rFonts w:hint="eastAsia"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21</w:t>
      </w:r>
      <w:r>
        <w:rPr>
          <w:rFonts w:hint="default" w:ascii="Times New Roman" w:hAnsi="Times New Roman" w:eastAsia="仿宋_GB2312" w:cs="Times New Roman"/>
          <w:color w:val="auto"/>
          <w:kern w:val="2"/>
          <w:sz w:val="32"/>
          <w:szCs w:val="32"/>
          <w:highlight w:val="none"/>
          <w:shd w:val="clear" w:color="auto" w:fill="FFFFFF"/>
          <w:lang w:val="en-US" w:eastAsia="zh-CN" w:bidi="ar-SA"/>
        </w:rPr>
        <w:t>.</w:t>
      </w:r>
      <w:r>
        <w:rPr>
          <w:rFonts w:hint="eastAsia" w:ascii="Times New Roman" w:hAnsi="Times New Roman" w:eastAsia="仿宋_GB2312" w:cs="Times New Roman"/>
          <w:color w:val="auto"/>
          <w:kern w:val="2"/>
          <w:sz w:val="32"/>
          <w:szCs w:val="32"/>
          <w:highlight w:val="none"/>
          <w:shd w:val="clear" w:color="auto" w:fill="FFFFFF"/>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DF29A8E">
      <w:pPr>
        <w:spacing w:line="600" w:lineRule="exact"/>
        <w:jc w:val="center"/>
        <w:rPr>
          <w:rStyle w:val="30"/>
          <w:rFonts w:hint="eastAsia" w:ascii="Times New Roman" w:hAnsi="Times New Roman" w:eastAsia="黑体"/>
          <w:b w:val="0"/>
          <w:color w:val="auto"/>
          <w:highlight w:val="none"/>
          <w:lang w:eastAsia="zh-CN"/>
        </w:rPr>
      </w:pPr>
      <w:bookmarkStart w:id="53"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4"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4"/>
    </w:p>
    <w:p w14:paraId="783478CB">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4B68C65E">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547AD822">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4D5D465C">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报告范本</w:t>
      </w:r>
    </w:p>
    <w:p w14:paraId="729BFACF">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60F33B4B">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2D4DCEC6">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6BF5136C">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cs="Times New Roman"/>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Times New Roman" w:hAnsi="Times New Roman" w:eastAsia="仿宋_GB2312" w:cs="Times New Roman"/>
          <w:sz w:val="32"/>
          <w:szCs w:val="32"/>
          <w:highlight w:val="none"/>
          <w:shd w:val="clear" w:color="auto" w:fill="FFFFFF"/>
          <w:lang w:val="zh-CN"/>
        </w:rPr>
        <w:t>西区工商联无内设机构</w:t>
      </w:r>
      <w:r>
        <w:rPr>
          <w:rFonts w:hint="default" w:ascii="Times New Roman" w:hAnsi="Times New Roman" w:eastAsia="仿宋_GB2312" w:cs="Times New Roman"/>
          <w:sz w:val="32"/>
          <w:szCs w:val="32"/>
          <w:highlight w:val="none"/>
          <w:shd w:val="clear" w:color="auto" w:fill="FFFFFF"/>
          <w:lang w:val="en-US" w:eastAsia="zh-CN"/>
        </w:rPr>
        <w:t>。</w:t>
      </w:r>
    </w:p>
    <w:p w14:paraId="7928EA89">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r>
        <w:rPr>
          <w:rFonts w:hint="eastAsia" w:ascii="Times New Roman" w:hAnsi="Times New Roman" w:eastAsia="仿宋_GB2312" w:cs="Times New Roman"/>
          <w:sz w:val="32"/>
          <w:szCs w:val="32"/>
          <w:highlight w:val="none"/>
          <w:shd w:val="clear" w:color="auto" w:fill="FFFFFF"/>
          <w:lang w:val="zh-CN"/>
        </w:rPr>
        <w:t>西</w:t>
      </w:r>
      <w:r>
        <w:rPr>
          <w:rFonts w:hint="eastAsia" w:ascii="Times New Roman" w:hAnsi="Times New Roman" w:eastAsia="仿宋_GB2312" w:cs="仿宋_GB2312"/>
          <w:color w:val="auto"/>
          <w:kern w:val="2"/>
          <w:sz w:val="32"/>
          <w:szCs w:val="32"/>
          <w:highlight w:val="none"/>
          <w:lang w:val="zh-CN" w:eastAsia="zh-CN" w:bidi="ar-SA"/>
        </w:rPr>
        <w:t>区工商联主要职责：</w:t>
      </w:r>
      <w:r>
        <w:rPr>
          <w:rFonts w:hint="eastAsia" w:ascii="Times New Roman" w:hAnsi="Times New Roman" w:eastAsia="仿宋_GB2312" w:cs="仿宋_GB2312"/>
          <w:color w:val="auto"/>
          <w:kern w:val="2"/>
          <w:sz w:val="32"/>
          <w:szCs w:val="32"/>
          <w:highlight w:val="none"/>
          <w:lang w:val="en-US" w:eastAsia="zh-CN" w:bidi="ar-SA"/>
        </w:rPr>
        <w:t>参与区委、区政府大政方针及政治、经济、社会生活中的重要问题的政治协商，发挥民主监督作用，参政议政。引导会员积极参加国家经济建设，推动社会主义市场经济体制逐步完善，促进社会全面发展。做好工商界代表人士政治安排的推荐工作。指导同业公会和行业商会等专业组织的工作。发扬自我教育的优良传统，宣传、贯彻党和国家的方针政策，加强和改进思想政治工作，坚持对广大会员进行团结、帮助、引导、教育，促进非公有制经济健康发展，提倡爱国、敬业、守法，提高会员素质。代表并维护会员的合法权益，反映会员的意见、要求和建议为会员提供有关证明，协调关系，参与调解经济纠纷。引导会员把自身企业的发展与国家发展结合起来，把个人富裕与全体人民的共同富裕结合起来，把遵守市场规则与发扬社会主义道德结合起来，弘扬中华民族传统，先富帮后富，走共同富裕的道路，热心社会公益事业，积极参加扶贫光彩事业。为会员提供信息、培训、科技、管理、法律、会计、审计、融资、咨询等服务，帮助会员改进经营管理、完善财务制度，照章纳税，提高自身素质和生产技术、产品质量等。组织会员出国、出境考察访问，举办和参加各种对内对外展销会、交易会，帮助会员开拓国内、国际市场；增进与香港、澳门特别行政区、台湾地区和世界各国工商社团及工商经济界人士的联系和友谊，促进经济、技术和贸易合作的发展，协助引进资金、技术、人。</w:t>
      </w:r>
    </w:p>
    <w:p w14:paraId="32EBD55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仿宋_GB2312"/>
          <w:color w:val="auto"/>
          <w:kern w:val="2"/>
          <w:sz w:val="32"/>
          <w:szCs w:val="32"/>
          <w:highlight w:val="none"/>
          <w:lang w:val="en-US" w:eastAsia="zh-CN" w:bidi="ar-SA"/>
        </w:rPr>
        <w:t>截至2024年末，</w:t>
      </w:r>
      <w:r>
        <w:rPr>
          <w:rFonts w:hint="eastAsia" w:ascii="Times New Roman" w:hAnsi="Times New Roman" w:eastAsia="仿宋_GB2312" w:cs="仿宋_GB2312"/>
          <w:color w:val="auto"/>
          <w:kern w:val="2"/>
          <w:sz w:val="32"/>
          <w:szCs w:val="32"/>
          <w:highlight w:val="none"/>
          <w:lang w:val="zh-CN" w:eastAsia="zh-CN" w:bidi="ar-SA"/>
        </w:rPr>
        <w:t>西区工商联在编职工人员共计</w:t>
      </w: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人。其中行政编制</w:t>
      </w:r>
      <w:r>
        <w:rPr>
          <w:rFonts w:hint="eastAsia" w:ascii="Times New Roman" w:hAnsi="Times New Roman"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zh-CN" w:eastAsia="zh-CN" w:bidi="ar-SA"/>
        </w:rPr>
        <w:t>人，聘用</w:t>
      </w: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人</w:t>
      </w:r>
      <w:r>
        <w:rPr>
          <w:rFonts w:hint="eastAsia" w:ascii="Times New Roman" w:hAnsi="Times New Roman" w:eastAsia="仿宋_GB2312" w:cs="仿宋_GB2312"/>
          <w:color w:val="auto"/>
          <w:kern w:val="2"/>
          <w:sz w:val="32"/>
          <w:szCs w:val="32"/>
          <w:highlight w:val="none"/>
          <w:lang w:val="en-US" w:eastAsia="zh-CN" w:bidi="ar-SA"/>
        </w:rPr>
        <w:t>；实有</w:t>
      </w:r>
      <w:r>
        <w:rPr>
          <w:rFonts w:hint="eastAsia" w:ascii="Times New Roman" w:hAnsi="Times New Roman" w:eastAsia="仿宋_GB2312" w:cs="仿宋_GB2312"/>
          <w:color w:val="auto"/>
          <w:kern w:val="2"/>
          <w:sz w:val="32"/>
          <w:szCs w:val="32"/>
          <w:highlight w:val="none"/>
          <w:lang w:val="zh-CN" w:eastAsia="zh-CN" w:bidi="ar-SA"/>
        </w:rPr>
        <w:t>职工人员共计</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人。其中行政编制</w:t>
      </w: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人，聘用</w:t>
      </w: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p>
    <w:p w14:paraId="3FE741EC">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2B2F477A">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仿宋_GB2312"/>
          <w:color w:val="auto"/>
          <w:kern w:val="2"/>
          <w:sz w:val="32"/>
          <w:szCs w:val="32"/>
          <w:highlight w:val="none"/>
          <w:lang w:val="en-US" w:eastAsia="zh-CN" w:bidi="ar-SA"/>
        </w:rPr>
        <w:t>西区工商联</w:t>
      </w:r>
      <w:r>
        <w:rPr>
          <w:rFonts w:hint="eastAsia" w:ascii="Times New Roman" w:hAnsi="Times New Roman" w:eastAsia="仿宋_GB2312" w:cs="仿宋_GB2312"/>
          <w:color w:val="auto"/>
          <w:kern w:val="2"/>
          <w:sz w:val="32"/>
          <w:szCs w:val="32"/>
          <w:highlight w:val="none"/>
          <w:lang w:val="zh-CN" w:eastAsia="zh-CN" w:bidi="ar-SA"/>
        </w:rPr>
        <w:t>202</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年全年预算收入</w:t>
      </w:r>
      <w:r>
        <w:rPr>
          <w:rFonts w:hint="eastAsia" w:ascii="Times New Roman" w:hAnsi="Times New Roman" w:eastAsia="仿宋_GB2312" w:cs="仿宋_GB2312"/>
          <w:color w:val="auto"/>
          <w:kern w:val="2"/>
          <w:sz w:val="32"/>
          <w:szCs w:val="32"/>
          <w:highlight w:val="none"/>
          <w:lang w:val="en-US" w:eastAsia="zh-CN" w:bidi="ar-SA"/>
        </w:rPr>
        <w:t>75.51</w:t>
      </w:r>
      <w:r>
        <w:rPr>
          <w:rFonts w:hint="eastAsia" w:ascii="Times New Roman" w:hAnsi="Times New Roman" w:eastAsia="仿宋_GB2312" w:cs="仿宋_GB2312"/>
          <w:color w:val="auto"/>
          <w:kern w:val="2"/>
          <w:sz w:val="32"/>
          <w:szCs w:val="32"/>
          <w:highlight w:val="none"/>
          <w:lang w:val="zh-CN" w:eastAsia="zh-CN" w:bidi="ar-SA"/>
        </w:rPr>
        <w:t>万元，其中：一般公共预算拨款收入</w:t>
      </w:r>
      <w:r>
        <w:rPr>
          <w:rFonts w:hint="eastAsia" w:ascii="Times New Roman" w:hAnsi="Times New Roman" w:eastAsia="仿宋_GB2312" w:cs="仿宋_GB2312"/>
          <w:color w:val="auto"/>
          <w:kern w:val="2"/>
          <w:sz w:val="32"/>
          <w:szCs w:val="32"/>
          <w:highlight w:val="none"/>
          <w:lang w:val="en-US" w:eastAsia="zh-CN" w:bidi="ar-SA"/>
        </w:rPr>
        <w:t>73.09</w:t>
      </w:r>
      <w:r>
        <w:rPr>
          <w:rFonts w:hint="eastAsia" w:ascii="Times New Roman" w:hAnsi="Times New Roman" w:eastAsia="仿宋_GB2312" w:cs="仿宋_GB2312"/>
          <w:color w:val="auto"/>
          <w:kern w:val="2"/>
          <w:sz w:val="32"/>
          <w:szCs w:val="32"/>
          <w:highlight w:val="none"/>
          <w:lang w:val="zh-CN" w:eastAsia="zh-CN" w:bidi="ar-SA"/>
        </w:rPr>
        <w:t>万元，占总收入</w:t>
      </w:r>
      <w:r>
        <w:rPr>
          <w:rFonts w:hint="eastAsia" w:ascii="Times New Roman" w:hAnsi="Times New Roman" w:eastAsia="仿宋_GB2312" w:cs="仿宋_GB2312"/>
          <w:color w:val="auto"/>
          <w:kern w:val="2"/>
          <w:sz w:val="32"/>
          <w:szCs w:val="32"/>
          <w:highlight w:val="none"/>
          <w:lang w:val="en-US" w:eastAsia="zh-CN" w:bidi="ar-SA"/>
        </w:rPr>
        <w:t>96.8</w:t>
      </w:r>
      <w:r>
        <w:rPr>
          <w:rFonts w:hint="eastAsia" w:ascii="Times New Roman" w:hAnsi="Times New Roman" w:eastAsia="仿宋_GB2312" w:cs="仿宋_GB2312"/>
          <w:color w:val="auto"/>
          <w:kern w:val="2"/>
          <w:sz w:val="32"/>
          <w:szCs w:val="32"/>
          <w:highlight w:val="none"/>
          <w:lang w:val="zh-CN" w:eastAsia="zh-CN" w:bidi="ar-SA"/>
        </w:rPr>
        <w:t>%；政府性基金预算拨款支出</w:t>
      </w:r>
      <w:r>
        <w:rPr>
          <w:rFonts w:hint="eastAsia" w:ascii="Times New Roman" w:hAnsi="Times New Roman" w:eastAsia="仿宋_GB2312" w:cs="仿宋_GB2312"/>
          <w:color w:val="auto"/>
          <w:kern w:val="2"/>
          <w:sz w:val="32"/>
          <w:szCs w:val="32"/>
          <w:highlight w:val="none"/>
          <w:lang w:val="en-US" w:eastAsia="zh-CN" w:bidi="ar-SA"/>
        </w:rPr>
        <w:t>2.42</w:t>
      </w:r>
      <w:r>
        <w:rPr>
          <w:rFonts w:hint="eastAsia" w:ascii="Times New Roman" w:hAnsi="Times New Roman" w:eastAsia="仿宋_GB2312" w:cs="仿宋_GB2312"/>
          <w:color w:val="auto"/>
          <w:kern w:val="2"/>
          <w:sz w:val="32"/>
          <w:szCs w:val="32"/>
          <w:highlight w:val="none"/>
          <w:lang w:val="zh-CN" w:eastAsia="zh-CN" w:bidi="ar-SA"/>
        </w:rPr>
        <w:t>万元，占总收入</w:t>
      </w:r>
      <w:r>
        <w:rPr>
          <w:rFonts w:hint="eastAsia" w:ascii="Times New Roman" w:hAnsi="Times New Roman" w:eastAsia="仿宋_GB2312" w:cs="仿宋_GB2312"/>
          <w:color w:val="auto"/>
          <w:kern w:val="2"/>
          <w:sz w:val="32"/>
          <w:szCs w:val="32"/>
          <w:highlight w:val="none"/>
          <w:lang w:val="en-US" w:eastAsia="zh-CN" w:bidi="ar-SA"/>
        </w:rPr>
        <w:t>3.2</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14:paraId="30C9862A">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仿宋_GB2312"/>
          <w:color w:val="auto"/>
          <w:kern w:val="2"/>
          <w:sz w:val="32"/>
          <w:szCs w:val="32"/>
          <w:highlight w:val="none"/>
          <w:lang w:val="zh-CN" w:eastAsia="zh-CN" w:bidi="ar-SA"/>
        </w:rPr>
        <w:t>202</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年财政资金支出</w:t>
      </w:r>
      <w:r>
        <w:rPr>
          <w:rFonts w:hint="eastAsia" w:ascii="Times New Roman" w:hAnsi="Times New Roman" w:eastAsia="仿宋_GB2312" w:cs="仿宋_GB2312"/>
          <w:color w:val="auto"/>
          <w:kern w:val="2"/>
          <w:sz w:val="32"/>
          <w:szCs w:val="32"/>
          <w:highlight w:val="none"/>
          <w:lang w:val="en-US" w:eastAsia="zh-CN" w:bidi="ar-SA"/>
        </w:rPr>
        <w:t>75.51</w:t>
      </w:r>
      <w:r>
        <w:rPr>
          <w:rFonts w:hint="eastAsia" w:ascii="Times New Roman" w:hAnsi="Times New Roman" w:eastAsia="仿宋_GB2312" w:cs="仿宋_GB2312"/>
          <w:color w:val="auto"/>
          <w:kern w:val="2"/>
          <w:sz w:val="32"/>
          <w:szCs w:val="32"/>
          <w:highlight w:val="none"/>
          <w:lang w:val="zh-CN" w:eastAsia="zh-CN" w:bidi="ar-SA"/>
        </w:rPr>
        <w:t>万元，其中：基本支出</w:t>
      </w:r>
      <w:r>
        <w:rPr>
          <w:rFonts w:hint="eastAsia" w:ascii="Times New Roman" w:hAnsi="Times New Roman" w:eastAsia="仿宋_GB2312" w:cs="仿宋_GB2312"/>
          <w:color w:val="auto"/>
          <w:kern w:val="2"/>
          <w:sz w:val="32"/>
          <w:szCs w:val="32"/>
          <w:highlight w:val="none"/>
          <w:lang w:val="en-US" w:eastAsia="zh-CN" w:bidi="ar-SA"/>
        </w:rPr>
        <w:t>71.63</w:t>
      </w:r>
      <w:r>
        <w:rPr>
          <w:rFonts w:hint="eastAsia" w:ascii="Times New Roman" w:hAnsi="Times New Roman" w:eastAsia="仿宋_GB2312" w:cs="仿宋_GB2312"/>
          <w:color w:val="auto"/>
          <w:kern w:val="2"/>
          <w:sz w:val="32"/>
          <w:szCs w:val="32"/>
          <w:highlight w:val="none"/>
          <w:lang w:val="zh-CN" w:eastAsia="zh-CN" w:bidi="ar-SA"/>
        </w:rPr>
        <w:t>万元，其中：人员经费</w:t>
      </w:r>
      <w:r>
        <w:rPr>
          <w:rFonts w:hint="eastAsia" w:ascii="Times New Roman" w:hAnsi="Times New Roman" w:eastAsia="仿宋_GB2312" w:cs="仿宋_GB2312"/>
          <w:color w:val="auto"/>
          <w:kern w:val="2"/>
          <w:sz w:val="32"/>
          <w:szCs w:val="32"/>
          <w:highlight w:val="none"/>
          <w:lang w:val="en-US" w:eastAsia="zh-CN" w:bidi="ar-SA"/>
        </w:rPr>
        <w:t>67.03</w:t>
      </w:r>
      <w:r>
        <w:rPr>
          <w:rFonts w:hint="eastAsia" w:ascii="Times New Roman" w:hAnsi="Times New Roman" w:eastAsia="仿宋_GB2312" w:cs="仿宋_GB2312"/>
          <w:color w:val="auto"/>
          <w:kern w:val="2"/>
          <w:sz w:val="32"/>
          <w:szCs w:val="32"/>
          <w:highlight w:val="none"/>
          <w:lang w:val="zh-CN" w:eastAsia="zh-CN" w:bidi="ar-SA"/>
        </w:rPr>
        <w:t>万元，公用经费</w:t>
      </w:r>
      <w:r>
        <w:rPr>
          <w:rFonts w:hint="eastAsia" w:ascii="Times New Roman" w:hAnsi="Times New Roman" w:eastAsia="仿宋_GB2312" w:cs="仿宋_GB2312"/>
          <w:color w:val="auto"/>
          <w:kern w:val="2"/>
          <w:sz w:val="32"/>
          <w:szCs w:val="32"/>
          <w:highlight w:val="none"/>
          <w:lang w:val="en-US" w:eastAsia="zh-CN" w:bidi="ar-SA"/>
        </w:rPr>
        <w:t>4.6</w:t>
      </w:r>
      <w:r>
        <w:rPr>
          <w:rFonts w:hint="eastAsia" w:ascii="Times New Roman" w:hAnsi="Times New Roman" w:eastAsia="仿宋_GB2312" w:cs="仿宋_GB2312"/>
          <w:color w:val="auto"/>
          <w:kern w:val="2"/>
          <w:sz w:val="32"/>
          <w:szCs w:val="32"/>
          <w:highlight w:val="none"/>
          <w:lang w:val="zh-CN" w:eastAsia="zh-CN" w:bidi="ar-SA"/>
        </w:rPr>
        <w:t>万元；项目经费支出</w:t>
      </w:r>
      <w:r>
        <w:rPr>
          <w:rFonts w:hint="eastAsia" w:ascii="Times New Roman" w:hAnsi="Times New Roman" w:eastAsia="仿宋_GB2312" w:cs="仿宋_GB2312"/>
          <w:color w:val="auto"/>
          <w:kern w:val="2"/>
          <w:sz w:val="32"/>
          <w:szCs w:val="32"/>
          <w:highlight w:val="none"/>
          <w:lang w:val="en-US" w:eastAsia="zh-CN" w:bidi="ar-SA"/>
        </w:rPr>
        <w:t>3.88</w:t>
      </w:r>
      <w:r>
        <w:rPr>
          <w:rFonts w:hint="eastAsia" w:ascii="Times New Roman" w:hAnsi="Times New Roman" w:eastAsia="仿宋_GB2312" w:cs="仿宋_GB2312"/>
          <w:color w:val="auto"/>
          <w:kern w:val="2"/>
          <w:sz w:val="32"/>
          <w:szCs w:val="32"/>
          <w:highlight w:val="none"/>
          <w:lang w:val="zh-CN"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14:paraId="487B4BE4">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仿宋_GB2312"/>
          <w:color w:val="auto"/>
          <w:kern w:val="2"/>
          <w:sz w:val="32"/>
          <w:szCs w:val="32"/>
          <w:highlight w:val="none"/>
          <w:lang w:val="en-US" w:eastAsia="zh-CN" w:bidi="ar-SA"/>
        </w:rPr>
        <w:t>西区工商联2024年决算报表无结转结余</w:t>
      </w:r>
      <w:r>
        <w:rPr>
          <w:rFonts w:hint="default" w:ascii="Times New Roman" w:hAnsi="Times New Roman" w:eastAsia="仿宋_GB2312" w:cs="仿宋_GB2312"/>
          <w:color w:val="auto"/>
          <w:kern w:val="2"/>
          <w:sz w:val="32"/>
          <w:szCs w:val="32"/>
          <w:highlight w:val="none"/>
          <w:lang w:val="en-US" w:eastAsia="zh-CN" w:bidi="ar-SA"/>
        </w:rPr>
        <w:t>。</w:t>
      </w:r>
    </w:p>
    <w:p w14:paraId="7D54C50F">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61CCAB9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14:paraId="7459BF1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p>
    <w:p w14:paraId="3D0923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eastAsia" w:ascii="仿宋_GB2312" w:hAnsi="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）强化思想政治引导</w:t>
      </w:r>
    </w:p>
    <w:p w14:paraId="11096D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区工商联</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val="en-US" w:eastAsia="zh-CN"/>
        </w:rPr>
        <w:t>引导民营经济人士增强“四个意识”、坚定“四个自信”，以实际行动做到“两个维护”。</w:t>
      </w:r>
      <w:r>
        <w:rPr>
          <w:rFonts w:hint="eastAsia" w:ascii="仿宋_GB2312" w:hAnsi="仿宋_GB2312" w:eastAsia="仿宋_GB2312" w:cs="仿宋_GB2312"/>
          <w:b w:val="0"/>
          <w:bCs w:val="0"/>
          <w:sz w:val="32"/>
          <w:szCs w:val="32"/>
          <w:lang w:val="en-US" w:eastAsia="zh-CN"/>
        </w:rPr>
        <w:t>讲好民营经济统战故事，</w:t>
      </w:r>
      <w:r>
        <w:rPr>
          <w:rFonts w:hint="eastAsia" w:ascii="仿宋_GB2312" w:hAnsi="仿宋_GB2312" w:eastAsia="仿宋_GB2312" w:cs="仿宋_GB2312"/>
          <w:sz w:val="32"/>
          <w:szCs w:val="32"/>
          <w:lang w:val="en-US" w:eastAsia="zh-CN"/>
        </w:rPr>
        <w:t>持续擦亮西区民营经济统战工作品牌，通过川商、四川统一战线、攀枝花日报、同心攀枝花、市工商联网站和“看西区”APP等平台，刊登相关宣传报道共计27篇。组织引导民营企业履行社会责任，参与社会公益事业和共同富裕建设，捐款捐物共计金额22.8万元。</w:t>
      </w:r>
    </w:p>
    <w:p w14:paraId="687218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eastAsia" w:ascii="仿宋_GB2312" w:hAnsi="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）稳步推进“万企兴万村”行动</w:t>
      </w:r>
    </w:p>
    <w:p w14:paraId="312BD3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印发《西区“万企兴万村”行动实施方案》，成立以区委常委、区委统战部部长唐晨，区政协副主席、区工商联主席姜泽先为双组长的西区“万企兴万村”行动工作小组，向上争取6家市工商联执委企业，同时协调匹配7家区工商联执委企业，根据西区6个村情况及诉求，制定帮扶清单。11月13日，西区举办“万企兴万村”助力乡村振兴现场推进会暨结对共建签约仪式，13家企业代表分别与西区6个村签订《结对共建协议书》，实现西区村企结对全覆盖。</w:t>
      </w:r>
    </w:p>
    <w:p w14:paraId="542593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eastAsia" w:ascii="仿宋_GB2312" w:hAnsi="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）持续开展助企行动</w:t>
      </w:r>
    </w:p>
    <w:p w14:paraId="760B89C3">
      <w:pPr>
        <w:keepNext w:val="0"/>
        <w:keepLines w:val="0"/>
        <w:pageBreakBefore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lang w:val="en-US" w:eastAsia="zh-CN"/>
        </w:rPr>
        <w:t>着力优化走访服务企业机制，畅通政企联络“直通车”。</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开展西区2024年规上工业企业需协调解决事项收集活动，起草《</w:t>
      </w:r>
      <w:r>
        <w:rPr>
          <w:rFonts w:hint="eastAsia" w:ascii="仿宋_GB2312" w:hAnsi="仿宋_GB2312" w:eastAsia="仿宋_GB2312" w:cs="仿宋_GB2312"/>
          <w:sz w:val="32"/>
          <w:szCs w:val="32"/>
        </w:rPr>
        <w:t>攀枝花市西区统一战线服务全区经济高质量发展实施方案</w:t>
      </w:r>
      <w:r>
        <w:rPr>
          <w:rFonts w:hint="eastAsia" w:ascii="仿宋_GB2312" w:hAnsi="仿宋_GB2312" w:eastAsia="仿宋_GB2312" w:cs="仿宋_GB2312"/>
          <w:sz w:val="32"/>
          <w:szCs w:val="32"/>
          <w:lang w:eastAsia="zh-CN"/>
        </w:rPr>
        <w:t>（草案）</w:t>
      </w:r>
      <w:r>
        <w:rPr>
          <w:rFonts w:hint="eastAsia" w:ascii="仿宋_GB2312" w:hAnsi="仿宋_GB2312" w:eastAsia="仿宋_GB2312" w:cs="仿宋_GB2312"/>
          <w:sz w:val="32"/>
          <w:szCs w:val="32"/>
          <w:lang w:val="en-US" w:eastAsia="zh-CN"/>
        </w:rPr>
        <w:t>》，共走访企业12次50家次，收集企业建设、生产中存在的问题12条。</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积极向上争取支持，将午跃科技、嘉兆丰等企业反映的关于希望纳入省残联、中残联辅具采购平台等6条诉求报送至省市工商联，其中午跃科技的3条诉求已被纳入2024年第6次四川省委统战部部长与统战代表人士沟通协商“面对面+键对键”活动。</w:t>
      </w:r>
      <w:r>
        <w:rPr>
          <w:rFonts w:hint="eastAsia" w:ascii="仿宋_GB2312" w:hAnsi="仿宋_GB2312" w:eastAsia="仿宋_GB2312" w:cs="仿宋_GB2312"/>
          <w:color w:val="auto"/>
          <w:sz w:val="32"/>
          <w:szCs w:val="32"/>
          <w:lang w:val="en-US" w:eastAsia="zh-CN"/>
        </w:rPr>
        <w:t>截至目前，开展“面对面+键对键”活动6次，收集46个问题，已解决42个，办结率91.3%，满意度98%</w:t>
      </w:r>
      <w:r>
        <w:rPr>
          <w:rFonts w:hint="eastAsia" w:ascii="仿宋_GB2312" w:hAnsi="仿宋_GB2312" w:cs="仿宋_GB2312"/>
          <w:color w:val="auto"/>
          <w:sz w:val="32"/>
          <w:szCs w:val="32"/>
          <w:lang w:val="en-US" w:eastAsia="zh-CN"/>
        </w:rPr>
        <w:t>。</w:t>
      </w:r>
    </w:p>
    <w:p w14:paraId="03A3318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2024年西区工商联严格按照西区财政局预算编制通知和有关要求，按时按质完成报送决算编制等工作，并按时提交部门预算编制草案，不存在应编、未编、错误列编，西区财政局根据预算编制草案，进行审核，批复2024年部门预算收入75.43万元，其中：工资福利支出58.19万元、日常公用支出6.36万元、对个人和家庭的补助支出3.42万元、项目支出7.46万元</w:t>
      </w:r>
      <w:r>
        <w:rPr>
          <w:rFonts w:hint="eastAsia" w:ascii="Times New Roman" w:hAnsi="Times New Roman" w:eastAsia="仿宋_GB2312" w:cs="仿宋_GB2312"/>
          <w:color w:val="auto"/>
          <w:kern w:val="2"/>
          <w:sz w:val="32"/>
          <w:szCs w:val="32"/>
          <w:highlight w:val="none"/>
          <w:lang w:val="zh-CN" w:eastAsia="zh-CN" w:bidi="ar-SA"/>
        </w:rPr>
        <w:t>。</w:t>
      </w:r>
    </w:p>
    <w:p w14:paraId="450FF0E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建立健全了财务管理制度，涵盖预算管理、收支管理、资产管理等方面，制度执行严格，确保财务工作有章可循；财务岗位设置科学分工，明确岗位权责，做到不相容岗位相互分离，避免兼岗带来的风险；资金使用规范上，严格把控资金审批流程，确保每一笔资金都按照规定用途、标准和程序使用，杜绝挪用、滥用等违规行为，保障财务工作有序进行，维护财务安全与规范</w:t>
      </w:r>
      <w:r>
        <w:rPr>
          <w:rFonts w:hint="eastAsia" w:ascii="Times New Roman" w:hAnsi="Times New Roman" w:eastAsia="仿宋_GB2312" w:cs="仿宋_GB2312"/>
          <w:color w:val="auto"/>
          <w:kern w:val="2"/>
          <w:sz w:val="32"/>
          <w:szCs w:val="32"/>
          <w:highlight w:val="none"/>
          <w:lang w:val="zh-CN" w:eastAsia="zh-CN" w:bidi="ar-SA"/>
        </w:rPr>
        <w:t>。</w:t>
      </w:r>
    </w:p>
    <w:p w14:paraId="72B6757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高度重视闲置资产管理，建立动态清查机制，定期梳理闲置资产明细，通过内部调剂、共享使用等方式，将闲置设备、办公用品等调配至需求科室。同时，在资产系统内对固定资产及状态及时进行更新，优化资源配置，显著提升资产利用率，有效避免资源浪费，为机关高效运转提供有力保障</w:t>
      </w:r>
      <w:r>
        <w:rPr>
          <w:rFonts w:hint="eastAsia" w:ascii="Times New Roman" w:hAnsi="Times New Roman" w:eastAsia="仿宋_GB2312" w:cs="仿宋_GB2312"/>
          <w:color w:val="auto"/>
          <w:kern w:val="2"/>
          <w:sz w:val="32"/>
          <w:szCs w:val="32"/>
          <w:highlight w:val="none"/>
          <w:lang w:val="zh-CN" w:eastAsia="zh-CN" w:bidi="ar-SA"/>
        </w:rPr>
        <w:t>。</w:t>
      </w:r>
    </w:p>
    <w:p w14:paraId="4B3519F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严格按照采购管理文件要求执行，采购前精准预算编制，结合实际需求科学规划；采购中坚持公开透明，严格执行采购程序；采购后加强验收与监督，确保物资质量达标，同时强化档案管理，保障采购全程留痕、规范有</w:t>
      </w:r>
      <w:r>
        <w:rPr>
          <w:rFonts w:hint="eastAsia" w:ascii="Times New Roman" w:hAnsi="Times New Roman" w:eastAsia="仿宋_GB2312" w:cs="仿宋_GB2312"/>
          <w:color w:val="auto"/>
          <w:kern w:val="2"/>
          <w:sz w:val="32"/>
          <w:szCs w:val="32"/>
          <w:highlight w:val="none"/>
          <w:lang w:val="zh-CN" w:eastAsia="zh-CN" w:bidi="ar-SA"/>
        </w:rPr>
        <w:t>序。</w:t>
      </w:r>
    </w:p>
    <w:p w14:paraId="341A477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5AFE162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bookmarkStart w:id="55" w:name="_Hlk110546638"/>
      <w:r>
        <w:rPr>
          <w:rFonts w:hint="eastAsia" w:ascii="Times New Roman" w:hAnsi="Times New Roman" w:eastAsia="仿宋_GB2312" w:cs="仿宋_GB2312"/>
          <w:b w:val="0"/>
          <w:bCs w:val="0"/>
          <w:kern w:val="0"/>
          <w:position w:val="0"/>
          <w:sz w:val="32"/>
          <w:szCs w:val="32"/>
          <w:highlight w:val="none"/>
          <w:lang w:val="zh-CN" w:eastAsia="zh-CN" w:bidi="ar-SA"/>
        </w:rPr>
        <w:t>常年项目绩效分析。该类项目总数</w:t>
      </w: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个，涉及预算总金额</w:t>
      </w:r>
      <w:r>
        <w:rPr>
          <w:rFonts w:hint="eastAsia" w:ascii="Times New Roman" w:hAnsi="Times New Roman" w:eastAsia="仿宋_GB2312" w:cs="仿宋_GB2312"/>
          <w:b w:val="0"/>
          <w:bCs w:val="0"/>
          <w:kern w:val="0"/>
          <w:position w:val="0"/>
          <w:sz w:val="32"/>
          <w:szCs w:val="32"/>
          <w:highlight w:val="none"/>
          <w:lang w:val="en-US" w:eastAsia="zh-CN" w:bidi="ar-SA"/>
        </w:rPr>
        <w:t>3.88</w:t>
      </w:r>
      <w:r>
        <w:rPr>
          <w:rFonts w:hint="eastAsia" w:ascii="Times New Roman" w:hAnsi="Times New Roman" w:eastAsia="仿宋_GB2312" w:cs="仿宋_GB2312"/>
          <w:b w:val="0"/>
          <w:bCs w:val="0"/>
          <w:kern w:val="0"/>
          <w:position w:val="0"/>
          <w:sz w:val="32"/>
          <w:szCs w:val="32"/>
          <w:highlight w:val="none"/>
          <w:lang w:val="zh-CN" w:eastAsia="zh-CN" w:bidi="ar-SA"/>
        </w:rPr>
        <w:t>万元，1—12月预算执行总体进度为</w:t>
      </w:r>
      <w:r>
        <w:rPr>
          <w:rFonts w:hint="eastAsia" w:ascii="Times New Roman" w:hAnsi="Times New Roman" w:eastAsia="仿宋_GB2312" w:cs="仿宋_GB2312"/>
          <w:b w:val="0"/>
          <w:bCs w:val="0"/>
          <w:kern w:val="0"/>
          <w:position w:val="0"/>
          <w:sz w:val="32"/>
          <w:szCs w:val="32"/>
          <w:highlight w:val="none"/>
          <w:lang w:val="en-US" w:eastAsia="zh-CN" w:bidi="ar-SA"/>
        </w:rPr>
        <w:t>100</w:t>
      </w:r>
      <w:r>
        <w:rPr>
          <w:rFonts w:hint="eastAsia" w:ascii="Times New Roman" w:hAnsi="Times New Roman" w:eastAsia="仿宋_GB2312" w:cs="仿宋_GB2312"/>
          <w:b w:val="0"/>
          <w:bCs w:val="0"/>
          <w:kern w:val="0"/>
          <w:position w:val="0"/>
          <w:sz w:val="32"/>
          <w:szCs w:val="32"/>
          <w:highlight w:val="none"/>
          <w:lang w:val="zh-CN" w:eastAsia="zh-CN" w:bidi="ar-SA"/>
        </w:rPr>
        <w:t>%，其中：预算结余率大于10%的项目共计</w:t>
      </w:r>
      <w:r>
        <w:rPr>
          <w:rFonts w:hint="eastAsia" w:ascii="Times New Roman" w:hAnsi="Times New Roman" w:eastAsia="仿宋_GB2312" w:cs="仿宋_GB2312"/>
          <w:b w:val="0"/>
          <w:bCs w:val="0"/>
          <w:kern w:val="0"/>
          <w:position w:val="0"/>
          <w:sz w:val="32"/>
          <w:szCs w:val="32"/>
          <w:highlight w:val="none"/>
          <w:lang w:val="en-US" w:eastAsia="zh-CN" w:bidi="ar-SA"/>
        </w:rPr>
        <w:t>0</w:t>
      </w:r>
      <w:r>
        <w:rPr>
          <w:rFonts w:hint="eastAsia" w:ascii="Times New Roman" w:hAnsi="Times New Roman" w:eastAsia="仿宋_GB2312" w:cs="仿宋_GB2312"/>
          <w:b w:val="0"/>
          <w:bCs w:val="0"/>
          <w:kern w:val="0"/>
          <w:position w:val="0"/>
          <w:sz w:val="32"/>
          <w:szCs w:val="32"/>
          <w:highlight w:val="none"/>
          <w:lang w:val="zh-CN" w:eastAsia="zh-CN" w:bidi="ar-SA"/>
        </w:rPr>
        <w:t>个。</w:t>
      </w:r>
    </w:p>
    <w:p w14:paraId="17F96E7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阶段（含一次性）项目绩效分析。该类项目总数</w:t>
      </w: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个，涉及预算总金额</w:t>
      </w:r>
      <w:r>
        <w:rPr>
          <w:rFonts w:hint="eastAsia" w:ascii="Times New Roman" w:hAnsi="Times New Roman" w:eastAsia="仿宋_GB2312" w:cs="仿宋_GB2312"/>
          <w:b w:val="0"/>
          <w:bCs w:val="0"/>
          <w:kern w:val="0"/>
          <w:position w:val="0"/>
          <w:sz w:val="32"/>
          <w:szCs w:val="32"/>
          <w:highlight w:val="none"/>
          <w:lang w:val="en-US" w:eastAsia="zh-CN" w:bidi="ar-SA"/>
        </w:rPr>
        <w:t>3.88</w:t>
      </w:r>
      <w:r>
        <w:rPr>
          <w:rFonts w:hint="eastAsia" w:ascii="Times New Roman" w:hAnsi="Times New Roman" w:eastAsia="仿宋_GB2312" w:cs="仿宋_GB2312"/>
          <w:b w:val="0"/>
          <w:bCs w:val="0"/>
          <w:kern w:val="0"/>
          <w:position w:val="0"/>
          <w:sz w:val="32"/>
          <w:szCs w:val="32"/>
          <w:highlight w:val="none"/>
          <w:lang w:val="zh-CN" w:eastAsia="zh-CN" w:bidi="ar-SA"/>
        </w:rPr>
        <w:t>万元，1—12月预算执行总体进度为</w:t>
      </w:r>
      <w:r>
        <w:rPr>
          <w:rFonts w:hint="eastAsia" w:ascii="Times New Roman" w:hAnsi="Times New Roman" w:eastAsia="仿宋_GB2312" w:cs="仿宋_GB2312"/>
          <w:b w:val="0"/>
          <w:bCs w:val="0"/>
          <w:kern w:val="0"/>
          <w:position w:val="0"/>
          <w:sz w:val="32"/>
          <w:szCs w:val="32"/>
          <w:highlight w:val="none"/>
          <w:lang w:val="en-US" w:eastAsia="zh-CN" w:bidi="ar-SA"/>
        </w:rPr>
        <w:t>100</w:t>
      </w:r>
      <w:r>
        <w:rPr>
          <w:rFonts w:hint="eastAsia" w:ascii="Times New Roman" w:hAnsi="Times New Roman" w:eastAsia="仿宋_GB2312" w:cs="仿宋_GB2312"/>
          <w:b w:val="0"/>
          <w:bCs w:val="0"/>
          <w:kern w:val="0"/>
          <w:position w:val="0"/>
          <w:sz w:val="32"/>
          <w:szCs w:val="32"/>
          <w:highlight w:val="none"/>
          <w:lang w:val="zh-CN" w:eastAsia="zh-CN" w:bidi="ar-SA"/>
        </w:rPr>
        <w:t>%，其中：预算结余率大于10%的项目共计</w:t>
      </w:r>
      <w:r>
        <w:rPr>
          <w:rFonts w:hint="eastAsia" w:ascii="Times New Roman" w:hAnsi="Times New Roman" w:eastAsia="仿宋_GB2312" w:cs="仿宋_GB2312"/>
          <w:b w:val="0"/>
          <w:bCs w:val="0"/>
          <w:kern w:val="0"/>
          <w:position w:val="0"/>
          <w:sz w:val="32"/>
          <w:szCs w:val="32"/>
          <w:highlight w:val="none"/>
          <w:lang w:val="en-US" w:eastAsia="zh-CN" w:bidi="ar-SA"/>
        </w:rPr>
        <w:t>0</w:t>
      </w:r>
      <w:r>
        <w:rPr>
          <w:rFonts w:hint="eastAsia" w:ascii="Times New Roman" w:hAnsi="Times New Roman" w:eastAsia="仿宋_GB2312" w:cs="仿宋_GB2312"/>
          <w:b w:val="0"/>
          <w:bCs w:val="0"/>
          <w:kern w:val="0"/>
          <w:position w:val="0"/>
          <w:sz w:val="32"/>
          <w:szCs w:val="32"/>
          <w:highlight w:val="none"/>
          <w:lang w:val="zh-CN" w:eastAsia="zh-CN" w:bidi="ar-SA"/>
        </w:rPr>
        <w:t>个。</w:t>
      </w:r>
    </w:p>
    <w:p w14:paraId="02FECB1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1.项目决策。</w:t>
      </w:r>
    </w:p>
    <w:p w14:paraId="0117AE9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以202</w:t>
      </w: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工作安排为参考，以202</w:t>
      </w: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年工作计划为依据，预算安排共计</w:t>
      </w:r>
      <w:r>
        <w:rPr>
          <w:rFonts w:hint="eastAsia" w:ascii="Times New Roman" w:hAnsi="Times New Roman" w:eastAsia="仿宋_GB2312" w:cs="仿宋_GB2312"/>
          <w:b w:val="0"/>
          <w:bCs w:val="0"/>
          <w:kern w:val="0"/>
          <w:position w:val="0"/>
          <w:sz w:val="32"/>
          <w:szCs w:val="32"/>
          <w:highlight w:val="none"/>
          <w:lang w:val="en-US" w:eastAsia="zh-CN" w:bidi="ar-SA"/>
        </w:rPr>
        <w:t>75.51</w:t>
      </w:r>
      <w:r>
        <w:rPr>
          <w:rFonts w:hint="eastAsia" w:ascii="Times New Roman" w:hAnsi="Times New Roman" w:eastAsia="仿宋_GB2312" w:cs="仿宋_GB2312"/>
          <w:b w:val="0"/>
          <w:bCs w:val="0"/>
          <w:kern w:val="0"/>
          <w:position w:val="0"/>
          <w:sz w:val="32"/>
          <w:szCs w:val="32"/>
          <w:highlight w:val="none"/>
          <w:lang w:val="zh-CN" w:eastAsia="zh-CN" w:bidi="ar-SA"/>
        </w:rPr>
        <w:t>万元，以不断提高服务对象满意度，及时发现工作存在的问题，提升工人服务质量，提高政策知晓率。投入成本与预期产出及效果相匹配，成本测算依据充分。同时在支出过程中，严格履行政府采购程序，合理控制成本，确保资金投入与支出比例合理。当年实际支出</w:t>
      </w:r>
      <w:r>
        <w:rPr>
          <w:rFonts w:hint="eastAsia" w:ascii="Times New Roman" w:hAnsi="Times New Roman" w:eastAsia="仿宋_GB2312" w:cs="仿宋_GB2312"/>
          <w:b w:val="0"/>
          <w:bCs w:val="0"/>
          <w:kern w:val="0"/>
          <w:position w:val="0"/>
          <w:sz w:val="32"/>
          <w:szCs w:val="32"/>
          <w:highlight w:val="none"/>
          <w:lang w:val="en-US" w:eastAsia="zh-CN" w:bidi="ar-SA"/>
        </w:rPr>
        <w:t>75.51</w:t>
      </w:r>
      <w:r>
        <w:rPr>
          <w:rFonts w:hint="eastAsia" w:ascii="Times New Roman" w:hAnsi="Times New Roman" w:eastAsia="仿宋_GB2312" w:cs="仿宋_GB2312"/>
          <w:b w:val="0"/>
          <w:bCs w:val="0"/>
          <w:kern w:val="0"/>
          <w:position w:val="0"/>
          <w:sz w:val="32"/>
          <w:szCs w:val="32"/>
          <w:highlight w:val="none"/>
          <w:lang w:val="zh-CN" w:eastAsia="zh-CN" w:bidi="ar-SA"/>
        </w:rPr>
        <w:t>万元，执行率</w:t>
      </w:r>
      <w:r>
        <w:rPr>
          <w:rFonts w:hint="eastAsia" w:ascii="Times New Roman" w:hAnsi="Times New Roman" w:eastAsia="仿宋_GB2312" w:cs="仿宋_GB2312"/>
          <w:b w:val="0"/>
          <w:bCs w:val="0"/>
          <w:kern w:val="0"/>
          <w:position w:val="0"/>
          <w:sz w:val="32"/>
          <w:szCs w:val="32"/>
          <w:highlight w:val="none"/>
          <w:lang w:val="en-US" w:eastAsia="zh-CN" w:bidi="ar-SA"/>
        </w:rPr>
        <w:t>100</w:t>
      </w:r>
      <w:r>
        <w:rPr>
          <w:rFonts w:hint="eastAsia" w:ascii="Times New Roman" w:hAnsi="Times New Roman" w:eastAsia="仿宋_GB2312" w:cs="仿宋_GB2312"/>
          <w:b w:val="0"/>
          <w:bCs w:val="0"/>
          <w:kern w:val="0"/>
          <w:position w:val="0"/>
          <w:sz w:val="32"/>
          <w:szCs w:val="32"/>
          <w:highlight w:val="none"/>
          <w:lang w:val="zh-CN" w:eastAsia="zh-CN" w:bidi="ar-SA"/>
        </w:rPr>
        <w:t>%。</w:t>
      </w:r>
    </w:p>
    <w:p w14:paraId="23B7D1F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2.项目执行。</w:t>
      </w:r>
    </w:p>
    <w:p w14:paraId="5D2D090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项目实施期限主为202</w:t>
      </w: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年1月至12月，由</w:t>
      </w:r>
      <w:r>
        <w:rPr>
          <w:rFonts w:hint="eastAsia" w:ascii="Times New Roman" w:hAnsi="Times New Roman" w:eastAsia="仿宋_GB2312" w:cs="仿宋_GB2312"/>
          <w:b w:val="0"/>
          <w:bCs w:val="0"/>
          <w:kern w:val="0"/>
          <w:position w:val="0"/>
          <w:sz w:val="32"/>
          <w:szCs w:val="32"/>
          <w:highlight w:val="none"/>
          <w:lang w:val="en-US" w:eastAsia="zh-CN" w:bidi="ar-SA"/>
        </w:rPr>
        <w:t>区工商联</w:t>
      </w:r>
      <w:r>
        <w:rPr>
          <w:rFonts w:hint="eastAsia" w:ascii="Times New Roman" w:hAnsi="Times New Roman" w:eastAsia="仿宋_GB2312" w:cs="仿宋_GB2312"/>
          <w:b w:val="0"/>
          <w:bCs w:val="0"/>
          <w:kern w:val="0"/>
          <w:position w:val="0"/>
          <w:sz w:val="32"/>
          <w:szCs w:val="32"/>
          <w:highlight w:val="none"/>
          <w:lang w:val="zh-CN" w:eastAsia="zh-CN" w:bidi="ar-SA"/>
        </w:rPr>
        <w:t>申报，西区财政局审核批复，主要用于保障</w:t>
      </w:r>
      <w:r>
        <w:rPr>
          <w:rFonts w:hint="eastAsia" w:ascii="Times New Roman" w:hAnsi="Times New Roman" w:eastAsia="仿宋_GB2312" w:cs="仿宋_GB2312"/>
          <w:b w:val="0"/>
          <w:bCs w:val="0"/>
          <w:kern w:val="0"/>
          <w:position w:val="0"/>
          <w:sz w:val="32"/>
          <w:szCs w:val="32"/>
          <w:highlight w:val="none"/>
          <w:lang w:val="en-US" w:eastAsia="zh-CN" w:bidi="ar-SA"/>
        </w:rPr>
        <w:t>省级服务业标准化试点项目经费</w:t>
      </w: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政府采购专项经费</w:t>
      </w: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配备政务服务工作服经费、大厅基本运行项目</w:t>
      </w:r>
      <w:r>
        <w:rPr>
          <w:rFonts w:hint="eastAsia" w:ascii="Times New Roman" w:hAnsi="Times New Roman" w:eastAsia="仿宋_GB2312" w:cs="仿宋_GB2312"/>
          <w:b w:val="0"/>
          <w:bCs w:val="0"/>
          <w:kern w:val="0"/>
          <w:position w:val="0"/>
          <w:sz w:val="32"/>
          <w:szCs w:val="32"/>
          <w:highlight w:val="none"/>
          <w:lang w:val="zh-CN" w:eastAsia="zh-CN" w:bidi="ar-SA"/>
        </w:rPr>
        <w:t>各项工作开展，加强项目实施过程中的监督审核，建立健全财政专项资金的公开机制、评审机制、跟踪检查机制，确保财政资金安全高效使用。</w:t>
      </w:r>
    </w:p>
    <w:p w14:paraId="5360803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3.目标实现。</w:t>
      </w:r>
    </w:p>
    <w:p w14:paraId="0AE54A0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2024年西区工商联</w:t>
      </w:r>
      <w:r>
        <w:rPr>
          <w:rFonts w:hint="eastAsia" w:ascii="Times New Roman" w:hAnsi="Times New Roman" w:eastAsia="仿宋_GB2312" w:cs="仿宋_GB2312"/>
          <w:b w:val="0"/>
          <w:bCs w:val="0"/>
          <w:kern w:val="0"/>
          <w:position w:val="0"/>
          <w:sz w:val="32"/>
          <w:szCs w:val="32"/>
          <w:highlight w:val="none"/>
          <w:lang w:val="zh-CN" w:eastAsia="zh-CN" w:bidi="ar-SA"/>
        </w:rPr>
        <w:t>预算资金</w:t>
      </w:r>
      <w:r>
        <w:rPr>
          <w:rFonts w:hint="eastAsia" w:ascii="Times New Roman" w:hAnsi="Times New Roman" w:eastAsia="仿宋_GB2312" w:cs="仿宋_GB2312"/>
          <w:b w:val="0"/>
          <w:bCs w:val="0"/>
          <w:kern w:val="0"/>
          <w:position w:val="0"/>
          <w:sz w:val="32"/>
          <w:szCs w:val="32"/>
          <w:highlight w:val="none"/>
          <w:lang w:val="en-US" w:eastAsia="zh-CN" w:bidi="ar-SA"/>
        </w:rPr>
        <w:t>75.51</w:t>
      </w:r>
      <w:r>
        <w:rPr>
          <w:rFonts w:hint="eastAsia" w:ascii="Times New Roman" w:hAnsi="Times New Roman" w:eastAsia="仿宋_GB2312" w:cs="仿宋_GB2312"/>
          <w:b w:val="0"/>
          <w:bCs w:val="0"/>
          <w:kern w:val="0"/>
          <w:position w:val="0"/>
          <w:sz w:val="32"/>
          <w:szCs w:val="32"/>
          <w:highlight w:val="none"/>
          <w:lang w:val="zh-CN" w:eastAsia="zh-CN" w:bidi="ar-SA"/>
        </w:rPr>
        <w:t>万元由区财政局纳入一体化管理平台统一管理，专款专用，资金拨付执行审批程序，使用规范，入账手续齐全。</w:t>
      </w:r>
    </w:p>
    <w:p w14:paraId="061E972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项目的经济效益分析。</w:t>
      </w:r>
    </w:p>
    <w:p w14:paraId="299016A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专项工作经费的预算符合国家财经法规和财务管理制度以及有关资金管理办法的规定，资金的拨付报帐有完整的审批程序和手续，资金使用符合项目预算批复，项目开展不超预算成本。严格执行项目管理制度，同时财务人员定期或不定期对资金使用、管理情况进行自查和检查，做到财务会计资料信息真实、及时、完整，资金的拨付有完整的审批程序和手续，各项制度执行落实较好，资金使用较为安全规范。项目开展控制在预算范围内。</w:t>
      </w:r>
    </w:p>
    <w:p w14:paraId="4005760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项目的社会效益分析。</w:t>
      </w:r>
    </w:p>
    <w:p w14:paraId="779FCBC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促进地方经济发展、促进社会进步、带动就业、提高人民生活水平，顺利完成工作任务，达到预期目标。</w:t>
      </w:r>
    </w:p>
    <w:p w14:paraId="764F28B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3）</w:t>
      </w:r>
      <w:r>
        <w:rPr>
          <w:rFonts w:hint="eastAsia" w:ascii="Times New Roman" w:hAnsi="Times New Roman" w:eastAsia="仿宋_GB2312" w:cs="仿宋_GB2312"/>
          <w:b w:val="0"/>
          <w:bCs w:val="0"/>
          <w:kern w:val="0"/>
          <w:position w:val="0"/>
          <w:sz w:val="32"/>
          <w:szCs w:val="32"/>
          <w:highlight w:val="none"/>
          <w:lang w:val="zh-CN" w:eastAsia="zh-CN" w:bidi="ar-SA"/>
        </w:rPr>
        <w:t>项目的可持续性分析。</w:t>
      </w:r>
    </w:p>
    <w:p w14:paraId="3B92B7F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202</w:t>
      </w: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年度较好地完成了年初制定的工作目标任务，各个项目有序开展，整体支出平稳，较好地实现了社会效益和可持续效益目标。</w:t>
      </w:r>
    </w:p>
    <w:p w14:paraId="69D9759B">
      <w:pPr>
        <w:keepNext w:val="0"/>
        <w:keepLines w:val="0"/>
        <w:pageBreakBefore w:val="0"/>
        <w:kinsoku/>
        <w:wordWrap/>
        <w:overflowPunct/>
        <w:topLinePunct w:val="0"/>
        <w:autoSpaceDE/>
        <w:autoSpaceDN/>
        <w:bidi w:val="0"/>
        <w:snapToGrid w:val="0"/>
        <w:spacing w:line="600" w:lineRule="exact"/>
        <w:ind w:firstLine="643" w:firstLineChars="200"/>
        <w:textAlignment w:val="auto"/>
        <w:rPr>
          <w:b/>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（三）绩效结果应用情况。</w:t>
      </w:r>
    </w:p>
    <w:p w14:paraId="1A14C6B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本单位所有开支均按照财管管理制度执行，资金的使用严格把关，机关的日常工作运行基本得到保障。绩效评价对全年工作目标起到积极的促进作用。强调部门目标的层层分解与传递以明确岗位职责提高执行力，为明年的工作开展及实施奠定坚实的基础。我单位将绩效自评结果运用到下一年工作的统筹安排、项目资金划拨及按照工作任务的重要性来明确资金使用上，以提高工作效率保质保量完成区委区政府交办的各项工作任务。在绩效自评工作完成后将结果放在攀枝花市西区人民政府网站政务公开栏目中公开公示。</w:t>
      </w:r>
    </w:p>
    <w:p w14:paraId="188835ED">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四、评价结论及建议</w:t>
      </w:r>
    </w:p>
    <w:p w14:paraId="3E8B6A17">
      <w:pPr>
        <w:keepNext w:val="0"/>
        <w:keepLines w:val="0"/>
        <w:pageBreakBefore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056CC50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2024年西区工商联整体支出绩效自评较科学准确，真实地反映了本单位财政收支情况，较好完成年初绩效目标任务，自评优秀。评价得分97分,其中总体绩效62分，项目绩效35分。</w:t>
      </w:r>
    </w:p>
    <w:p w14:paraId="6C9EC1BF">
      <w:pPr>
        <w:keepNext w:val="0"/>
        <w:keepLines w:val="0"/>
        <w:pageBreakBefore w:val="0"/>
        <w:kinsoku/>
        <w:wordWrap/>
        <w:overflowPunct/>
        <w:topLinePunct w:val="0"/>
        <w:autoSpaceDE/>
        <w:autoSpaceDN/>
        <w:bidi w:val="0"/>
        <w:snapToGrid w:val="0"/>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0770E0B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en-US" w:eastAsia="zh-CN" w:bidi="ar-SA"/>
        </w:rPr>
        <w:t>一是在资金安排和使用上仍有不可预见性：如在预算执行中，有时会因临时新增重要的工作任务或者人员增加发生新的费用，而年初预算时很难精确测算相关支出，导致预算执行中需要追加经费；二是因为个别专项工作需按照上级部门安排部署开展，本年度无法完成，导致项目资金结转下年</w:t>
      </w:r>
      <w:r>
        <w:rPr>
          <w:rFonts w:hint="eastAsia" w:ascii="Times New Roman" w:hAnsi="Times New Roman" w:eastAsia="仿宋_GB2312" w:cs="仿宋_GB2312"/>
          <w:b w:val="0"/>
          <w:bCs w:val="0"/>
          <w:kern w:val="0"/>
          <w:position w:val="0"/>
          <w:sz w:val="32"/>
          <w:szCs w:val="32"/>
          <w:highlight w:val="none"/>
          <w:lang w:val="en-US" w:eastAsia="zh-CN" w:bidi="ar-SA"/>
        </w:rPr>
        <w:t>。</w:t>
      </w:r>
    </w:p>
    <w:p w14:paraId="1D5106DA">
      <w:pPr>
        <w:keepNext w:val="0"/>
        <w:keepLines w:val="0"/>
        <w:pageBreakBefore w:val="0"/>
        <w:kinsoku/>
        <w:wordWrap/>
        <w:overflowPunct/>
        <w:topLinePunct w:val="0"/>
        <w:autoSpaceDE/>
        <w:autoSpaceDN/>
        <w:bidi w:val="0"/>
        <w:snapToGrid w:val="0"/>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e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（三）改进建议。</w:t>
      </w:r>
    </w:p>
    <w:p w14:paraId="47D0345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e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进一步完善和加强单位内部财务管理制度，加强预算编制的精准性及预算项目的可实施性，加强资金使用动态管理，确保资金使用效益最大化。</w:t>
      </w:r>
    </w:p>
    <w:bookmarkEnd w:id="55"/>
    <w:p w14:paraId="72B48075">
      <w:pPr>
        <w:pStyle w:val="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89591B9">
      <w:pPr>
        <w:pStyle w:val="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02D912C4">
      <w:pPr>
        <w:pStyle w:val="4"/>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5F83A7F">
      <w:pPr>
        <w:pStyle w:val="3"/>
        <w:rPr>
          <w:rFonts w:hint="eastAsia" w:ascii="Times New Roman" w:hAnsi="Times New Roman" w:cs="宋体"/>
          <w:color w:val="FF0000"/>
          <w:kern w:val="0"/>
          <w:sz w:val="32"/>
          <w:szCs w:val="32"/>
          <w:highlight w:val="yellow"/>
          <w:shd w:val="clear" w:color="auto" w:fill="FFFFFF"/>
          <w:lang w:val="zh-CN"/>
        </w:rPr>
      </w:pPr>
    </w:p>
    <w:p w14:paraId="6AD324B7">
      <w:pPr>
        <w:rPr>
          <w:rFonts w:hint="eastAsia" w:ascii="Times New Roman" w:hAnsi="Times New Roman" w:eastAsia="仿宋_GB2312" w:cs="仿宋_GB2312"/>
          <w:b w:val="0"/>
          <w:bCs w:val="0"/>
          <w:kern w:val="0"/>
          <w:position w:val="0"/>
          <w:sz w:val="32"/>
          <w:szCs w:val="32"/>
          <w:highlight w:val="none"/>
          <w:lang w:val="en-US" w:eastAsia="zh-CN" w:bidi="ar-SA"/>
        </w:rPr>
      </w:pPr>
    </w:p>
    <w:p w14:paraId="0233CF9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6"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5E7B65F1">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53"/>
      <w:bookmarkEnd w:id="56"/>
      <w:bookmarkStart w:id="57" w:name="_Toc15396619"/>
    </w:p>
    <w:p w14:paraId="1658DA8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674AF6B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7"/>
    </w:p>
    <w:p w14:paraId="11234DF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0"/>
      <w:r>
        <w:rPr>
          <w:rFonts w:hint="eastAsia" w:ascii="Times New Roman" w:hAnsi="Times New Roman" w:eastAsia="仿宋_GB2312" w:cs="仿宋_GB2312"/>
          <w:color w:val="auto"/>
          <w:sz w:val="32"/>
          <w:szCs w:val="32"/>
          <w:highlight w:val="none"/>
        </w:rPr>
        <w:t>二、收入决算表</w:t>
      </w:r>
      <w:bookmarkEnd w:id="58"/>
    </w:p>
    <w:p w14:paraId="5E9ABAA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1"/>
      <w:r>
        <w:rPr>
          <w:rFonts w:hint="eastAsia" w:ascii="Times New Roman" w:hAnsi="Times New Roman" w:eastAsia="仿宋_GB2312" w:cs="仿宋_GB2312"/>
          <w:color w:val="auto"/>
          <w:sz w:val="32"/>
          <w:szCs w:val="32"/>
          <w:highlight w:val="none"/>
        </w:rPr>
        <w:t>三、支出决算表</w:t>
      </w:r>
      <w:bookmarkEnd w:id="59"/>
    </w:p>
    <w:p w14:paraId="797B74F2">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2"/>
      <w:r>
        <w:rPr>
          <w:rFonts w:hint="eastAsia" w:ascii="Times New Roman" w:hAnsi="Times New Roman" w:eastAsia="仿宋_GB2312" w:cs="仿宋_GB2312"/>
          <w:color w:val="auto"/>
          <w:sz w:val="32"/>
          <w:szCs w:val="32"/>
          <w:highlight w:val="none"/>
        </w:rPr>
        <w:t>四、财政拨款收入支出决算总表</w:t>
      </w:r>
      <w:bookmarkEnd w:id="60"/>
    </w:p>
    <w:p w14:paraId="7F9D1FB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3"/>
      <w:r>
        <w:rPr>
          <w:rFonts w:hint="eastAsia" w:ascii="Times New Roman" w:hAnsi="Times New Roman" w:eastAsia="仿宋_GB2312" w:cs="仿宋_GB2312"/>
          <w:color w:val="auto"/>
          <w:sz w:val="32"/>
          <w:szCs w:val="32"/>
          <w:highlight w:val="none"/>
        </w:rPr>
        <w:t>五、财政拨款支出决算明细表</w:t>
      </w:r>
      <w:bookmarkEnd w:id="61"/>
      <w:bookmarkStart w:id="62" w:name="_Toc15396624"/>
    </w:p>
    <w:p w14:paraId="78E4F2E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2"/>
    </w:p>
    <w:p w14:paraId="15D5F24C">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5"/>
      <w:r>
        <w:rPr>
          <w:rFonts w:hint="eastAsia" w:ascii="Times New Roman" w:hAnsi="Times New Roman" w:eastAsia="仿宋_GB2312" w:cs="仿宋_GB2312"/>
          <w:color w:val="auto"/>
          <w:sz w:val="32"/>
          <w:szCs w:val="32"/>
          <w:highlight w:val="none"/>
        </w:rPr>
        <w:t>七、一般公共预算财政拨款支出决算明细表</w:t>
      </w:r>
      <w:bookmarkEnd w:id="63"/>
    </w:p>
    <w:p w14:paraId="5F23C772">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6"/>
      <w:r>
        <w:rPr>
          <w:rFonts w:hint="eastAsia" w:ascii="Times New Roman" w:hAnsi="Times New Roman" w:eastAsia="仿宋_GB2312" w:cs="仿宋_GB2312"/>
          <w:color w:val="auto"/>
          <w:sz w:val="32"/>
          <w:szCs w:val="32"/>
          <w:highlight w:val="none"/>
        </w:rPr>
        <w:t>八、一般公共预算财政拨款基本支出决算表</w:t>
      </w:r>
      <w:bookmarkEnd w:id="64"/>
    </w:p>
    <w:p w14:paraId="3E301C07">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7"/>
      <w:r>
        <w:rPr>
          <w:rFonts w:hint="eastAsia" w:ascii="Times New Roman" w:hAnsi="Times New Roman" w:eastAsia="仿宋_GB2312" w:cs="仿宋_GB2312"/>
          <w:color w:val="auto"/>
          <w:sz w:val="32"/>
          <w:szCs w:val="32"/>
          <w:highlight w:val="none"/>
        </w:rPr>
        <w:t>九、一般公共预算财政拨款项目支出决算表</w:t>
      </w:r>
      <w:bookmarkEnd w:id="65"/>
    </w:p>
    <w:p w14:paraId="1257A4B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8"/>
      <w:r>
        <w:rPr>
          <w:rFonts w:hint="eastAsia" w:ascii="Times New Roman" w:hAnsi="Times New Roman" w:eastAsia="仿宋_GB2312" w:cs="仿宋_GB2312"/>
          <w:color w:val="auto"/>
          <w:sz w:val="32"/>
          <w:szCs w:val="32"/>
          <w:highlight w:val="none"/>
        </w:rPr>
        <w:t>十、</w:t>
      </w:r>
      <w:bookmarkEnd w:id="66"/>
      <w:r>
        <w:rPr>
          <w:rFonts w:hint="eastAsia" w:ascii="Times New Roman" w:hAnsi="Times New Roman" w:eastAsia="仿宋_GB2312" w:cs="仿宋_GB2312"/>
          <w:color w:val="auto"/>
          <w:sz w:val="32"/>
          <w:szCs w:val="32"/>
          <w:highlight w:val="none"/>
        </w:rPr>
        <w:t>政府性基金预算财政拨款收入支出决算表</w:t>
      </w:r>
    </w:p>
    <w:p w14:paraId="6FFEFB0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9"/>
      <w:r>
        <w:rPr>
          <w:rFonts w:hint="eastAsia" w:ascii="Times New Roman" w:hAnsi="Times New Roman" w:eastAsia="仿宋_GB2312" w:cs="仿宋_GB2312"/>
          <w:color w:val="auto"/>
          <w:sz w:val="32"/>
          <w:szCs w:val="32"/>
          <w:highlight w:val="none"/>
        </w:rPr>
        <w:t>十一、</w:t>
      </w:r>
      <w:bookmarkEnd w:id="6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19D71657">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30"/>
      <w:r>
        <w:rPr>
          <w:rFonts w:hint="eastAsia" w:ascii="Times New Roman" w:hAnsi="Times New Roman" w:eastAsia="仿宋_GB2312" w:cs="仿宋_GB2312"/>
          <w:color w:val="auto"/>
          <w:sz w:val="32"/>
          <w:szCs w:val="32"/>
          <w:highlight w:val="none"/>
        </w:rPr>
        <w:t>十二、</w:t>
      </w:r>
      <w:bookmarkEnd w:id="68"/>
      <w:r>
        <w:rPr>
          <w:rFonts w:hint="eastAsia" w:ascii="Times New Roman" w:hAnsi="Times New Roman" w:eastAsia="仿宋_GB2312" w:cs="仿宋_GB2312"/>
          <w:color w:val="auto"/>
          <w:sz w:val="32"/>
          <w:szCs w:val="32"/>
          <w:highlight w:val="none"/>
          <w:lang w:eastAsia="zh-CN"/>
        </w:rPr>
        <w:t>国有资本经营预算财政拨款支出决算表</w:t>
      </w:r>
    </w:p>
    <w:p w14:paraId="4F47756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9" w:name="_Toc15396631"/>
      <w:r>
        <w:rPr>
          <w:rFonts w:hint="eastAsia" w:ascii="Times New Roman" w:hAnsi="Times New Roman" w:eastAsia="仿宋_GB2312" w:cs="仿宋_GB2312"/>
          <w:color w:val="auto"/>
          <w:sz w:val="32"/>
          <w:szCs w:val="32"/>
          <w:highlight w:val="none"/>
        </w:rPr>
        <w:t>十三、</w:t>
      </w:r>
      <w:bookmarkEnd w:id="69"/>
      <w:r>
        <w:rPr>
          <w:rFonts w:hint="eastAsia" w:ascii="Times New Roman" w:hAnsi="Times New Roman" w:eastAsia="仿宋_GB2312" w:cs="仿宋_GB2312"/>
          <w:color w:val="auto"/>
          <w:sz w:val="32"/>
          <w:szCs w:val="32"/>
          <w:highlight w:val="none"/>
          <w:lang w:eastAsia="zh-CN"/>
        </w:rPr>
        <w:t>财政拨款“三公”经费支出决算表</w:t>
      </w:r>
    </w:p>
    <w:p w14:paraId="746CEC2C">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0CEAC">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24FCD">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124FCD">
                    <w:pPr>
                      <w:pStyle w:val="7"/>
                    </w:pPr>
                    <w:r>
                      <w:fldChar w:fldCharType="begin"/>
                    </w:r>
                    <w:r>
                      <w:instrText xml:space="preserve"> PAGE  \* MERGEFORMAT </w:instrText>
                    </w:r>
                    <w:r>
                      <w:fldChar w:fldCharType="separate"/>
                    </w:r>
                    <w:r>
                      <w:t>- 1 -</w:t>
                    </w:r>
                    <w:r>
                      <w:fldChar w:fldCharType="end"/>
                    </w:r>
                  </w:p>
                </w:txbxContent>
              </v:textbox>
            </v:shape>
          </w:pict>
        </mc:Fallback>
      </mc:AlternateContent>
    </w:r>
  </w:p>
  <w:p w14:paraId="7ABFB0D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D10AC">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2EBD1">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F2EBD1">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A4C5F">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DF723">
                          <w:pPr>
                            <w:pStyle w:val="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8DF723">
                    <w:pPr>
                      <w:pStyle w:val="7"/>
                    </w:pPr>
                    <w:r>
                      <w:fldChar w:fldCharType="begin"/>
                    </w:r>
                    <w:r>
                      <w:instrText xml:space="preserve"> PAGE  \* MERGEFORMAT </w:instrText>
                    </w:r>
                    <w:r>
                      <w:fldChar w:fldCharType="separate"/>
                    </w:r>
                    <w:r>
                      <w:t>- 2 -</w:t>
                    </w:r>
                    <w:r>
                      <w:fldChar w:fldCharType="end"/>
                    </w:r>
                  </w:p>
                </w:txbxContent>
              </v:textbox>
            </v:shape>
          </w:pict>
        </mc:Fallback>
      </mc:AlternateContent>
    </w:r>
  </w:p>
  <w:p w14:paraId="2DC38CA5">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0D7C1">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AD6DC">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E1AD6DC">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77EC6">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5D44AE0"/>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6A596F"/>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A71142"/>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9">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10">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unhideWhenUsed/>
    <w:qFormat/>
    <w:uiPriority w:val="99"/>
    <w:pPr>
      <w:spacing w:after="0"/>
      <w:ind w:firstLine="100" w:firstLineChars="100"/>
    </w:pPr>
    <w:rPr>
      <w:kern w:val="0"/>
      <w:sz w:val="24"/>
    </w:rPr>
  </w:style>
  <w:style w:type="paragraph" w:styleId="3">
    <w:name w:val="Body Text"/>
    <w:basedOn w:val="1"/>
    <w:next w:val="1"/>
    <w:link w:val="27"/>
    <w:qFormat/>
    <w:uiPriority w:val="99"/>
    <w:pPr>
      <w:spacing w:beforeLines="30"/>
    </w:pPr>
    <w:rPr>
      <w:rFonts w:ascii="仿宋_GB2312" w:eastAsia="仿宋_GB2312"/>
      <w:kern w:val="0"/>
      <w:sz w:val="30"/>
    </w:rPr>
  </w:style>
  <w:style w:type="paragraph" w:styleId="4">
    <w:name w:val="Body Text First Indent 2"/>
    <w:basedOn w:val="5"/>
    <w:unhideWhenUsed/>
    <w:qFormat/>
    <w:uiPriority w:val="99"/>
    <w:pPr>
      <w:ind w:firstLine="420" w:firstLineChars="200"/>
    </w:pPr>
  </w:style>
  <w:style w:type="paragraph" w:styleId="5">
    <w:name w:val="Body Text Indent"/>
    <w:basedOn w:val="1"/>
    <w:next w:val="6"/>
    <w:qFormat/>
    <w:uiPriority w:val="0"/>
    <w:pPr>
      <w:spacing w:after="120"/>
      <w:ind w:leftChars="200"/>
    </w:pPr>
    <w:rPr>
      <w:rFonts w:ascii="仿宋_GB2312"/>
      <w:szCs w:val="32"/>
    </w:rPr>
  </w:style>
  <w:style w:type="paragraph" w:styleId="6">
    <w:name w:val="Normal (Web)"/>
    <w:basedOn w:val="1"/>
    <w:next w:val="7"/>
    <w:qFormat/>
    <w:uiPriority w:val="0"/>
    <w:pPr>
      <w:widowControl/>
      <w:spacing w:before="100" w:beforeAutospacing="1" w:after="100" w:afterAutospacing="1"/>
      <w:jc w:val="left"/>
    </w:pPr>
    <w:rPr>
      <w:rFonts w:ascii="宋体" w:hAnsi="宋体" w:cs="宋体"/>
      <w:kern w:val="0"/>
      <w:sz w:val="24"/>
    </w:rPr>
  </w:style>
  <w:style w:type="paragraph" w:styleId="7">
    <w:name w:val="footer"/>
    <w:basedOn w:val="1"/>
    <w:next w:val="6"/>
    <w:link w:val="25"/>
    <w:qFormat/>
    <w:uiPriority w:val="99"/>
    <w:pPr>
      <w:tabs>
        <w:tab w:val="center" w:pos="4153"/>
        <w:tab w:val="right" w:pos="8306"/>
      </w:tabs>
      <w:snapToGrid w:val="0"/>
      <w:jc w:val="left"/>
    </w:pPr>
    <w:rPr>
      <w:rFonts w:ascii="Calibri" w:hAnsi="Calibri"/>
      <w:kern w:val="0"/>
      <w:sz w:val="18"/>
      <w:szCs w:val="18"/>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3"/>
    <w:semiHidden/>
    <w:unhideWhenUsed/>
    <w:qFormat/>
    <w:uiPriority w:val="99"/>
    <w:rPr>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4"/>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7"/>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3"/>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8"/>
    <w:qFormat/>
    <w:uiPriority w:val="9"/>
    <w:rPr>
      <w:rFonts w:ascii="Times New Roman" w:hAnsi="Times New Roman"/>
      <w:b/>
      <w:bCs/>
      <w:kern w:val="44"/>
      <w:sz w:val="44"/>
      <w:szCs w:val="44"/>
    </w:rPr>
  </w:style>
  <w:style w:type="character" w:customStyle="1" w:styleId="31">
    <w:name w:val="标题 2 Char"/>
    <w:basedOn w:val="18"/>
    <w:link w:val="9"/>
    <w:qFormat/>
    <w:uiPriority w:val="9"/>
    <w:rPr>
      <w:rFonts w:asciiTheme="majorHAnsi" w:hAnsiTheme="majorHAnsi" w:eastAsiaTheme="majorEastAsia" w:cstheme="majorBidi"/>
      <w:b/>
      <w:bCs/>
      <w:kern w:val="2"/>
      <w:sz w:val="32"/>
      <w:szCs w:val="32"/>
    </w:rPr>
  </w:style>
  <w:style w:type="paragraph" w:customStyle="1" w:styleId="32">
    <w:name w:val="TOC 标题1"/>
    <w:basedOn w:val="8"/>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2"/>
    <w:semiHidden/>
    <w:qFormat/>
    <w:uiPriority w:val="99"/>
    <w:rPr>
      <w:rFonts w:ascii="Times New Roman" w:hAnsi="Times New Roman"/>
      <w:kern w:val="2"/>
      <w:sz w:val="18"/>
      <w:szCs w:val="18"/>
    </w:rPr>
  </w:style>
  <w:style w:type="character" w:customStyle="1" w:styleId="34">
    <w:name w:val="标题 3 Char"/>
    <w:basedOn w:val="18"/>
    <w:link w:val="10"/>
    <w:qFormat/>
    <w:uiPriority w:val="9"/>
    <w:rPr>
      <w:rFonts w:ascii="Times New Roman" w:hAnsi="Times New Roman"/>
      <w:b/>
      <w:bCs/>
      <w:kern w:val="2"/>
      <w:sz w:val="32"/>
      <w:szCs w:val="32"/>
    </w:rPr>
  </w:style>
  <w:style w:type="paragraph" w:customStyle="1" w:styleId="35">
    <w:name w:val="TOC Heading"/>
    <w:basedOn w:val="8"/>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9189</Words>
  <Characters>10499</Characters>
  <Lines>61</Lines>
  <Paragraphs>17</Paragraphs>
  <TotalTime>5</TotalTime>
  <ScaleCrop>false</ScaleCrop>
  <LinksUpToDate>false</LinksUpToDate>
  <CharactersWithSpaces>10530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玥凝</cp:lastModifiedBy>
  <cp:lastPrinted>2025-08-06T17:34:00Z</cp:lastPrinted>
  <dcterms:modified xsi:type="dcterms:W3CDTF">2025-10-24T03:37:36Z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eyJoZGlkIjoiMmY2YmUxZjk2NzRmYTg5MDQ2ZDU3YTM2YzM2MGI4ZDIiLCJ1c2VySWQiOiI1NzIwNzc5ODAifQ==</vt:lpwstr>
  </property>
</Properties>
</file>