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exact"/>
        <w:rPr>
          <w:rFonts w:hint="default" w:ascii="Times New Roman" w:hAnsi="Times New Roman" w:eastAsia="黑体" w:cs="Times New Roman"/>
          <w:snapToGrid w:val="0"/>
          <w:sz w:val="32"/>
          <w:szCs w:val="32"/>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32"/>
          <w:szCs w:val="32"/>
          <w:highlight w:val="none"/>
          <w:lang w:eastAsia="zh-CN"/>
        </w:rPr>
      </w:pPr>
      <w:bookmarkStart w:id="0" w:name="_GoBack"/>
      <w:r>
        <w:rPr>
          <w:rFonts w:hint="default" w:ascii="Times New Roman" w:hAnsi="Times New Roman" w:eastAsia="方正小标宋_GBK" w:cs="Times New Roman"/>
          <w:b/>
          <w:bCs/>
          <w:kern w:val="0"/>
          <w:sz w:val="44"/>
          <w:szCs w:val="44"/>
          <w:highlight w:val="none"/>
        </w:rPr>
        <w:t>攀枝花市</w:t>
      </w:r>
      <w:r>
        <w:rPr>
          <w:rFonts w:hint="default" w:ascii="Times New Roman" w:hAnsi="Times New Roman" w:eastAsia="方正小标宋_GBK" w:cs="Times New Roman"/>
          <w:b/>
          <w:bCs/>
          <w:kern w:val="0"/>
          <w:sz w:val="44"/>
          <w:szCs w:val="44"/>
          <w:highlight w:val="none"/>
          <w:lang w:eastAsia="zh-CN"/>
        </w:rPr>
        <w:t>西区</w:t>
      </w:r>
      <w:r>
        <w:rPr>
          <w:rFonts w:hint="default" w:ascii="Times New Roman" w:hAnsi="Times New Roman" w:eastAsia="方正小标宋_GBK" w:cs="Times New Roman"/>
          <w:b/>
          <w:bCs/>
          <w:kern w:val="0"/>
          <w:sz w:val="44"/>
          <w:szCs w:val="44"/>
          <w:highlight w:val="none"/>
        </w:rPr>
        <w:t>行政许可事项清单（202</w:t>
      </w:r>
      <w:r>
        <w:rPr>
          <w:rFonts w:hint="default" w:ascii="Times New Roman" w:hAnsi="Times New Roman" w:eastAsia="方正小标宋_GBK" w:cs="Times New Roman"/>
          <w:b/>
          <w:bCs/>
          <w:kern w:val="0"/>
          <w:sz w:val="44"/>
          <w:szCs w:val="44"/>
          <w:highlight w:val="none"/>
          <w:lang w:val="en-US" w:eastAsia="zh-CN"/>
        </w:rPr>
        <w:t>5</w:t>
      </w:r>
      <w:r>
        <w:rPr>
          <w:rFonts w:hint="default" w:ascii="Times New Roman" w:hAnsi="Times New Roman" w:eastAsia="方正小标宋_GBK" w:cs="Times New Roman"/>
          <w:b/>
          <w:bCs/>
          <w:kern w:val="0"/>
          <w:sz w:val="44"/>
          <w:szCs w:val="44"/>
          <w:highlight w:val="none"/>
        </w:rPr>
        <w:t>年版）</w:t>
      </w:r>
    </w:p>
    <w:bookmarkEnd w:id="0"/>
    <w:p>
      <w:pPr>
        <w:widowControl/>
        <w:spacing w:line="560" w:lineRule="exact"/>
        <w:jc w:val="both"/>
        <w:rPr>
          <w:rFonts w:hint="default" w:ascii="Times New Roman" w:hAnsi="Times New Roman" w:eastAsia="方正黑体_GBK" w:cs="Times New Roman"/>
          <w:kern w:val="0"/>
          <w:sz w:val="32"/>
          <w:szCs w:val="32"/>
          <w:highlight w:val="none"/>
          <w:lang w:eastAsia="zh-CN"/>
        </w:rPr>
      </w:pPr>
      <w:r>
        <w:rPr>
          <w:rFonts w:hint="default" w:ascii="Times New Roman" w:hAnsi="Times New Roman" w:eastAsia="方正黑体_GBK" w:cs="Times New Roman"/>
          <w:kern w:val="0"/>
          <w:sz w:val="32"/>
          <w:szCs w:val="32"/>
          <w:highlight w:val="none"/>
          <w:lang w:eastAsia="zh-CN"/>
        </w:rPr>
        <w:t>一、我区实施的中央层面设定的行政许可事项</w:t>
      </w:r>
    </w:p>
    <w:p>
      <w:pPr>
        <w:keepNext w:val="0"/>
        <w:keepLines w:val="0"/>
        <w:pageBreakBefore w:val="0"/>
        <w:widowControl/>
        <w:kinsoku/>
        <w:overflowPunct/>
        <w:topLinePunct w:val="0"/>
        <w:bidi w:val="0"/>
        <w:snapToGrid/>
        <w:spacing w:line="240" w:lineRule="exact"/>
        <w:jc w:val="both"/>
        <w:rPr>
          <w:rFonts w:hint="default" w:ascii="Times New Roman" w:hAnsi="Times New Roman" w:eastAsia="方正小标宋简体" w:cs="Times New Roman"/>
          <w:kern w:val="0"/>
          <w:sz w:val="28"/>
          <w:szCs w:val="28"/>
          <w:highlight w:val="none"/>
          <w:lang w:eastAsia="zh-CN"/>
        </w:rPr>
      </w:pPr>
    </w:p>
    <w:tbl>
      <w:tblPr>
        <w:tblStyle w:val="20"/>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7"/>
        <w:gridCol w:w="1715"/>
        <w:gridCol w:w="1237"/>
        <w:gridCol w:w="1705"/>
        <w:gridCol w:w="1915"/>
        <w:gridCol w:w="385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53"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kern w:val="0"/>
                <w:sz w:val="20"/>
                <w:szCs w:val="20"/>
                <w:highlight w:val="none"/>
              </w:rPr>
            </w:pPr>
            <w:r>
              <w:rPr>
                <w:rFonts w:hint="eastAsia" w:ascii="方正黑体_GBK" w:hAnsi="方正黑体_GBK" w:eastAsia="方正黑体_GBK" w:cs="方正黑体_GBK"/>
                <w:b w:val="0"/>
                <w:bCs w:val="0"/>
                <w:kern w:val="0"/>
                <w:sz w:val="20"/>
                <w:szCs w:val="20"/>
                <w:highlight w:val="none"/>
              </w:rPr>
              <w:t>序号</w:t>
            </w:r>
          </w:p>
        </w:tc>
        <w:tc>
          <w:tcPr>
            <w:tcW w:w="678"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事项名称</w:t>
            </w:r>
          </w:p>
        </w:tc>
        <w:tc>
          <w:tcPr>
            <w:tcW w:w="489"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主管部门</w:t>
            </w:r>
          </w:p>
        </w:tc>
        <w:tc>
          <w:tcPr>
            <w:tcW w:w="674"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实施机关</w:t>
            </w:r>
          </w:p>
        </w:tc>
        <w:tc>
          <w:tcPr>
            <w:tcW w:w="757"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设定依据</w:t>
            </w:r>
          </w:p>
        </w:tc>
        <w:tc>
          <w:tcPr>
            <w:tcW w:w="1525"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实施依据</w:t>
            </w:r>
          </w:p>
        </w:tc>
        <w:tc>
          <w:tcPr>
            <w:tcW w:w="720" w:type="pct"/>
            <w:tcMar>
              <w:top w:w="15" w:type="dxa"/>
              <w:left w:w="15" w:type="dxa"/>
              <w:right w:w="15" w:type="dxa"/>
            </w:tcMar>
            <w:vAlign w:val="center"/>
          </w:tcPr>
          <w:p>
            <w:pPr>
              <w:keepNext w:val="0"/>
              <w:keepLines w:val="0"/>
              <w:pageBreakBefore w:val="0"/>
              <w:widowControl/>
              <w:kinsoku/>
              <w:overflowPunct/>
              <w:topLinePunct w:val="0"/>
              <w:bidi w:val="0"/>
              <w:snapToGrid/>
              <w:spacing w:line="280" w:lineRule="exact"/>
              <w:jc w:val="center"/>
              <w:textAlignment w:val="center"/>
              <w:rPr>
                <w:rFonts w:hint="eastAsia" w:ascii="方正黑体_GBK" w:hAnsi="方正黑体_GBK" w:eastAsia="方正黑体_GBK" w:cs="方正黑体_GBK"/>
                <w:b w:val="0"/>
                <w:bCs w:val="0"/>
                <w:sz w:val="20"/>
                <w:szCs w:val="20"/>
                <w:highlight w:val="none"/>
              </w:rPr>
            </w:pPr>
            <w:r>
              <w:rPr>
                <w:rFonts w:hint="eastAsia" w:ascii="方正黑体_GBK" w:hAnsi="方正黑体_GBK" w:eastAsia="方正黑体_GBK" w:cs="方正黑体_GBK"/>
                <w:b w:val="0"/>
                <w:bCs w:val="0"/>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固定资产投资项目节能审查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区发展改革局</w:t>
            </w:r>
            <w:r>
              <w:rPr>
                <w:rFonts w:hint="eastAsia"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区经济和信息化局</w:t>
            </w:r>
          </w:p>
        </w:tc>
        <w:tc>
          <w:tcPr>
            <w:tcW w:w="674" w:type="pct"/>
            <w:vMerge w:val="restart"/>
            <w:tcMar>
              <w:top w:w="15" w:type="dxa"/>
              <w:left w:w="15" w:type="dxa"/>
              <w:right w:w="15" w:type="dxa"/>
            </w:tcMar>
            <w:vAlign w:val="center"/>
          </w:tcPr>
          <w:p>
            <w:pPr>
              <w:widowControl/>
              <w:jc w:val="left"/>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rPr>
              <w:t>区发展改革局</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非技术改造类</w:t>
            </w:r>
            <w:r>
              <w:rPr>
                <w:rFonts w:hint="default" w:ascii="Times New Roman" w:hAnsi="Times New Roman" w:eastAsia="方正仿宋_GBK" w:cs="Times New Roman"/>
                <w:kern w:val="0"/>
                <w:sz w:val="20"/>
                <w:szCs w:val="20"/>
                <w:highlight w:val="none"/>
                <w:lang w:eastAsia="zh-CN"/>
              </w:rPr>
              <w:t>）</w:t>
            </w:r>
          </w:p>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区经济和信息化局</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技术改造类</w:t>
            </w:r>
            <w:r>
              <w:rPr>
                <w:rFonts w:hint="default" w:ascii="Times New Roman" w:hAnsi="Times New Roman" w:eastAsia="方正仿宋_GBK" w:cs="Times New Roman"/>
                <w:kern w:val="0"/>
                <w:sz w:val="20"/>
                <w:szCs w:val="20"/>
                <w:highlight w:val="none"/>
                <w:lang w:eastAsia="zh-CN"/>
              </w:rPr>
              <w:t>）</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《中华人民共和国节约能源法》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《固定资产投资项目节能审查办法》</w:t>
            </w:r>
          </w:p>
        </w:tc>
        <w:tc>
          <w:tcPr>
            <w:tcW w:w="720" w:type="pct"/>
            <w:vMerge w:val="restart"/>
            <w:tcMar>
              <w:top w:w="15" w:type="dxa"/>
              <w:left w:w="15" w:type="dxa"/>
              <w:right w:w="15" w:type="dxa"/>
            </w:tcMar>
            <w:vAlign w:val="center"/>
          </w:tcPr>
          <w:p>
            <w:pPr>
              <w:widowControl w:val="0"/>
              <w:autoSpaceDE w:val="0"/>
              <w:autoSpaceDN w:val="0"/>
              <w:adjustRightInd w:val="0"/>
              <w:jc w:val="both"/>
              <w:rPr>
                <w:rFonts w:hint="default" w:ascii="Times New Roman" w:hAnsi="Times New Roman" w:eastAsia="方正仿宋_GBK" w:cs="Times New Roman"/>
                <w:color w:val="auto"/>
                <w:kern w:val="0"/>
                <w:sz w:val="20"/>
                <w:szCs w:val="20"/>
                <w:highlight w:val="none"/>
                <w:lang w:val="en-US" w:eastAsia="zh-CN" w:bidi="ar-SA"/>
              </w:rPr>
            </w:pPr>
            <w:r>
              <w:rPr>
                <w:rFonts w:hint="default" w:ascii="Times New Roman" w:hAnsi="Times New Roman" w:eastAsia="方正仿宋_GBK" w:cs="Times New Roman"/>
                <w:color w:val="auto"/>
                <w:kern w:val="0"/>
                <w:sz w:val="20"/>
                <w:szCs w:val="20"/>
                <w:highlight w:val="none"/>
                <w:lang w:val="en-US" w:eastAsia="zh-CN" w:bidi="ar-SA"/>
              </w:rPr>
              <w:t>由发展改革部门负责非技术改造类，由经济和信息化部门负责技术改造类。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《节能监察办法》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《四川省〈中华人民共和国节约能源法〉实施办法》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《四川省固定资产投资项目节能审查实施办法》（川发改环资规〔2023〕380号）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民办、中外合作开办中等及以下学校和其他教育机构筹设审批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《国务院关于当前发展学前教育的若干意见》（国发〔2010〕41号）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中等及以下学校和其他教育机构设置审批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《中华人民共和国教育法》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《国务院关于当前发展学前教育的若干意见》（国发〔2010〕41号）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《国务院办公厅关于规范校外培训机构发展的意见》（国办发〔2018〕80号）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从事文艺、体育等专业训练的社会组织自行实施义务教育审批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《中华人民共和国义务教育法》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《中华人民共和国义务教育法》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校车使用许可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区政府（由区教育和体育局会同市公安局西区分局、区农业农村和交通运输局承办）</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《四川省〈校车安全管理条例〉实施办法》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教师资格认定</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《中华人民共和国教师法》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《中华人民共和国教师法》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《教师资格条例》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《教师资格条例》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《〈教师资格条例〉实施办法》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《国家职业资格目录（2021年版）》</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《四川省教师资格制度实施细则》</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（川教〔2004〕293号）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2"/>
                <w:szCs w:val="22"/>
                <w:highlight w:val="none"/>
                <w:lang w:val="en-US" w:eastAsia="zh-CN"/>
              </w:rPr>
              <w:t>7</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适龄儿童、少年因身体状况需要延缓入学或者休学审批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区教育和体育局</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格里坪镇人民政府</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《中华人民共和国义务教育法》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《中华人民共和国义务教育法》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民用枪支及枪支主要零部件、弹药配置许可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《中华人民共和国枪支管理法》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《中华人民共和国枪支管理法》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《射击运动枪支配置办法》（公通字〔2000〕1号）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《射击竞技体育运动枪支管理办法》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举行集会游行示威许可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《中华人民共和国集会游行示威法》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《中华人民共和国集会游行示威法》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《中华人民共和国集会游行示威法实施条例》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《中华人民共和国集会游行示威法实施条例》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大型群众性活动安全许可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《大型群众性活动安全管理条例》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《大型群众性活动安全管理条例》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11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旅馆业特种行业许可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《旅馆业治安管理办法》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《国务院关于深化</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证照分离</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改革进一步激发市场主体发展活力的通知》（国发〔2021〕7号）</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《公安部关于深化娱乐服务场所和特种行业治安管理改革进一步依法加强事中事后监管的工作意见》（公治〔2017〕529号）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《四川省旅馆业治安管理办法》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12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举办焰火晚会及其他大型焰火燃放活动许可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《公安部办公厅关于贯彻执行〈大型焰火燃放作业人员资格条件及管理〉和〈大型焰火燃放作业单位资质条件及管理〉有关事项的通知》（公治〔2010〕592号）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13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烟花爆竹道路运输许可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r>
              <w:rPr>
                <w:rFonts w:hint="default" w:ascii="Times New Roman" w:hAnsi="Times New Roman" w:eastAsia="方正仿宋_GBK" w:cs="Times New Roman"/>
                <w:kern w:val="0"/>
                <w:sz w:val="20"/>
                <w:szCs w:val="20"/>
                <w:highlight w:val="none"/>
              </w:rPr>
              <w:t>（运达地或者启运地）</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《关于优化烟花爆竹道路运输许可审批进一步深化烟花爆竹</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放管服</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改革工作的通知》（公治安明发〔2019〕218号）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民用爆炸物品购买许可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《民用爆炸物品安全管理条例》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民用爆炸物品运输许可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r>
              <w:rPr>
                <w:rFonts w:hint="default" w:ascii="Times New Roman" w:hAnsi="Times New Roman" w:eastAsia="方正仿宋_GBK" w:cs="Times New Roman"/>
                <w:kern w:val="0"/>
                <w:sz w:val="20"/>
                <w:szCs w:val="20"/>
                <w:highlight w:val="none"/>
              </w:rPr>
              <w:t>（运达地）</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《民用爆炸物品安全管理条例》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剧毒化学品购买许可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《剧毒化学品购买和公路运输许可证件管理办法》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剧毒化学品道路运输通行许可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《剧毒化学品购买和公路运输许可证件管理办法》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18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放射性物品道路运输许可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《中华人民共和国核安全法》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《中华人民共和国核安全法》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《放射性物品运输安全管理条例》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《放射性物品运输安全管理条例》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运输危险化学品的车辆进入危险化学品运输车辆限制通行区域审批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《四川省公安厅关于进一步规范危险化学品运输车辆进入限制通行区域管理工作的通知》（川公发〔2018〕95号）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易制毒化学品购买许可</w:t>
            </w:r>
            <w:r>
              <w:rPr>
                <w:rFonts w:hint="default" w:ascii="Times New Roman" w:hAnsi="Times New Roman" w:eastAsia="方正仿宋_GBK" w:cs="Times New Roman"/>
                <w:kern w:val="0"/>
                <w:sz w:val="20"/>
                <w:szCs w:val="20"/>
                <w:highlight w:val="none"/>
                <w:lang w:eastAsia="zh-CN"/>
              </w:rPr>
              <w:t>（除第一类中的药品类易制毒化学品外）</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《中华人民共和国禁毒法》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《易制毒化学品购销和运输管理办法》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《易制毒化学品管理条例》</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易制毒化学品运输许可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《中华人民共和国禁毒法》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《易制毒化学品购销和运输管理办法》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《易制毒化学品管理条例》</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金融机构营业场所和金库安全防范设施建设方案审批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《金融机构营业场所和金库安全防范设施建设许可实施办法》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Style w:val="49"/>
                <w:rFonts w:hint="default" w:ascii="Times New Roman" w:hAnsi="Times New Roman" w:eastAsia="方正仿宋_GBK" w:cs="Times New Roman"/>
                <w:sz w:val="20"/>
                <w:szCs w:val="20"/>
                <w:highlight w:val="none"/>
              </w:rPr>
              <w:t>《公安部办公厅关于深化治安管理“放管服”改革优化营商环境便民利民6项措施的补充通知》（公治</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2018</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711号）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《四川省公安厅关于</w:t>
            </w:r>
            <w:r>
              <w:rPr>
                <w:rFonts w:hint="default" w:ascii="Times New Roman" w:hAnsi="Times New Roman" w:eastAsia="方正仿宋_GBK" w:cs="Times New Roman"/>
                <w:kern w:val="0"/>
                <w:sz w:val="20"/>
                <w:szCs w:val="20"/>
                <w:highlight w:val="none"/>
                <w:lang w:eastAsia="zh-CN"/>
              </w:rPr>
              <w:t>印发</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关于深化金融机构营业场所和金库安全防范设施建设方案审批及工程验收行政许可改革的实施方案</w:t>
            </w:r>
            <w:r>
              <w:rPr>
                <w:rFonts w:hint="default" w:ascii="Times New Roman" w:hAnsi="Times New Roman" w:eastAsia="方正仿宋_GBK" w:cs="Times New Roman"/>
                <w:kern w:val="0"/>
                <w:sz w:val="20"/>
                <w:szCs w:val="20"/>
                <w:highlight w:val="none"/>
              </w:rPr>
              <w:t>〉的通知》（川公</w:t>
            </w:r>
            <w:r>
              <w:rPr>
                <w:rFonts w:hint="default" w:ascii="Times New Roman" w:hAnsi="Times New Roman" w:eastAsia="方正仿宋_GBK" w:cs="Times New Roman"/>
                <w:kern w:val="0"/>
                <w:sz w:val="20"/>
                <w:szCs w:val="20"/>
                <w:highlight w:val="none"/>
                <w:lang w:eastAsia="zh-CN"/>
              </w:rPr>
              <w:t>规</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1</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《四川省公安厅关于贯彻执行〈金融机构营业场所和金库安全防范设施建设许可实施办法〉的通知》（川公发〔2006〕63号）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金融机构营业场所和金库安全防范设施建设工程验收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《金融机构营业场所和金库安全防范设施建设许可实施办法》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《公安部办公厅关于印发〈深化治安管理</w:t>
            </w:r>
            <w:r>
              <w:rPr>
                <w:rFonts w:hint="default" w:ascii="Times New Roman" w:hAnsi="Times New Roman" w:eastAsia="方正仿宋_GBK" w:cs="Times New Roman"/>
                <w:kern w:val="0"/>
                <w:sz w:val="20"/>
                <w:szCs w:val="20"/>
                <w:highlight w:val="none"/>
                <w:lang w:eastAsia="zh-CN"/>
              </w:rPr>
              <w:t>“放管服”</w:t>
            </w:r>
            <w:r>
              <w:rPr>
                <w:rFonts w:hint="default" w:ascii="Times New Roman" w:hAnsi="Times New Roman" w:eastAsia="方正仿宋_GBK" w:cs="Times New Roman"/>
                <w:kern w:val="0"/>
                <w:sz w:val="20"/>
                <w:szCs w:val="20"/>
                <w:highlight w:val="none"/>
              </w:rPr>
              <w:t>改革优化营商环境便民利民6项措施〉的补充通知》（公治〔2018〕711号）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《四川省公安厅关于</w:t>
            </w:r>
            <w:r>
              <w:rPr>
                <w:rFonts w:hint="default" w:ascii="Times New Roman" w:hAnsi="Times New Roman" w:eastAsia="方正仿宋_GBK" w:cs="Times New Roman"/>
                <w:kern w:val="0"/>
                <w:sz w:val="20"/>
                <w:szCs w:val="20"/>
                <w:highlight w:val="none"/>
                <w:lang w:eastAsia="zh-CN"/>
              </w:rPr>
              <w:t>印发</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关于深化金融机构营业场所和金库安全防范设施建设方案审批及工程验收行政许可改革的实施方案</w:t>
            </w:r>
            <w:r>
              <w:rPr>
                <w:rFonts w:hint="default" w:ascii="Times New Roman" w:hAnsi="Times New Roman" w:eastAsia="方正仿宋_GBK" w:cs="Times New Roman"/>
                <w:kern w:val="0"/>
                <w:sz w:val="20"/>
                <w:szCs w:val="20"/>
                <w:highlight w:val="none"/>
              </w:rPr>
              <w:t>〉的通知》（川公</w:t>
            </w:r>
            <w:r>
              <w:rPr>
                <w:rFonts w:hint="default" w:ascii="Times New Roman" w:hAnsi="Times New Roman" w:eastAsia="方正仿宋_GBK" w:cs="Times New Roman"/>
                <w:kern w:val="0"/>
                <w:sz w:val="20"/>
                <w:szCs w:val="20"/>
                <w:highlight w:val="none"/>
                <w:lang w:eastAsia="zh-CN"/>
              </w:rPr>
              <w:t>规</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1</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《四川省公安厅关于贯彻执行〈金融机构营业场所和金库安全防范设施建设许可实施办法〉的通知》（川公发〔2006〕63号）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《机动车登记工作规范》（公交管〔2022〕75号）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机动车临时通行牌证核发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《机动车登记工作规范》（公交管〔2022〕75号）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机动车检验合格标志核发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《机动车登记工作规范》（公交管〔2022〕75号）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机动车驾驶证核发、审验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《机动车驾驶证申领和使用规定》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Style w:val="49"/>
                <w:rFonts w:hint="default" w:ascii="Times New Roman" w:hAnsi="Times New Roman" w:eastAsia="方正仿宋_GBK" w:cs="Times New Roman"/>
                <w:sz w:val="20"/>
                <w:szCs w:val="20"/>
                <w:highlight w:val="none"/>
              </w:rPr>
              <w:t>《机动车驾驶证业务工作规范》</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校车驾驶资格许可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《校车安全管理条例》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《机动车驾驶证申领和使用规定》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《机动车驾驶证业务工作规范》</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29</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非机动车登记</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《四川省非机动车管理规定》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30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涉路施工交通安全审查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《城市道路管理条例》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《城市道路管理条例》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31</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户口迁移审批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《中华人民共和国户口登记条例》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《中华人民共和国户口登记条例》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32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犬类准养证核发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市公安局西区分局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《中华人民共和国传染病防治法实施办法》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《四川省预防控制狂犬病条例》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《国务院办公厅转发公安部等部门关于进一步加强和改进城市养犬管理工作意见的通知》（国办发〔2019〕19号）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33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社会团体成立、变更、注销登记及修改章程核准</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《社会团体登记管理条例》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《社会团体登记管理条例》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kern w:val="0"/>
                <w:sz w:val="20"/>
                <w:szCs w:val="20"/>
                <w:highlight w:val="none"/>
              </w:rPr>
              <w:t>实行登记管理机关和业务主管单位双重负责管理体制的，由有关业务主管单位实施前置审查。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《社会组织名称管理办法》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2"/>
                <w:szCs w:val="22"/>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《四川省社会组织名称管理办法》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34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民办非企业单位成立、变更、注销登记及修改章程核准</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《民办非企业单位登记管理暂行条例》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《民办非企业单位登记管理暂行条例》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实行登记管理机关和业务主管单位双重负责管理体制的，由有关业务主管单位实施前置审查。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《社会组织名称管理办法》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w:t>
            </w:r>
            <w:r>
              <w:rPr>
                <w:rFonts w:hint="default" w:ascii="Times New Roman" w:hAnsi="Times New Roman" w:eastAsia="方正仿宋_GBK" w:cs="Times New Roman"/>
                <w:kern w:val="0"/>
                <w:sz w:val="20"/>
                <w:szCs w:val="20"/>
                <w:highlight w:val="none"/>
                <w:lang w:eastAsia="zh-CN"/>
              </w:rPr>
              <w:t>四川省社会组织名称管理办法》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35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宗教活动场所法人成立、变更、注销登记</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区民政局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《国家宗教事务局</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民政部关于宗教活动场所办理法人登记事项的通知》（国宗发〔2019〕1号）</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由县级民宗部门实施前置审查。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36</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慈善组织公开募捐资格审批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民政局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《中华人民共和国慈善法》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《慈善组织公开募捐管理办法》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37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殡葬设施建设审批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民政局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政府</w:t>
            </w: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民政局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《殡葬管理条例》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《殡葬管理条例》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《国务院关于深化</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证照分离</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改革进一步激发市场主体发展活力的通知》（国发〔2021〕7号）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《四川省人民政府关于印发四川省推行</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证照分离</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color w:val="auto"/>
                <w:kern w:val="0"/>
                <w:sz w:val="20"/>
                <w:szCs w:val="20"/>
                <w:highlight w:val="none"/>
              </w:rPr>
              <w:t>改革全覆盖进一步激发市场主体发展活力实施方案的通知》（川府发〔2021〕9号）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38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地名命名、更名审批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民政局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民政局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《地名管理条例》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《地名管理条例》</w:t>
            </w:r>
          </w:p>
        </w:tc>
        <w:tc>
          <w:tcPr>
            <w:tcW w:w="720" w:type="pc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39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中介机构从事代理记账业务审批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财政局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财政局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《中华人民共和国会计法》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《代理记账管理办法》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《四川省财政厅关于下放会计代理记账机构管理权限的通知》</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川财会</w:t>
            </w:r>
            <w:r>
              <w:rPr>
                <w:rFonts w:hint="default" w:ascii="Times New Roman" w:hAnsi="Times New Roman" w:eastAsia="方正仿宋_GBK" w:cs="Times New Roman"/>
                <w:kern w:val="0"/>
                <w:sz w:val="20"/>
                <w:szCs w:val="20"/>
                <w:highlight w:val="none"/>
              </w:rPr>
              <w:t>〔201</w:t>
            </w:r>
            <w:r>
              <w:rPr>
                <w:rFonts w:hint="default" w:ascii="Times New Roman" w:hAnsi="Times New Roman" w:eastAsia="方正仿宋_GBK" w:cs="Times New Roman"/>
                <w:kern w:val="0"/>
                <w:sz w:val="20"/>
                <w:szCs w:val="20"/>
                <w:highlight w:val="none"/>
                <w:lang w:val="en-US" w:eastAsia="zh-CN"/>
              </w:rPr>
              <w:t>5</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1</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职业培训学校筹设审批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省级负责中外合作职业培训学校办学许可</w:t>
            </w:r>
            <w:r>
              <w:rPr>
                <w:rFonts w:hint="default" w:ascii="Times New Roman" w:hAnsi="Times New Roman" w:eastAsia="方正仿宋_GBK" w:cs="Times New Roman"/>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b/>
                <w:kern w:val="0"/>
                <w:sz w:val="20"/>
                <w:szCs w:val="20"/>
                <w:highlight w:val="none"/>
              </w:rPr>
            </w:pPr>
            <w:r>
              <w:rPr>
                <w:rFonts w:hint="default" w:ascii="Times New Roman" w:hAnsi="Times New Roman" w:eastAsia="方正仿宋_GBK" w:cs="Times New Roman"/>
                <w:kern w:val="0"/>
                <w:sz w:val="20"/>
                <w:szCs w:val="20"/>
                <w:highlight w:val="none"/>
              </w:rPr>
              <w:t>《中华人民共和国民办教育促进法实施条例》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职业培训学校办学许可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省级负责中外合作职业培训学校办学许可</w:t>
            </w:r>
            <w:r>
              <w:rPr>
                <w:rFonts w:hint="default" w:ascii="Times New Roman" w:hAnsi="Times New Roman" w:eastAsia="方正仿宋_GBK" w:cs="Times New Roman"/>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《中华人民共和国中外合作办学条例》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《中华人民共和国民办教育促进法实施条例》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《四川省人力资源和社会保障厅关于印发〈四川省民办职业培训学校管理办法〉的通知》（川人社办发〔2020〕73号）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人力资源服务许可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《中华人民共和国就业促进法》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网络招聘服务管理规定</w:t>
            </w:r>
            <w:r>
              <w:rPr>
                <w:rFonts w:hint="default" w:ascii="Times New Roman" w:hAnsi="Times New Roman" w:eastAsia="方正仿宋_GBK" w:cs="Times New Roman"/>
                <w:kern w:val="0"/>
                <w:sz w:val="20"/>
                <w:szCs w:val="20"/>
                <w:highlight w:val="none"/>
              </w:rPr>
              <w:t>》</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《人力资源市场暂行条例》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《人力资源</w:t>
            </w:r>
            <w:r>
              <w:rPr>
                <w:rFonts w:hint="default" w:ascii="Times New Roman" w:hAnsi="Times New Roman" w:eastAsia="方正仿宋_GBK" w:cs="Times New Roman"/>
                <w:kern w:val="0"/>
                <w:sz w:val="20"/>
                <w:szCs w:val="20"/>
                <w:highlight w:val="none"/>
                <w:lang w:eastAsia="zh-CN"/>
              </w:rPr>
              <w:t>服务机构管理规定》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四川省人力资源和社会保障厅关于做好人力资源服务行政许可及备案管理有关工作的通知》</w:t>
            </w:r>
            <w:r>
              <w:rPr>
                <w:rFonts w:hint="default" w:ascii="Times New Roman" w:hAnsi="Times New Roman" w:eastAsia="方正仿宋_GBK" w:cs="Times New Roman"/>
                <w:kern w:val="0"/>
                <w:sz w:val="20"/>
                <w:szCs w:val="20"/>
                <w:highlight w:val="none"/>
              </w:rPr>
              <w:t>（川人社</w:t>
            </w:r>
            <w:r>
              <w:rPr>
                <w:rFonts w:hint="default" w:ascii="Times New Roman" w:hAnsi="Times New Roman" w:eastAsia="方正仿宋_GBK" w:cs="Times New Roman"/>
                <w:kern w:val="0"/>
                <w:sz w:val="20"/>
                <w:szCs w:val="20"/>
                <w:highlight w:val="none"/>
                <w:lang w:eastAsia="zh-CN"/>
              </w:rPr>
              <w:t>规</w:t>
            </w:r>
            <w:r>
              <w:rPr>
                <w:rFonts w:hint="default" w:ascii="Times New Roman" w:hAnsi="Times New Roman" w:eastAsia="方正仿宋_GBK" w:cs="Times New Roman"/>
                <w:kern w:val="0"/>
                <w:sz w:val="20"/>
                <w:szCs w:val="20"/>
                <w:highlight w:val="none"/>
              </w:rPr>
              <w:t>〔202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13</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劳务派遣经营许可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《中华人民共和国劳动合同法》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《中华人民共和国劳动合同法》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《中华人民共和国劳动合同法实施条例》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《劳务派遣行政许可实施办法》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pacing w:val="-6"/>
                <w:kern w:val="0"/>
                <w:sz w:val="20"/>
                <w:szCs w:val="20"/>
                <w:highlight w:val="none"/>
              </w:rPr>
              <w:t>《劳务派遣暂行规定》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企业实行不定时工作制和综合计算工时工作制审批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人力资源社会保障局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《中华人民共和国劳动法》</w:t>
            </w:r>
          </w:p>
        </w:tc>
        <w:tc>
          <w:tcPr>
            <w:tcW w:w="1525" w:type="pct"/>
            <w:tcMar>
              <w:top w:w="15" w:type="dxa"/>
              <w:left w:w="15" w:type="dxa"/>
              <w:right w:w="15" w:type="dxa"/>
            </w:tcMar>
            <w:vAlign w:val="center"/>
          </w:tcPr>
          <w:p>
            <w:pP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《关于企业实行不定时工作制和综合计算工时工作制的审批办法》（劳部发〔1994〕503号）</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153" w:type="pct"/>
            <w:vMerge w:val="continue"/>
            <w:tcMar>
              <w:top w:w="15" w:type="dxa"/>
              <w:left w:w="15" w:type="dxa"/>
              <w:right w:w="15" w:type="dxa"/>
            </w:tcMar>
            <w:vAlign w:val="center"/>
          </w:tcPr>
          <w:p>
            <w:pPr>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highlight w:val="none"/>
              </w:rPr>
            </w:pP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《四川省劳动和社会保障厅关于加强用人单位实行特殊工时制度管理有关问题的通知》（川劳社办〔2008〕44号）</w:t>
            </w:r>
          </w:p>
        </w:tc>
        <w:tc>
          <w:tcPr>
            <w:tcW w:w="720"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45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开采矿产资源审批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《中华人民共和国矿产资源法》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《中华人民共和国矿产资源法》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《矿产资源开采登记管理办法》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《中华人民共和国矿产资源法实施细则》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《矿产资源开采登记管理办法》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《自然资源部关于</w:t>
            </w:r>
            <w:r>
              <w:rPr>
                <w:rFonts w:hint="default" w:ascii="Times New Roman" w:hAnsi="Times New Roman" w:eastAsia="方正仿宋_GBK" w:cs="Times New Roman"/>
                <w:kern w:val="0"/>
                <w:sz w:val="20"/>
                <w:szCs w:val="20"/>
                <w:highlight w:val="none"/>
                <w:lang w:eastAsia="zh-CN"/>
              </w:rPr>
              <w:t>深化矿产资源管理改革若干事项的意见</w:t>
            </w:r>
            <w:r>
              <w:rPr>
                <w:rFonts w:hint="default" w:ascii="Times New Roman" w:hAnsi="Times New Roman" w:eastAsia="方正仿宋_GBK" w:cs="Times New Roman"/>
                <w:kern w:val="0"/>
                <w:sz w:val="20"/>
                <w:szCs w:val="20"/>
                <w:highlight w:val="none"/>
              </w:rPr>
              <w:t>》（自然资规〔</w:t>
            </w:r>
            <w:r>
              <w:rPr>
                <w:rFonts w:hint="default" w:ascii="Times New Roman" w:hAnsi="Times New Roman" w:eastAsia="方正仿宋_GBK" w:cs="Times New Roman"/>
                <w:kern w:val="0"/>
                <w:sz w:val="20"/>
                <w:szCs w:val="20"/>
                <w:highlight w:val="none"/>
                <w:lang w:val="en-US" w:eastAsia="zh-CN"/>
              </w:rPr>
              <w:t>2023</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6</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建设项目用地预审与选址意见书核发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《中华人民共和国城乡规划法》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《中华人民共和国城乡规划法》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《中华人民共和国土地管理法》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《中华人民共和国土地管理法》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《中华人民共和国土地管理法实施条例》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《中华人民共和国土地管理法实施条例》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《建设项目用地预审管理办法》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《四川省城乡规划条例》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《自然资源部关于以</w:t>
            </w:r>
            <w:r>
              <w:rPr>
                <w:rFonts w:hint="default" w:ascii="Times New Roman" w:hAnsi="Times New Roman" w:eastAsia="方正仿宋_GBK" w:cs="Times New Roman"/>
                <w:kern w:val="0"/>
                <w:sz w:val="20"/>
                <w:szCs w:val="20"/>
                <w:highlight w:val="none"/>
                <w:lang w:eastAsia="zh-CN"/>
              </w:rPr>
              <w:t>“多规合一”</w:t>
            </w:r>
            <w:r>
              <w:rPr>
                <w:rFonts w:hint="default" w:ascii="Times New Roman" w:hAnsi="Times New Roman" w:eastAsia="方正仿宋_GBK" w:cs="Times New Roman"/>
                <w:kern w:val="0"/>
                <w:sz w:val="20"/>
                <w:szCs w:val="20"/>
                <w:highlight w:val="none"/>
              </w:rPr>
              <w:t>为基础推进规划用地</w:t>
            </w:r>
            <w:r>
              <w:rPr>
                <w:rFonts w:hint="default" w:ascii="Times New Roman" w:hAnsi="Times New Roman" w:eastAsia="方正仿宋_GBK" w:cs="Times New Roman"/>
                <w:kern w:val="0"/>
                <w:sz w:val="20"/>
                <w:szCs w:val="20"/>
                <w:highlight w:val="none"/>
                <w:lang w:eastAsia="zh-CN"/>
              </w:rPr>
              <w:t>“多审合一、多证合一”</w:t>
            </w:r>
            <w:r>
              <w:rPr>
                <w:rFonts w:hint="default" w:ascii="Times New Roman" w:hAnsi="Times New Roman" w:eastAsia="方正仿宋_GBK" w:cs="Times New Roman"/>
                <w:kern w:val="0"/>
                <w:sz w:val="20"/>
                <w:szCs w:val="20"/>
                <w:highlight w:val="none"/>
              </w:rPr>
              <w:t>改革的通知》（自然资</w:t>
            </w:r>
            <w:r>
              <w:rPr>
                <w:rFonts w:hint="default" w:ascii="Times New Roman" w:hAnsi="Times New Roman" w:eastAsia="方正仿宋_GBK" w:cs="Times New Roman"/>
                <w:kern w:val="0"/>
                <w:sz w:val="20"/>
                <w:szCs w:val="20"/>
                <w:highlight w:val="none"/>
                <w:lang w:eastAsia="zh-CN"/>
              </w:rPr>
              <w:t>函</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709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乡（镇）村企业使用集体建设用地审批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《四川省〈中华人民共和国土地管理法〉实施办法》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48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乡（镇）村公共设施、公益事业使用集体建设用地审批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《四川省〈中华人民共和国土地管理法〉实施办法》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49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临时用地审批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《中华人民共和国土地管理法》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《中华人民共和国土地管理法》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《土地复垦条例》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《中华人民共和国土地管理法实施条例》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《中华人民共和国土地管理法实施条例》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lang w:eastAsia="zh-CN"/>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《四川省</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中华人民共和国土地管理法</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 w:eastAsia="zh-CN"/>
              </w:rPr>
              <w:t>实施</w:t>
            </w:r>
            <w:r>
              <w:rPr>
                <w:rFonts w:hint="eastAsia" w:ascii="Times New Roman" w:hAnsi="Times New Roman" w:eastAsia="方正仿宋_GBK" w:cs="Times New Roman"/>
                <w:color w:val="auto"/>
                <w:kern w:val="0"/>
                <w:sz w:val="20"/>
                <w:szCs w:val="20"/>
                <w:highlight w:val="none"/>
                <w:lang w:val="en" w:eastAsia="zh-CN"/>
              </w:rPr>
              <w:t>办</w:t>
            </w:r>
            <w:r>
              <w:rPr>
                <w:rFonts w:hint="default" w:ascii="Times New Roman" w:hAnsi="Times New Roman" w:eastAsia="方正仿宋_GBK" w:cs="Times New Roman"/>
                <w:color w:val="auto"/>
                <w:kern w:val="0"/>
                <w:sz w:val="20"/>
                <w:szCs w:val="20"/>
                <w:highlight w:val="none"/>
                <w:lang w:val="en" w:eastAsia="zh-CN"/>
              </w:rPr>
              <w:t>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val="en" w:eastAsia="zh-CN"/>
              </w:rPr>
            </w:pPr>
            <w:r>
              <w:rPr>
                <w:rFonts w:hint="default" w:ascii="Times New Roman" w:hAnsi="Times New Roman" w:eastAsia="方正仿宋_GBK" w:cs="Times New Roman"/>
                <w:color w:val="auto"/>
                <w:kern w:val="0"/>
                <w:sz w:val="20"/>
                <w:szCs w:val="20"/>
                <w:highlight w:val="none"/>
                <w:lang w:eastAsia="zh-CN"/>
              </w:rPr>
              <w:t>《四川省</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中华人民共和国土地管理法</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 w:eastAsia="zh-CN"/>
              </w:rPr>
              <w:t>实施</w:t>
            </w:r>
            <w:r>
              <w:rPr>
                <w:rFonts w:hint="eastAsia" w:ascii="Times New Roman" w:hAnsi="Times New Roman" w:eastAsia="方正仿宋_GBK" w:cs="Times New Roman"/>
                <w:color w:val="auto"/>
                <w:kern w:val="0"/>
                <w:sz w:val="20"/>
                <w:szCs w:val="20"/>
                <w:highlight w:val="none"/>
                <w:lang w:val="en" w:eastAsia="zh-CN"/>
              </w:rPr>
              <w:t>办</w:t>
            </w:r>
            <w:r>
              <w:rPr>
                <w:rFonts w:hint="default" w:ascii="Times New Roman" w:hAnsi="Times New Roman" w:eastAsia="方正仿宋_GBK" w:cs="Times New Roman"/>
                <w:color w:val="auto"/>
                <w:kern w:val="0"/>
                <w:sz w:val="20"/>
                <w:szCs w:val="20"/>
                <w:highlight w:val="none"/>
                <w:lang w:val="en" w:eastAsia="zh-CN"/>
              </w:rPr>
              <w:t>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《自然资源部关于规范临时用地管理的通知》（自然资规〔2021〕2号）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eastAsia="zh-CN"/>
              </w:rPr>
              <w:t>《自然资源部办公厅关于加强临时用地监管有关工作的通知》（自然资办函</w:t>
            </w:r>
            <w:r>
              <w:rPr>
                <w:rFonts w:hint="default" w:ascii="Times New Roman" w:hAnsi="Times New Roman" w:eastAsia="方正仿宋_GBK" w:cs="Times New Roman"/>
                <w:color w:val="auto"/>
                <w:kern w:val="0"/>
                <w:sz w:val="20"/>
                <w:szCs w:val="20"/>
                <w:highlight w:val="none"/>
              </w:rPr>
              <w:t>〔2</w:t>
            </w:r>
            <w:r>
              <w:rPr>
                <w:rFonts w:hint="default" w:ascii="Times New Roman" w:hAnsi="Times New Roman" w:eastAsia="方正仿宋_GBK" w:cs="Times New Roman"/>
                <w:color w:val="auto"/>
                <w:kern w:val="0"/>
                <w:sz w:val="20"/>
                <w:szCs w:val="20"/>
                <w:highlight w:val="none"/>
                <w:lang w:val="en-US" w:eastAsia="zh-CN"/>
              </w:rPr>
              <w:t>023</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US" w:eastAsia="zh-CN"/>
              </w:rPr>
              <w:t>1280</w:t>
            </w:r>
            <w:r>
              <w:rPr>
                <w:rFonts w:hint="default" w:ascii="Times New Roman" w:hAnsi="Times New Roman" w:eastAsia="方正仿宋_GBK" w:cs="Times New Roman"/>
                <w:color w:val="auto"/>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0070C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《自然资源部办公厅关于进一步做好基础设施建设使用临时用地保障工作的通知》（自然资办函</w:t>
            </w:r>
            <w:r>
              <w:rPr>
                <w:rFonts w:hint="default" w:ascii="Times New Roman" w:hAnsi="Times New Roman" w:eastAsia="方正仿宋_GBK" w:cs="Times New Roman"/>
                <w:color w:val="auto"/>
                <w:kern w:val="0"/>
                <w:sz w:val="20"/>
                <w:szCs w:val="20"/>
                <w:highlight w:val="none"/>
              </w:rPr>
              <w:t>〔202</w:t>
            </w:r>
            <w:r>
              <w:rPr>
                <w:rFonts w:hint="default" w:ascii="Times New Roman" w:hAnsi="Times New Roman" w:eastAsia="方正仿宋_GBK" w:cs="Times New Roman"/>
                <w:color w:val="auto"/>
                <w:kern w:val="0"/>
                <w:sz w:val="20"/>
                <w:szCs w:val="20"/>
                <w:highlight w:val="none"/>
                <w:lang w:val="en-US" w:eastAsia="zh-CN"/>
              </w:rPr>
              <w:t>4</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US" w:eastAsia="zh-CN"/>
              </w:rPr>
              <w:t>2159</w:t>
            </w:r>
            <w:r>
              <w:rPr>
                <w:rFonts w:hint="default" w:ascii="Times New Roman" w:hAnsi="Times New Roman" w:eastAsia="方正仿宋_GBK" w:cs="Times New Roman"/>
                <w:color w:val="auto"/>
                <w:kern w:val="0"/>
                <w:sz w:val="20"/>
                <w:szCs w:val="20"/>
                <w:highlight w:val="none"/>
              </w:rPr>
              <w:t>号</w:t>
            </w:r>
            <w:r>
              <w:rPr>
                <w:rFonts w:hint="default" w:ascii="Times New Roman" w:hAnsi="Times New Roman" w:eastAsia="方正仿宋_GBK" w:cs="Times New Roman"/>
                <w:color w:val="auto"/>
                <w:kern w:val="0"/>
                <w:sz w:val="20"/>
                <w:szCs w:val="20"/>
                <w:highlight w:val="none"/>
                <w:lang w:eastAsia="zh-CN"/>
              </w:rPr>
              <w:t>）</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0070C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auto"/>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auto"/>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《四川省自然资源厅关于进一步明确临时用地管理有关事项的通知》（川自然资规〔2022〕3号）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50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建设用地、临时建设用地规划许可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市自然资源和规划局西区分局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《四川省城乡规划条例》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《自然资源部关于以</w:t>
            </w:r>
            <w:r>
              <w:rPr>
                <w:rFonts w:hint="default" w:ascii="Times New Roman" w:hAnsi="Times New Roman" w:eastAsia="方正仿宋_GBK" w:cs="Times New Roman"/>
                <w:kern w:val="0"/>
                <w:sz w:val="20"/>
                <w:szCs w:val="20"/>
                <w:highlight w:val="none"/>
                <w:lang w:eastAsia="zh-CN"/>
              </w:rPr>
              <w:t>“多规合一”</w:t>
            </w:r>
            <w:r>
              <w:rPr>
                <w:rFonts w:hint="default" w:ascii="Times New Roman" w:hAnsi="Times New Roman" w:eastAsia="方正仿宋_GBK" w:cs="Times New Roman"/>
                <w:kern w:val="0"/>
                <w:sz w:val="20"/>
                <w:szCs w:val="20"/>
                <w:highlight w:val="none"/>
              </w:rPr>
              <w:t>为基础推进规划用地</w:t>
            </w:r>
            <w:r>
              <w:rPr>
                <w:rFonts w:hint="default" w:ascii="Times New Roman" w:hAnsi="Times New Roman" w:eastAsia="方正仿宋_GBK" w:cs="Times New Roman"/>
                <w:kern w:val="0"/>
                <w:sz w:val="20"/>
                <w:szCs w:val="20"/>
                <w:highlight w:val="none"/>
                <w:lang w:eastAsia="zh-CN"/>
              </w:rPr>
              <w:t>“多审合一、多证合一”</w:t>
            </w:r>
            <w:r>
              <w:rPr>
                <w:rFonts w:hint="default" w:ascii="Times New Roman" w:hAnsi="Times New Roman" w:eastAsia="方正仿宋_GBK" w:cs="Times New Roman"/>
                <w:kern w:val="0"/>
                <w:sz w:val="20"/>
                <w:szCs w:val="20"/>
                <w:highlight w:val="none"/>
              </w:rPr>
              <w:t>改革的通知》（自然</w:t>
            </w:r>
            <w:r>
              <w:rPr>
                <w:rFonts w:hint="default" w:ascii="Times New Roman" w:hAnsi="Times New Roman" w:eastAsia="方正仿宋_GBK" w:cs="Times New Roman"/>
                <w:kern w:val="0"/>
                <w:sz w:val="20"/>
                <w:szCs w:val="20"/>
                <w:highlight w:val="none"/>
                <w:lang w:eastAsia="zh-CN"/>
              </w:rPr>
              <w:t>资函</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709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51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一般建设项目环境影响评价审批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《中华人民共和国环境保护法》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《中华人民共和国环境影响评价法》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《中华人民共和国环境影响评价法》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《中华人民共和国水污染防治法》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《中华人民共和国大气污染防治法》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《中华人民共和国土壤污染防治法》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《建设项目环境保护管理条例》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《中华人民共和国固体废物污染环境防治法》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《中华人民共和国噪声污染防治法》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《建设项目环境保护管理条例》</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52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核与辐射类建设项目环境影响评价审批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《中华人民共和国环境保护法》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《中华人民共和国环境影响评价法》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《中华人民共和国环境影响评价法》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《中华人民共和国放射性污染防治法》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《建设项目环境保护管理条例》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53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江河、湖泊新建、改建或者扩大排污口审批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《中华人民共和国水污染防治法》</w:t>
            </w:r>
          </w:p>
        </w:tc>
        <w:tc>
          <w:tcPr>
            <w:tcW w:w="1525"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《入河排污口监督管理办法》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54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危险废物经营许可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《中华人民共和国固体废物污染环境防治法》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《中华人民共和国固体废物污染环境防治法》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《危险废物经营许可证管理办法》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《危险废物经营许可证管理办法》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55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放射性核素排放许可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生态环境局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《中华人民共和国放射性污染防治法》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《中华人民共和国放射性污染防治法》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56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建筑工程施工许可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《中华人民共和国建筑法》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《中华人民共和国建筑法》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《建设工程质量管理条例》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《建筑工程施工许可管理办法》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57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关闭、闲置、拆除城市环境卫生设施许可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区综合执法局会同</w:t>
            </w:r>
            <w:r>
              <w:rPr>
                <w:rFonts w:hint="default" w:ascii="Times New Roman" w:hAnsi="Times New Roman" w:eastAsia="方正仿宋_GBK" w:cs="Times New Roman"/>
                <w:kern w:val="0"/>
                <w:sz w:val="20"/>
                <w:szCs w:val="20"/>
                <w:highlight w:val="none"/>
                <w:lang w:eastAsia="zh-CN"/>
              </w:rPr>
              <w:t>西</w:t>
            </w:r>
            <w:r>
              <w:rPr>
                <w:rFonts w:hint="default" w:ascii="Times New Roman" w:hAnsi="Times New Roman" w:eastAsia="方正仿宋_GBK" w:cs="Times New Roman"/>
                <w:kern w:val="0"/>
                <w:sz w:val="20"/>
                <w:szCs w:val="20"/>
                <w:highlight w:val="none"/>
              </w:rPr>
              <w:t>区生态环境局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《中华人民共和国固体废物污染环境防治法》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《中华人民共和国固体废物污染环境防治法》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《城市生活垃圾管理办法》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58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拆除环境卫生设施许可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《城市生活垃圾管理办法》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59</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从事城市生活垃圾经营性清扫、收集、运输、处理服务审批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《城市生活垃圾管理办法》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60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城市建筑垃圾处置核准</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《建设部关于纳入国务院决定的十五项行政许可的条件的规定》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《城市建筑垃圾管理规定》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61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城镇污水排入排水管网许可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《城镇排水与污水处理条例》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《城镇排水与污水处理条例》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00B0F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00B0F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00B0F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00B0F0"/>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《四川省城市排水</w:t>
            </w:r>
            <w:r>
              <w:rPr>
                <w:rFonts w:hint="default" w:ascii="Times New Roman" w:hAnsi="Times New Roman" w:eastAsia="方正仿宋_GBK" w:cs="Times New Roman"/>
                <w:color w:val="auto"/>
                <w:kern w:val="0"/>
                <w:sz w:val="20"/>
                <w:szCs w:val="20"/>
                <w:highlight w:val="none"/>
                <w:lang w:eastAsia="zh-CN"/>
              </w:rPr>
              <w:t>与污水处理</w:t>
            </w:r>
            <w:r>
              <w:rPr>
                <w:rFonts w:hint="default" w:ascii="Times New Roman" w:hAnsi="Times New Roman" w:eastAsia="方正仿宋_GBK" w:cs="Times New Roman"/>
                <w:color w:val="auto"/>
                <w:kern w:val="0"/>
                <w:sz w:val="20"/>
                <w:szCs w:val="20"/>
                <w:highlight w:val="none"/>
              </w:rPr>
              <w:t>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62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拆除、改动、迁移城市公共供水设施审核</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《城市供水条例》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《城市供水条例》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《四川省城市供水条例》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63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拆除、改动城镇排水与污水处理设施审核</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《城镇排水与污水处理条例》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《城镇排水与污水处理条例》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《四川省城镇排水与污水处理条例》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64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由于工程施工、设备维修等原因确需停止供水的审批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auto"/>
                <w:kern w:val="0"/>
                <w:sz w:val="20"/>
                <w:szCs w:val="20"/>
                <w:highlight w:val="none"/>
                <w:lang w:eastAsia="zh-CN"/>
              </w:rPr>
              <w:t>区</w:t>
            </w:r>
            <w:r>
              <w:rPr>
                <w:rFonts w:hint="default" w:ascii="Times New Roman" w:hAnsi="Times New Roman" w:eastAsia="方正仿宋_GBK" w:cs="Times New Roman"/>
                <w:color w:val="auto"/>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《城市供水条例》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《城市供水条例》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《四川省城市供水条例》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65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燃气经营许可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区综合执法局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《城镇燃气管理条例》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《城镇燃气管理条例》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省级负责跨市（州）行政区域的燃气经营许可。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《四川省燃气管理条例》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66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燃气经营者改动市政燃气设施审批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《城镇燃气管理条例》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《城镇燃气管理条例》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《国务院关于第六批取消和调整行政审批项目的决定》（国发〔2012〕52号）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《四川省燃气管理条例》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67</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市政设施建设类审批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《城市道路管理条例》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《城市道路管理条例》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68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特殊车辆在城市道路上行驶审批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《城市道路管理条例》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《城市桥梁检测和养护维修管理办法》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69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改变绿化规划、绿化用地的使用性质审批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《城市绿化条例》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《四川省城市园林绿化条例》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70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工程建设涉及城市绿地、树木审批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w:t>
            </w:r>
            <w:r>
              <w:rPr>
                <w:rFonts w:hint="default" w:ascii="Times New Roman" w:hAnsi="Times New Roman" w:eastAsia="方正仿宋_GBK" w:cs="Times New Roman"/>
                <w:kern w:val="0"/>
                <w:sz w:val="20"/>
                <w:szCs w:val="20"/>
                <w:highlight w:val="none"/>
              </w:rPr>
              <w:t>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《城市绿化条例》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《四川省城市园林绿化条例》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《四川省古树名木保护条例》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71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建设工程消防设计审查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《建设工程消防设计审查验收管理暂行规定》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《四川省消防条例》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《四川省建设工程消防设计审查验收工作实施细则》</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建设工程消防验收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p>
            <w:pPr>
              <w:pStyle w:val="15"/>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《建设工程消防设计审查验收管理暂行规定》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《四川省消防条例》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《四川省建设工程消防设计审查验收工作实施细则》</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在村庄、集镇规划区内公共场所修建临时建筑等设施审批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格里坪镇人民政府</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《村庄和集镇规划建设管理条例》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《村庄和集镇规划建设管理条例》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《四川省村镇规划建设管理条例》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设置大型户外广告及在城市建筑物、设施上悬挂、张贴宣传品审批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区综合执法局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区综合执法局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《四川省城乡环境综合治理条例》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临时性建筑物搭建、堆放物料、占道施工审批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区综合执法局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区综合执法局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《城市市容和环境卫生管理条例》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建筑起重机械使用登记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住房城乡建设局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《中华人民共和国特种设备安全法》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《中华人民共和国特种设备安全法》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《建设工程安全生产管理条例》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《建设工程安全生产管理条例》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《建筑起重机械安全监督管理规定》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公路建设项目设计文件审批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《建设工程勘察设计管理条例》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《公路工程设计变更管理办法》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《公路建设市场管理办法》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《建设工程质量管理条例》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《农村公路建设管理办法》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《四川省建设工程勘察设计管理条例》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《建设工程勘察设计管理条例》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四川省农村公路建设管理办法</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川交规</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2022</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公路建设项目施工许可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《国务院关于取消和调整一批行政审批项目等事项的决定》（国发〔2014〕50号）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《公路建设市场管理办法》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四川省农村公路建设管理办法</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川交规</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2022</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2</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79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公路建设项目竣工验收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《建设工程质量管理条例》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《公路建设监督管理办法》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《收费公路管理条例》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《公路工程竣（交）工验收办法》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《农村公路建设管理办法》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《四川省普通国省干线公路建设管理办法》</w:t>
            </w:r>
            <w:r>
              <w:rPr>
                <w:rFonts w:hint="default" w:ascii="Times New Roman" w:hAnsi="Times New Roman" w:eastAsia="方正仿宋_GBK" w:cs="Times New Roman"/>
                <w:sz w:val="20"/>
                <w:szCs w:val="20"/>
                <w:highlight w:val="none"/>
                <w:lang w:val="en-US" w:eastAsia="zh-CN"/>
              </w:rPr>
              <w:t xml:space="preserve"> </w:t>
            </w:r>
            <w:r>
              <w:rPr>
                <w:rFonts w:hint="default" w:ascii="Times New Roman" w:hAnsi="Times New Roman" w:eastAsia="方正仿宋_GBK" w:cs="Times New Roman"/>
                <w:sz w:val="20"/>
                <w:szCs w:val="20"/>
                <w:highlight w:val="none"/>
              </w:rPr>
              <w:t>（川交规〔2023〕2号）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《四川省农村公路建设管理办法》</w:t>
            </w:r>
            <w:r>
              <w:rPr>
                <w:rFonts w:hint="default" w:ascii="Times New Roman" w:hAnsi="Times New Roman" w:eastAsia="方正仿宋_GBK" w:cs="Times New Roman"/>
                <w:sz w:val="20"/>
                <w:szCs w:val="20"/>
                <w:highlight w:val="none"/>
                <w:lang w:val="en-US" w:eastAsia="zh-CN"/>
              </w:rPr>
              <w:t xml:space="preserve"> </w:t>
            </w:r>
            <w:r>
              <w:rPr>
                <w:rFonts w:hint="default" w:ascii="Times New Roman" w:hAnsi="Times New Roman" w:eastAsia="方正仿宋_GBK" w:cs="Times New Roman"/>
                <w:sz w:val="20"/>
                <w:szCs w:val="20"/>
                <w:highlight w:val="none"/>
              </w:rPr>
              <w:t>（川交规〔2022〕2号）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80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公路超限运输许可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《超限运输车辆行驶公路管理规定》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81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涉路施工许可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《路政管理规定》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《四川省高速公路条例》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《四川省人民政府关于</w:t>
            </w:r>
            <w:r>
              <w:rPr>
                <w:rFonts w:hint="default" w:ascii="Times New Roman" w:hAnsi="Times New Roman" w:eastAsia="方正仿宋_GBK" w:cs="Times New Roman"/>
                <w:kern w:val="0"/>
                <w:sz w:val="20"/>
                <w:szCs w:val="20"/>
                <w:highlight w:val="none"/>
                <w:lang w:eastAsia="zh-CN"/>
              </w:rPr>
              <w:t>进一步促进普通国省道建管养运协调发展的意见</w:t>
            </w:r>
            <w:r>
              <w:rPr>
                <w:rFonts w:hint="default" w:ascii="Times New Roman" w:hAnsi="Times New Roman" w:eastAsia="方正仿宋_GBK" w:cs="Times New Roman"/>
                <w:kern w:val="0"/>
                <w:sz w:val="20"/>
                <w:szCs w:val="20"/>
                <w:highlight w:val="none"/>
              </w:rPr>
              <w:t>》（川</w:t>
            </w:r>
            <w:r>
              <w:rPr>
                <w:rFonts w:hint="default" w:ascii="Times New Roman" w:hAnsi="Times New Roman" w:eastAsia="方正仿宋_GBK" w:cs="Times New Roman"/>
                <w:kern w:val="0"/>
                <w:sz w:val="20"/>
                <w:szCs w:val="20"/>
                <w:highlight w:val="none"/>
                <w:lang w:eastAsia="zh-CN"/>
              </w:rPr>
              <w:t>办</w:t>
            </w:r>
            <w:r>
              <w:rPr>
                <w:rFonts w:hint="default" w:ascii="Times New Roman" w:hAnsi="Times New Roman" w:eastAsia="方正仿宋_GBK" w:cs="Times New Roman"/>
                <w:kern w:val="0"/>
                <w:sz w:val="20"/>
                <w:szCs w:val="20"/>
                <w:highlight w:val="none"/>
              </w:rPr>
              <w:t>发〔201</w:t>
            </w:r>
            <w:r>
              <w:rPr>
                <w:rFonts w:hint="default" w:ascii="Times New Roman" w:hAnsi="Times New Roman" w:eastAsia="方正仿宋_GBK" w:cs="Times New Roman"/>
                <w:kern w:val="0"/>
                <w:sz w:val="20"/>
                <w:szCs w:val="20"/>
                <w:highlight w:val="none"/>
                <w:lang w:val="en-US" w:eastAsia="zh-CN"/>
              </w:rPr>
              <w:t>6</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54</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《四川省高速公路养护工程管理办法》（川交函﹝2019﹞353号）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更新采伐护路林审批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《公路安全保护条例》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《路政管理规定》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《四川省人民政府关于</w:t>
            </w:r>
            <w:r>
              <w:rPr>
                <w:rFonts w:hint="default" w:ascii="Times New Roman" w:hAnsi="Times New Roman" w:eastAsia="方正仿宋_GBK" w:cs="Times New Roman"/>
                <w:kern w:val="0"/>
                <w:sz w:val="20"/>
                <w:szCs w:val="20"/>
                <w:highlight w:val="none"/>
                <w:lang w:eastAsia="zh-CN"/>
              </w:rPr>
              <w:t>进一步促进普通国省道建管养运协调发展的意见</w:t>
            </w:r>
            <w:r>
              <w:rPr>
                <w:rFonts w:hint="default" w:ascii="Times New Roman" w:hAnsi="Times New Roman" w:eastAsia="方正仿宋_GBK" w:cs="Times New Roman"/>
                <w:kern w:val="0"/>
                <w:sz w:val="20"/>
                <w:szCs w:val="20"/>
                <w:highlight w:val="none"/>
              </w:rPr>
              <w:t>》（川</w:t>
            </w:r>
            <w:r>
              <w:rPr>
                <w:rFonts w:hint="default" w:ascii="Times New Roman" w:hAnsi="Times New Roman" w:eastAsia="方正仿宋_GBK" w:cs="Times New Roman"/>
                <w:kern w:val="0"/>
                <w:sz w:val="20"/>
                <w:szCs w:val="20"/>
                <w:highlight w:val="none"/>
                <w:lang w:eastAsia="zh-CN"/>
              </w:rPr>
              <w:t>办</w:t>
            </w:r>
            <w:r>
              <w:rPr>
                <w:rFonts w:hint="default" w:ascii="Times New Roman" w:hAnsi="Times New Roman" w:eastAsia="方正仿宋_GBK" w:cs="Times New Roman"/>
                <w:kern w:val="0"/>
                <w:sz w:val="20"/>
                <w:szCs w:val="20"/>
                <w:highlight w:val="none"/>
              </w:rPr>
              <w:t>发〔201</w:t>
            </w:r>
            <w:r>
              <w:rPr>
                <w:rFonts w:hint="default" w:ascii="Times New Roman" w:hAnsi="Times New Roman" w:eastAsia="方正仿宋_GBK" w:cs="Times New Roman"/>
                <w:kern w:val="0"/>
                <w:sz w:val="20"/>
                <w:szCs w:val="20"/>
                <w:highlight w:val="none"/>
                <w:lang w:val="en-US" w:eastAsia="zh-CN"/>
              </w:rPr>
              <w:t>6</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54</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83</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道路旅客运输经营许可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《中华人民共和国道路运输条例》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《道路旅客运输及客运站管理规定》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道路旅客运输站经营许可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《中华人民共和国道路运输条例》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《道路旅客运输及客运站管理规定》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道路货物运输经营许可（除使用4500千克及以下普通货运车辆从事普通货运经营外）</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《中华人民共和国道路运输条例》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《道路货物运输及站场管理规定》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出租汽车经营许可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《巡游出租汽车经营服务管理规定》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《网络预约出租汽车经营服务管理暂行办法》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出租汽车车辆运营证核发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《巡游出租汽车经营服务管理规定》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《网络预约出租汽车经营服务管理暂行办法》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水运工程建设项目竣工验收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《中华人民共和国港口法》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《国务院关于取消和调整一批行政审批项目等事项的决定》（国发﹝2014﹞27号）</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航道工程根据项目立项核准层级申请竣工验收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《中华人民共和国航道法》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《港口工程建设管理规定》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《中华人民共和国航道管理条例》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《航道工程建设管理规定》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《四川省交通运输厅关于转发〈航道工程建设管理规定〉的通知》（川交函〔2020〕100号）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w:t>
            </w:r>
            <w:r>
              <w:rPr>
                <w:rFonts w:hint="default" w:ascii="Times New Roman" w:hAnsi="Times New Roman" w:eastAsia="方正仿宋_GBK" w:cs="Times New Roman"/>
                <w:color w:val="auto"/>
                <w:kern w:val="0"/>
                <w:sz w:val="20"/>
                <w:szCs w:val="20"/>
                <w:highlight w:val="none"/>
              </w:rPr>
              <w:t>省交通运输厅关于印发〈</w:t>
            </w:r>
            <w:r>
              <w:rPr>
                <w:rFonts w:hint="default" w:ascii="Times New Roman" w:hAnsi="Times New Roman" w:eastAsia="方正仿宋_GBK" w:cs="Times New Roman"/>
                <w:color w:val="auto"/>
                <w:kern w:val="0"/>
                <w:sz w:val="20"/>
                <w:szCs w:val="20"/>
                <w:highlight w:val="none"/>
                <w:lang w:eastAsia="zh-CN"/>
              </w:rPr>
              <w:t>四川省重点水运工程建设管理办法</w:t>
            </w:r>
            <w:r>
              <w:rPr>
                <w:rFonts w:hint="default" w:ascii="Times New Roman" w:hAnsi="Times New Roman" w:eastAsia="方正仿宋_GBK" w:cs="Times New Roman"/>
                <w:color w:val="auto"/>
                <w:kern w:val="0"/>
                <w:sz w:val="20"/>
                <w:szCs w:val="20"/>
                <w:highlight w:val="none"/>
              </w:rPr>
              <w:t>〉的通知》（川</w:t>
            </w:r>
            <w:r>
              <w:rPr>
                <w:rFonts w:hint="default" w:ascii="Times New Roman" w:hAnsi="Times New Roman" w:eastAsia="方正仿宋_GBK" w:cs="Times New Roman"/>
                <w:kern w:val="0"/>
                <w:sz w:val="20"/>
                <w:szCs w:val="20"/>
                <w:highlight w:val="none"/>
              </w:rPr>
              <w:t>交规〔2023〕4号）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89</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港口内进行危险货物的装卸、过驳作业许可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《中华人民共和国港口法》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《港口危险货物安全管理规定》</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在内河通航水域载运、拖带超重、超长、超高、超宽、半潜物体或者拖放竹、木等物体许可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负责长江干线以外的水域。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《中华人民共和国海事行政许可条件规定》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《交通运输部办公厅关于全面推行直属海事系统权责清单制度的通知》（交办海〔2018〕19号）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91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船舶进行散装液体污染危害性货物或者危险货物过驳作业许可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《中华人民共和国水污染防治法》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负责长江干线以外的水域。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《交通运输部办公厅关于全面推行直属海事系统权责清单制度的通知》（交办海〔2018〕19号）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船舶载运污染危害性货物或者危险货物进出港口许可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负责长江干线以外的水域。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《交通运输部办公厅关于全面推行直属海事系统权责清单制度的通知》（交办海〔2018〕19号）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海域或者内河通航水域、岸线施工作业许可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负责长江干线以外的水域。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《水上水下作业和活动通航安全管理规定》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设置或者撤销内河渡口审批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《中华人民共和国内河交通安全管理条例》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水利基建项目初步设计文件审批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《政府投资条例》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53" w:type="pct"/>
            <w:vMerge w:val="continue"/>
            <w:tcMar>
              <w:top w:w="15" w:type="dxa"/>
              <w:left w:w="15" w:type="dxa"/>
              <w:right w:w="15" w:type="dxa"/>
            </w:tcMar>
            <w:vAlign w:val="center"/>
          </w:tcPr>
          <w:p>
            <w:pPr>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《水利工程建设项目管理规定（试行）》</w:t>
            </w:r>
          </w:p>
        </w:tc>
        <w:tc>
          <w:tcPr>
            <w:tcW w:w="720" w:type="pct"/>
            <w:vMerge w:val="continue"/>
            <w:tcMar>
              <w:top w:w="15" w:type="dxa"/>
              <w:left w:w="15" w:type="dxa"/>
              <w:right w:w="15" w:type="dxa"/>
            </w:tcMar>
            <w:vAlign w:val="center"/>
          </w:tcPr>
          <w:p>
            <w:pPr>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《水利工程建设程序管理暂行规定》（水建〔1998〕16号）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《水利水电工程初步设计报告编制规程》（标准编号SL/T619-2021）</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《四川省水利工程管理条例》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取水许可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《取水许可和水资源费征收管理条例》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《取水许可和水资源费征收管理条例》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《取水许可管理办法》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《建设项目水资源论证管理办法》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《四川省水资源条例》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《四川省取水许可和水资源费征收管理办法》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洪水影响评价类审批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《中华人民共和国防洪法》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《中华人民共和国防洪法》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《国务院关于印发清理规范投资项目报建审批事项实施方案的通知》（国发〔2016〕29号）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《水文监测环境和设施保护办法》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《水文站网管理办法》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《中华人民共和国水文条例》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《水工程建设规划同意书制度管理办法（试行）》</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《水利部关于印发〈水利部简化整合投资项目涉水行政审批实施办法（试行）〉的通知》（水规计〔2016〕22号）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98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河道管理范围内特定活动审批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《中华人民共和国防洪法》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99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河道采砂许可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《中华人民共和国长江保护法》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《中华人民共和国长江保护法》</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《长江河道采砂管理条例》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《长江河道采砂管理条例》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《四川省〈中华人民共和国水法〉实施办法》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《四川省河道采砂管理条例》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生产建设项目水土保持方案审批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《中华人民共和国水土保持法》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《中华人民共和国水土保持法》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《生产建设项目水土保持方案管理办法</w:t>
            </w:r>
            <w:r>
              <w:rPr>
                <w:rFonts w:hint="default" w:ascii="Times New Roman" w:hAnsi="Times New Roman" w:eastAsia="方正仿宋_GBK" w:cs="Times New Roman"/>
                <w:kern w:val="0"/>
                <w:sz w:val="20"/>
                <w:szCs w:val="20"/>
                <w:highlight w:val="none"/>
                <w:lang w:eastAsia="zh-CN"/>
              </w:rPr>
              <w:t>》</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《四川省〈中华人民共和国水土保持法〉实施办法》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农村集体经济组织修建水库审批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《政府投资条例》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《水行政许可实施办法》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《水利工程建设项目管理规定（试行）》</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《水利工程建设程序管理暂行规定》</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《水利水电工程初步设计报告编制规程》（标准编号 SL/T619-2021）</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《国家发展改革委关于下放政府出资水利项目审批事项的通知》（发改农经〔2017〕2296号）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城市建设填堵水域、废除围堤审批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《中华人民共和国防洪法》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《中华人民共和国水法》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《四川省〈中华人民共和国防洪法〉实施办法》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占用农业灌溉水源、灌排工程设施审批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《四川省水利工程管理条例》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《四川省水利厅关于公路、铁路、机场等基础设施建设与水利工程交叉跨（穿）越或迁改建设管理的意见》（川水函〔2018〕251号）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利用堤顶、戗台兼做公路审批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坝顶兼做公路审批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《水库大坝安全管理条例》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《中华人民共和国河道管理条例》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《四川省水利工程管理条例》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《四川省水库大坝安全管理办法》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大坝管理和保护范围内修建码头、鱼塘许可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水利局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《水库大坝安全管理条例》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《水库大坝安全管理条例》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《四川省水库大坝安全管理办法》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农药经营许可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《农药管理条例》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《农药经营许可管理办法》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《四川省农药管理条例》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兽药经营许可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《兽药管理条例》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《兽药管理条例》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《兽药经营质量管理规范》</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《兽用生物制品经营管理办法》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w:t>
            </w:r>
            <w:r>
              <w:rPr>
                <w:rFonts w:hint="default" w:ascii="Times New Roman" w:hAnsi="Times New Roman" w:eastAsia="方正仿宋_GBK" w:cs="Times New Roman"/>
                <w:kern w:val="0"/>
                <w:sz w:val="20"/>
                <w:szCs w:val="20"/>
                <w:highlight w:val="none"/>
                <w:lang w:val="en-US" w:eastAsia="zh-CN"/>
              </w:rPr>
              <w:t>省兽药经营质量管理规范实施</w:t>
            </w:r>
            <w:r>
              <w:rPr>
                <w:rFonts w:hint="eastAsia" w:ascii="Times New Roman" w:hAnsi="Times New Roman" w:eastAsia="方正仿宋_GBK" w:cs="Times New Roman"/>
                <w:kern w:val="0"/>
                <w:sz w:val="20"/>
                <w:szCs w:val="20"/>
                <w:highlight w:val="none"/>
                <w:lang w:val="en-US" w:eastAsia="zh-CN"/>
              </w:rPr>
              <w:t>办</w:t>
            </w:r>
            <w:r>
              <w:rPr>
                <w:rFonts w:hint="default" w:ascii="Times New Roman" w:hAnsi="Times New Roman" w:eastAsia="方正仿宋_GBK" w:cs="Times New Roman"/>
                <w:kern w:val="0"/>
                <w:sz w:val="20"/>
                <w:szCs w:val="20"/>
                <w:highlight w:val="none"/>
                <w:lang w:val="en-US" w:eastAsia="zh-CN"/>
              </w:rPr>
              <w:t>法</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lang w:eastAsia="zh-CN"/>
              </w:rPr>
              <w:t>（川农规</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〕4号</w:t>
            </w:r>
            <w:r>
              <w:rPr>
                <w:rFonts w:hint="default" w:ascii="Times New Roman" w:hAnsi="Times New Roman" w:eastAsia="方正仿宋_GBK" w:cs="Times New Roman"/>
                <w:kern w:val="0"/>
                <w:sz w:val="20"/>
                <w:szCs w:val="20"/>
                <w:highlight w:val="none"/>
                <w:lang w:eastAsia="zh-CN"/>
              </w:rPr>
              <w:t>）</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09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农作物种子生产经营许可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《农作物种子生产经营许可管理办法》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《农业转基因生物安全管理条例》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食用菌菌种生产经营许可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《食用菌菌种管理办法》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《农作物种子生产经营许可管理办法》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11</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Style w:val="34"/>
                <w:rFonts w:hint="default" w:ascii="Times New Roman" w:hAnsi="Times New Roman" w:eastAsia="方正仿宋_GBK" w:cs="Times New Roman"/>
                <w:color w:val="auto"/>
                <w:sz w:val="20"/>
                <w:szCs w:val="20"/>
                <w:highlight w:val="none"/>
              </w:rPr>
              <w:t>使用低于国家或地方规定的种用标准的农作物种子审批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种畜禽生产经营许可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spacing w:after="21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《中华人民共和国畜牧法》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《中华人民共和国畜牧法》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《养蜂管理办法（试行）》</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（农业部公告第1692号）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《四川省种畜禽生产经营许可证审核发放办法》（川府函〔2007〕48号）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《农业转基因生物安全管理条例》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《四川省农业厅关于印发农业系统省市县三级行政审批项目目录的通知》（川农业〔2015〕5号）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《四川省畜牧食品局关于2014年深化行政审批制度改革有关工作的通知》</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（川畜食函〔2014〕22号）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蚕种生产经营许可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w:t>
            </w:r>
            <w:r>
              <w:rPr>
                <w:rFonts w:hint="default" w:ascii="Times New Roman" w:hAnsi="Times New Roman" w:eastAsia="方正仿宋_GBK" w:cs="Times New Roman"/>
                <w:kern w:val="0"/>
                <w:sz w:val="20"/>
                <w:szCs w:val="20"/>
                <w:highlight w:val="none"/>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区农业农村和交通运输局（受理）</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《中华人民共和国畜牧法》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《蚕种管理办法》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《四川省蚕种管理条例》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农业植物检疫证书核发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《植物检疫条例实施细则（农业部分）》</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《四川省植物检疫条例》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农业植物产地检疫合格证签发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《植物检疫条例实施细则（农业部分）》</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农业野生植物采集、出售、收购、野外考察审批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r>
              <w:rPr>
                <w:rFonts w:hint="default" w:ascii="Times New Roman" w:hAnsi="Times New Roman" w:eastAsia="方正仿宋_GBK" w:cs="Times New Roman"/>
                <w:kern w:val="0"/>
                <w:sz w:val="20"/>
                <w:szCs w:val="20"/>
                <w:highlight w:val="none"/>
              </w:rPr>
              <w:t>（受理，采集国家二级保护野生植物）</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《中华人民共和国野生植物保护条例》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《中华人民共和国野生植物保护条例》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《农业野生植物保护办法》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《四川省野生植物保护条例》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动物及动物产品检疫合格证核发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spacing w:after="21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《动物检疫管理办法》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《四川省〈中华人民共和国动物防疫法〉实施办法》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《水产苗种管理办法》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《四川省水产种苗管理办法》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w:t>
            </w:r>
            <w:r>
              <w:rPr>
                <w:rFonts w:hint="eastAsia" w:ascii="Times New Roman" w:hAnsi="Times New Roman" w:eastAsia="方正仿宋_GBK" w:cs="Times New Roman"/>
                <w:kern w:val="0"/>
                <w:sz w:val="20"/>
                <w:szCs w:val="20"/>
                <w:highlight w:val="none"/>
                <w:lang w:eastAsia="zh-CN"/>
              </w:rPr>
              <w:t>农村</w:t>
            </w:r>
            <w:r>
              <w:rPr>
                <w:rFonts w:hint="default" w:ascii="Times New Roman" w:hAnsi="Times New Roman" w:eastAsia="方正仿宋_GBK" w:cs="Times New Roman"/>
                <w:kern w:val="0"/>
                <w:sz w:val="20"/>
                <w:szCs w:val="20"/>
                <w:highlight w:val="none"/>
              </w:rPr>
              <w:t>部关于印发〈</w:t>
            </w:r>
            <w:r>
              <w:rPr>
                <w:rFonts w:hint="default" w:ascii="Times New Roman" w:hAnsi="Times New Roman" w:eastAsia="方正仿宋_GBK" w:cs="Times New Roman"/>
                <w:kern w:val="0"/>
                <w:sz w:val="20"/>
                <w:szCs w:val="20"/>
                <w:highlight w:val="none"/>
                <w:lang w:eastAsia="zh-CN"/>
              </w:rPr>
              <w:t>生猪</w:t>
            </w:r>
            <w:r>
              <w:rPr>
                <w:rFonts w:hint="default" w:ascii="Times New Roman" w:hAnsi="Times New Roman" w:eastAsia="方正仿宋_GBK" w:cs="Times New Roman"/>
                <w:kern w:val="0"/>
                <w:sz w:val="20"/>
                <w:szCs w:val="20"/>
                <w:highlight w:val="none"/>
              </w:rPr>
              <w:t>产地检疫规程〉等</w:t>
            </w:r>
            <w:r>
              <w:rPr>
                <w:rFonts w:hint="default" w:ascii="Times New Roman" w:hAnsi="Times New Roman" w:eastAsia="方正仿宋_GBK" w:cs="Times New Roman"/>
                <w:kern w:val="0"/>
                <w:sz w:val="20"/>
                <w:szCs w:val="20"/>
                <w:highlight w:val="none"/>
                <w:lang w:val="en-US" w:eastAsia="zh-CN"/>
              </w:rPr>
              <w:t>22</w:t>
            </w:r>
            <w:r>
              <w:rPr>
                <w:rFonts w:hint="default" w:ascii="Times New Roman" w:hAnsi="Times New Roman" w:eastAsia="方正仿宋_GBK" w:cs="Times New Roman"/>
                <w:kern w:val="0"/>
                <w:sz w:val="20"/>
                <w:szCs w:val="20"/>
                <w:highlight w:val="none"/>
              </w:rPr>
              <w:t>个</w:t>
            </w:r>
            <w:r>
              <w:rPr>
                <w:rFonts w:hint="default" w:ascii="Times New Roman" w:hAnsi="Times New Roman" w:eastAsia="方正仿宋_GBK" w:cs="Times New Roman"/>
                <w:kern w:val="0"/>
                <w:sz w:val="20"/>
                <w:szCs w:val="20"/>
                <w:highlight w:val="none"/>
                <w:lang w:eastAsia="zh-CN"/>
              </w:rPr>
              <w:t>动物检疫</w:t>
            </w:r>
            <w:r>
              <w:rPr>
                <w:rFonts w:hint="default" w:ascii="Times New Roman" w:hAnsi="Times New Roman" w:eastAsia="方正仿宋_GBK" w:cs="Times New Roman"/>
                <w:kern w:val="0"/>
                <w:sz w:val="20"/>
                <w:szCs w:val="20"/>
                <w:highlight w:val="none"/>
              </w:rPr>
              <w:t>规程的通知》（农</w:t>
            </w:r>
            <w:r>
              <w:rPr>
                <w:rFonts w:hint="default" w:ascii="Times New Roman" w:hAnsi="Times New Roman" w:eastAsia="方正仿宋_GBK" w:cs="Times New Roman"/>
                <w:kern w:val="0"/>
                <w:sz w:val="20"/>
                <w:szCs w:val="20"/>
                <w:highlight w:val="none"/>
                <w:lang w:eastAsia="zh-CN"/>
              </w:rPr>
              <w:t>牧</w:t>
            </w:r>
            <w:r>
              <w:rPr>
                <w:rFonts w:hint="default" w:ascii="Times New Roman" w:hAnsi="Times New Roman" w:eastAsia="方正仿宋_GBK" w:cs="Times New Roman"/>
                <w:kern w:val="0"/>
                <w:sz w:val="20"/>
                <w:szCs w:val="20"/>
                <w:highlight w:val="none"/>
              </w:rPr>
              <w:t>发〔20</w:t>
            </w:r>
            <w:r>
              <w:rPr>
                <w:rFonts w:hint="default" w:ascii="Times New Roman" w:hAnsi="Times New Roman" w:eastAsia="方正仿宋_GBK" w:cs="Times New Roman"/>
                <w:kern w:val="0"/>
                <w:sz w:val="20"/>
                <w:szCs w:val="20"/>
                <w:highlight w:val="none"/>
                <w:lang w:val="en-US" w:eastAsia="zh-CN"/>
              </w:rPr>
              <w:t>23</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1</w:t>
            </w:r>
            <w:r>
              <w:rPr>
                <w:rFonts w:hint="default" w:ascii="Times New Roman" w:hAnsi="Times New Roman" w:eastAsia="方正仿宋_GBK" w:cs="Times New Roman"/>
                <w:kern w:val="0"/>
                <w:sz w:val="20"/>
                <w:szCs w:val="20"/>
                <w:highlight w:val="none"/>
              </w:rPr>
              <w:t>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动物防疫条件合格证核发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《动物防疫条件审查办法》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19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向无规定动物疫病区输入易感动物、动物产品的检疫审批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《动物检疫管理办法》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《四川省〈中华人民共和国动物防疫法〉实施办法》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动物诊疗许可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《中华人民共和国动物防疫法》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《动物诊疗机构管理办法》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21</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生鲜乳收购站许可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《乳品质量安全监督管理条例》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《乳品质量安全监督管理条例》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22</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生鲜乳准运证明核发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《乳品质量安全监督管理条例》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《乳品质量安全监督管理条例》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拖拉机和联合收割机驾驶证核发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《农业机械安全监督管理条例》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《四川省农业机械安全监督管理条例》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《农业机械安全监督管理条例》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《拖拉机和联合收割机驾驶证管理规定》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Style w:val="49"/>
                <w:rFonts w:hint="default" w:ascii="Times New Roman" w:hAnsi="Times New Roman" w:eastAsia="方正仿宋_GBK" w:cs="Times New Roman"/>
                <w:sz w:val="20"/>
                <w:szCs w:val="20"/>
                <w:highlight w:val="none"/>
              </w:rPr>
              <w:t>《拖拉机和联合收割机驾驶证业务工作规范》（农机发</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2018</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拖拉机和联合收割机登记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《中华人民共和国道路交通安全法》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《农业机械安全监督管理条例》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《农业机械安全监督管理条例》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《四川省农业机械安全监督管理条例》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《拖拉机和联合收割机登记规定》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工商企业等社会资本通过流转取得土地经营权审批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《中华人民共和国农村土地承包法》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《农村土地经营权流转管理办法》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农村村民宅基地审批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格里坪镇人民政府</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《中华人民共和国土地管理法》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《农业农村部</w:t>
            </w:r>
            <w:r>
              <w:rPr>
                <w:rFonts w:hint="eastAsia"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自然资源部关于规范农村宅基地审批管理的通知》（农经发〔2019〕6号）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《四川省农业农村厅四川省市自然资源和规划局四川省住房和城乡建设厅关于规范农村宅基地审批和住房建设管理的通知》（川农〔2020〕43号）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渔业船舶船员证书核发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w:t>
            </w:r>
            <w:r>
              <w:rPr>
                <w:rFonts w:hint="default" w:ascii="Times New Roman" w:hAnsi="Times New Roman" w:eastAsia="方正仿宋_GBK" w:cs="Times New Roman"/>
                <w:kern w:val="0"/>
                <w:sz w:val="20"/>
                <w:szCs w:val="20"/>
                <w:highlight w:val="none"/>
                <w:lang w:eastAsia="zh-CN"/>
              </w:rPr>
              <w:t>船员</w:t>
            </w:r>
            <w:r>
              <w:rPr>
                <w:rFonts w:hint="default" w:ascii="Times New Roman" w:hAnsi="Times New Roman" w:eastAsia="方正仿宋_GBK" w:cs="Times New Roman"/>
                <w:kern w:val="0"/>
                <w:sz w:val="20"/>
                <w:szCs w:val="20"/>
                <w:highlight w:val="none"/>
              </w:rPr>
              <w:t>条例》</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《中华人民共和国渔业船员管理办法》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《中华人民共和国渔港水域交通安全管理条例》</w:t>
            </w: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《国家职业资格目录（2021年版）》</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《中华人民共和国渔业港航监督行政处罚规定》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水产苗种生产经营审批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《农业转基因生物安全管理条例》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《水产苗种管理办法》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《四川省水产种苗管理办法》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29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水域滩涂养殖证核发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pacing w:val="-11"/>
                <w:kern w:val="0"/>
                <w:sz w:val="20"/>
                <w:szCs w:val="20"/>
                <w:highlight w:val="none"/>
              </w:rPr>
              <w:t>《水域滩涂养殖发证登记办法》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《四川省〈中华人民共和国渔业法〉实施办法》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渔业捕捞许可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《中华人民共和国渔业法实施细则》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《渔业捕捞许可管理规定》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《长江水生生物保护管理规定》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渔业船舶国籍登记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《中华人民共和国船舶登记条例》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《中华人民共和国渔港水域交通安全管理条例》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《中华人民共和国渔业船舶登记办法》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《中华人民共和国渔业港航监督行政处罚规定》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文艺表演团体设立审批</w:t>
            </w:r>
          </w:p>
        </w:tc>
        <w:tc>
          <w:tcPr>
            <w:tcW w:w="489" w:type="pct"/>
            <w:vMerge w:val="restart"/>
            <w:tcMar>
              <w:top w:w="15" w:type="dxa"/>
              <w:left w:w="15" w:type="dxa"/>
              <w:right w:w="15" w:type="dxa"/>
            </w:tcMar>
            <w:vAlign w:val="center"/>
          </w:tcPr>
          <w:p>
            <w:pPr>
              <w:widowControl/>
              <w:jc w:val="both"/>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spacing w:after="22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内资文艺表演团体设立审批</w:t>
            </w:r>
            <w:r>
              <w:rPr>
                <w:rFonts w:hint="default" w:ascii="Times New Roman" w:hAnsi="Times New Roman" w:eastAsia="方正仿宋_GBK" w:cs="Times New Roman"/>
                <w:kern w:val="0"/>
                <w:sz w:val="20"/>
                <w:szCs w:val="20"/>
                <w:highlight w:val="none"/>
                <w:lang w:eastAsia="zh-CN"/>
              </w:rPr>
              <w:t>由县级文化和旅游行政部门或县级行政审批部门实施</w:t>
            </w:r>
            <w:r>
              <w:rPr>
                <w:rFonts w:hint="default" w:ascii="Times New Roman" w:hAnsi="Times New Roman" w:eastAsia="方正仿宋_GBK" w:cs="Times New Roman"/>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Style w:val="49"/>
                <w:rFonts w:hint="default" w:ascii="Times New Roman" w:hAnsi="Times New Roman" w:eastAsia="方正仿宋_GBK" w:cs="Times New Roman"/>
                <w:sz w:val="20"/>
                <w:szCs w:val="20"/>
                <w:highlight w:val="none"/>
              </w:rPr>
              <w:t>《文化和旅游部关于深化</w:t>
            </w:r>
            <w:r>
              <w:rPr>
                <w:rStyle w:val="49"/>
                <w:rFonts w:hint="default" w:ascii="Times New Roman" w:hAnsi="Times New Roman" w:eastAsia="方正仿宋_GBK" w:cs="Times New Roman"/>
                <w:sz w:val="20"/>
                <w:szCs w:val="20"/>
                <w:highlight w:val="none"/>
                <w:lang w:eastAsia="zh-CN"/>
              </w:rPr>
              <w:t>“放管服”</w:t>
            </w:r>
            <w:r>
              <w:rPr>
                <w:rStyle w:val="49"/>
                <w:rFonts w:hint="default" w:ascii="Times New Roman" w:hAnsi="Times New Roman" w:eastAsia="方正仿宋_GBK" w:cs="Times New Roman"/>
                <w:sz w:val="20"/>
                <w:szCs w:val="20"/>
                <w:highlight w:val="none"/>
              </w:rPr>
              <w:t>改革促进演出市场繁荣发展的通知》（文旅市场发</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2020</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62号）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举办内地</w:t>
            </w:r>
            <w:r>
              <w:rPr>
                <w:rFonts w:hint="default" w:ascii="Times New Roman" w:hAnsi="Times New Roman" w:eastAsia="方正仿宋_GBK" w:cs="Times New Roman"/>
                <w:kern w:val="0"/>
                <w:sz w:val="20"/>
                <w:szCs w:val="20"/>
                <w:highlight w:val="none"/>
              </w:rPr>
              <w:t>营业性演出审批</w:t>
            </w:r>
            <w:r>
              <w:rPr>
                <w:rFonts w:hint="default" w:ascii="Times New Roman" w:hAnsi="Times New Roman" w:eastAsia="方正仿宋_GBK" w:cs="Times New Roman"/>
                <w:kern w:val="0"/>
                <w:sz w:val="20"/>
                <w:szCs w:val="20"/>
                <w:highlight w:val="none"/>
                <w:lang w:eastAsia="zh-CN"/>
              </w:rPr>
              <w:t>由县级文化和旅游行政部门或县级行政审批部门实施</w:t>
            </w:r>
            <w:r>
              <w:rPr>
                <w:rFonts w:hint="default" w:ascii="Times New Roman" w:hAnsi="Times New Roman" w:eastAsia="方正仿宋_GBK" w:cs="Times New Roman"/>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《营业性演出管理条例实施细则》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《国务院关于第三批取消和调整行政审批项目的决定》（国发〔2004〕16号）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娱乐场所经营活动审批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《娱乐场所管理条例》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《娱乐场所管理条例》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内资从事娱乐场所经营活动审批由县级文化和旅游行政部门或县级行政审批部门实施。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《娱乐场所管理办法》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互联网上网服务营业场所筹建审批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《互联网上网服务营业场所管理条例》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《互联网上网服务营业场所管理条例》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内资互联网上网服务营业场所筹建审批由县级文化和旅游行政部门或县级行政审批部门实施。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《文化部关于印发〈公众聚集文化经营场所审核公示暂行办法〉的通知》（文市发〔2003〕31号）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Style w:val="49"/>
                <w:rFonts w:hint="default" w:ascii="Times New Roman" w:hAnsi="Times New Roman" w:eastAsia="方正仿宋_GBK" w:cs="Times New Roman"/>
                <w:sz w:val="20"/>
                <w:szCs w:val="20"/>
                <w:highlight w:val="none"/>
              </w:rPr>
              <w:t>《文化和旅游部关于进一步优化营商环境推动互联网上网服务行业规范发展的通知》（文旅市场发</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2020</w:t>
            </w:r>
            <w:r>
              <w:rPr>
                <w:rStyle w:val="56"/>
                <w:rFonts w:hint="default" w:ascii="Times New Roman" w:hAnsi="Times New Roman" w:eastAsia="方正仿宋_GBK" w:cs="Times New Roman"/>
                <w:sz w:val="20"/>
                <w:szCs w:val="20"/>
                <w:highlight w:val="none"/>
              </w:rPr>
              <w:t>〕</w:t>
            </w:r>
            <w:r>
              <w:rPr>
                <w:rStyle w:val="49"/>
                <w:rFonts w:hint="default" w:ascii="Times New Roman" w:hAnsi="Times New Roman" w:eastAsia="方正仿宋_GBK" w:cs="Times New Roman"/>
                <w:sz w:val="20"/>
                <w:szCs w:val="20"/>
                <w:highlight w:val="none"/>
              </w:rPr>
              <w:t>86号）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互联网上网服务经营活动审批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《互联网上网服务营业场所管理条例》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《互联网上网服务营业场所管理条例》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内资从事互联网上网服务经营活动审批由县级文化和旅游行政部门或县级行政审批部门实施。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《文化和旅游部关于进一步优化营商环境推动互联网上网服务行业规范发展的通知》（文旅市场发〔2020〕86号）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37</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饮用水供水单位卫生许可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区卫生健康局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《中华人民共和国传染病防治法》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《生活饮用水卫生监督管理办法》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公共场所卫生许可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《公共场所卫生管理条例》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《公共场所卫生管理条例》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39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医疗机构建设项目放射性职业病危害预评价报告审核</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《中华人民共和国职业病防治法》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《中华人民共和国职业病防治法》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《放射诊疗管理规定》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40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医疗机构建设项目放射性职业病防护设施竣工验收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《中华人民共和国职业病防治法》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《中华人民共和国职业病防治法》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《放射诊疗管理规定》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rPr>
              <w:t>1</w:t>
            </w:r>
            <w:r>
              <w:rPr>
                <w:rFonts w:hint="default" w:ascii="Times New Roman" w:hAnsi="Times New Roman" w:eastAsia="方正仿宋_GBK" w:cs="Times New Roman"/>
                <w:kern w:val="0"/>
                <w:sz w:val="22"/>
                <w:szCs w:val="22"/>
                <w:highlight w:val="none"/>
                <w:lang w:val="en-US" w:eastAsia="zh-CN"/>
              </w:rPr>
              <w:t>41</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医疗机构设置审批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142</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医疗机构执业登记</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母婴保健技术服务机构执业许可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《中华人民共和国母婴保健法》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《中华人民共和国母婴保健法实施办法》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《母婴保健专项技术服务许可及人员资格管理办法》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《国务院关于深化</w:t>
            </w:r>
            <w:r>
              <w:rPr>
                <w:rFonts w:hint="default" w:ascii="Times New Roman" w:hAnsi="Times New Roman" w:eastAsia="方正仿宋_GBK" w:cs="Times New Roman"/>
                <w:kern w:val="0"/>
                <w:sz w:val="20"/>
                <w:szCs w:val="20"/>
                <w:highlight w:val="none"/>
                <w:lang w:eastAsia="zh-CN"/>
              </w:rPr>
              <w:t>“证照分离”</w:t>
            </w:r>
            <w:r>
              <w:rPr>
                <w:rFonts w:hint="default" w:ascii="Times New Roman" w:hAnsi="Times New Roman" w:eastAsia="方正仿宋_GBK" w:cs="Times New Roman"/>
                <w:kern w:val="0"/>
                <w:sz w:val="20"/>
                <w:szCs w:val="20"/>
                <w:highlight w:val="none"/>
              </w:rPr>
              <w:t>改革进一步激发市场主体发展活力的通知》（国发〔2021〕7号）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《国家卫生健康委办公厅关于做好妇幼健康领域</w:t>
            </w:r>
            <w:r>
              <w:rPr>
                <w:rFonts w:hint="default" w:ascii="Times New Roman" w:hAnsi="Times New Roman" w:eastAsia="方正仿宋_GBK" w:cs="Times New Roman"/>
                <w:kern w:val="0"/>
                <w:sz w:val="20"/>
                <w:szCs w:val="20"/>
                <w:highlight w:val="none"/>
                <w:lang w:eastAsia="zh-CN"/>
              </w:rPr>
              <w:t>“证照分离”</w:t>
            </w:r>
            <w:r>
              <w:rPr>
                <w:rFonts w:hint="default" w:ascii="Times New Roman" w:hAnsi="Times New Roman" w:eastAsia="方正仿宋_GBK" w:cs="Times New Roman"/>
                <w:kern w:val="0"/>
                <w:sz w:val="20"/>
                <w:szCs w:val="20"/>
                <w:highlight w:val="none"/>
              </w:rPr>
              <w:t>改革工作的通知》（国卫办妇幼发〔2021〕14号）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lang w:val="en-US"/>
              </w:rPr>
            </w:pPr>
            <w:r>
              <w:rPr>
                <w:rFonts w:hint="default" w:ascii="Times New Roman" w:hAnsi="Times New Roman" w:eastAsia="方正仿宋_GBK" w:cs="Times New Roman"/>
                <w:kern w:val="0"/>
                <w:sz w:val="20"/>
                <w:szCs w:val="20"/>
                <w:highlight w:val="none"/>
              </w:rPr>
              <w:t>放射源诊疗技术和医用辐射机构许可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《放射性同位素与射线装置安全和防护条例》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《放射性同位素与射线装置安全和防护条例》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《放射诊疗管理规定》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单采血浆站设置审批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r>
              <w:rPr>
                <w:rFonts w:hint="default" w:ascii="Times New Roman" w:hAnsi="Times New Roman" w:eastAsia="方正仿宋_GBK" w:cs="Times New Roman"/>
                <w:kern w:val="0"/>
                <w:sz w:val="20"/>
                <w:szCs w:val="20"/>
                <w:highlight w:val="none"/>
              </w:rPr>
              <w:t>（初审）</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《血液制品管理条例》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《血液制品管理条例》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《单采血浆站管理办法》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146</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医师执业注册</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《中华人民共和国医师法》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《医师执业注册管理办法》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147</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乡村医生执业注册</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《乡村医生从业管理条例》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《乡村医生从业管理条例》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母婴保健服务人员资格认定</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《中华人民共和国母婴保健法》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《中华人民共和国母婴保健法实施办法》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从事产前诊断中产前筛查的医疗、保健机构，从事婚前医学检查、助产技术、结扎手术、终止妊娠手术的医疗、保健机构和人员的审批由县级卫生健康主管部门负责。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《国家职业资格目录（2021年版）》</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《母婴保健专项技术服务许可及人员资格管理办法》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149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护士执业注册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卫生健康</w:t>
            </w:r>
            <w:r>
              <w:rPr>
                <w:rFonts w:hint="default" w:ascii="Times New Roman" w:hAnsi="Times New Roman" w:eastAsia="方正仿宋_GBK" w:cs="Times New Roman"/>
                <w:kern w:val="0"/>
                <w:sz w:val="20"/>
                <w:szCs w:val="20"/>
                <w:highlight w:val="none"/>
                <w:lang w:eastAsia="zh-CN"/>
              </w:rPr>
              <w:t>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《护士条例》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《护士条例》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《国家职业资格目录（2021年版）》</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《国务院关于取消和下放一批行政许可事项的决定》（国发〔2019〕6号）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石油天然气建设项目安全设施设计审查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区应急管理局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《中华人民共和国安全生产法》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《建设项目安全设施</w:t>
            </w:r>
            <w:r>
              <w:rPr>
                <w:rFonts w:hint="default" w:ascii="Times New Roman" w:hAnsi="Times New Roman" w:eastAsia="方正仿宋_GBK" w:cs="Times New Roman"/>
                <w:kern w:val="0"/>
                <w:sz w:val="20"/>
                <w:szCs w:val="20"/>
                <w:highlight w:val="none"/>
                <w:lang w:eastAsia="zh-CN"/>
              </w:rPr>
              <w:t>“三同时”</w:t>
            </w:r>
            <w:r>
              <w:rPr>
                <w:rFonts w:hint="default" w:ascii="Times New Roman" w:hAnsi="Times New Roman" w:eastAsia="方正仿宋_GBK" w:cs="Times New Roman"/>
                <w:kern w:val="0"/>
                <w:sz w:val="20"/>
                <w:szCs w:val="20"/>
                <w:highlight w:val="none"/>
              </w:rPr>
              <w:t>监督管理办法》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《国家安全监管总局办公厅关于明确非煤矿山建设项目安全监管职责等事项的通知》（安监总厅管一〔2013〕143号）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《四川省应急管理厅关于进一步明确安全生产政务服务事项分类分级审查的通知》</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川应急规</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金属冶炼建设项目安全设施设计审查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区应急管理局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《中华人民共和国安全生产法》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《建设项目安全设施</w:t>
            </w:r>
            <w:r>
              <w:rPr>
                <w:rFonts w:hint="default" w:ascii="Times New Roman" w:hAnsi="Times New Roman" w:eastAsia="方正仿宋_GBK" w:cs="Times New Roman"/>
                <w:kern w:val="0"/>
                <w:sz w:val="20"/>
                <w:szCs w:val="20"/>
                <w:highlight w:val="none"/>
                <w:lang w:eastAsia="zh-CN"/>
              </w:rPr>
              <w:t>“三同时”</w:t>
            </w:r>
            <w:r>
              <w:rPr>
                <w:rFonts w:hint="default" w:ascii="Times New Roman" w:hAnsi="Times New Roman" w:eastAsia="方正仿宋_GBK" w:cs="Times New Roman"/>
                <w:kern w:val="0"/>
                <w:sz w:val="20"/>
                <w:szCs w:val="20"/>
                <w:highlight w:val="none"/>
              </w:rPr>
              <w:t>监督管理办法》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《冶金企业和有色金属企业安全生产规定》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《四川省应急管理厅关于进一步明确安全生产政务服务事项分类分级审查的通知》</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川应急规</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应急管理局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《危险化学品安全管理条例》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《危险化学品经营许可证管理办法》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生产、储存烟花爆竹建设项目安全设施设计审查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《中华人民共和国安全生产法》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《烟花爆竹生产企业安全生产许可证实施办法》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省级权限委托至设区的市级应急管理主管部门实施。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《建设项目安全设施</w:t>
            </w:r>
            <w:r>
              <w:rPr>
                <w:rFonts w:hint="default" w:ascii="Times New Roman" w:hAnsi="Times New Roman" w:eastAsia="方正仿宋_GBK" w:cs="Times New Roman"/>
                <w:kern w:val="0"/>
                <w:sz w:val="20"/>
                <w:szCs w:val="20"/>
                <w:highlight w:val="none"/>
                <w:lang w:eastAsia="zh-CN"/>
              </w:rPr>
              <w:t>“三同时”</w:t>
            </w:r>
            <w:r>
              <w:rPr>
                <w:rFonts w:hint="default" w:ascii="Times New Roman" w:hAnsi="Times New Roman" w:eastAsia="方正仿宋_GBK" w:cs="Times New Roman"/>
                <w:kern w:val="0"/>
                <w:sz w:val="20"/>
                <w:szCs w:val="20"/>
                <w:highlight w:val="none"/>
              </w:rPr>
              <w:t>监督管理办法》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《四川省应急管理厅关于进一步明确安全生产政务服务事项分类分级审查的通知》</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川应急规</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烟花爆竹经营许可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应急管理局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《烟花爆竹安全管理条例》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《烟花爆竹经营许可实施办法》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公众聚集场所投入使用、营业前消防安全检查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消防救援</w:t>
            </w:r>
            <w:r>
              <w:rPr>
                <w:rFonts w:hint="default" w:ascii="Times New Roman" w:hAnsi="Times New Roman" w:eastAsia="方正仿宋_GBK" w:cs="Times New Roman"/>
                <w:kern w:val="0"/>
                <w:sz w:val="20"/>
                <w:szCs w:val="20"/>
                <w:highlight w:val="none"/>
                <w:lang w:eastAsia="zh-CN"/>
              </w:rPr>
              <w:t>大</w:t>
            </w:r>
            <w:r>
              <w:rPr>
                <w:rFonts w:hint="default" w:ascii="Times New Roman" w:hAnsi="Times New Roman" w:eastAsia="方正仿宋_GBK" w:cs="Times New Roman"/>
                <w:kern w:val="0"/>
                <w:sz w:val="20"/>
                <w:szCs w:val="20"/>
                <w:highlight w:val="none"/>
              </w:rPr>
              <w:t>队</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消防救援</w:t>
            </w:r>
            <w:r>
              <w:rPr>
                <w:rFonts w:hint="default" w:ascii="Times New Roman" w:hAnsi="Times New Roman" w:eastAsia="方正仿宋_GBK" w:cs="Times New Roman"/>
                <w:kern w:val="0"/>
                <w:sz w:val="20"/>
                <w:szCs w:val="20"/>
                <w:highlight w:val="none"/>
                <w:lang w:eastAsia="zh-CN"/>
              </w:rPr>
              <w:t>大</w:t>
            </w:r>
            <w:r>
              <w:rPr>
                <w:rFonts w:hint="default" w:ascii="Times New Roman" w:hAnsi="Times New Roman" w:eastAsia="方正仿宋_GBK" w:cs="Times New Roman"/>
                <w:kern w:val="0"/>
                <w:sz w:val="20"/>
                <w:szCs w:val="20"/>
                <w:highlight w:val="none"/>
              </w:rPr>
              <w:t>队</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《中华人民共和国消防法》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消防监督检查规定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《应急管理部关于贯彻实施新修改〈中华人民共和国消防法〉全面实行公众聚集场所投入使用营业前消防安全检查告知承诺管理的通知》（应急〔2021〕34号）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156</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增值税防伪税控系统最高开票限额审批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税务局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西区</w:t>
            </w:r>
            <w:r>
              <w:rPr>
                <w:rFonts w:hint="default" w:ascii="Times New Roman" w:hAnsi="Times New Roman" w:eastAsia="方正仿宋_GBK" w:cs="Times New Roman"/>
                <w:kern w:val="0"/>
                <w:sz w:val="20"/>
                <w:szCs w:val="20"/>
                <w:highlight w:val="none"/>
              </w:rPr>
              <w:t>税务局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《国家税务总局关于全面实行税务行政许可事项清单管理的公告》（国家税务总局公告2022年第19号）</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食品生产许可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《中华人民共和国食品安全法》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《国务院关于深化</w:t>
            </w:r>
            <w:r>
              <w:rPr>
                <w:rFonts w:hint="default" w:ascii="Times New Roman" w:hAnsi="Times New Roman" w:eastAsia="方正仿宋_GBK" w:cs="Times New Roman"/>
                <w:kern w:val="0"/>
                <w:sz w:val="20"/>
                <w:szCs w:val="20"/>
                <w:highlight w:val="none"/>
                <w:lang w:eastAsia="zh-CN"/>
              </w:rPr>
              <w:t>“证照分离”</w:t>
            </w:r>
            <w:r>
              <w:rPr>
                <w:rFonts w:hint="default" w:ascii="Times New Roman" w:hAnsi="Times New Roman" w:eastAsia="方正仿宋_GBK" w:cs="Times New Roman"/>
                <w:kern w:val="0"/>
                <w:sz w:val="20"/>
                <w:szCs w:val="20"/>
                <w:highlight w:val="none"/>
              </w:rPr>
              <w:t>改革进一步激发市场主体发展活力的通知》（国发〔2021〕7号）</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《食品生产许可管理办法》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《食品生产许可审查通则（2022版）》</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《婴幼儿配方乳粉生产许可审查细则（2022版）》</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《国家食品药品监督管理总局关于印发保健食品生产许可审查细则的通知》（食药监食监三〔2016〕151号）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食品经营许可</w:t>
            </w:r>
            <w:r>
              <w:rPr>
                <w:rFonts w:hint="default" w:ascii="Times New Roman" w:hAnsi="Times New Roman" w:eastAsia="方正仿宋_GBK" w:cs="Times New Roman"/>
                <w:kern w:val="0"/>
                <w:sz w:val="20"/>
                <w:szCs w:val="20"/>
                <w:highlight w:val="none"/>
                <w:lang w:eastAsia="zh-CN"/>
              </w:rPr>
              <w:t>（仅销售预包装食品除外）</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《中华人民共和国食品安全法》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《中华人民共和国食品安全法》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《食品经营许可管理办法》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159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特种设备安全管理和作业人员资格认定</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《中华人民共和国特种设备安全法》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《特种设备作业人员监督管理办法》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《特种设备安全监察条例》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《特种设备作业人员考核规则》（TSG Z6001-2019）</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《市场监管总局关于特种设备行政许可有关事项的公告》（2021年第41号）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《特种设备焊接操作人员考核细则》（TSGZ6002-2010）</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《国家职业资格目录（2021年版）》</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《四川省市场监督管理局关于特种设备作业人员资格认定</w:t>
            </w:r>
            <w:r>
              <w:rPr>
                <w:rFonts w:hint="default" w:ascii="Times New Roman" w:hAnsi="Times New Roman" w:eastAsia="方正仿宋_GBK" w:cs="Times New Roman"/>
                <w:kern w:val="0"/>
                <w:sz w:val="20"/>
                <w:szCs w:val="20"/>
                <w:highlight w:val="none"/>
                <w:lang w:eastAsia="zh-CN"/>
              </w:rPr>
              <w:t>项目及发证机关的通知</w:t>
            </w:r>
            <w:r>
              <w:rPr>
                <w:rFonts w:hint="default" w:ascii="Times New Roman" w:hAnsi="Times New Roman" w:eastAsia="方正仿宋_GBK" w:cs="Times New Roman"/>
                <w:kern w:val="0"/>
                <w:sz w:val="20"/>
                <w:szCs w:val="20"/>
                <w:highlight w:val="none"/>
              </w:rPr>
              <w:t>》（川市监发〔202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7</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计量标准器具核准</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《中华人民共和国计量法》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《中华人民共和国计量法实施细则》</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《计量标准考核办法》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《中华人民共和国计量法实施细则》</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《计量标准考核规范》（JJF1033-20</w:t>
            </w:r>
            <w:r>
              <w:rPr>
                <w:rFonts w:hint="default" w:ascii="Times New Roman" w:hAnsi="Times New Roman" w:eastAsia="方正仿宋_GBK" w:cs="Times New Roman"/>
                <w:kern w:val="0"/>
                <w:sz w:val="20"/>
                <w:szCs w:val="20"/>
                <w:highlight w:val="none"/>
                <w:lang w:val="en-US" w:eastAsia="zh-CN"/>
              </w:rPr>
              <w:t>23</w:t>
            </w:r>
            <w:r>
              <w:rPr>
                <w:rFonts w:hint="default" w:ascii="Times New Roman" w:hAnsi="Times New Roman" w:eastAsia="方正仿宋_GBK" w:cs="Times New Roman"/>
                <w:kern w:val="0"/>
                <w:sz w:val="20"/>
                <w:szCs w:val="20"/>
                <w:highlight w:val="none"/>
              </w:rPr>
              <w:t>）</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承担国家法定计量检定机构任务授权</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《中华人民共和国计量法》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《中华人民共和国计量法实施细则》</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《计量授权管理办法》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ind w:left="600" w:hanging="600" w:hangingChars="300"/>
              <w:jc w:val="left"/>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《法定计量检定机构考核规范》</w:t>
            </w:r>
          </w:p>
          <w:p>
            <w:pPr>
              <w:widowControl/>
              <w:ind w:left="600" w:hanging="600" w:hangingChars="300"/>
              <w:jc w:val="lef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（JJF1069-2012）</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企业登记注册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区市场监管局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《中华人民共和国公司法》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《中华人民共和国外商投资法实施条例》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《中华人民共和国市场主体登记管理条例实施细则》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《市场监督管理行政许可程序暂行规定》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《市场监管总局关于印发〈市场主体登记文书规范〉〈市场主体登记提交材料规范〉的通知》（国市监注发〔2022〕24号）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《国家工商行政管理总局关于对北京市工商行政管理局等90个被授权局外商投资企业核准登记权予以确认的通知》（工商外企字〔2003〕第137号）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《中华人民共和国合伙企业法》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《外商投资企业授权登记管理办法》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《中华人民共和国市场主体登记管理条例实施细则》</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《防范和查处假冒企业登记违法行为规定》</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《中华人民共和国个人独资企业法》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《国家工商行政管理总局关于授予山西省等49个工商行政管理局外商投资企业核准登记权的通知》（工商外企字〔2005〕第196号）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《中华人民共和国外商投资法》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工商行政管理总局关于授予四川省南充市、达州市、遂宁市、凉山州、自贡市、泸州市、雅安市、宜宾市、广元市、巴中市、攀枝花市、甘孜州、阿坝州、广安市工商行政管理局的外商投资企业核准登记权的通知》（工商外企字〔2007〕282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《中华人民共和国外商投资法实施条例》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《国家工商行政管理总局关于授予成都市龙泉驿工商行政管理局和高新工商行政管理局外商投资企业核准登记权的通知》</w:t>
            </w:r>
            <w:r>
              <w:rPr>
                <w:rFonts w:hint="default" w:ascii="Times New Roman" w:hAnsi="Times New Roman" w:eastAsia="方正仿宋_GBK" w:cs="Times New Roman"/>
                <w:color w:val="auto"/>
                <w:kern w:val="0"/>
                <w:sz w:val="20"/>
                <w:szCs w:val="20"/>
                <w:highlight w:val="none"/>
              </w:rPr>
              <w:t>（工商外企字〔200</w:t>
            </w:r>
            <w:r>
              <w:rPr>
                <w:rFonts w:hint="default" w:ascii="Times New Roman" w:hAnsi="Times New Roman" w:eastAsia="方正仿宋_GBK" w:cs="Times New Roman"/>
                <w:color w:val="auto"/>
                <w:kern w:val="0"/>
                <w:sz w:val="20"/>
                <w:szCs w:val="20"/>
                <w:highlight w:val="none"/>
                <w:lang w:val="en-US" w:eastAsia="zh-CN"/>
              </w:rPr>
              <w:t>9</w:t>
            </w: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US" w:eastAsia="zh-CN"/>
              </w:rPr>
              <w:t>140</w:t>
            </w:r>
            <w:r>
              <w:rPr>
                <w:rFonts w:hint="default" w:ascii="Times New Roman" w:hAnsi="Times New Roman" w:eastAsia="方正仿宋_GBK" w:cs="Times New Roman"/>
                <w:color w:val="auto"/>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1525" w:type="pc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《四川省市场监督管理局关于下放市场主体登记注册管辖权的通知》（川市监发〔2021〕16号）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个体工商户登记注册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区市场监管局</w:t>
            </w:r>
          </w:p>
        </w:tc>
        <w:tc>
          <w:tcPr>
            <w:tcW w:w="757" w:type="pct"/>
            <w:tcMar>
              <w:top w:w="15" w:type="dxa"/>
              <w:left w:w="15" w:type="dxa"/>
              <w:right w:w="15" w:type="dxa"/>
            </w:tcMar>
            <w:vAlign w:val="center"/>
          </w:tcPr>
          <w:p>
            <w:pPr>
              <w:widowControl/>
              <w:rPr>
                <w:rFonts w:hint="default" w:ascii="Times New Roman" w:hAnsi="Times New Roman" w:eastAsia="方正仿宋_GBK" w:cs="Times New Roman"/>
                <w:b/>
                <w:bCs/>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《促进个体工商户发展条例》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《市场监管总局关于印发〈市场主体登记文书规范〉〈市场主体登记提交材料规范〉的通知》（国市监注发〔2022〕24号）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农民专业合作社登记注册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《中华人民共和国农民专业合作社法》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《中华人民共和国市场主体登记管理条例实施细则》</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《市场监管总局关于印发〈市场主体登记文书规范〉〈市场主体登记提交材料规范〉的通知》（国市监注发〔2022〕24号）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165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广播电视专用频段频率使用许可</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eastAsia="zh-CN"/>
              </w:rPr>
              <w:t>区</w:t>
            </w:r>
            <w:r>
              <w:rPr>
                <w:rFonts w:hint="default" w:ascii="Times New Roman" w:hAnsi="Times New Roman" w:eastAsia="方正仿宋_GBK" w:cs="Times New Roman"/>
                <w:color w:val="auto"/>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lang w:eastAsia="zh-CN"/>
              </w:rPr>
            </w:pPr>
            <w:r>
              <w:rPr>
                <w:rFonts w:hint="default" w:ascii="Times New Roman" w:hAnsi="Times New Roman" w:eastAsia="方正仿宋_GBK" w:cs="Times New Roman"/>
                <w:color w:val="auto"/>
                <w:sz w:val="20"/>
                <w:szCs w:val="20"/>
                <w:highlight w:val="none"/>
                <w:lang w:eastAsia="zh-CN"/>
              </w:rPr>
              <w:t>区</w:t>
            </w:r>
            <w:r>
              <w:rPr>
                <w:rFonts w:hint="default" w:ascii="Times New Roman" w:hAnsi="Times New Roman" w:eastAsia="方正仿宋_GBK" w:cs="Times New Roman"/>
                <w:color w:val="auto"/>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《广播电视管理条例》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《广播电视无线传输覆盖网管理办法》</w:t>
            </w:r>
          </w:p>
        </w:tc>
        <w:tc>
          <w:tcPr>
            <w:tcW w:w="720" w:type="pct"/>
            <w:tcMar>
              <w:top w:w="15" w:type="dxa"/>
              <w:left w:w="15" w:type="dxa"/>
              <w:right w:w="15" w:type="dxa"/>
            </w:tcMar>
            <w:vAlign w:val="center"/>
          </w:tcPr>
          <w:p>
            <w:pP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kern w:val="0"/>
                <w:sz w:val="20"/>
                <w:szCs w:val="20"/>
                <w:highlight w:val="none"/>
              </w:rPr>
              <w:t>由本级广电部门受理并逐级上报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166</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广播电台、电视台设立、终止审批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《广播电台电视台审批管理办法》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地方广播电台、电视台设立、终止由本级广电部门受理并逐级上报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广播电台、电视台变更台名、台标、节目设置范围或节目套数审批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《广播电台电视台审批管理办法》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由本级广电部门受理并逐级上报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《国务院关于取消和下放一批行政许可事项的决定》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乡镇设立广播电视站和机关、部队、团体、企业事业单位设立有线广播电视站审批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《广播电视站审批管理暂行规定》</w:t>
            </w:r>
          </w:p>
        </w:tc>
        <w:tc>
          <w:tcPr>
            <w:tcW w:w="720"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169</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有线广播电视传输覆盖网工程验收审核</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170</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广播电视视频点播业务审批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《广播电视视频点播业务管理办法》</w:t>
            </w:r>
          </w:p>
        </w:tc>
        <w:tc>
          <w:tcPr>
            <w:tcW w:w="720"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由本级广电部门受理并逐级上报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卫星电视广播地面接收设施安装服务许可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区文广旅局（初审）</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《卫星电视广播地面接收设施管理规定》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《卫星电视广播地面接收设施安装服务暂行办法》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color w:val="000000"/>
                <w:sz w:val="20"/>
                <w:szCs w:val="20"/>
                <w:highlight w:val="none"/>
                <w:u w:val="none"/>
              </w:rPr>
              <w:t>《广电总局关于设立卫星地面接收设施安装服务机构审批事项的通知》</w:t>
            </w:r>
            <w:r>
              <w:rPr>
                <w:rFonts w:hint="default" w:ascii="Times New Roman" w:hAnsi="Times New Roman" w:eastAsia="方正仿宋_GBK" w:cs="Times New Roman"/>
                <w:color w:val="000000"/>
                <w:sz w:val="20"/>
                <w:szCs w:val="20"/>
                <w:highlight w:val="none"/>
                <w:u w:val="none"/>
                <w:lang w:val="en-US" w:eastAsia="zh-CN"/>
              </w:rPr>
              <w:t xml:space="preserve"> </w:t>
            </w:r>
            <w:r>
              <w:rPr>
                <w:rFonts w:hint="default" w:ascii="Times New Roman" w:hAnsi="Times New Roman" w:eastAsia="方正仿宋_GBK" w:cs="Times New Roman"/>
                <w:color w:val="000000"/>
                <w:sz w:val="20"/>
                <w:szCs w:val="20"/>
                <w:highlight w:val="none"/>
                <w:u w:val="none"/>
              </w:rPr>
              <w:t>（广发〔2010〕24号）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设置卫星电视广播地面接收设施审批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lang w:eastAsia="zh-CN"/>
              </w:rPr>
              <w:t>区</w:t>
            </w:r>
            <w:r>
              <w:rPr>
                <w:rFonts w:hint="default" w:ascii="Times New Roman" w:hAnsi="Times New Roman" w:eastAsia="方正仿宋_GBK" w:cs="Times New Roman"/>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文广旅局（初审）</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《广播电视管理条例》</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《〈卫星电视广播地面接收设施管理规定〉实施细则》</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《卫星电视广播地面接收设施管理规定》</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173</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举办健身气功活动及设立站点审批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《健身气功管理办法》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高危险性体育项目经营许可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《中华人民共和国体育法》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《全民健身条例》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《经营高危险性体育项目许可管理办法》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临时占用公共体育场地设施审批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《中华人民共和国体育法》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《公共文化体育设施条例》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《四川省体育条例》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176</w:t>
            </w:r>
          </w:p>
        </w:tc>
        <w:tc>
          <w:tcPr>
            <w:tcW w:w="678" w:type="pct"/>
            <w:vMerge w:val="restart"/>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举办高危险性体育赛事活动许可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教育和体育局</w:t>
            </w: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《中华人民共和国体育法》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《体育赛事活动管理办法》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《高危险性体育赛事活动目录（第一批）》（体育总局、工业和信息化部、公安部、人力资源社会保障部、卫生健康委、应急部、市场监管总局公告第63号）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《体育总局关于做好高危险性体育赛事活动管理工作的通知》（体政规字〔2023〕2号）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出版物零售业务经营许可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新闻出版局</w:t>
            </w:r>
          </w:p>
        </w:tc>
        <w:tc>
          <w:tcPr>
            <w:tcW w:w="674" w:type="pct"/>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区新闻出版局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《出版管理条例》</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《出版物市场管理规定》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153"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宗教活动场所筹备设立审批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区民族宗教局（初审）</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《宗教活动场所</w:t>
            </w:r>
            <w:r>
              <w:rPr>
                <w:rFonts w:hint="default" w:ascii="Times New Roman" w:hAnsi="Times New Roman" w:eastAsia="方正仿宋_GBK" w:cs="Times New Roman"/>
                <w:kern w:val="0"/>
                <w:sz w:val="20"/>
                <w:szCs w:val="20"/>
                <w:highlight w:val="none"/>
                <w:lang w:eastAsia="zh-CN"/>
              </w:rPr>
              <w:t>管理办法</w:t>
            </w:r>
            <w:r>
              <w:rPr>
                <w:rFonts w:hint="default" w:ascii="Times New Roman" w:hAnsi="Times New Roman" w:eastAsia="方正仿宋_GBK" w:cs="Times New Roman"/>
                <w:kern w:val="0"/>
                <w:sz w:val="20"/>
                <w:szCs w:val="20"/>
                <w:highlight w:val="none"/>
              </w:rPr>
              <w:t>》</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《四川省宗教事务条例》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179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宗教活动场所设立、变更、注销登记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w:t>
            </w:r>
            <w:r>
              <w:rPr>
                <w:rFonts w:hint="default" w:ascii="Times New Roman" w:hAnsi="Times New Roman" w:eastAsia="方正仿宋_GBK" w:cs="Times New Roman"/>
                <w:kern w:val="0"/>
                <w:sz w:val="20"/>
                <w:szCs w:val="20"/>
                <w:highlight w:val="none"/>
                <w:lang w:eastAsia="zh-CN"/>
              </w:rPr>
              <w:t>管理</w:t>
            </w:r>
            <w:r>
              <w:rPr>
                <w:rFonts w:hint="default" w:ascii="Times New Roman" w:hAnsi="Times New Roman" w:eastAsia="方正仿宋_GBK" w:cs="Times New Roman"/>
                <w:kern w:val="0"/>
                <w:sz w:val="20"/>
                <w:szCs w:val="20"/>
                <w:highlight w:val="none"/>
              </w:rPr>
              <w:t>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宗教活动场所内改建或者新建建筑物许可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区民族宗教局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《四川省宗教事务条例》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《宗教事务部分行政许可项目实施办法》（国宗发〔2018〕11号）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宗教临时活动地点审批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《宗教临时活动地点审批管理办法》（国宗发〔2018〕15号）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宗教团体、宗教院校、宗教活动场所接受境外捐赠审批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民族宗教</w:t>
            </w:r>
            <w:r>
              <w:rPr>
                <w:rFonts w:hint="default" w:ascii="Times New Roman" w:hAnsi="Times New Roman" w:eastAsia="方正仿宋_GBK" w:cs="Times New Roman"/>
                <w:kern w:val="0"/>
                <w:sz w:val="20"/>
                <w:szCs w:val="20"/>
                <w:highlight w:val="none"/>
                <w:lang w:eastAsia="zh-CN"/>
              </w:rPr>
              <w:t>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《宗教事务部分行政许可项目实施办法》（国宗发〔2018〕11号）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华侨回国定居审批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eastAsia="zh-CN"/>
              </w:rPr>
              <w:t>区委统战部（区委侨务和台湾事务办公室）</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eastAsia="zh-CN"/>
              </w:rPr>
              <w:t>区委统战部（区委侨务和台湾事务办公室）</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pacing w:val="-6"/>
                <w:kern w:val="0"/>
                <w:sz w:val="20"/>
                <w:szCs w:val="20"/>
                <w:highlight w:val="none"/>
              </w:rPr>
              <w:t>《中华人民共和国出境入境管理法》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pacing w:val="-6"/>
                <w:kern w:val="0"/>
                <w:sz w:val="20"/>
                <w:szCs w:val="20"/>
                <w:highlight w:val="none"/>
              </w:rPr>
              <w:t>《华侨回国定居办理工作规定》（国侨发〔2013〕18号）</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pacing w:val="-6"/>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pacing w:val="-6"/>
                <w:sz w:val="20"/>
                <w:szCs w:val="20"/>
                <w:highlight w:val="none"/>
              </w:rPr>
            </w:pPr>
            <w:r>
              <w:rPr>
                <w:rFonts w:hint="default" w:ascii="Times New Roman" w:hAnsi="Times New Roman" w:eastAsia="方正仿宋_GBK" w:cs="Times New Roman"/>
                <w:spacing w:val="-6"/>
                <w:kern w:val="0"/>
                <w:sz w:val="20"/>
                <w:szCs w:val="20"/>
                <w:highlight w:val="none"/>
              </w:rPr>
              <w:t>《国务院侨务办公室公安部外交部关于简化和规范华侨回国定居办理工作的通知》（国侨发〔2019〕2号）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《四川省华侨权益保护条例》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雷电防护装置设计审核</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《中华人民共和国气象法》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《气象灾害防御条例》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《气象灾害防御条例》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《气象行政许可实施办法》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《雷电防护装置设计审核和竣工验收规定》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雷电防护装置竣工验收</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《中华人民共和国气象法》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《气象灾害防御条例》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《气象灾害防御条例》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《气象行政许可实施办法》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《雷电防护装置设计审核和竣工验收规定》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升放无人驾驶自由气球或者系留气球活动审批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《通用航空飞行管制条例》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《气象行政许可实施办法》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《国务院关于第六批取消和调整行政审批项目的决定》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《升放气球管理办法》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在电力设施周围或电力设施保护区内进行可能危及电力设施安全作业的审批</w:t>
            </w:r>
          </w:p>
        </w:tc>
        <w:tc>
          <w:tcPr>
            <w:tcW w:w="489" w:type="pct"/>
            <w:vMerge w:val="restart"/>
            <w:tcMar>
              <w:top w:w="15" w:type="dxa"/>
              <w:left w:w="15" w:type="dxa"/>
              <w:right w:w="15" w:type="dxa"/>
            </w:tcMar>
            <w:vAlign w:val="center"/>
          </w:tcPr>
          <w:p>
            <w:pPr>
              <w:widowControl/>
              <w:jc w:val="both"/>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经济和信息化局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经济和信息化局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《中华人民共和国电力法》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《中华人民共和国电力法》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《电力设施保护条例》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《电力设施保护条例》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新建不能满足管道保护要求的石油天然气管道防护方案审批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区发展改革局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区发展改革局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《中华人民共和国石油天然气管道保护法》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《中华人民共和国石油天然气管道保护法》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189</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可能影响石油天然气管道保护的施工作业审批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b/>
                <w:bCs/>
                <w:sz w:val="20"/>
                <w:szCs w:val="20"/>
                <w:highlight w:val="none"/>
              </w:rPr>
            </w:pPr>
            <w:r>
              <w:rPr>
                <w:rFonts w:hint="default" w:ascii="Times New Roman" w:hAnsi="Times New Roman" w:eastAsia="方正仿宋_GBK" w:cs="Times New Roman"/>
                <w:kern w:val="0"/>
                <w:sz w:val="20"/>
                <w:szCs w:val="20"/>
                <w:highlight w:val="none"/>
              </w:rPr>
              <w:t>区发展改革局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b/>
                <w:bCs/>
                <w:sz w:val="20"/>
                <w:szCs w:val="20"/>
                <w:highlight w:val="none"/>
              </w:rPr>
            </w:pPr>
            <w:r>
              <w:rPr>
                <w:rFonts w:hint="default" w:ascii="Times New Roman" w:hAnsi="Times New Roman" w:eastAsia="方正仿宋_GBK" w:cs="Times New Roman"/>
                <w:kern w:val="0"/>
                <w:sz w:val="20"/>
                <w:szCs w:val="20"/>
                <w:highlight w:val="none"/>
              </w:rPr>
              <w:t>区发展改革局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《中华人民共和国石油天然气管道保护法》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《中华人民共和国石油天然气管道保护法》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190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烟草专卖零售许可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烟草专卖局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区烟草专卖局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《中华人民共和国烟草专卖法》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《中华人民共和国烟草专卖法》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《中华人民共和国烟草专卖法实施条例》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《烟草专卖许可证管理办法》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《电子烟管理办法》</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（国家烟草专卖局公告2022年第1号）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普通护照签发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《中华人民共和国护照法》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《中华人民共和国护照法》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《中华人民共和国普通护照和出入境通行证签发管理办法》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192</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边境管理区通行证核发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《中华人民共和国边境管理区通行证管理办法》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193</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内地居民前往港澳通行证、往来港澳通行证及签注签发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《中国公民因私事往来香港地区或者澳门地区的暂行管理办法》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《中国公民因私事往来香港地区或者澳门地区的暂行管理办法》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194</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港澳居民来往内地通行证签发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r>
              <w:rPr>
                <w:rFonts w:hint="default" w:ascii="Times New Roman" w:hAnsi="Times New Roman" w:eastAsia="方正仿宋_GBK" w:cs="Times New Roman"/>
                <w:kern w:val="0"/>
                <w:sz w:val="20"/>
                <w:szCs w:val="20"/>
                <w:highlight w:val="none"/>
              </w:rPr>
              <w:t>（换发、补发）</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《中国公民因私事往来香港地区或者澳门地区的暂行管理办法》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《中国公民因私事往来香港地区或者澳门地区的暂行管理办法》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195</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大陆居民往来台湾通行证及签注签发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《中国公民往来台湾地区管理办法》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《中国公民往来台湾地区管理办法》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196</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台湾居民来往大陆通行证签发</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市公安局</w:t>
            </w:r>
            <w:r>
              <w:rPr>
                <w:rFonts w:hint="default" w:ascii="Times New Roman" w:hAnsi="Times New Roman" w:eastAsia="方正仿宋_GBK" w:cs="Times New Roman"/>
                <w:kern w:val="0"/>
                <w:sz w:val="20"/>
                <w:szCs w:val="20"/>
                <w:highlight w:val="none"/>
                <w:lang w:eastAsia="zh-CN"/>
              </w:rPr>
              <w:t>西区分局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《中国公民往来台湾地区管理办法》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《中国公民往来台湾地区管理办法》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受国家移民局委托实施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林草种子生产经营许可证核发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《中华人民共和国种子法》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进出口林草种子生产经营许可证核发受国家林草局委托实施。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《国务院关于深化</w:t>
            </w:r>
            <w:r>
              <w:rPr>
                <w:rFonts w:hint="default" w:ascii="Times New Roman" w:hAnsi="Times New Roman" w:eastAsia="方正仿宋_GBK" w:cs="Times New Roman"/>
                <w:kern w:val="0"/>
                <w:sz w:val="20"/>
                <w:szCs w:val="20"/>
                <w:highlight w:val="none"/>
                <w:lang w:eastAsia="zh-CN"/>
              </w:rPr>
              <w:t>“证照分离”</w:t>
            </w:r>
            <w:r>
              <w:rPr>
                <w:rFonts w:hint="default" w:ascii="Times New Roman" w:hAnsi="Times New Roman" w:eastAsia="方正仿宋_GBK" w:cs="Times New Roman"/>
                <w:kern w:val="0"/>
                <w:sz w:val="20"/>
                <w:szCs w:val="20"/>
                <w:highlight w:val="none"/>
              </w:rPr>
              <w:t>改革进一步激发市场主体发展活力的通知》（国发〔2021〕7号）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《林木种子生产经营许可证管理办法》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《国家林业和草原局公告》（</w:t>
            </w:r>
            <w:r>
              <w:rPr>
                <w:rFonts w:hint="default" w:ascii="Times New Roman" w:hAnsi="Times New Roman" w:eastAsia="方正仿宋_GBK" w:cs="Times New Roman"/>
                <w:kern w:val="0"/>
                <w:sz w:val="20"/>
                <w:szCs w:val="20"/>
                <w:highlight w:val="none"/>
                <w:lang w:val="en-US" w:eastAsia="zh-CN"/>
              </w:rPr>
              <w:t>2024年第10号</w:t>
            </w:r>
            <w:r>
              <w:rPr>
                <w:rFonts w:hint="default" w:ascii="Times New Roman" w:hAnsi="Times New Roman" w:eastAsia="方正仿宋_GBK" w:cs="Times New Roman"/>
                <w:kern w:val="0"/>
                <w:sz w:val="20"/>
                <w:szCs w:val="20"/>
                <w:highlight w:val="none"/>
                <w:lang w:eastAsia="zh-CN"/>
              </w:rPr>
              <w:t>）</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《四川省林木种子管理条例》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《四川省林业和草原局关于印发〈四川林草</w:t>
            </w:r>
            <w:r>
              <w:rPr>
                <w:rFonts w:hint="default" w:ascii="Times New Roman" w:hAnsi="Times New Roman" w:eastAsia="方正仿宋_GBK" w:cs="Times New Roman"/>
                <w:kern w:val="0"/>
                <w:sz w:val="20"/>
                <w:szCs w:val="20"/>
                <w:highlight w:val="none"/>
                <w:lang w:eastAsia="zh-CN"/>
              </w:rPr>
              <w:t>“证照分离”</w:t>
            </w:r>
            <w:r>
              <w:rPr>
                <w:rFonts w:hint="default" w:ascii="Times New Roman" w:hAnsi="Times New Roman" w:eastAsia="方正仿宋_GBK" w:cs="Times New Roman"/>
                <w:kern w:val="0"/>
                <w:sz w:val="20"/>
                <w:szCs w:val="20"/>
                <w:highlight w:val="none"/>
              </w:rPr>
              <w:t>改革全覆盖实施方案〉的通知》（川林发〔2021〕33号）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林草植物检疫证书核发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spacing w:after="22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区林业局（</w:t>
            </w:r>
            <w:r>
              <w:rPr>
                <w:rFonts w:hint="default" w:ascii="Times New Roman" w:hAnsi="Times New Roman" w:eastAsia="方正仿宋_GBK" w:cs="Times New Roman"/>
                <w:kern w:val="0"/>
                <w:sz w:val="20"/>
                <w:szCs w:val="20"/>
                <w:highlight w:val="none"/>
              </w:rPr>
              <w:t>植物检疫机构）</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《植物检疫条例实施细则（林业部分）》</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出省林业植物检疫证书签发权限委托市、县植物检疫机构实施</w:t>
            </w:r>
            <w:r>
              <w:rPr>
                <w:rFonts w:hint="default" w:ascii="Times New Roman" w:hAnsi="Times New Roman" w:eastAsia="方正仿宋_GBK" w:cs="Times New Roman"/>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《森林植物检疫技术规程》</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（林护通字〔1998〕43号）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《四川省植物检疫条例》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《财政</w:t>
            </w:r>
            <w:r>
              <w:rPr>
                <w:rFonts w:hint="default" w:ascii="Times New Roman" w:hAnsi="Times New Roman" w:eastAsia="方正仿宋_GBK" w:cs="Times New Roman"/>
                <w:sz w:val="20"/>
                <w:szCs w:val="20"/>
                <w:highlight w:val="none"/>
                <w:lang w:eastAsia="zh-CN"/>
              </w:rPr>
              <w:t>部</w:t>
            </w:r>
            <w:r>
              <w:rPr>
                <w:rFonts w:hint="default" w:ascii="Times New Roman" w:hAnsi="Times New Roman" w:eastAsia="方正仿宋_GBK" w:cs="Times New Roman"/>
                <w:sz w:val="20"/>
                <w:szCs w:val="20"/>
                <w:highlight w:val="none"/>
              </w:rPr>
              <w:t>发展改革委关于取消和暂停征收一批行政事业性收费有关问题的通知》</w:t>
            </w:r>
            <w:r>
              <w:rPr>
                <w:rFonts w:hint="default" w:ascii="Times New Roman" w:hAnsi="Times New Roman" w:eastAsia="方正仿宋_GBK" w:cs="Times New Roman"/>
                <w:sz w:val="20"/>
                <w:szCs w:val="20"/>
                <w:highlight w:val="none"/>
                <w:lang w:val="en-US" w:eastAsia="zh-CN"/>
              </w:rPr>
              <w:t xml:space="preserve"> </w:t>
            </w:r>
            <w:r>
              <w:rPr>
                <w:rFonts w:hint="default" w:ascii="Times New Roman" w:hAnsi="Times New Roman" w:eastAsia="方正仿宋_GBK" w:cs="Times New Roman"/>
                <w:sz w:val="20"/>
                <w:szCs w:val="20"/>
                <w:highlight w:val="none"/>
              </w:rPr>
              <w:t>（财税〔2015〕102号）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《国家林业和草原局关于进一步改进人造板检疫管理的通知》（林生规〔2019〕4号）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《四川省林业和草原有害生物防治检疫总站公告》（202</w:t>
            </w:r>
            <w:r>
              <w:rPr>
                <w:rFonts w:hint="default" w:ascii="Times New Roman" w:hAnsi="Times New Roman" w:eastAsia="方正仿宋_GBK" w:cs="Times New Roman"/>
                <w:color w:val="auto"/>
                <w:kern w:val="0"/>
                <w:sz w:val="20"/>
                <w:szCs w:val="20"/>
                <w:highlight w:val="none"/>
                <w:lang w:val="en-US" w:eastAsia="zh-CN"/>
              </w:rPr>
              <w:t>4</w:t>
            </w:r>
            <w:r>
              <w:rPr>
                <w:rFonts w:hint="default" w:ascii="Times New Roman" w:hAnsi="Times New Roman" w:eastAsia="方正仿宋_GBK" w:cs="Times New Roman"/>
                <w:color w:val="auto"/>
                <w:kern w:val="0"/>
                <w:sz w:val="20"/>
                <w:szCs w:val="20"/>
                <w:highlight w:val="none"/>
              </w:rPr>
              <w:t>年第1号）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199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建设项目使用林地及在森林和野生动物类型国家级自然保护区建设审批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《中华人民共和国森林法》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《中华人民共和国森林法》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val="en-US" w:eastAsia="zh-CN"/>
              </w:rPr>
              <w:t>1.</w:t>
            </w:r>
            <w:r>
              <w:rPr>
                <w:rFonts w:hint="default" w:ascii="Times New Roman" w:hAnsi="Times New Roman" w:eastAsia="方正仿宋_GBK" w:cs="Times New Roman"/>
                <w:kern w:val="0"/>
                <w:sz w:val="20"/>
                <w:szCs w:val="20"/>
                <w:highlight w:val="none"/>
              </w:rPr>
              <w:t>勘查、开采矿藏和各项建设工程占用或者征收、征用林地审核</w:t>
            </w:r>
            <w:r>
              <w:rPr>
                <w:rFonts w:hint="default" w:ascii="Times New Roman" w:hAnsi="Times New Roman" w:eastAsia="方正仿宋_GBK" w:cs="Times New Roman"/>
                <w:kern w:val="0"/>
                <w:sz w:val="20"/>
                <w:szCs w:val="20"/>
                <w:highlight w:val="none"/>
                <w:lang w:eastAsia="zh-CN"/>
              </w:rPr>
              <w:t>的省级权限委托设区的市级林草部门实施。</w:t>
            </w:r>
          </w:p>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2.盐边县</w:t>
            </w:r>
            <w:r>
              <w:rPr>
                <w:rFonts w:hint="default" w:ascii="Times New Roman" w:hAnsi="Times New Roman" w:eastAsia="方正仿宋_GBK" w:cs="Times New Roman"/>
                <w:kern w:val="0"/>
                <w:sz w:val="20"/>
                <w:szCs w:val="20"/>
                <w:highlight w:val="none"/>
                <w:lang w:eastAsia="zh-CN"/>
              </w:rPr>
              <w:t>、</w:t>
            </w:r>
            <w:r>
              <w:rPr>
                <w:rFonts w:hint="default" w:ascii="Times New Roman" w:hAnsi="Times New Roman" w:eastAsia="方正仿宋_GBK" w:cs="Times New Roman"/>
                <w:kern w:val="0"/>
                <w:sz w:val="20"/>
                <w:szCs w:val="20"/>
                <w:highlight w:val="none"/>
              </w:rPr>
              <w:t>米易县为扩权试点县。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《中华人民共和国自然保护区条例》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《建设项目使用林地审核审批管理办法》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《在国家级自然保护区修筑设施审批管理暂行办法》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《中华人民共和国森林法实施条例》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《国家林业和草原局公告》（2022年第17号）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《国家林业和草原局公告》（2023年第3号）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b/>
                <w:sz w:val="20"/>
                <w:szCs w:val="20"/>
                <w:highlight w:val="none"/>
              </w:rPr>
            </w:pPr>
            <w:r>
              <w:rPr>
                <w:rFonts w:hint="default" w:ascii="Times New Roman" w:hAnsi="Times New Roman" w:eastAsia="方正仿宋_GBK" w:cs="Times New Roman"/>
                <w:kern w:val="0"/>
                <w:sz w:val="20"/>
                <w:szCs w:val="20"/>
                <w:highlight w:val="none"/>
              </w:rPr>
              <w:t>《国家林业和草原局公告》（2023年第11号）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《国家林业和草原局关于印发〈建设项目使用林地审核审批管理规范〉的通知》（林资规〔2021〕5号）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jc w:val="lef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《使用林地可行性报告编制规范》（LY/T2492-2015）</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r>
              <w:rPr>
                <w:rFonts w:hint="default" w:ascii="Times New Roman" w:hAnsi="Times New Roman" w:eastAsia="方正仿宋_GBK" w:cs="Times New Roman"/>
                <w:sz w:val="20"/>
                <w:szCs w:val="20"/>
                <w:highlight w:val="none"/>
              </w:rPr>
              <w:t>《森林和野生动物类型自然保护区管理办法》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2</w:t>
            </w:r>
            <w:r>
              <w:rPr>
                <w:rFonts w:hint="default" w:ascii="Times New Roman" w:hAnsi="Times New Roman" w:eastAsia="方正仿宋_GBK" w:cs="Times New Roman"/>
                <w:kern w:val="0"/>
                <w:sz w:val="20"/>
                <w:szCs w:val="20"/>
                <w:highlight w:val="none"/>
              </w:rPr>
              <w:t>年第8号）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7</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keepNext/>
              <w:keepLines/>
              <w:widowControl/>
              <w:snapToGrid w:val="0"/>
              <w:spacing w:before="260" w:after="260" w:line="413" w:lineRule="auto"/>
              <w:jc w:val="both"/>
              <w:textAlignment w:val="center"/>
              <w:outlineLvl w:val="1"/>
              <w:rPr>
                <w:rFonts w:hint="default" w:ascii="Times New Roman" w:hAnsi="Times New Roman" w:eastAsia="方正仿宋_GBK" w:cs="Times New Roman"/>
                <w:b/>
                <w:bCs/>
                <w:kern w:val="0"/>
                <w:sz w:val="20"/>
                <w:szCs w:val="20"/>
                <w:highlight w:val="none"/>
                <w:lang w:val="en-US" w:eastAsia="zh-CN" w:bidi="ar-SA"/>
              </w:rPr>
            </w:pPr>
            <w:r>
              <w:rPr>
                <w:rFonts w:hint="default" w:ascii="Times New Roman" w:hAnsi="Times New Roman" w:eastAsia="方正仿宋_GBK" w:cs="Times New Roman"/>
                <w:b w:val="0"/>
                <w:bCs/>
                <w:kern w:val="0"/>
                <w:sz w:val="20"/>
                <w:szCs w:val="20"/>
                <w:highlight w:val="none"/>
                <w:lang w:val="en-US" w:eastAsia="zh-CN" w:bidi="ar-SA"/>
              </w:rPr>
              <w:t>《四川省林业和草原局关于印发〈四川省建设项目使用林地审核审批管理规范〉的通知》（川林规发〔2022〕2 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建设项目使用草原审批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《中华人民共和国草原法》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《中华人民共和国草原法》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《国家林业和草原局公告》（2023年第2号）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sz w:val="20"/>
                <w:szCs w:val="20"/>
                <w:highlight w:val="none"/>
              </w:rPr>
              <w:t>《国家林业和草原局公告》</w:t>
            </w:r>
            <w:r>
              <w:rPr>
                <w:rFonts w:hint="default" w:ascii="Times New Roman" w:hAnsi="Times New Roman" w:eastAsia="方正仿宋_GBK" w:cs="Times New Roman"/>
                <w:kern w:val="0"/>
                <w:sz w:val="20"/>
                <w:szCs w:val="20"/>
                <w:highlight w:val="none"/>
              </w:rPr>
              <w:t>（2023年第11号）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《草原征占用审核审批管理规范》（林草规〔2020〕2 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lang w:val="en-US" w:eastAsia="zh-CN"/>
                <w14:textFill>
                  <w14:solidFill>
                    <w14:schemeClr w14:val="tx1"/>
                  </w14:solidFill>
                </w14:textFill>
              </w:rPr>
              <w:t>201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林木采伐许可证核发</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《中华人民共和国森林法》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《中华人民共和国森林法》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《中华人民共和国森林法实施条例》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《四川省绿化条例》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FF0000"/>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FF0000"/>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FF0000"/>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highlight w:val="none"/>
                <w14:textFill>
                  <w14:solidFill>
                    <w14:schemeClr w14:val="tx1"/>
                  </w14:solidFill>
                </w14:textFill>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highlight w:val="none"/>
                <w14:textFill>
                  <w14:solidFill>
                    <w14:schemeClr w14:val="tx1"/>
                  </w14:solidFill>
                </w14:textFill>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《四川省林木采伐管理办法》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757" w:type="pct"/>
            <w:vMerge w:val="restart"/>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《中华人民共和国森林法实施条例》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《四川省人民政府关于开展扩权强县试点工作的实施意见》（川府发〔2007〕58号）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《四川省人民政府关于印发进一步向扩权试点县（市）下放部分市级管理权限目录的通知》（川府发〔2015〕12号）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《四川省林业和草原局公告》（202</w:t>
            </w:r>
            <w:r>
              <w:rPr>
                <w:rFonts w:hint="default" w:ascii="Times New Roman" w:hAnsi="Times New Roman" w:eastAsia="方正仿宋_GBK" w:cs="Times New Roman"/>
                <w:color w:val="000000" w:themeColor="text1"/>
                <w:kern w:val="0"/>
                <w:sz w:val="20"/>
                <w:szCs w:val="20"/>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年第</w:t>
            </w:r>
            <w:r>
              <w:rPr>
                <w:rFonts w:hint="default" w:ascii="Times New Roman" w:hAnsi="Times New Roman" w:eastAsia="方正仿宋_GBK" w:cs="Times New Roman"/>
                <w:color w:val="000000" w:themeColor="text1"/>
                <w:kern w:val="0"/>
                <w:sz w:val="20"/>
                <w:szCs w:val="20"/>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FF0000"/>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FF0000"/>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FF0000"/>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《四川省林业和草原局公告》（202</w:t>
            </w:r>
            <w:r>
              <w:rPr>
                <w:rFonts w:hint="default" w:ascii="Times New Roman" w:hAnsi="Times New Roman" w:eastAsia="方正仿宋_GBK" w:cs="Times New Roman"/>
                <w:color w:val="000000" w:themeColor="text1"/>
                <w:kern w:val="0"/>
                <w:sz w:val="20"/>
                <w:szCs w:val="20"/>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年第</w:t>
            </w:r>
            <w:r>
              <w:rPr>
                <w:rFonts w:hint="default" w:ascii="Times New Roman" w:hAnsi="Times New Roman" w:eastAsia="方正仿宋_GBK" w:cs="Times New Roman"/>
                <w:color w:val="000000" w:themeColor="text1"/>
                <w:kern w:val="0"/>
                <w:sz w:val="20"/>
                <w:szCs w:val="20"/>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color w:val="FF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202</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从事营利性治沙活动许可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《中华人民共和国防沙治沙法》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《中华人民共和国防沙治沙法》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color w:val="7030A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color w:val="000000" w:themeColor="text1"/>
                <w:sz w:val="20"/>
                <w:szCs w:val="20"/>
                <w:highlight w:val="none"/>
                <w14:textFill>
                  <w14:solidFill>
                    <w14:schemeClr w14:val="tx1"/>
                  </w14:solidFill>
                </w14:textFill>
              </w:rPr>
            </w:pPr>
            <w:r>
              <w:rPr>
                <w:rFonts w:hint="default" w:ascii="Times New Roman" w:hAnsi="Times New Roman" w:eastAsia="方正仿宋_GBK" w:cs="Times New Roman"/>
                <w:color w:val="000000" w:themeColor="text1"/>
                <w:kern w:val="0"/>
                <w:sz w:val="20"/>
                <w:szCs w:val="20"/>
                <w:highlight w:val="none"/>
                <w14:textFill>
                  <w14:solidFill>
                    <w14:schemeClr w14:val="tx1"/>
                  </w14:solidFill>
                </w14:textFill>
              </w:rPr>
              <w:t>《四川省〈中华人民共和国防沙治沙法〉实施办法》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3"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jc w:val="center"/>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《营利性治沙管理办法》</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在风景名胜区内从事建设、设置广告、举办大型游乐活动以及其他影响生态和景观活动许可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《风景名胜区条例》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《风景名胜区条例》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《四川省风景名胜区条例》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204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猎捕陆生野生动物审批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《中华人民共和国野生动物保护法》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《中华人民共和国野生动物保护法》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《中华人民共和国陆生野生动物保护实施条例》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《中华人民共和国陆生野生动物保护实施条例》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《四川省〈中华人民共和国野生动物保护法〉实施办法》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w:t>
            </w:r>
            <w:r>
              <w:rPr>
                <w:rFonts w:hint="eastAsia" w:ascii="Times New Roman" w:hAnsi="Times New Roman" w:eastAsia="方正仿宋_GBK" w:cs="Times New Roman"/>
                <w:kern w:val="0"/>
                <w:sz w:val="20"/>
                <w:szCs w:val="20"/>
                <w:highlight w:val="none"/>
                <w:lang w:eastAsia="zh-CN"/>
              </w:rPr>
              <w:t>国家</w:t>
            </w:r>
            <w:r>
              <w:rPr>
                <w:rFonts w:hint="default" w:ascii="Times New Roman" w:hAnsi="Times New Roman" w:eastAsia="方正仿宋_GBK" w:cs="Times New Roman"/>
                <w:kern w:val="0"/>
                <w:sz w:val="20"/>
                <w:szCs w:val="20"/>
                <w:highlight w:val="none"/>
              </w:rPr>
              <w:t>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19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森林草原防火期内在森林草原防火区野外用火审批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区林业局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《四川省森林防火条例》</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《攀枝花市森林草原防灭火条例》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森林草原防火期内在森林草原防火区爆破、勘察和施工等活动审批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《四川省森林防火条例》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《四川省林业和草原局公告》（202</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年第</w:t>
            </w:r>
            <w:r>
              <w:rPr>
                <w:rFonts w:hint="default" w:ascii="Times New Roman" w:hAnsi="Times New Roman" w:eastAsia="方正仿宋_GBK" w:cs="Times New Roman"/>
                <w:kern w:val="0"/>
                <w:sz w:val="20"/>
                <w:szCs w:val="20"/>
                <w:highlight w:val="none"/>
                <w:lang w:val="en-US" w:eastAsia="zh-CN"/>
              </w:rPr>
              <w:t>9</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进入森林高火险区、草原防火管制区审批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《森林防火条例》</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《草原防火条例》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53" w:type="pct"/>
            <w:tcMar>
              <w:top w:w="15" w:type="dxa"/>
              <w:left w:w="15" w:type="dxa"/>
              <w:right w:w="15" w:type="dxa"/>
            </w:tcMar>
            <w:vAlign w:val="center"/>
          </w:tcPr>
          <w:p>
            <w:pPr>
              <w:widowControl/>
              <w:wordWrap w:val="0"/>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208</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val="en-US" w:eastAsia="zh-CN"/>
              </w:rPr>
              <w:t>古树名木移植审批</w:t>
            </w:r>
          </w:p>
        </w:tc>
        <w:tc>
          <w:tcPr>
            <w:tcW w:w="489"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《古树名木保护条例》</w:t>
            </w:r>
          </w:p>
        </w:tc>
        <w:tc>
          <w:tcPr>
            <w:tcW w:w="1525"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《古树名木保护条例》</w:t>
            </w:r>
          </w:p>
          <w:p>
            <w:pPr>
              <w:widowControl/>
              <w:wordWrap w:val="0"/>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《四川省古树名木保护条例》</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209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工商企业等社会资本通过流转取得林地经营权审批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林业局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《中华人民共和国农村土地承包法》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《中华人民共和国农村土地承包法》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建设工程文物保护许可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《四川省〈中华人民共和国文物保护法〉实施办法》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211</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文物保护单位原址保护措施审批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trPr>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212</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核定为文物保护单位的属于国家所有的纪念建筑物或者古建筑改变用途审批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不可移动文物修缮审批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《四川省〈中华人民共和国文物保护法〉实施办法》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非国有文物收藏单位和其他单位借用国有馆藏文物审批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《中华人民共和国文物保护法实施条例》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博物馆处理不够入藏标准、无保存价值的文物或标本审批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文广旅局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《国务院对确需保留的行政审批项目设定行政许可的决定》</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《中华人民共和国文物保护法》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《博物馆管理办法》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《国有馆藏文物退出管理暂行办法》（文物博发〔2018〕9号）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确有专长的中医医师资格认定</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区卫生健康局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区卫生健康局（受理并逐级上报）</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b/>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《中医医术确有专长人员医师资格考核注册管理暂行办法》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b/>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确有专长的中医医师执业注册</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《中医医术确有专长人员医师资格考核注册管理暂行办法》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中医医疗机构设置审批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219</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中医医疗机构执业登记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区卫生健康局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《中华人民共和国中医药法》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《医疗机构管理条例》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2"/>
                <w:szCs w:val="22"/>
                <w:highlight w:val="none"/>
                <w:lang w:val="en-US" w:eastAsia="zh-CN"/>
              </w:rPr>
              <w:t>220</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矿山建设项目安全设施设计审查</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应急管理局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区应急管理局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《中华人民共和国安全生产法》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《煤矿建设项目安全设施监察规定》</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《建设项目安全设施</w:t>
            </w:r>
            <w:r>
              <w:rPr>
                <w:rFonts w:hint="default" w:ascii="Times New Roman" w:hAnsi="Times New Roman" w:eastAsia="方正仿宋_GBK" w:cs="Times New Roman"/>
                <w:kern w:val="0"/>
                <w:sz w:val="20"/>
                <w:szCs w:val="20"/>
                <w:highlight w:val="none"/>
                <w:lang w:eastAsia="zh-CN"/>
              </w:rPr>
              <w:t>“三同时”</w:t>
            </w:r>
            <w:r>
              <w:rPr>
                <w:rFonts w:hint="default" w:ascii="Times New Roman" w:hAnsi="Times New Roman" w:eastAsia="方正仿宋_GBK" w:cs="Times New Roman"/>
                <w:kern w:val="0"/>
                <w:sz w:val="20"/>
                <w:szCs w:val="20"/>
                <w:highlight w:val="none"/>
              </w:rPr>
              <w:t>监督管理办法》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《煤矿安全</w:t>
            </w:r>
            <w:r>
              <w:rPr>
                <w:rFonts w:hint="eastAsia" w:ascii="Times New Roman" w:hAnsi="Times New Roman" w:eastAsia="方正仿宋_GBK" w:cs="Times New Roman"/>
                <w:kern w:val="0"/>
                <w:sz w:val="20"/>
                <w:szCs w:val="20"/>
                <w:highlight w:val="none"/>
                <w:lang w:eastAsia="zh-CN"/>
              </w:rPr>
              <w:t>生产</w:t>
            </w:r>
            <w:r>
              <w:rPr>
                <w:rFonts w:hint="default" w:ascii="Times New Roman" w:hAnsi="Times New Roman" w:eastAsia="方正仿宋_GBK" w:cs="Times New Roman"/>
                <w:kern w:val="0"/>
                <w:sz w:val="20"/>
                <w:szCs w:val="20"/>
                <w:highlight w:val="none"/>
              </w:rPr>
              <w:t>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《国家安全监管总局办公厅关于切实做好国家取消和下放投资审批有关建设项目安全监管工作的通知》（安监总厅政法〔2013〕120号）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《国家安全监管总局办公厅关于明确非煤矿山建设项目安全监管职责等事项的通知》（安监总厅管一〔2013〕143号）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《国家矿山安全监察局关于进一步加强非煤矿山安全生产行政许可工作的通知》</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矿安</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70</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《中华人民共和国应急管理部公告》（2021年第1号）</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3"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8"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489"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674"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757"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《四川省应急管理厅关于进一步明确安全生产政务服务事项分类分级审查的通知》</w:t>
            </w:r>
            <w:r>
              <w:rPr>
                <w:rFonts w:hint="default" w:ascii="Times New Roman" w:hAnsi="Times New Roman" w:eastAsia="方正仿宋_GBK" w:cs="Times New Roman"/>
                <w:kern w:val="0"/>
                <w:sz w:val="20"/>
                <w:szCs w:val="20"/>
                <w:highlight w:val="none"/>
                <w:lang w:val="en-US" w:eastAsia="zh-CN"/>
              </w:rPr>
              <w:t xml:space="preserve"> </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川应急规</w:t>
            </w:r>
            <w:r>
              <w:rPr>
                <w:rFonts w:hint="default" w:ascii="Times New Roman" w:hAnsi="Times New Roman" w:eastAsia="方正仿宋_GBK" w:cs="Times New Roman"/>
                <w:kern w:val="0"/>
                <w:sz w:val="20"/>
                <w:szCs w:val="20"/>
                <w:highlight w:val="none"/>
              </w:rPr>
              <w:t>〔20</w:t>
            </w:r>
            <w:r>
              <w:rPr>
                <w:rFonts w:hint="default" w:ascii="Times New Roman" w:hAnsi="Times New Roman" w:eastAsia="方正仿宋_GBK" w:cs="Times New Roman"/>
                <w:kern w:val="0"/>
                <w:sz w:val="20"/>
                <w:szCs w:val="20"/>
                <w:highlight w:val="none"/>
                <w:lang w:val="en-US" w:eastAsia="zh-CN"/>
              </w:rPr>
              <w:t>24</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val="en-US" w:eastAsia="zh-CN"/>
              </w:rPr>
              <w:t>3</w:t>
            </w:r>
            <w:r>
              <w:rPr>
                <w:rFonts w:hint="default" w:ascii="Times New Roman" w:hAnsi="Times New Roman" w:eastAsia="方正仿宋_GBK" w:cs="Times New Roman"/>
                <w:kern w:val="0"/>
                <w:sz w:val="20"/>
                <w:szCs w:val="20"/>
                <w:highlight w:val="none"/>
              </w:rPr>
              <w:t>号）</w:t>
            </w:r>
          </w:p>
        </w:tc>
        <w:tc>
          <w:tcPr>
            <w:tcW w:w="720" w:type="pct"/>
            <w:vMerge w:val="continue"/>
            <w:tcMar>
              <w:top w:w="15" w:type="dxa"/>
              <w:left w:w="15" w:type="dxa"/>
              <w:right w:w="15" w:type="dxa"/>
            </w:tcMar>
            <w:vAlign w:val="center"/>
          </w:tcPr>
          <w:p>
            <w:pPr>
              <w:widowControl/>
              <w:textAlignment w:val="center"/>
              <w:rPr>
                <w:rFonts w:hint="default" w:ascii="Times New Roman" w:hAnsi="Times New Roman" w:eastAsia="方正仿宋_GBK"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221</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药品零售企业经营许可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《中华人民共和国药品管理法》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《中华人民共和国药品管理法》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《中华人民共和国药品管理法实施条例》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《药品经营</w:t>
            </w:r>
            <w:r>
              <w:rPr>
                <w:rFonts w:hint="default" w:ascii="Times New Roman" w:hAnsi="Times New Roman" w:eastAsia="方正仿宋_GBK" w:cs="Times New Roman"/>
                <w:kern w:val="0"/>
                <w:sz w:val="20"/>
                <w:szCs w:val="20"/>
                <w:highlight w:val="none"/>
                <w:lang w:eastAsia="zh-CN"/>
              </w:rPr>
              <w:t>和使用质量监督</w:t>
            </w:r>
            <w:r>
              <w:rPr>
                <w:rFonts w:hint="default" w:ascii="Times New Roman" w:hAnsi="Times New Roman" w:eastAsia="方正仿宋_GBK" w:cs="Times New Roman"/>
                <w:kern w:val="0"/>
                <w:sz w:val="20"/>
                <w:szCs w:val="20"/>
                <w:highlight w:val="none"/>
              </w:rPr>
              <w:t>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222</w:t>
            </w:r>
          </w:p>
        </w:tc>
        <w:tc>
          <w:tcPr>
            <w:tcW w:w="678" w:type="pc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科研和教学用毒性药品购买审批</w:t>
            </w:r>
          </w:p>
        </w:tc>
        <w:tc>
          <w:tcPr>
            <w:tcW w:w="489" w:type="pc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市场监管局</w:t>
            </w:r>
          </w:p>
        </w:tc>
        <w:tc>
          <w:tcPr>
            <w:tcW w:w="674"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区市场监管局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《医疗用毒性药品管理办法》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《医疗用毒性药品管理办法》</w:t>
            </w:r>
          </w:p>
        </w:tc>
        <w:tc>
          <w:tcPr>
            <w:tcW w:w="720" w:type="pc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223</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延期移交档案审批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区委办公室（区</w:t>
            </w:r>
            <w:r>
              <w:rPr>
                <w:rFonts w:hint="default" w:ascii="Times New Roman" w:hAnsi="Times New Roman" w:eastAsia="方正仿宋_GBK" w:cs="Times New Roman"/>
                <w:kern w:val="0"/>
                <w:sz w:val="20"/>
                <w:szCs w:val="20"/>
                <w:highlight w:val="none"/>
              </w:rPr>
              <w:t>档案局</w:t>
            </w:r>
            <w:r>
              <w:rPr>
                <w:rFonts w:hint="default" w:ascii="Times New Roman" w:hAnsi="Times New Roman" w:eastAsia="方正仿宋_GBK" w:cs="Times New Roman"/>
                <w:kern w:val="0"/>
                <w:sz w:val="20"/>
                <w:szCs w:val="20"/>
                <w:highlight w:val="none"/>
                <w:lang w:eastAsia="zh-CN"/>
              </w:rPr>
              <w:t>）</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区委办公室（区</w:t>
            </w:r>
            <w:r>
              <w:rPr>
                <w:rFonts w:hint="default" w:ascii="Times New Roman" w:hAnsi="Times New Roman" w:eastAsia="方正仿宋_GBK" w:cs="Times New Roman"/>
                <w:kern w:val="0"/>
                <w:sz w:val="20"/>
                <w:szCs w:val="20"/>
                <w:highlight w:val="none"/>
              </w:rPr>
              <w:t>档案局</w:t>
            </w:r>
            <w:r>
              <w:rPr>
                <w:rFonts w:hint="default" w:ascii="Times New Roman" w:hAnsi="Times New Roman" w:eastAsia="方正仿宋_GBK" w:cs="Times New Roman"/>
                <w:kern w:val="0"/>
                <w:sz w:val="20"/>
                <w:szCs w:val="20"/>
                <w:highlight w:val="none"/>
                <w:lang w:eastAsia="zh-CN"/>
              </w:rPr>
              <w:t>）</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《中华人民共和国档案法实施</w:t>
            </w:r>
            <w:r>
              <w:rPr>
                <w:rFonts w:hint="default" w:ascii="Times New Roman" w:hAnsi="Times New Roman" w:eastAsia="方正仿宋_GBK" w:cs="Times New Roman"/>
                <w:kern w:val="0"/>
                <w:sz w:val="20"/>
                <w:szCs w:val="20"/>
                <w:highlight w:val="none"/>
                <w:lang w:eastAsia="zh-CN"/>
              </w:rPr>
              <w:t>条例</w:t>
            </w:r>
            <w:r>
              <w:rPr>
                <w:rFonts w:hint="default" w:ascii="Times New Roman" w:hAnsi="Times New Roman" w:eastAsia="方正仿宋_GBK" w:cs="Times New Roman"/>
                <w:kern w:val="0"/>
                <w:sz w:val="20"/>
                <w:szCs w:val="20"/>
                <w:highlight w:val="none"/>
              </w:rPr>
              <w:t>》</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《中华人民共和国档案法》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《中华人民共和国档案法实施</w:t>
            </w:r>
            <w:r>
              <w:rPr>
                <w:rFonts w:hint="default" w:ascii="Times New Roman" w:hAnsi="Times New Roman" w:eastAsia="方正仿宋_GBK" w:cs="Times New Roman"/>
                <w:kern w:val="0"/>
                <w:sz w:val="20"/>
                <w:szCs w:val="20"/>
                <w:highlight w:val="none"/>
                <w:lang w:eastAsia="zh-CN"/>
              </w:rPr>
              <w:t>条例</w:t>
            </w:r>
            <w:r>
              <w:rPr>
                <w:rFonts w:hint="default" w:ascii="Times New Roman" w:hAnsi="Times New Roman" w:eastAsia="方正仿宋_GBK" w:cs="Times New Roman"/>
                <w:kern w:val="0"/>
                <w:sz w:val="20"/>
                <w:szCs w:val="20"/>
                <w:highlight w:val="none"/>
              </w:rPr>
              <w:t>》</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224</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电影放映单位设立审批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w:t>
            </w:r>
            <w:r>
              <w:rPr>
                <w:rFonts w:hint="default" w:ascii="Times New Roman" w:hAnsi="Times New Roman" w:eastAsia="方正仿宋_GBK" w:cs="Times New Roman"/>
                <w:kern w:val="0"/>
                <w:sz w:val="20"/>
                <w:szCs w:val="20"/>
                <w:highlight w:val="none"/>
              </w:rPr>
              <w:t>新闻出版局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区新闻出版局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《中华人民共和国电影产业促进法》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《中华人民共和国电影产业促进法》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《电影管理条例》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《外商投资电影院暂行规定》</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225</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事业单位登记</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区委编办</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区委编办</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《事业单位登记管理暂行条例》</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《事业单位登记管理暂行条例实施细则》（中央编办发〔2014〕4号）</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《四川省事业单位登记管理办法》</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226</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占用国防交通控制范围土地审批</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w:t>
            </w:r>
            <w:r>
              <w:rPr>
                <w:rFonts w:hint="default" w:ascii="Times New Roman" w:hAnsi="Times New Roman" w:eastAsia="方正仿宋_GBK" w:cs="Times New Roman"/>
                <w:kern w:val="0"/>
                <w:sz w:val="20"/>
                <w:szCs w:val="20"/>
                <w:highlight w:val="none"/>
              </w:rPr>
              <w:t>交通运输局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lang w:eastAsia="zh-CN"/>
              </w:rPr>
              <w:t>区农业农村和</w:t>
            </w:r>
            <w:r>
              <w:rPr>
                <w:rFonts w:hint="default" w:ascii="Times New Roman" w:hAnsi="Times New Roman" w:eastAsia="方正仿宋_GBK" w:cs="Times New Roman"/>
                <w:kern w:val="0"/>
                <w:sz w:val="20"/>
                <w:szCs w:val="20"/>
                <w:highlight w:val="none"/>
              </w:rPr>
              <w:t>交通运输局</w:t>
            </w: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《中华人民共和国国防交通法》</w:t>
            </w:r>
          </w:p>
        </w:tc>
        <w:tc>
          <w:tcPr>
            <w:tcW w:w="1525"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《四川省国防交通管理办法》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《国防交通条例》</w:t>
            </w:r>
          </w:p>
        </w:tc>
        <w:tc>
          <w:tcPr>
            <w:tcW w:w="1525"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227</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pacing w:val="-11"/>
                <w:kern w:val="0"/>
                <w:sz w:val="20"/>
                <w:szCs w:val="20"/>
                <w:highlight w:val="none"/>
              </w:rPr>
              <w:t>建设工程、临时建设工程规划许可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市自然资源和规划局</w:t>
            </w:r>
            <w:r>
              <w:rPr>
                <w:rFonts w:hint="default" w:ascii="Times New Roman" w:hAnsi="Times New Roman" w:eastAsia="方正仿宋_GBK" w:cs="Times New Roman"/>
                <w:kern w:val="0"/>
                <w:sz w:val="20"/>
                <w:szCs w:val="20"/>
                <w:highlight w:val="none"/>
                <w:lang w:eastAsia="zh-CN"/>
              </w:rPr>
              <w:t>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市自然资源和规划局</w:t>
            </w:r>
            <w:r>
              <w:rPr>
                <w:rFonts w:hint="default" w:ascii="Times New Roman" w:hAnsi="Times New Roman" w:eastAsia="方正仿宋_GBK" w:cs="Times New Roman"/>
                <w:kern w:val="0"/>
                <w:sz w:val="20"/>
                <w:szCs w:val="20"/>
                <w:highlight w:val="none"/>
                <w:lang w:eastAsia="zh-CN"/>
              </w:rPr>
              <w:t>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wordWrap w:val="0"/>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《四川省城乡规划条例》</w:t>
            </w:r>
          </w:p>
        </w:tc>
        <w:tc>
          <w:tcPr>
            <w:tcW w:w="720" w:type="pct"/>
            <w:vMerge w:val="continue"/>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0"/>
                <w:sz w:val="20"/>
                <w:szCs w:val="20"/>
                <w:highlight w:val="none"/>
                <w:lang w:val="en-US" w:eastAsia="zh-CN"/>
              </w:rPr>
            </w:pPr>
            <w:r>
              <w:rPr>
                <w:rFonts w:hint="default" w:ascii="Times New Roman" w:hAnsi="Times New Roman" w:eastAsia="方正仿宋_GBK" w:cs="Times New Roman"/>
                <w:kern w:val="0"/>
                <w:sz w:val="20"/>
                <w:szCs w:val="20"/>
                <w:highlight w:val="none"/>
                <w:lang w:val="en-US" w:eastAsia="zh-CN"/>
              </w:rPr>
              <w:t>228</w:t>
            </w:r>
          </w:p>
        </w:tc>
        <w:tc>
          <w:tcPr>
            <w:tcW w:w="678" w:type="pct"/>
            <w:vMerge w:val="restart"/>
            <w:tcMar>
              <w:top w:w="15" w:type="dxa"/>
              <w:left w:w="15" w:type="dxa"/>
              <w:right w:w="15" w:type="dxa"/>
            </w:tcMar>
            <w:vAlign w:val="center"/>
          </w:tcPr>
          <w:p>
            <w:pPr>
              <w:widowControl/>
              <w:wordWrap w:val="0"/>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乡村建设规划许可</w:t>
            </w:r>
          </w:p>
        </w:tc>
        <w:tc>
          <w:tcPr>
            <w:tcW w:w="489" w:type="pct"/>
            <w:vMerge w:val="restart"/>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市自然资源和规划局</w:t>
            </w:r>
            <w:r>
              <w:rPr>
                <w:rFonts w:hint="default" w:ascii="Times New Roman" w:hAnsi="Times New Roman" w:eastAsia="方正仿宋_GBK" w:cs="Times New Roman"/>
                <w:kern w:val="0"/>
                <w:sz w:val="20"/>
                <w:szCs w:val="20"/>
                <w:highlight w:val="none"/>
                <w:lang w:eastAsia="zh-CN"/>
              </w:rPr>
              <w:t>西区分局</w:t>
            </w:r>
          </w:p>
        </w:tc>
        <w:tc>
          <w:tcPr>
            <w:tcW w:w="674"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rPr>
              <w:t>市自然资源和规划局</w:t>
            </w:r>
            <w:r>
              <w:rPr>
                <w:rFonts w:hint="default" w:ascii="Times New Roman" w:hAnsi="Times New Roman" w:eastAsia="方正仿宋_GBK" w:cs="Times New Roman"/>
                <w:kern w:val="0"/>
                <w:sz w:val="20"/>
                <w:szCs w:val="20"/>
                <w:highlight w:val="none"/>
                <w:lang w:eastAsia="zh-CN"/>
              </w:rPr>
              <w:t>西区分局</w:t>
            </w:r>
          </w:p>
        </w:tc>
        <w:tc>
          <w:tcPr>
            <w:tcW w:w="757" w:type="pct"/>
            <w:vMerge w:val="restar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1525" w:type="pct"/>
            <w:tcMar>
              <w:top w:w="15" w:type="dxa"/>
              <w:left w:w="15" w:type="dxa"/>
              <w:right w:w="15" w:type="dxa"/>
            </w:tcMar>
            <w:vAlign w:val="center"/>
          </w:tcPr>
          <w:p>
            <w:pPr>
              <w:widowControl/>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《中华人民共和国城乡规划法》</w:t>
            </w:r>
          </w:p>
        </w:tc>
        <w:tc>
          <w:tcPr>
            <w:tcW w:w="720" w:type="pct"/>
            <w:vMerge w:val="restart"/>
            <w:tcMar>
              <w:top w:w="15" w:type="dxa"/>
              <w:left w:w="15" w:type="dxa"/>
              <w:right w:w="15" w:type="dxa"/>
            </w:tcMar>
            <w:vAlign w:val="center"/>
          </w:tcPr>
          <w:p>
            <w:pPr>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jc w:val="lef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《四川省城乡规划条例》</w:t>
            </w:r>
          </w:p>
        </w:tc>
        <w:tc>
          <w:tcPr>
            <w:tcW w:w="720"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3"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8"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489" w:type="pct"/>
            <w:vMerge w:val="continue"/>
            <w:tcMar>
              <w:top w:w="15" w:type="dxa"/>
              <w:left w:w="15" w:type="dxa"/>
              <w:right w:w="15" w:type="dxa"/>
            </w:tcMar>
            <w:vAlign w:val="center"/>
          </w:tcPr>
          <w:p>
            <w:pPr>
              <w:jc w:val="center"/>
              <w:rPr>
                <w:rFonts w:hint="default" w:ascii="Times New Roman" w:hAnsi="Times New Roman" w:eastAsia="方正仿宋_GBK" w:cs="Times New Roman"/>
                <w:sz w:val="20"/>
                <w:szCs w:val="20"/>
                <w:highlight w:val="none"/>
              </w:rPr>
            </w:pPr>
          </w:p>
        </w:tc>
        <w:tc>
          <w:tcPr>
            <w:tcW w:w="674"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757"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c>
          <w:tcPr>
            <w:tcW w:w="1525" w:type="pct"/>
            <w:tcMar>
              <w:top w:w="15" w:type="dxa"/>
              <w:left w:w="15" w:type="dxa"/>
              <w:right w:w="15" w:type="dxa"/>
            </w:tcMar>
            <w:vAlign w:val="center"/>
          </w:tcPr>
          <w:p>
            <w:pPr>
              <w:widowControl/>
              <w:jc w:val="left"/>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《四川省农村住房建设管理办法》</w:t>
            </w:r>
          </w:p>
        </w:tc>
        <w:tc>
          <w:tcPr>
            <w:tcW w:w="720" w:type="pct"/>
            <w:vMerge w:val="continue"/>
            <w:tcMar>
              <w:top w:w="15" w:type="dxa"/>
              <w:left w:w="15" w:type="dxa"/>
              <w:right w:w="15" w:type="dxa"/>
            </w:tcMar>
            <w:vAlign w:val="center"/>
          </w:tcPr>
          <w:p>
            <w:pPr>
              <w:jc w:val="left"/>
              <w:rPr>
                <w:rFonts w:hint="default" w:ascii="Times New Roman" w:hAnsi="Times New Roman" w:eastAsia="方正仿宋_GBK" w:cs="Times New Roman"/>
                <w:sz w:val="20"/>
                <w:szCs w:val="20"/>
                <w:highlight w:val="none"/>
              </w:rPr>
            </w:pPr>
          </w:p>
        </w:tc>
      </w:tr>
    </w:tbl>
    <w:p>
      <w:pPr>
        <w:widowControl/>
        <w:numPr>
          <w:ilvl w:val="0"/>
          <w:numId w:val="0"/>
        </w:numPr>
        <w:spacing w:line="560" w:lineRule="exact"/>
        <w:jc w:val="both"/>
        <w:rPr>
          <w:rFonts w:hint="default" w:ascii="Times New Roman" w:hAnsi="Times New Roman" w:eastAsia="方正黑体_GBK" w:cs="Times New Roman"/>
          <w:kern w:val="0"/>
          <w:sz w:val="32"/>
          <w:szCs w:val="32"/>
          <w:highlight w:val="none"/>
          <w:lang w:eastAsia="zh-CN"/>
        </w:rPr>
      </w:pPr>
    </w:p>
    <w:p>
      <w:pPr>
        <w:widowControl/>
        <w:numPr>
          <w:ilvl w:val="0"/>
          <w:numId w:val="0"/>
        </w:numPr>
        <w:spacing w:line="560" w:lineRule="exact"/>
        <w:jc w:val="both"/>
        <w:rPr>
          <w:rFonts w:hint="default" w:ascii="Times New Roman" w:hAnsi="Times New Roman" w:eastAsia="方正黑体_GBK" w:cs="Times New Roman"/>
          <w:kern w:val="0"/>
          <w:sz w:val="32"/>
          <w:szCs w:val="32"/>
          <w:highlight w:val="none"/>
          <w:lang w:eastAsia="zh-CN"/>
        </w:rPr>
      </w:pPr>
    </w:p>
    <w:p>
      <w:pPr>
        <w:widowControl/>
        <w:numPr>
          <w:ilvl w:val="0"/>
          <w:numId w:val="0"/>
        </w:numPr>
        <w:spacing w:line="560" w:lineRule="exact"/>
        <w:jc w:val="both"/>
        <w:rPr>
          <w:rFonts w:hint="default" w:ascii="Times New Roman" w:hAnsi="Times New Roman" w:eastAsia="方正黑体_GBK" w:cs="Times New Roman"/>
          <w:kern w:val="0"/>
          <w:sz w:val="32"/>
          <w:szCs w:val="32"/>
          <w:highlight w:val="none"/>
          <w:lang w:eastAsia="zh-CN"/>
        </w:rPr>
      </w:pPr>
    </w:p>
    <w:p>
      <w:pPr>
        <w:pStyle w:val="2"/>
        <w:rPr>
          <w:rFonts w:hint="default" w:ascii="Times New Roman" w:hAnsi="Times New Roman" w:eastAsia="方正黑体_GBK" w:cs="Times New Roman"/>
          <w:kern w:val="0"/>
          <w:sz w:val="32"/>
          <w:szCs w:val="32"/>
          <w:highlight w:val="none"/>
          <w:lang w:eastAsia="zh-CN"/>
        </w:rPr>
      </w:pPr>
    </w:p>
    <w:p>
      <w:pPr>
        <w:pStyle w:val="2"/>
        <w:rPr>
          <w:rFonts w:hint="default" w:ascii="Times New Roman" w:hAnsi="Times New Roman" w:eastAsia="方正黑体_GBK" w:cs="Times New Roman"/>
          <w:kern w:val="0"/>
          <w:sz w:val="32"/>
          <w:szCs w:val="32"/>
          <w:highlight w:val="none"/>
          <w:lang w:eastAsia="zh-CN"/>
        </w:rPr>
      </w:pPr>
    </w:p>
    <w:p>
      <w:pPr>
        <w:pStyle w:val="2"/>
        <w:rPr>
          <w:rFonts w:hint="default" w:ascii="Times New Roman" w:hAnsi="Times New Roman" w:eastAsia="方正黑体_GBK" w:cs="Times New Roman"/>
          <w:kern w:val="0"/>
          <w:sz w:val="32"/>
          <w:szCs w:val="32"/>
          <w:highlight w:val="none"/>
          <w:lang w:eastAsia="zh-CN"/>
        </w:rPr>
      </w:pPr>
    </w:p>
    <w:p>
      <w:pPr>
        <w:widowControl/>
        <w:numPr>
          <w:ilvl w:val="0"/>
          <w:numId w:val="0"/>
        </w:numPr>
        <w:spacing w:line="560" w:lineRule="exact"/>
        <w:jc w:val="both"/>
        <w:rPr>
          <w:rFonts w:hint="default" w:ascii="Times New Roman" w:hAnsi="Times New Roman" w:eastAsia="方正黑体_GBK" w:cs="Times New Roman"/>
          <w:kern w:val="0"/>
          <w:sz w:val="32"/>
          <w:szCs w:val="32"/>
          <w:highlight w:val="none"/>
          <w:lang w:eastAsia="zh-CN"/>
        </w:rPr>
      </w:pPr>
      <w:r>
        <w:rPr>
          <w:rFonts w:hint="default" w:ascii="Times New Roman" w:hAnsi="Times New Roman" w:eastAsia="方正黑体_GBK" w:cs="Times New Roman"/>
          <w:kern w:val="0"/>
          <w:sz w:val="32"/>
          <w:szCs w:val="32"/>
          <w:highlight w:val="none"/>
          <w:lang w:eastAsia="zh-CN"/>
        </w:rPr>
        <w:t>二、省级地方性法规、省政府规章设定的行政许可事项</w:t>
      </w:r>
    </w:p>
    <w:tbl>
      <w:tblPr>
        <w:tblStyle w:val="20"/>
        <w:tblpPr w:leftFromText="180" w:rightFromText="180" w:vertAnchor="text" w:horzAnchor="page" w:tblpX="1924" w:tblpY="607"/>
        <w:tblOverlap w:val="never"/>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2"/>
        <w:gridCol w:w="1732"/>
        <w:gridCol w:w="1216"/>
        <w:gridCol w:w="1709"/>
        <w:gridCol w:w="1904"/>
        <w:gridCol w:w="381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rPr>
        <w:tc>
          <w:tcPr>
            <w:tcW w:w="171" w:type="pct"/>
            <w:tcMar>
              <w:top w:w="15" w:type="dxa"/>
              <w:left w:w="15" w:type="dxa"/>
              <w:right w:w="15" w:type="dxa"/>
            </w:tcMar>
            <w:vAlign w:val="center"/>
          </w:tcPr>
          <w:p>
            <w:pPr>
              <w:keepNext w:val="0"/>
              <w:keepLines w:val="0"/>
              <w:pageBreakBefore w:val="0"/>
              <w:widowControl/>
              <w:kinsoku/>
              <w:overflowPunct/>
              <w:topLinePunct w:val="0"/>
              <w:bidi w:val="0"/>
              <w:snapToGrid/>
              <w:spacing w:line="24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序号</w:t>
            </w:r>
          </w:p>
        </w:tc>
        <w:tc>
          <w:tcPr>
            <w:tcW w:w="685"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事项名称</w:t>
            </w:r>
          </w:p>
        </w:tc>
        <w:tc>
          <w:tcPr>
            <w:tcW w:w="48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主管部门</w:t>
            </w:r>
          </w:p>
        </w:tc>
        <w:tc>
          <w:tcPr>
            <w:tcW w:w="676"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实施机关</w:t>
            </w: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设定依据</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实施依据</w:t>
            </w:r>
          </w:p>
        </w:tc>
        <w:tc>
          <w:tcPr>
            <w:tcW w:w="725"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171" w:type="pct"/>
            <w:vMerge w:val="restar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2"/>
                <w:szCs w:val="22"/>
                <w:highlight w:val="none"/>
              </w:rPr>
              <w:t>1</w:t>
            </w:r>
          </w:p>
        </w:tc>
        <w:tc>
          <w:tcPr>
            <w:tcW w:w="685" w:type="pct"/>
            <w:vMerge w:val="restart"/>
            <w:tcMar>
              <w:top w:w="15" w:type="dxa"/>
              <w:left w:w="15" w:type="dxa"/>
              <w:right w:w="15" w:type="dxa"/>
            </w:tcMar>
            <w:vAlign w:val="center"/>
          </w:tcPr>
          <w:p>
            <w:pPr>
              <w:keepNext w:val="0"/>
              <w:keepLines w:val="0"/>
              <w:pageBreakBefore w:val="0"/>
              <w:widowControl/>
              <w:kinsoku/>
              <w:wordWrap w:val="0"/>
              <w:overflowPunct/>
              <w:topLinePunct w:val="0"/>
              <w:bidi w:val="0"/>
              <w:snapToGrid/>
              <w:spacing w:line="120" w:lineRule="auto"/>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天然水域鱼类资源的人工增殖放流审批</w:t>
            </w:r>
          </w:p>
        </w:tc>
        <w:tc>
          <w:tcPr>
            <w:tcW w:w="481" w:type="pct"/>
            <w:vMerge w:val="restar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w:t>
            </w:r>
            <w:r>
              <w:rPr>
                <w:rFonts w:hint="eastAsia" w:ascii="Times New Roman" w:hAnsi="Times New Roman" w:eastAsia="方正仿宋_GBK" w:cs="Times New Roman"/>
                <w:kern w:val="0"/>
                <w:sz w:val="20"/>
                <w:szCs w:val="20"/>
                <w:highlight w:val="none"/>
                <w:lang w:eastAsia="zh-CN"/>
              </w:rPr>
              <w:t>和</w:t>
            </w:r>
            <w:r>
              <w:rPr>
                <w:rFonts w:hint="default" w:ascii="Times New Roman" w:hAnsi="Times New Roman" w:eastAsia="方正仿宋_GBK" w:cs="Times New Roman"/>
                <w:kern w:val="0"/>
                <w:sz w:val="20"/>
                <w:szCs w:val="20"/>
                <w:highlight w:val="none"/>
                <w:lang w:eastAsia="zh-CN"/>
              </w:rPr>
              <w:t>交通运输局</w:t>
            </w:r>
          </w:p>
        </w:tc>
        <w:tc>
          <w:tcPr>
            <w:tcW w:w="676" w:type="pct"/>
            <w:vMerge w:val="restar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w:t>
            </w:r>
            <w:r>
              <w:rPr>
                <w:rFonts w:hint="eastAsia" w:ascii="Times New Roman" w:hAnsi="Times New Roman" w:eastAsia="方正仿宋_GBK" w:cs="Times New Roman"/>
                <w:kern w:val="0"/>
                <w:sz w:val="20"/>
                <w:szCs w:val="20"/>
                <w:highlight w:val="none"/>
                <w:lang w:eastAsia="zh-CN"/>
              </w:rPr>
              <w:t>和</w:t>
            </w:r>
            <w:r>
              <w:rPr>
                <w:rFonts w:hint="default" w:ascii="Times New Roman" w:hAnsi="Times New Roman" w:eastAsia="方正仿宋_GBK" w:cs="Times New Roman"/>
                <w:kern w:val="0"/>
                <w:sz w:val="20"/>
                <w:szCs w:val="20"/>
                <w:highlight w:val="none"/>
                <w:lang w:eastAsia="zh-CN"/>
              </w:rPr>
              <w:t>交通运输局</w:t>
            </w: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中华人民共和国野生动物保护法</w:t>
            </w:r>
            <w:r>
              <w:rPr>
                <w:rFonts w:hint="default" w:ascii="Times New Roman" w:hAnsi="Times New Roman" w:eastAsia="方正仿宋_GBK" w:cs="Times New Roman"/>
                <w:kern w:val="0"/>
                <w:sz w:val="20"/>
                <w:szCs w:val="20"/>
                <w:highlight w:val="none"/>
              </w:rPr>
              <w:t>》</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长江水生生物保护管理规定</w:t>
            </w:r>
            <w:r>
              <w:rPr>
                <w:rFonts w:hint="default" w:ascii="Times New Roman" w:hAnsi="Times New Roman" w:eastAsia="方正仿宋_GBK" w:cs="Times New Roman"/>
                <w:color w:val="auto"/>
                <w:kern w:val="0"/>
                <w:sz w:val="20"/>
                <w:szCs w:val="20"/>
                <w:highlight w:val="none"/>
              </w:rPr>
              <w:t>》</w:t>
            </w:r>
          </w:p>
        </w:tc>
        <w:tc>
          <w:tcPr>
            <w:tcW w:w="725" w:type="pct"/>
            <w:vMerge w:val="restart"/>
            <w:tcMar>
              <w:top w:w="15" w:type="dxa"/>
              <w:left w:w="15" w:type="dxa"/>
              <w:right w:w="15" w:type="dxa"/>
            </w:tcMar>
            <w:vAlign w:val="center"/>
          </w:tcPr>
          <w:p>
            <w:pPr>
              <w:keepNext w:val="0"/>
              <w:keepLines w:val="0"/>
              <w:pageBreakBefore w:val="0"/>
              <w:widowControl w:val="0"/>
              <w:kinsoku/>
              <w:overflowPunct/>
              <w:topLinePunct w:val="0"/>
              <w:autoSpaceDE w:val="0"/>
              <w:autoSpaceDN w:val="0"/>
              <w:bidi w:val="0"/>
              <w:adjustRightInd w:val="0"/>
              <w:snapToGrid/>
              <w:spacing w:line="120" w:lineRule="auto"/>
              <w:jc w:val="both"/>
              <w:rPr>
                <w:rFonts w:hint="default" w:ascii="Times New Roman" w:hAnsi="Times New Roman" w:eastAsia="方正仿宋_GBK"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71" w:type="pct"/>
            <w:vMerge w:val="continue"/>
            <w:tcMar>
              <w:top w:w="15" w:type="dxa"/>
              <w:left w:w="15" w:type="dxa"/>
              <w:right w:w="15" w:type="dxa"/>
            </w:tcMar>
            <w:vAlign w:val="center"/>
          </w:tcPr>
          <w:p>
            <w:pPr>
              <w:keepNext w:val="0"/>
              <w:keepLines w:val="0"/>
              <w:pageBreakBefore w:val="0"/>
              <w:widowControl/>
              <w:kinsoku/>
              <w:overflowPunct/>
              <w:topLinePunct w:val="0"/>
              <w:bidi w:val="0"/>
              <w:snapToGrid/>
              <w:spacing w:line="120" w:lineRule="auto"/>
              <w:textAlignment w:val="center"/>
              <w:rPr>
                <w:rFonts w:hint="default" w:ascii="Times New Roman" w:hAnsi="Times New Roman" w:eastAsia="方正仿宋_GBK" w:cs="Times New Roman"/>
                <w:highlight w:val="none"/>
              </w:rPr>
            </w:pPr>
          </w:p>
        </w:tc>
        <w:tc>
          <w:tcPr>
            <w:tcW w:w="685" w:type="pct"/>
            <w:vMerge w:val="continue"/>
            <w:tcMar>
              <w:top w:w="15" w:type="dxa"/>
              <w:left w:w="15" w:type="dxa"/>
              <w:right w:w="15" w:type="dxa"/>
            </w:tcMar>
            <w:vAlign w:val="center"/>
          </w:tcPr>
          <w:p>
            <w:pPr>
              <w:keepNext w:val="0"/>
              <w:keepLines w:val="0"/>
              <w:pageBreakBefore w:val="0"/>
              <w:widowControl/>
              <w:kinsoku/>
              <w:wordWrap w:val="0"/>
              <w:overflowPunct/>
              <w:topLinePunct w:val="0"/>
              <w:bidi w:val="0"/>
              <w:snapToGrid/>
              <w:spacing w:line="120" w:lineRule="auto"/>
              <w:textAlignment w:val="center"/>
              <w:rPr>
                <w:rFonts w:hint="default" w:ascii="Times New Roman" w:hAnsi="Times New Roman" w:eastAsia="方正仿宋_GBK" w:cs="Times New Roman"/>
                <w:kern w:val="0"/>
                <w:sz w:val="20"/>
                <w:szCs w:val="20"/>
                <w:highlight w:val="none"/>
              </w:rPr>
            </w:pPr>
          </w:p>
        </w:tc>
        <w:tc>
          <w:tcPr>
            <w:tcW w:w="481" w:type="pct"/>
            <w:vMerge w:val="continue"/>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highlight w:val="none"/>
              </w:rPr>
            </w:pPr>
          </w:p>
        </w:tc>
        <w:tc>
          <w:tcPr>
            <w:tcW w:w="676" w:type="pct"/>
            <w:vMerge w:val="continue"/>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highlight w:val="none"/>
              </w:rPr>
            </w:pP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中华人民共和国渔业法</w:t>
            </w: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实施办法</w:t>
            </w:r>
            <w:r>
              <w:rPr>
                <w:rFonts w:hint="default" w:ascii="Times New Roman" w:hAnsi="Times New Roman" w:eastAsia="方正仿宋_GBK" w:cs="Times New Roman"/>
                <w:kern w:val="0"/>
                <w:sz w:val="20"/>
                <w:szCs w:val="20"/>
                <w:highlight w:val="none"/>
              </w:rPr>
              <w:t>》</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eastAsia="zh-CN"/>
              </w:rPr>
              <w:t>水生生物增殖放流管理规定</w:t>
            </w:r>
            <w:r>
              <w:rPr>
                <w:rFonts w:hint="default" w:ascii="Times New Roman" w:hAnsi="Times New Roman" w:eastAsia="方正仿宋_GBK" w:cs="Times New Roman"/>
                <w:color w:val="auto"/>
                <w:kern w:val="0"/>
                <w:sz w:val="20"/>
                <w:szCs w:val="20"/>
                <w:highlight w:val="none"/>
              </w:rPr>
              <w:t>》</w:t>
            </w:r>
          </w:p>
        </w:tc>
        <w:tc>
          <w:tcPr>
            <w:tcW w:w="725" w:type="pct"/>
            <w:vMerge w:val="continue"/>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trPr>
        <w:tc>
          <w:tcPr>
            <w:tcW w:w="17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2"/>
                <w:szCs w:val="22"/>
                <w:highlight w:val="none"/>
              </w:rPr>
              <w:t>2</w:t>
            </w:r>
          </w:p>
        </w:tc>
        <w:tc>
          <w:tcPr>
            <w:tcW w:w="685" w:type="pct"/>
            <w:tcMar>
              <w:top w:w="15" w:type="dxa"/>
              <w:left w:w="15" w:type="dxa"/>
              <w:right w:w="15" w:type="dxa"/>
            </w:tcMar>
            <w:vAlign w:val="center"/>
          </w:tcPr>
          <w:p>
            <w:pPr>
              <w:keepNext w:val="0"/>
              <w:keepLines w:val="0"/>
              <w:pageBreakBefore w:val="0"/>
              <w:widowControl/>
              <w:kinsoku/>
              <w:wordWrap w:val="0"/>
              <w:overflowPunct/>
              <w:topLinePunct w:val="0"/>
              <w:bidi w:val="0"/>
              <w:snapToGrid/>
              <w:spacing w:line="120" w:lineRule="auto"/>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新建或迁建农村机电提灌站审批</w:t>
            </w:r>
          </w:p>
        </w:tc>
        <w:tc>
          <w:tcPr>
            <w:tcW w:w="48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w:t>
            </w:r>
            <w:r>
              <w:rPr>
                <w:rFonts w:hint="eastAsia" w:ascii="Times New Roman" w:hAnsi="Times New Roman" w:eastAsia="方正仿宋_GBK" w:cs="Times New Roman"/>
                <w:kern w:val="0"/>
                <w:sz w:val="20"/>
                <w:szCs w:val="20"/>
                <w:highlight w:val="none"/>
                <w:lang w:eastAsia="zh-CN"/>
              </w:rPr>
              <w:t>和</w:t>
            </w:r>
            <w:r>
              <w:rPr>
                <w:rFonts w:hint="default" w:ascii="Times New Roman" w:hAnsi="Times New Roman" w:eastAsia="方正仿宋_GBK" w:cs="Times New Roman"/>
                <w:kern w:val="0"/>
                <w:sz w:val="20"/>
                <w:szCs w:val="20"/>
                <w:highlight w:val="none"/>
                <w:lang w:eastAsia="zh-CN"/>
              </w:rPr>
              <w:t>交通运输局</w:t>
            </w:r>
          </w:p>
        </w:tc>
        <w:tc>
          <w:tcPr>
            <w:tcW w:w="676"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区农业农村</w:t>
            </w:r>
            <w:r>
              <w:rPr>
                <w:rFonts w:hint="eastAsia" w:ascii="Times New Roman" w:hAnsi="Times New Roman" w:eastAsia="方正仿宋_GBK" w:cs="Times New Roman"/>
                <w:kern w:val="0"/>
                <w:sz w:val="20"/>
                <w:szCs w:val="20"/>
                <w:highlight w:val="none"/>
                <w:lang w:eastAsia="zh-CN"/>
              </w:rPr>
              <w:t>和</w:t>
            </w:r>
            <w:r>
              <w:rPr>
                <w:rFonts w:hint="default" w:ascii="Times New Roman" w:hAnsi="Times New Roman" w:eastAsia="方正仿宋_GBK" w:cs="Times New Roman"/>
                <w:kern w:val="0"/>
                <w:sz w:val="20"/>
                <w:szCs w:val="20"/>
                <w:highlight w:val="none"/>
                <w:lang w:eastAsia="zh-CN"/>
              </w:rPr>
              <w:t>交通运输局</w:t>
            </w: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四川省农村机电提灌管理条例</w:t>
            </w:r>
            <w:r>
              <w:rPr>
                <w:rFonts w:hint="default" w:ascii="Times New Roman" w:hAnsi="Times New Roman" w:eastAsia="方正仿宋_GBK" w:cs="Times New Roman"/>
                <w:kern w:val="0"/>
                <w:sz w:val="20"/>
                <w:szCs w:val="20"/>
                <w:highlight w:val="none"/>
              </w:rPr>
              <w:t>》</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kern w:val="0"/>
                <w:sz w:val="20"/>
                <w:szCs w:val="20"/>
                <w:highlight w:val="none"/>
              </w:rPr>
              <w:t>《</w:t>
            </w:r>
            <w:r>
              <w:rPr>
                <w:rFonts w:hint="default" w:ascii="Times New Roman" w:hAnsi="Times New Roman" w:eastAsia="方正仿宋_GBK" w:cs="Times New Roman"/>
                <w:kern w:val="0"/>
                <w:sz w:val="20"/>
                <w:szCs w:val="20"/>
                <w:highlight w:val="none"/>
                <w:lang w:eastAsia="zh-CN"/>
              </w:rPr>
              <w:t>四川省农村机电提灌管理条例</w:t>
            </w:r>
            <w:r>
              <w:rPr>
                <w:rFonts w:hint="default" w:ascii="Times New Roman" w:hAnsi="Times New Roman" w:eastAsia="方正仿宋_GBK" w:cs="Times New Roman"/>
                <w:kern w:val="0"/>
                <w:sz w:val="20"/>
                <w:szCs w:val="20"/>
                <w:highlight w:val="none"/>
              </w:rPr>
              <w:t>》</w:t>
            </w:r>
          </w:p>
        </w:tc>
        <w:tc>
          <w:tcPr>
            <w:tcW w:w="725" w:type="pct"/>
            <w:tcMar>
              <w:top w:w="15" w:type="dxa"/>
              <w:left w:w="15" w:type="dxa"/>
              <w:right w:w="15" w:type="dxa"/>
            </w:tcMar>
            <w:vAlign w:val="center"/>
          </w:tcPr>
          <w:p>
            <w:pPr>
              <w:keepNext w:val="0"/>
              <w:keepLines w:val="0"/>
              <w:pageBreakBefore w:val="0"/>
              <w:widowControl w:val="0"/>
              <w:kinsoku/>
              <w:overflowPunct/>
              <w:topLinePunct w:val="0"/>
              <w:autoSpaceDE w:val="0"/>
              <w:autoSpaceDN w:val="0"/>
              <w:bidi w:val="0"/>
              <w:adjustRightInd w:val="0"/>
              <w:snapToGrid/>
              <w:spacing w:line="120" w:lineRule="auto"/>
              <w:jc w:val="both"/>
              <w:rPr>
                <w:rFonts w:hint="default" w:ascii="Times New Roman" w:hAnsi="Times New Roman" w:eastAsia="方正仿宋_GBK" w:cs="Times New Roman"/>
                <w:color w:val="auto"/>
                <w:kern w:val="0"/>
                <w:sz w:val="20"/>
                <w:szCs w:val="20"/>
                <w:highlight w:val="none"/>
                <w:lang w:val="en-US" w:eastAsia="zh-CN" w:bidi="ar-SA"/>
              </w:rPr>
            </w:pPr>
            <w:r>
              <w:rPr>
                <w:rFonts w:hint="default" w:ascii="Times New Roman" w:hAnsi="Times New Roman" w:eastAsia="方正仿宋_GBK" w:cs="Times New Roman"/>
                <w:color w:val="auto"/>
                <w:kern w:val="0"/>
                <w:sz w:val="20"/>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17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3</w:t>
            </w:r>
          </w:p>
        </w:tc>
        <w:tc>
          <w:tcPr>
            <w:tcW w:w="685" w:type="pct"/>
            <w:tcMar>
              <w:top w:w="15" w:type="dxa"/>
              <w:left w:w="15" w:type="dxa"/>
              <w:right w:w="15" w:type="dxa"/>
            </w:tcMar>
            <w:vAlign w:val="center"/>
          </w:tcPr>
          <w:p>
            <w:pPr>
              <w:keepNext w:val="0"/>
              <w:keepLines w:val="0"/>
              <w:pageBreakBefore w:val="0"/>
              <w:widowControl/>
              <w:kinsoku/>
              <w:wordWrap w:val="0"/>
              <w:overflowPunct/>
              <w:topLinePunct w:val="0"/>
              <w:bidi w:val="0"/>
              <w:snapToGrid/>
              <w:spacing w:line="120" w:lineRule="auto"/>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食品小作坊生产许可</w:t>
            </w:r>
          </w:p>
        </w:tc>
        <w:tc>
          <w:tcPr>
            <w:tcW w:w="48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区市场监管局</w:t>
            </w:r>
          </w:p>
        </w:tc>
        <w:tc>
          <w:tcPr>
            <w:tcW w:w="676"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sz w:val="20"/>
                <w:szCs w:val="20"/>
                <w:highlight w:val="none"/>
                <w:lang w:eastAsia="zh-CN"/>
              </w:rPr>
              <w:t>区市场监管局</w:t>
            </w: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《四川省食品安全条例》</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《四川省食品安全条例》</w:t>
            </w:r>
          </w:p>
        </w:tc>
        <w:tc>
          <w:tcPr>
            <w:tcW w:w="725" w:type="pct"/>
            <w:tcMar>
              <w:top w:w="15" w:type="dxa"/>
              <w:left w:w="15" w:type="dxa"/>
              <w:right w:w="15" w:type="dxa"/>
            </w:tcMar>
            <w:vAlign w:val="center"/>
          </w:tcPr>
          <w:p>
            <w:pPr>
              <w:keepNext w:val="0"/>
              <w:keepLines w:val="0"/>
              <w:pageBreakBefore w:val="0"/>
              <w:widowControl w:val="0"/>
              <w:kinsoku/>
              <w:overflowPunct/>
              <w:topLinePunct w:val="0"/>
              <w:autoSpaceDE w:val="0"/>
              <w:autoSpaceDN w:val="0"/>
              <w:bidi w:val="0"/>
              <w:adjustRightInd w:val="0"/>
              <w:snapToGrid/>
              <w:spacing w:line="120" w:lineRule="auto"/>
              <w:jc w:val="both"/>
              <w:rPr>
                <w:rFonts w:hint="default" w:ascii="Times New Roman" w:hAnsi="Times New Roman" w:eastAsia="方正仿宋_GBK"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3" w:hRule="atLeast"/>
        </w:trPr>
        <w:tc>
          <w:tcPr>
            <w:tcW w:w="17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4</w:t>
            </w:r>
          </w:p>
        </w:tc>
        <w:tc>
          <w:tcPr>
            <w:tcW w:w="685" w:type="pct"/>
            <w:tcMar>
              <w:top w:w="15" w:type="dxa"/>
              <w:left w:w="15" w:type="dxa"/>
              <w:right w:w="15" w:type="dxa"/>
            </w:tcMar>
            <w:vAlign w:val="center"/>
          </w:tcPr>
          <w:p>
            <w:pPr>
              <w:keepNext w:val="0"/>
              <w:keepLines w:val="0"/>
              <w:pageBreakBefore w:val="0"/>
              <w:widowControl/>
              <w:kinsoku/>
              <w:wordWrap w:val="0"/>
              <w:overflowPunct/>
              <w:topLinePunct w:val="0"/>
              <w:bidi w:val="0"/>
              <w:snapToGrid/>
              <w:spacing w:line="120" w:lineRule="auto"/>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世界自然遗产地、世界自然遗产地缓冲区建设项目影响评估报告审核</w:t>
            </w:r>
          </w:p>
        </w:tc>
        <w:tc>
          <w:tcPr>
            <w:tcW w:w="481"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center"/>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区林业局</w:t>
            </w:r>
          </w:p>
        </w:tc>
        <w:tc>
          <w:tcPr>
            <w:tcW w:w="676"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sz w:val="20"/>
                <w:szCs w:val="20"/>
                <w:highlight w:val="none"/>
                <w:lang w:eastAsia="zh-CN"/>
              </w:rPr>
            </w:pPr>
            <w:r>
              <w:rPr>
                <w:rFonts w:hint="default" w:ascii="Times New Roman" w:hAnsi="Times New Roman" w:eastAsia="方正仿宋_GBK" w:cs="Times New Roman"/>
                <w:kern w:val="0"/>
                <w:sz w:val="20"/>
                <w:szCs w:val="20"/>
                <w:highlight w:val="none"/>
                <w:lang w:eastAsia="zh-CN"/>
              </w:rPr>
              <w:t>区林业局</w:t>
            </w:r>
          </w:p>
        </w:tc>
        <w:tc>
          <w:tcPr>
            <w:tcW w:w="753"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kern w:val="0"/>
                <w:sz w:val="20"/>
                <w:szCs w:val="20"/>
                <w:highlight w:val="none"/>
                <w:lang w:eastAsia="zh-CN"/>
              </w:rPr>
            </w:pPr>
            <w:r>
              <w:rPr>
                <w:rFonts w:hint="default" w:ascii="Times New Roman" w:hAnsi="Times New Roman" w:eastAsia="方正仿宋_GBK" w:cs="Times New Roman"/>
                <w:kern w:val="0"/>
                <w:sz w:val="20"/>
                <w:szCs w:val="20"/>
                <w:highlight w:val="none"/>
                <w:lang w:eastAsia="zh-CN"/>
              </w:rPr>
              <w:t>《四川省世界遗产保护条例》</w:t>
            </w:r>
          </w:p>
        </w:tc>
        <w:tc>
          <w:tcPr>
            <w:tcW w:w="1507" w:type="pct"/>
            <w:tcMar>
              <w:top w:w="15" w:type="dxa"/>
              <w:left w:w="15" w:type="dxa"/>
              <w:right w:w="15" w:type="dxa"/>
            </w:tcMar>
            <w:vAlign w:val="center"/>
          </w:tcPr>
          <w:p>
            <w:pPr>
              <w:keepNext w:val="0"/>
              <w:keepLines w:val="0"/>
              <w:pageBreakBefore w:val="0"/>
              <w:widowControl/>
              <w:kinsoku/>
              <w:overflowPunct/>
              <w:topLinePunct w:val="0"/>
              <w:bidi w:val="0"/>
              <w:snapToGrid/>
              <w:spacing w:line="120" w:lineRule="auto"/>
              <w:jc w:val="both"/>
              <w:textAlignment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0"/>
                <w:highlight w:val="none"/>
                <w:lang w:eastAsia="zh-CN"/>
              </w:rPr>
              <w:t>《四川省世界遗产保护条例》</w:t>
            </w:r>
          </w:p>
        </w:tc>
        <w:tc>
          <w:tcPr>
            <w:tcW w:w="725" w:type="pct"/>
            <w:tcMar>
              <w:top w:w="15" w:type="dxa"/>
              <w:left w:w="15" w:type="dxa"/>
              <w:right w:w="15" w:type="dxa"/>
            </w:tcMar>
            <w:vAlign w:val="center"/>
          </w:tcPr>
          <w:p>
            <w:pPr>
              <w:keepNext w:val="0"/>
              <w:keepLines w:val="0"/>
              <w:pageBreakBefore w:val="0"/>
              <w:widowControl w:val="0"/>
              <w:kinsoku/>
              <w:overflowPunct/>
              <w:topLinePunct w:val="0"/>
              <w:autoSpaceDE w:val="0"/>
              <w:autoSpaceDN w:val="0"/>
              <w:bidi w:val="0"/>
              <w:adjustRightInd w:val="0"/>
              <w:snapToGrid/>
              <w:spacing w:line="120" w:lineRule="auto"/>
              <w:jc w:val="both"/>
              <w:rPr>
                <w:rFonts w:hint="default" w:ascii="Times New Roman" w:hAnsi="Times New Roman" w:eastAsia="方正仿宋_GBK" w:cs="Times New Roman"/>
                <w:color w:val="auto"/>
                <w:kern w:val="0"/>
                <w:sz w:val="20"/>
                <w:szCs w:val="20"/>
                <w:highlight w:val="none"/>
                <w:lang w:val="en-US" w:eastAsia="zh-CN" w:bidi="ar-SA"/>
              </w:rPr>
            </w:pPr>
          </w:p>
        </w:tc>
      </w:tr>
    </w:tbl>
    <w:p>
      <w:pPr>
        <w:pStyle w:val="2"/>
        <w:spacing w:line="120" w:lineRule="exact"/>
        <w:rPr>
          <w:rFonts w:hint="default" w:ascii="Times New Roman" w:hAnsi="Times New Roman" w:cs="Times New Roman"/>
        </w:rPr>
        <w:sectPr>
          <w:headerReference r:id="rId3" w:type="default"/>
          <w:footerReference r:id="rId4" w:type="default"/>
          <w:pgSz w:w="16838" w:h="11906" w:orient="landscape"/>
          <w:pgMar w:top="1588" w:right="2098" w:bottom="1474" w:left="1985" w:header="851" w:footer="1191" w:gutter="0"/>
          <w:pgNumType w:fmt="decimal"/>
          <w:cols w:space="720" w:num="1"/>
          <w:docGrid w:type="lines" w:linePitch="402" w:charSpace="50285"/>
        </w:sectPr>
      </w:pPr>
    </w:p>
    <w:p>
      <w:pPr>
        <w:rPr>
          <w:rFonts w:hint="default" w:ascii="Times New Roman" w:hAnsi="Times New Roman" w:eastAsia="黑体" w:cs="Times New Roman"/>
          <w:color w:val="000000"/>
          <w:sz w:val="28"/>
          <w:szCs w:val="28"/>
        </w:rPr>
      </w:pPr>
    </w:p>
    <w:sectPr>
      <w:footerReference r:id="rId5" w:type="default"/>
      <w:pgSz w:w="11906" w:h="16838"/>
      <w:pgMar w:top="2098" w:right="1474" w:bottom="1985" w:left="1588" w:header="851" w:footer="1191" w:gutter="0"/>
      <w:pgNumType w:fmt="decimal"/>
      <w:cols w:space="720" w:num="1"/>
      <w:docGrid w:type="lines" w:linePitch="402" w:charSpace="50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隶书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M2dPQ/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1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MGFiZGRiYTc5YjM5MGFlNDhkODU3ODQwZTIwY2YifQ=="/>
  </w:docVars>
  <w:rsids>
    <w:rsidRoot w:val="00896B79"/>
    <w:rsid w:val="00030611"/>
    <w:rsid w:val="00065779"/>
    <w:rsid w:val="0008265C"/>
    <w:rsid w:val="000F0B54"/>
    <w:rsid w:val="0025727F"/>
    <w:rsid w:val="003F134D"/>
    <w:rsid w:val="00450FD7"/>
    <w:rsid w:val="004F1E4E"/>
    <w:rsid w:val="005A129F"/>
    <w:rsid w:val="006841A6"/>
    <w:rsid w:val="00896B79"/>
    <w:rsid w:val="009B317A"/>
    <w:rsid w:val="00A04D8C"/>
    <w:rsid w:val="00CC464A"/>
    <w:rsid w:val="00D4401D"/>
    <w:rsid w:val="00DE2E9A"/>
    <w:rsid w:val="00DF11EE"/>
    <w:rsid w:val="00E00B6F"/>
    <w:rsid w:val="00F41783"/>
    <w:rsid w:val="00FC7FA6"/>
    <w:rsid w:val="015B6DCD"/>
    <w:rsid w:val="01C915FE"/>
    <w:rsid w:val="02D955E5"/>
    <w:rsid w:val="0364779F"/>
    <w:rsid w:val="03BF617D"/>
    <w:rsid w:val="07D22948"/>
    <w:rsid w:val="07DA43B0"/>
    <w:rsid w:val="0A80786B"/>
    <w:rsid w:val="0ED34DF5"/>
    <w:rsid w:val="11BF62C4"/>
    <w:rsid w:val="14687371"/>
    <w:rsid w:val="1C726B8E"/>
    <w:rsid w:val="1F7F8A36"/>
    <w:rsid w:val="213D7A4E"/>
    <w:rsid w:val="22FF200D"/>
    <w:rsid w:val="25096639"/>
    <w:rsid w:val="29CD21F7"/>
    <w:rsid w:val="2C645AFB"/>
    <w:rsid w:val="30D617B5"/>
    <w:rsid w:val="33536A6D"/>
    <w:rsid w:val="38C64BD7"/>
    <w:rsid w:val="3A8D04A0"/>
    <w:rsid w:val="3C37142B"/>
    <w:rsid w:val="3C37572C"/>
    <w:rsid w:val="40711249"/>
    <w:rsid w:val="412354C6"/>
    <w:rsid w:val="419E7554"/>
    <w:rsid w:val="45B675D8"/>
    <w:rsid w:val="4835268D"/>
    <w:rsid w:val="499F2881"/>
    <w:rsid w:val="4F204FA3"/>
    <w:rsid w:val="531821C7"/>
    <w:rsid w:val="537F352C"/>
    <w:rsid w:val="5B5A7CFC"/>
    <w:rsid w:val="5DFD357A"/>
    <w:rsid w:val="5EFF8D86"/>
    <w:rsid w:val="5FFC113C"/>
    <w:rsid w:val="60DE2302"/>
    <w:rsid w:val="65965B58"/>
    <w:rsid w:val="66D59E0B"/>
    <w:rsid w:val="684833CE"/>
    <w:rsid w:val="69740482"/>
    <w:rsid w:val="6E3D55E0"/>
    <w:rsid w:val="6E8F2871"/>
    <w:rsid w:val="70FB4E27"/>
    <w:rsid w:val="739C188B"/>
    <w:rsid w:val="751C755F"/>
    <w:rsid w:val="75274D5F"/>
    <w:rsid w:val="75D9228C"/>
    <w:rsid w:val="77C80239"/>
    <w:rsid w:val="788F783E"/>
    <w:rsid w:val="7B736521"/>
    <w:rsid w:val="7B785DDC"/>
    <w:rsid w:val="7BDC53CD"/>
    <w:rsid w:val="7BFFE730"/>
    <w:rsid w:val="7E579DFA"/>
    <w:rsid w:val="7EB7B369"/>
    <w:rsid w:val="95FB593B"/>
    <w:rsid w:val="9F39C0C0"/>
    <w:rsid w:val="B777AF04"/>
    <w:rsid w:val="BDEF006B"/>
    <w:rsid w:val="BEFFBBF8"/>
    <w:rsid w:val="BF7DFB19"/>
    <w:rsid w:val="C5FFEC4C"/>
    <w:rsid w:val="CDD711DA"/>
    <w:rsid w:val="DEFDBD21"/>
    <w:rsid w:val="DFDF8CE8"/>
    <w:rsid w:val="EBF7C8EC"/>
    <w:rsid w:val="EBFF3152"/>
    <w:rsid w:val="F3FFFD09"/>
    <w:rsid w:val="F7B78CF3"/>
    <w:rsid w:val="F7BF1231"/>
    <w:rsid w:val="F7FFCE7E"/>
    <w:rsid w:val="FBFD9F2A"/>
    <w:rsid w:val="FE7BBAED"/>
    <w:rsid w:val="FFEED619"/>
    <w:rsid w:val="FFFF02D2"/>
    <w:rsid w:val="FFFF3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napToGrid w:val="0"/>
      <w:spacing w:before="340" w:after="330" w:line="576" w:lineRule="auto"/>
      <w:outlineLvl w:val="0"/>
    </w:pPr>
    <w:rPr>
      <w:rFonts w:cs="宋体"/>
      <w:b/>
      <w:bCs/>
      <w:kern w:val="44"/>
      <w:sz w:val="44"/>
      <w:szCs w:val="44"/>
    </w:rPr>
  </w:style>
  <w:style w:type="paragraph" w:styleId="4">
    <w:name w:val="heading 2"/>
    <w:basedOn w:val="1"/>
    <w:next w:val="1"/>
    <w:link w:val="28"/>
    <w:qFormat/>
    <w:uiPriority w:val="0"/>
    <w:pPr>
      <w:keepNext/>
      <w:keepLines/>
      <w:snapToGrid w:val="0"/>
      <w:spacing w:before="260" w:after="260" w:line="413" w:lineRule="auto"/>
      <w:outlineLvl w:val="1"/>
    </w:pPr>
    <w:rPr>
      <w:rFonts w:ascii="Times New Roman" w:hAnsi="Times New Roman" w:eastAsia="黑体"/>
      <w:b/>
      <w:bCs/>
      <w:kern w:val="0"/>
      <w:sz w:val="32"/>
      <w:szCs w:val="32"/>
    </w:rPr>
  </w:style>
  <w:style w:type="paragraph" w:styleId="5">
    <w:name w:val="heading 3"/>
    <w:basedOn w:val="1"/>
    <w:next w:val="1"/>
    <w:link w:val="29"/>
    <w:qFormat/>
    <w:uiPriority w:val="0"/>
    <w:pPr>
      <w:keepNext/>
      <w:keepLines/>
      <w:snapToGrid w:val="0"/>
      <w:spacing w:before="260" w:after="260" w:line="413" w:lineRule="auto"/>
      <w:outlineLvl w:val="2"/>
    </w:pPr>
    <w:rPr>
      <w:rFonts w:cs="宋体"/>
      <w:b/>
      <w:bCs/>
      <w:kern w:val="0"/>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styleId="6">
    <w:name w:val="annotation text"/>
    <w:basedOn w:val="1"/>
    <w:link w:val="51"/>
    <w:qFormat/>
    <w:uiPriority w:val="0"/>
    <w:pPr>
      <w:jc w:val="left"/>
    </w:pPr>
    <w:rPr>
      <w:rFonts w:cs="黑体" w:asciiTheme="minorHAnsi" w:hAnsiTheme="minorHAnsi" w:eastAsiaTheme="minorEastAsia"/>
    </w:rPr>
  </w:style>
  <w:style w:type="paragraph" w:styleId="7">
    <w:name w:val="Body Text"/>
    <w:basedOn w:val="1"/>
    <w:link w:val="32"/>
    <w:unhideWhenUsed/>
    <w:qFormat/>
    <w:uiPriority w:val="99"/>
    <w:pPr>
      <w:spacing w:after="120"/>
    </w:pPr>
    <w:rPr>
      <w:rFonts w:asciiTheme="minorHAnsi" w:hAnsiTheme="minorHAnsi" w:eastAsiaTheme="minorEastAsia" w:cstheme="minorBidi"/>
    </w:rPr>
  </w:style>
  <w:style w:type="paragraph" w:styleId="8">
    <w:name w:val="Body Text Indent"/>
    <w:basedOn w:val="1"/>
    <w:qFormat/>
    <w:uiPriority w:val="0"/>
    <w:pPr>
      <w:adjustRightInd w:val="0"/>
      <w:snapToGrid w:val="0"/>
      <w:spacing w:line="400" w:lineRule="exact"/>
      <w:ind w:firstLine="480" w:firstLineChars="200"/>
    </w:pPr>
    <w:rPr>
      <w:rFonts w:ascii="宋体" w:hAnsi="宋体" w:cs="宋体"/>
    </w:rPr>
  </w:style>
  <w:style w:type="paragraph" w:styleId="9">
    <w:name w:val="Plain Text"/>
    <w:basedOn w:val="1"/>
    <w:link w:val="41"/>
    <w:qFormat/>
    <w:uiPriority w:val="0"/>
    <w:pPr>
      <w:snapToGrid w:val="0"/>
    </w:pPr>
    <w:rPr>
      <w:rFonts w:ascii="Courier New" w:hAnsi="Courier New" w:eastAsia="方正仿宋简体" w:cstheme="minorBidi"/>
      <w:sz w:val="32"/>
      <w:szCs w:val="22"/>
    </w:rPr>
  </w:style>
  <w:style w:type="paragraph" w:styleId="10">
    <w:name w:val="Date"/>
    <w:basedOn w:val="1"/>
    <w:next w:val="1"/>
    <w:link w:val="55"/>
    <w:unhideWhenUsed/>
    <w:qFormat/>
    <w:uiPriority w:val="99"/>
    <w:pPr>
      <w:ind w:left="100" w:leftChars="2500"/>
    </w:pPr>
  </w:style>
  <w:style w:type="paragraph" w:styleId="11">
    <w:name w:val="Body Text Indent 2"/>
    <w:basedOn w:val="1"/>
    <w:link w:val="37"/>
    <w:qFormat/>
    <w:uiPriority w:val="0"/>
    <w:pPr>
      <w:snapToGrid w:val="0"/>
      <w:spacing w:after="120" w:line="480" w:lineRule="auto"/>
      <w:ind w:left="200" w:leftChars="200"/>
    </w:pPr>
    <w:rPr>
      <w:rFonts w:asciiTheme="minorHAnsi" w:hAnsiTheme="minorHAnsi" w:eastAsiaTheme="minorEastAsia" w:cstheme="minorBidi"/>
    </w:rPr>
  </w:style>
  <w:style w:type="paragraph" w:styleId="12">
    <w:name w:val="Balloon Text"/>
    <w:basedOn w:val="1"/>
    <w:link w:val="33"/>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9"/>
    <w:basedOn w:val="1"/>
    <w:next w:val="1"/>
    <w:unhideWhenUsed/>
    <w:qFormat/>
    <w:uiPriority w:val="99"/>
    <w:pPr>
      <w:spacing w:before="100" w:beforeAutospacing="1" w:after="100" w:afterAutospacing="1" w:line="240" w:lineRule="atLeast"/>
      <w:ind w:left="3360"/>
    </w:pPr>
    <w:rPr>
      <w:rFonts w:ascii="Times New Roman" w:hAnsi="Times New Roman" w:eastAsia="仿宋_GB2312"/>
      <w:spacing w:val="-6"/>
      <w:sz w:val="32"/>
      <w:szCs w:val="32"/>
    </w:rPr>
  </w:style>
  <w:style w:type="paragraph" w:styleId="16">
    <w:name w:val="HTML Preformatted"/>
    <w:basedOn w:val="1"/>
    <w:link w:val="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eastAsiaTheme="minorEastAsia" w:cstheme="minorBidi"/>
      <w:sz w:val="24"/>
    </w:rPr>
  </w:style>
  <w:style w:type="paragraph" w:styleId="17">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8">
    <w:name w:val="Body Text First Indent"/>
    <w:basedOn w:val="7"/>
    <w:next w:val="19"/>
    <w:qFormat/>
    <w:uiPriority w:val="0"/>
    <w:pPr>
      <w:ind w:firstLine="420" w:firstLineChars="100"/>
    </w:pPr>
  </w:style>
  <w:style w:type="paragraph" w:styleId="19">
    <w:name w:val="Body Text First Indent 2"/>
    <w:basedOn w:val="8"/>
    <w:qFormat/>
    <w:uiPriority w:val="0"/>
    <w:pPr>
      <w:ind w:firstLine="420"/>
    </w:pPr>
  </w:style>
  <w:style w:type="character" w:styleId="22">
    <w:name w:val="page number"/>
    <w:basedOn w:val="21"/>
    <w:qFormat/>
    <w:uiPriority w:val="0"/>
  </w:style>
  <w:style w:type="character" w:styleId="23">
    <w:name w:val="FollowedHyperlink"/>
    <w:basedOn w:val="21"/>
    <w:unhideWhenUsed/>
    <w:qFormat/>
    <w:uiPriority w:val="0"/>
    <w:rPr>
      <w:color w:val="800080"/>
      <w:u w:val="single"/>
    </w:rPr>
  </w:style>
  <w:style w:type="character" w:styleId="24">
    <w:name w:val="Emphasis"/>
    <w:basedOn w:val="21"/>
    <w:qFormat/>
    <w:uiPriority w:val="0"/>
    <w:rPr>
      <w:i/>
    </w:rPr>
  </w:style>
  <w:style w:type="character" w:styleId="25">
    <w:name w:val="Hyperlink"/>
    <w:basedOn w:val="21"/>
    <w:unhideWhenUsed/>
    <w:qFormat/>
    <w:uiPriority w:val="0"/>
    <w:rPr>
      <w:color w:val="0000FF"/>
      <w:u w:val="single"/>
    </w:rPr>
  </w:style>
  <w:style w:type="paragraph" w:customStyle="1" w:styleId="26">
    <w:name w:val="默认"/>
    <w:basedOn w:val="1"/>
    <w:next w:val="1"/>
    <w:qFormat/>
    <w:uiPriority w:val="0"/>
    <w:pPr>
      <w:widowControl/>
    </w:pPr>
    <w:rPr>
      <w:rFonts w:ascii="Helvetica Neue" w:hAnsi="Helvetica Neue" w:eastAsia="Arial Unicode MS" w:cs="Arial Unicode MS"/>
      <w:color w:val="000000"/>
      <w:sz w:val="22"/>
    </w:rPr>
  </w:style>
  <w:style w:type="character" w:customStyle="1" w:styleId="27">
    <w:name w:val="标题 1 Char"/>
    <w:basedOn w:val="21"/>
    <w:link w:val="3"/>
    <w:qFormat/>
    <w:uiPriority w:val="0"/>
    <w:rPr>
      <w:rFonts w:ascii="Calibri" w:hAnsi="Calibri" w:eastAsia="宋体" w:cs="宋体"/>
      <w:b/>
      <w:bCs/>
      <w:kern w:val="44"/>
      <w:sz w:val="44"/>
      <w:szCs w:val="44"/>
    </w:rPr>
  </w:style>
  <w:style w:type="character" w:customStyle="1" w:styleId="28">
    <w:name w:val="标题 2 Char"/>
    <w:basedOn w:val="21"/>
    <w:link w:val="4"/>
    <w:qFormat/>
    <w:uiPriority w:val="0"/>
    <w:rPr>
      <w:rFonts w:ascii="Times New Roman" w:hAnsi="Times New Roman" w:eastAsia="黑体" w:cs="Times New Roman"/>
      <w:b/>
      <w:bCs/>
      <w:kern w:val="0"/>
      <w:sz w:val="32"/>
      <w:szCs w:val="32"/>
    </w:rPr>
  </w:style>
  <w:style w:type="character" w:customStyle="1" w:styleId="29">
    <w:name w:val="标题 3 Char"/>
    <w:basedOn w:val="21"/>
    <w:link w:val="5"/>
    <w:qFormat/>
    <w:uiPriority w:val="0"/>
    <w:rPr>
      <w:rFonts w:ascii="Calibri" w:hAnsi="Calibri" w:eastAsia="宋体" w:cs="宋体"/>
      <w:b/>
      <w:bCs/>
      <w:kern w:val="0"/>
      <w:sz w:val="32"/>
      <w:szCs w:val="32"/>
    </w:rPr>
  </w:style>
  <w:style w:type="character" w:customStyle="1" w:styleId="30">
    <w:name w:val="页脚 Char"/>
    <w:basedOn w:val="21"/>
    <w:link w:val="13"/>
    <w:qFormat/>
    <w:uiPriority w:val="99"/>
    <w:rPr>
      <w:rFonts w:ascii="Calibri" w:hAnsi="Calibri" w:eastAsia="宋体" w:cs="Times New Roman"/>
      <w:sz w:val="18"/>
      <w:szCs w:val="18"/>
    </w:rPr>
  </w:style>
  <w:style w:type="character" w:customStyle="1" w:styleId="31">
    <w:name w:val="正文文本 Char"/>
    <w:basedOn w:val="21"/>
    <w:link w:val="7"/>
    <w:qFormat/>
    <w:uiPriority w:val="99"/>
    <w:rPr>
      <w:szCs w:val="24"/>
    </w:rPr>
  </w:style>
  <w:style w:type="character" w:customStyle="1" w:styleId="32">
    <w:name w:val="正文文本 Char1"/>
    <w:basedOn w:val="21"/>
    <w:link w:val="7"/>
    <w:semiHidden/>
    <w:qFormat/>
    <w:uiPriority w:val="99"/>
    <w:rPr>
      <w:rFonts w:ascii="Calibri" w:hAnsi="Calibri" w:eastAsia="宋体" w:cs="Times New Roman"/>
      <w:szCs w:val="24"/>
    </w:rPr>
  </w:style>
  <w:style w:type="character" w:customStyle="1" w:styleId="33">
    <w:name w:val="批注框文本 Char"/>
    <w:basedOn w:val="21"/>
    <w:link w:val="12"/>
    <w:qFormat/>
    <w:uiPriority w:val="99"/>
    <w:rPr>
      <w:rFonts w:ascii="Calibri" w:hAnsi="Calibri" w:eastAsia="宋体" w:cs="Times New Roman"/>
      <w:sz w:val="18"/>
      <w:szCs w:val="18"/>
    </w:rPr>
  </w:style>
  <w:style w:type="character" w:customStyle="1" w:styleId="34">
    <w:name w:val="font31"/>
    <w:basedOn w:val="21"/>
    <w:qFormat/>
    <w:uiPriority w:val="0"/>
    <w:rPr>
      <w:rFonts w:ascii="宋体" w:eastAsia="宋体" w:cs="宋体"/>
      <w:color w:val="000000"/>
      <w:sz w:val="21"/>
      <w:szCs w:val="21"/>
      <w:u w:val="none"/>
    </w:rPr>
  </w:style>
  <w:style w:type="character" w:customStyle="1" w:styleId="35">
    <w:name w:val="font111"/>
    <w:basedOn w:val="21"/>
    <w:qFormat/>
    <w:uiPriority w:val="0"/>
    <w:rPr>
      <w:rFonts w:hint="eastAsia" w:ascii="仿宋_GB2312" w:eastAsia="仿宋_GB2312" w:cs="仿宋_GB2312"/>
      <w:color w:val="000000"/>
      <w:sz w:val="20"/>
      <w:szCs w:val="20"/>
      <w:u w:val="none"/>
    </w:rPr>
  </w:style>
  <w:style w:type="character" w:customStyle="1" w:styleId="36">
    <w:name w:val="正文文本缩进 2 Char"/>
    <w:basedOn w:val="21"/>
    <w:link w:val="11"/>
    <w:qFormat/>
    <w:uiPriority w:val="0"/>
    <w:rPr>
      <w:szCs w:val="24"/>
    </w:rPr>
  </w:style>
  <w:style w:type="character" w:customStyle="1" w:styleId="37">
    <w:name w:val="正文文本缩进 2 Char1"/>
    <w:basedOn w:val="21"/>
    <w:link w:val="11"/>
    <w:semiHidden/>
    <w:qFormat/>
    <w:uiPriority w:val="99"/>
    <w:rPr>
      <w:rFonts w:ascii="Calibri" w:hAnsi="Calibri" w:eastAsia="宋体" w:cs="Times New Roman"/>
      <w:szCs w:val="24"/>
    </w:rPr>
  </w:style>
  <w:style w:type="character" w:customStyle="1" w:styleId="38">
    <w:name w:val="font13"/>
    <w:basedOn w:val="21"/>
    <w:qFormat/>
    <w:uiPriority w:val="0"/>
    <w:rPr>
      <w:rFonts w:hint="eastAsia" w:ascii="宋体" w:hAnsi="宋体" w:eastAsia="宋体" w:cs="宋体"/>
      <w:color w:val="000000"/>
      <w:sz w:val="18"/>
      <w:szCs w:val="18"/>
      <w:u w:val="none"/>
    </w:rPr>
  </w:style>
  <w:style w:type="character" w:customStyle="1" w:styleId="39">
    <w:name w:val="font61"/>
    <w:basedOn w:val="21"/>
    <w:qFormat/>
    <w:uiPriority w:val="0"/>
    <w:rPr>
      <w:rFonts w:ascii="Times New Roman" w:hAnsi="Times New Roman" w:cs="Times New Roman"/>
      <w:color w:val="000000"/>
      <w:sz w:val="30"/>
      <w:szCs w:val="30"/>
      <w:u w:val="none"/>
    </w:rPr>
  </w:style>
  <w:style w:type="character" w:customStyle="1" w:styleId="40">
    <w:name w:val="纯文本 Char"/>
    <w:basedOn w:val="21"/>
    <w:link w:val="9"/>
    <w:qFormat/>
    <w:uiPriority w:val="0"/>
    <w:rPr>
      <w:rFonts w:ascii="Courier New" w:hAnsi="Courier New" w:eastAsia="方正仿宋简体"/>
      <w:sz w:val="32"/>
    </w:rPr>
  </w:style>
  <w:style w:type="character" w:customStyle="1" w:styleId="41">
    <w:name w:val="纯文本 Char1"/>
    <w:basedOn w:val="21"/>
    <w:link w:val="9"/>
    <w:semiHidden/>
    <w:qFormat/>
    <w:uiPriority w:val="99"/>
    <w:rPr>
      <w:rFonts w:ascii="宋体" w:hAnsi="Courier New" w:eastAsia="宋体" w:cs="Courier New"/>
      <w:szCs w:val="21"/>
    </w:rPr>
  </w:style>
  <w:style w:type="character" w:customStyle="1" w:styleId="42">
    <w:name w:val="font51"/>
    <w:basedOn w:val="21"/>
    <w:qFormat/>
    <w:uiPriority w:val="0"/>
    <w:rPr>
      <w:rFonts w:hint="eastAsia" w:ascii="宋体" w:hAnsi="宋体" w:eastAsia="宋体" w:cs="宋体"/>
      <w:color w:val="000000"/>
      <w:sz w:val="20"/>
      <w:szCs w:val="20"/>
      <w:u w:val="none"/>
    </w:rPr>
  </w:style>
  <w:style w:type="character" w:customStyle="1" w:styleId="43">
    <w:name w:val="font01"/>
    <w:basedOn w:val="21"/>
    <w:qFormat/>
    <w:uiPriority w:val="0"/>
    <w:rPr>
      <w:rFonts w:ascii="Times New Roman" w:hAnsi="Times New Roman" w:cs="Times New Roman"/>
      <w:color w:val="000000"/>
      <w:sz w:val="21"/>
      <w:szCs w:val="21"/>
      <w:u w:val="none"/>
    </w:rPr>
  </w:style>
  <w:style w:type="character" w:customStyle="1" w:styleId="44">
    <w:name w:val="font11"/>
    <w:basedOn w:val="21"/>
    <w:qFormat/>
    <w:uiPriority w:val="0"/>
    <w:rPr>
      <w:rFonts w:hint="eastAsia" w:ascii="宋体" w:hAnsi="宋体" w:eastAsia="宋体" w:cs="宋体"/>
      <w:color w:val="000000"/>
      <w:sz w:val="20"/>
      <w:szCs w:val="20"/>
      <w:u w:val="none"/>
    </w:rPr>
  </w:style>
  <w:style w:type="character" w:customStyle="1" w:styleId="45">
    <w:name w:val="font81"/>
    <w:basedOn w:val="21"/>
    <w:qFormat/>
    <w:uiPriority w:val="0"/>
    <w:rPr>
      <w:rFonts w:ascii="宋体" w:eastAsia="宋体" w:cs="宋体"/>
      <w:color w:val="000000"/>
      <w:sz w:val="22"/>
      <w:szCs w:val="22"/>
      <w:u w:val="none"/>
    </w:rPr>
  </w:style>
  <w:style w:type="character" w:customStyle="1" w:styleId="46">
    <w:name w:val="HTML 预设格式 Char"/>
    <w:basedOn w:val="21"/>
    <w:link w:val="16"/>
    <w:qFormat/>
    <w:uiPriority w:val="0"/>
    <w:rPr>
      <w:rFonts w:ascii="宋体"/>
      <w:sz w:val="24"/>
      <w:szCs w:val="24"/>
    </w:rPr>
  </w:style>
  <w:style w:type="character" w:customStyle="1" w:styleId="47">
    <w:name w:val="HTML 预设格式 Char1"/>
    <w:basedOn w:val="21"/>
    <w:link w:val="16"/>
    <w:semiHidden/>
    <w:qFormat/>
    <w:uiPriority w:val="99"/>
    <w:rPr>
      <w:rFonts w:ascii="Courier New" w:hAnsi="Courier New" w:eastAsia="宋体" w:cs="Courier New"/>
      <w:sz w:val="20"/>
      <w:szCs w:val="20"/>
    </w:rPr>
  </w:style>
  <w:style w:type="character" w:customStyle="1" w:styleId="48">
    <w:name w:val="font41"/>
    <w:basedOn w:val="21"/>
    <w:qFormat/>
    <w:uiPriority w:val="0"/>
    <w:rPr>
      <w:rFonts w:hint="default" w:ascii="Times New Roman" w:hAnsi="Times New Roman" w:cs="Times New Roman"/>
      <w:color w:val="000000"/>
      <w:sz w:val="20"/>
      <w:szCs w:val="20"/>
      <w:u w:val="none"/>
    </w:rPr>
  </w:style>
  <w:style w:type="character" w:customStyle="1" w:styleId="49">
    <w:name w:val="font121"/>
    <w:basedOn w:val="21"/>
    <w:qFormat/>
    <w:uiPriority w:val="0"/>
    <w:rPr>
      <w:rFonts w:ascii="宋体" w:eastAsia="宋体" w:cs="宋体"/>
      <w:color w:val="000000"/>
      <w:sz w:val="24"/>
      <w:szCs w:val="24"/>
      <w:u w:val="none"/>
    </w:rPr>
  </w:style>
  <w:style w:type="character" w:customStyle="1" w:styleId="50">
    <w:name w:val="批注文字 Char"/>
    <w:basedOn w:val="21"/>
    <w:link w:val="6"/>
    <w:qFormat/>
    <w:uiPriority w:val="0"/>
    <w:rPr>
      <w:rFonts w:cs="黑体"/>
      <w:szCs w:val="24"/>
    </w:rPr>
  </w:style>
  <w:style w:type="character" w:customStyle="1" w:styleId="51">
    <w:name w:val="批注文字 Char1"/>
    <w:basedOn w:val="21"/>
    <w:link w:val="6"/>
    <w:semiHidden/>
    <w:qFormat/>
    <w:uiPriority w:val="99"/>
    <w:rPr>
      <w:rFonts w:ascii="Calibri" w:hAnsi="Calibri" w:eastAsia="宋体" w:cs="Times New Roman"/>
      <w:szCs w:val="24"/>
    </w:rPr>
  </w:style>
  <w:style w:type="character" w:customStyle="1" w:styleId="52">
    <w:name w:val="页眉 Char"/>
    <w:basedOn w:val="21"/>
    <w:link w:val="14"/>
    <w:qFormat/>
    <w:uiPriority w:val="99"/>
    <w:rPr>
      <w:rFonts w:ascii="Calibri" w:hAnsi="Calibri" w:eastAsia="宋体" w:cs="Times New Roman"/>
      <w:sz w:val="18"/>
      <w:szCs w:val="18"/>
    </w:rPr>
  </w:style>
  <w:style w:type="character" w:customStyle="1" w:styleId="53">
    <w:name w:val="页眉 Char1"/>
    <w:basedOn w:val="21"/>
    <w:link w:val="14"/>
    <w:semiHidden/>
    <w:qFormat/>
    <w:uiPriority w:val="99"/>
    <w:rPr>
      <w:rFonts w:ascii="Calibri" w:hAnsi="Calibri" w:eastAsia="宋体" w:cs="Times New Roman"/>
      <w:sz w:val="18"/>
      <w:szCs w:val="18"/>
    </w:rPr>
  </w:style>
  <w:style w:type="character" w:customStyle="1" w:styleId="54">
    <w:name w:val="日期 Char"/>
    <w:basedOn w:val="21"/>
    <w:link w:val="10"/>
    <w:qFormat/>
    <w:uiPriority w:val="99"/>
    <w:rPr>
      <w:rFonts w:ascii="Calibri" w:hAnsi="Calibri" w:eastAsia="宋体" w:cs="Times New Roman"/>
      <w:szCs w:val="24"/>
    </w:rPr>
  </w:style>
  <w:style w:type="character" w:customStyle="1" w:styleId="55">
    <w:name w:val="日期 Char1"/>
    <w:basedOn w:val="21"/>
    <w:link w:val="10"/>
    <w:semiHidden/>
    <w:qFormat/>
    <w:uiPriority w:val="99"/>
    <w:rPr>
      <w:rFonts w:ascii="Calibri" w:hAnsi="Calibri" w:eastAsia="宋体" w:cs="Times New Roman"/>
      <w:szCs w:val="24"/>
    </w:rPr>
  </w:style>
  <w:style w:type="character" w:customStyle="1" w:styleId="56">
    <w:name w:val="font101"/>
    <w:basedOn w:val="21"/>
    <w:qFormat/>
    <w:uiPriority w:val="0"/>
    <w:rPr>
      <w:rFonts w:ascii="方正隶书_GBK" w:eastAsia="方正隶书_GBK" w:cs="方正隶书_GBK"/>
      <w:color w:val="000000"/>
      <w:sz w:val="24"/>
      <w:szCs w:val="24"/>
      <w:u w:val="none"/>
    </w:rPr>
  </w:style>
  <w:style w:type="character" w:customStyle="1" w:styleId="57">
    <w:name w:val="font21"/>
    <w:basedOn w:val="21"/>
    <w:qFormat/>
    <w:uiPriority w:val="0"/>
    <w:rPr>
      <w:rFonts w:ascii="宋体" w:eastAsia="宋体" w:cs="宋体"/>
      <w:b/>
      <w:color w:val="000000"/>
      <w:sz w:val="22"/>
      <w:szCs w:val="22"/>
      <w:u w:val="none"/>
    </w:rPr>
  </w:style>
  <w:style w:type="paragraph" w:customStyle="1" w:styleId="58">
    <w:name w:val="xl122"/>
    <w:basedOn w:val="1"/>
    <w:qFormat/>
    <w:uiPriority w:val="0"/>
    <w:pPr>
      <w:widowControl/>
      <w:pBdr>
        <w:left w:val="single" w:color="000000" w:sz="8" w:space="0"/>
        <w:right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59">
    <w:name w:val="xl64"/>
    <w:basedOn w:val="1"/>
    <w:qFormat/>
    <w:uiPriority w:val="0"/>
    <w:pPr>
      <w:widowControl/>
      <w:pBdr>
        <w:bottom w:val="single" w:color="000000" w:sz="8" w:space="0"/>
        <w:right w:val="single" w:color="000000" w:sz="8" w:space="0"/>
      </w:pBdr>
      <w:spacing w:before="100" w:beforeAutospacing="1" w:after="100" w:afterAutospacing="1"/>
      <w:jc w:val="center"/>
      <w:textAlignment w:val="top"/>
    </w:pPr>
    <w:rPr>
      <w:rFonts w:ascii="黑体" w:hAnsi="黑体" w:eastAsia="黑体" w:cs="宋体"/>
      <w:kern w:val="0"/>
      <w:szCs w:val="21"/>
    </w:rPr>
  </w:style>
  <w:style w:type="paragraph" w:customStyle="1" w:styleId="60">
    <w:name w:val="xl92"/>
    <w:basedOn w:val="1"/>
    <w:qFormat/>
    <w:uiPriority w:val="0"/>
    <w:pPr>
      <w:widowControl/>
      <w:pBdr>
        <w:right w:val="single" w:color="000000" w:sz="8" w:space="0"/>
      </w:pBdr>
      <w:spacing w:before="100" w:beforeAutospacing="1" w:after="100" w:afterAutospacing="1"/>
    </w:pPr>
    <w:rPr>
      <w:rFonts w:cs="Calibri"/>
      <w:kern w:val="0"/>
      <w:szCs w:val="21"/>
    </w:rPr>
  </w:style>
  <w:style w:type="paragraph" w:customStyle="1" w:styleId="61">
    <w:name w:val="xl130"/>
    <w:basedOn w:val="1"/>
    <w:qFormat/>
    <w:uiPriority w:val="0"/>
    <w:pPr>
      <w:widowControl/>
      <w:pBdr>
        <w:left w:val="single" w:color="000000" w:sz="8" w:space="0"/>
        <w:right w:val="single" w:color="000000" w:sz="8" w:space="0"/>
      </w:pBdr>
      <w:spacing w:before="100" w:beforeAutospacing="1" w:after="100" w:afterAutospacing="1"/>
    </w:pPr>
    <w:rPr>
      <w:rFonts w:ascii="仿宋_GB2312" w:hAnsi="宋体" w:eastAsia="仿宋_GB2312" w:cs="宋体"/>
      <w:color w:val="000000"/>
      <w:kern w:val="0"/>
      <w:szCs w:val="21"/>
    </w:rPr>
  </w:style>
  <w:style w:type="paragraph" w:customStyle="1" w:styleId="62">
    <w:name w:val="xl81"/>
    <w:basedOn w:val="1"/>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63">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仿宋_GB2312" w:hAnsi="宋体" w:eastAsia="仿宋_GB2312" w:cs="宋体"/>
      <w:kern w:val="0"/>
      <w:szCs w:val="21"/>
    </w:rPr>
  </w:style>
  <w:style w:type="paragraph" w:customStyle="1" w:styleId="64">
    <w:name w:val="xl67"/>
    <w:basedOn w:val="1"/>
    <w:qFormat/>
    <w:uiPriority w:val="0"/>
    <w:pPr>
      <w:widowControl/>
      <w:pBdr>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65">
    <w:name w:val="_Style 6"/>
    <w:basedOn w:val="1"/>
    <w:qFormat/>
    <w:uiPriority w:val="0"/>
    <w:pPr>
      <w:widowControl/>
      <w:snapToGrid w:val="0"/>
      <w:spacing w:after="160" w:line="240" w:lineRule="exact"/>
      <w:jc w:val="left"/>
    </w:pPr>
    <w:rPr>
      <w:rFonts w:ascii="Verdana" w:hAnsi="Verdana"/>
      <w:kern w:val="0"/>
      <w:sz w:val="20"/>
      <w:szCs w:val="20"/>
    </w:rPr>
  </w:style>
  <w:style w:type="paragraph" w:customStyle="1" w:styleId="66">
    <w:name w:val="xl11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67">
    <w:name w:val="Body Text First Indent 21"/>
    <w:basedOn w:val="68"/>
    <w:qFormat/>
    <w:uiPriority w:val="99"/>
  </w:style>
  <w:style w:type="paragraph" w:customStyle="1" w:styleId="68">
    <w:name w:val="Body Text Indent1"/>
    <w:basedOn w:val="69"/>
    <w:qFormat/>
    <w:uiPriority w:val="99"/>
    <w:pPr>
      <w:ind w:firstLine="624"/>
    </w:pPr>
  </w:style>
  <w:style w:type="paragraph" w:customStyle="1" w:styleId="69">
    <w:name w:val="正文 New New"/>
    <w:next w:val="67"/>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0">
    <w:name w:val="xl89"/>
    <w:basedOn w:val="1"/>
    <w:qFormat/>
    <w:uiPriority w:val="0"/>
    <w:pPr>
      <w:widowControl/>
      <w:pBdr>
        <w:bottom w:val="single" w:color="000000" w:sz="8" w:space="0"/>
        <w:right w:val="single" w:color="000000" w:sz="8" w:space="0"/>
      </w:pBdr>
      <w:spacing w:before="100" w:beforeAutospacing="1" w:after="100" w:afterAutospacing="1"/>
      <w:jc w:val="center"/>
      <w:textAlignment w:val="top"/>
    </w:pPr>
    <w:rPr>
      <w:rFonts w:ascii="仿宋_GB2312" w:hAnsi="宋体" w:eastAsia="仿宋_GB2312" w:cs="宋体"/>
      <w:kern w:val="0"/>
      <w:szCs w:val="21"/>
    </w:rPr>
  </w:style>
  <w:style w:type="paragraph" w:customStyle="1" w:styleId="71">
    <w:name w:val="xl124"/>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仿宋_GB2312" w:hAnsi="宋体" w:eastAsia="仿宋_GB2312" w:cs="宋体"/>
      <w:kern w:val="0"/>
      <w:szCs w:val="21"/>
    </w:rPr>
  </w:style>
  <w:style w:type="paragraph" w:customStyle="1" w:styleId="72">
    <w:name w:val="font12"/>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73">
    <w:name w:val="xl90"/>
    <w:basedOn w:val="1"/>
    <w:qFormat/>
    <w:uiPriority w:val="0"/>
    <w:pPr>
      <w:widowControl/>
      <w:pBdr>
        <w:bottom w:val="single" w:color="000000" w:sz="8" w:space="0"/>
        <w:right w:val="single" w:color="000000" w:sz="8" w:space="0"/>
      </w:pBdr>
      <w:spacing w:before="100" w:beforeAutospacing="1" w:after="100" w:afterAutospacing="1"/>
      <w:ind w:firstLine="200" w:firstLineChars="200"/>
      <w:jc w:val="left"/>
    </w:pPr>
    <w:rPr>
      <w:rFonts w:ascii="仿宋_GB2312" w:hAnsi="宋体" w:eastAsia="仿宋_GB2312" w:cs="宋体"/>
      <w:color w:val="000000"/>
      <w:kern w:val="0"/>
      <w:szCs w:val="21"/>
    </w:rPr>
  </w:style>
  <w:style w:type="paragraph" w:customStyle="1" w:styleId="74">
    <w:name w:val="xl83"/>
    <w:basedOn w:val="1"/>
    <w:qFormat/>
    <w:uiPriority w:val="0"/>
    <w:pPr>
      <w:widowControl/>
      <w:pBdr>
        <w:right w:val="single" w:color="000000" w:sz="8" w:space="0"/>
      </w:pBdr>
      <w:spacing w:before="100" w:beforeAutospacing="1" w:after="100" w:afterAutospacing="1"/>
    </w:pPr>
    <w:rPr>
      <w:rFonts w:ascii="仿宋_GB2312" w:hAnsi="宋体" w:eastAsia="仿宋_GB2312" w:cs="宋体"/>
      <w:color w:val="000000"/>
      <w:kern w:val="0"/>
      <w:szCs w:val="21"/>
    </w:rPr>
  </w:style>
  <w:style w:type="paragraph" w:customStyle="1" w:styleId="75">
    <w:name w:val="xl80"/>
    <w:basedOn w:val="1"/>
    <w:qFormat/>
    <w:uiPriority w:val="0"/>
    <w:pPr>
      <w:widowControl/>
      <w:pBdr>
        <w:right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76">
    <w:name w:val="xl137"/>
    <w:basedOn w:val="1"/>
    <w:qFormat/>
    <w:uiPriority w:val="0"/>
    <w:pPr>
      <w:widowControl/>
      <w:pBdr>
        <w:left w:val="single" w:color="000000" w:sz="8" w:space="0"/>
        <w:right w:val="single" w:color="000000" w:sz="8"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77">
    <w:name w:val="xl10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Times New Roman" w:hAnsi="Times New Roman"/>
      <w:kern w:val="0"/>
      <w:szCs w:val="21"/>
    </w:rPr>
  </w:style>
  <w:style w:type="paragraph" w:customStyle="1" w:styleId="78">
    <w:name w:val="xl77"/>
    <w:basedOn w:val="1"/>
    <w:qFormat/>
    <w:uiPriority w:val="0"/>
    <w:pPr>
      <w:widowControl/>
      <w:pBdr>
        <w:right w:val="single" w:color="000000" w:sz="8" w:space="0"/>
      </w:pBdr>
      <w:spacing w:before="100" w:beforeAutospacing="1" w:after="100" w:afterAutospacing="1"/>
    </w:pPr>
    <w:rPr>
      <w:rFonts w:ascii="Times New Roman" w:hAnsi="Times New Roman"/>
      <w:kern w:val="0"/>
      <w:szCs w:val="21"/>
    </w:rPr>
  </w:style>
  <w:style w:type="paragraph" w:customStyle="1" w:styleId="79">
    <w:name w:val="xl133"/>
    <w:basedOn w:val="1"/>
    <w:qFormat/>
    <w:uiPriority w:val="0"/>
    <w:pPr>
      <w:widowControl/>
      <w:pBdr>
        <w:top w:val="single" w:color="000000" w:sz="8" w:space="0"/>
        <w:bottom w:val="single" w:color="000000" w:sz="8" w:space="0"/>
        <w:right w:val="single" w:color="000000" w:sz="8" w:space="0"/>
      </w:pBdr>
      <w:spacing w:before="100" w:beforeAutospacing="1" w:after="100" w:afterAutospacing="1"/>
    </w:pPr>
    <w:rPr>
      <w:rFonts w:ascii="Times New Roman" w:hAnsi="Times New Roman"/>
      <w:b/>
      <w:bCs/>
      <w:kern w:val="0"/>
      <w:szCs w:val="21"/>
    </w:rPr>
  </w:style>
  <w:style w:type="paragraph" w:customStyle="1" w:styleId="80">
    <w:name w:val="xl10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Cs w:val="21"/>
    </w:rPr>
  </w:style>
  <w:style w:type="paragraph" w:customStyle="1" w:styleId="81">
    <w:name w:val="xl74"/>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82">
    <w:name w:val="xl141"/>
    <w:basedOn w:val="1"/>
    <w:qFormat/>
    <w:uiPriority w:val="0"/>
    <w:pPr>
      <w:widowControl/>
      <w:pBdr>
        <w:left w:val="single" w:color="000000" w:sz="8" w:space="0"/>
        <w:right w:val="single" w:color="000000" w:sz="8" w:space="0"/>
      </w:pBdr>
      <w:spacing w:before="100" w:beforeAutospacing="1" w:after="100" w:afterAutospacing="1"/>
    </w:pPr>
    <w:rPr>
      <w:rFonts w:ascii="Times New Roman" w:hAnsi="Times New Roman"/>
      <w:color w:val="000000"/>
      <w:kern w:val="0"/>
      <w:szCs w:val="21"/>
    </w:rPr>
  </w:style>
  <w:style w:type="paragraph" w:customStyle="1" w:styleId="83">
    <w:name w:val="xl11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Times New Roman" w:hAnsi="Times New Roman"/>
      <w:b/>
      <w:bCs/>
      <w:kern w:val="0"/>
      <w:szCs w:val="21"/>
    </w:rPr>
  </w:style>
  <w:style w:type="paragraph" w:customStyle="1" w:styleId="84">
    <w:name w:val="font5"/>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85">
    <w:name w:val="xl95"/>
    <w:basedOn w:val="1"/>
    <w:qFormat/>
    <w:uiPriority w:val="0"/>
    <w:pPr>
      <w:widowControl/>
      <w:pBdr>
        <w:bottom w:val="single" w:color="000000" w:sz="8" w:space="0"/>
        <w:right w:val="single" w:color="000000" w:sz="8" w:space="0"/>
      </w:pBdr>
      <w:spacing w:before="100" w:beforeAutospacing="1" w:after="100" w:afterAutospacing="1"/>
      <w:jc w:val="center"/>
      <w:textAlignment w:val="bottom"/>
    </w:pPr>
    <w:rPr>
      <w:rFonts w:ascii="Times New Roman" w:hAnsi="Times New Roman"/>
      <w:b/>
      <w:bCs/>
      <w:kern w:val="0"/>
      <w:szCs w:val="21"/>
    </w:rPr>
  </w:style>
  <w:style w:type="paragraph" w:customStyle="1" w:styleId="86">
    <w:name w:val="xl115"/>
    <w:basedOn w:val="1"/>
    <w:qFormat/>
    <w:uiPriority w:val="0"/>
    <w:pPr>
      <w:widowControl/>
      <w:pBdr>
        <w:left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87">
    <w:name w:val="font7"/>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88">
    <w:name w:val="xl8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89">
    <w:name w:val="xl78"/>
    <w:basedOn w:val="1"/>
    <w:qFormat/>
    <w:uiPriority w:val="0"/>
    <w:pPr>
      <w:widowControl/>
      <w:pBdr>
        <w:right w:val="single" w:color="000000" w:sz="8" w:space="0"/>
      </w:pBdr>
      <w:spacing w:before="100" w:beforeAutospacing="1" w:after="100" w:afterAutospacing="1"/>
    </w:pPr>
    <w:rPr>
      <w:rFonts w:ascii="Times New Roman" w:hAnsi="Times New Roman"/>
      <w:color w:val="000000"/>
      <w:kern w:val="0"/>
      <w:szCs w:val="21"/>
    </w:rPr>
  </w:style>
  <w:style w:type="paragraph" w:customStyle="1" w:styleId="90">
    <w:name w:val="xl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黑体" w:hAnsi="黑体" w:eastAsia="黑体" w:cs="宋体"/>
      <w:kern w:val="0"/>
      <w:szCs w:val="21"/>
    </w:rPr>
  </w:style>
  <w:style w:type="paragraph" w:customStyle="1" w:styleId="91">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黑体" w:hAnsi="黑体" w:eastAsia="黑体" w:cs="宋体"/>
      <w:color w:val="000000"/>
      <w:kern w:val="0"/>
      <w:szCs w:val="21"/>
    </w:rPr>
  </w:style>
  <w:style w:type="paragraph" w:customStyle="1" w:styleId="92">
    <w:name w:val="xl127"/>
    <w:basedOn w:val="1"/>
    <w:qFormat/>
    <w:uiPriority w:val="0"/>
    <w:pPr>
      <w:widowControl/>
      <w:pBdr>
        <w:left w:val="single" w:color="000000" w:sz="8" w:space="0"/>
        <w:right w:val="single" w:color="000000" w:sz="8" w:space="0"/>
      </w:pBdr>
      <w:spacing w:before="100" w:beforeAutospacing="1" w:after="100" w:afterAutospacing="1"/>
      <w:jc w:val="center"/>
    </w:pPr>
    <w:rPr>
      <w:rFonts w:ascii="Times New Roman" w:hAnsi="Times New Roman"/>
      <w:color w:val="000000"/>
      <w:kern w:val="0"/>
      <w:szCs w:val="21"/>
    </w:rPr>
  </w:style>
  <w:style w:type="paragraph" w:customStyle="1" w:styleId="93">
    <w:name w:val="xl9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top"/>
    </w:pPr>
    <w:rPr>
      <w:rFonts w:ascii="仿宋_GB2312" w:hAnsi="宋体" w:eastAsia="仿宋_GB2312" w:cs="宋体"/>
      <w:kern w:val="0"/>
      <w:szCs w:val="21"/>
    </w:rPr>
  </w:style>
  <w:style w:type="paragraph" w:customStyle="1" w:styleId="94">
    <w:name w:val="xl68"/>
    <w:basedOn w:val="1"/>
    <w:qFormat/>
    <w:uiPriority w:val="0"/>
    <w:pPr>
      <w:widowControl/>
      <w:pBdr>
        <w:right w:val="single" w:color="000000" w:sz="8"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95">
    <w:name w:val="xl11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黑体" w:hAnsi="黑体" w:eastAsia="黑体" w:cs="宋体"/>
      <w:color w:val="000000"/>
      <w:kern w:val="0"/>
      <w:szCs w:val="21"/>
    </w:rPr>
  </w:style>
  <w:style w:type="paragraph" w:customStyle="1" w:styleId="96">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97">
    <w:name w:val="xl93"/>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98">
    <w:name w:val="xl11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color w:val="000000"/>
      <w:kern w:val="0"/>
      <w:szCs w:val="21"/>
    </w:rPr>
  </w:style>
  <w:style w:type="paragraph" w:customStyle="1" w:styleId="99">
    <w:name w:val="font8"/>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100">
    <w:name w:val="xl87"/>
    <w:basedOn w:val="1"/>
    <w:qFormat/>
    <w:uiPriority w:val="0"/>
    <w:pPr>
      <w:widowControl/>
      <w:pBdr>
        <w:bottom w:val="single" w:color="000000" w:sz="8" w:space="0"/>
        <w:right w:val="single" w:color="000000" w:sz="8" w:space="0"/>
      </w:pBdr>
      <w:spacing w:before="100" w:beforeAutospacing="1" w:after="100" w:afterAutospacing="1"/>
    </w:pPr>
    <w:rPr>
      <w:rFonts w:ascii="Times New Roman" w:hAnsi="Times New Roman"/>
      <w:b/>
      <w:bCs/>
      <w:kern w:val="0"/>
      <w:szCs w:val="21"/>
    </w:rPr>
  </w:style>
  <w:style w:type="paragraph" w:customStyle="1" w:styleId="101">
    <w:name w:val="xl11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02">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Cs w:val="21"/>
    </w:rPr>
  </w:style>
  <w:style w:type="paragraph" w:customStyle="1" w:styleId="103">
    <w:name w:val="发文时间和印发时间"/>
    <w:basedOn w:val="1"/>
    <w:qFormat/>
    <w:uiPriority w:val="0"/>
    <w:pPr>
      <w:spacing w:line="600" w:lineRule="exact"/>
      <w:jc w:val="right"/>
    </w:pPr>
    <w:rPr>
      <w:rFonts w:eastAsia="仿宋_GB2312" w:cs="宋体"/>
      <w:sz w:val="32"/>
      <w:szCs w:val="20"/>
    </w:rPr>
  </w:style>
  <w:style w:type="paragraph" w:customStyle="1" w:styleId="104">
    <w:name w:val="xl11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Times New Roman" w:hAnsi="Times New Roman"/>
      <w:color w:val="000000"/>
      <w:kern w:val="0"/>
      <w:szCs w:val="21"/>
    </w:rPr>
  </w:style>
  <w:style w:type="paragraph" w:customStyle="1" w:styleId="105">
    <w:name w:val="font6"/>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106">
    <w:name w:val="xl91"/>
    <w:basedOn w:val="1"/>
    <w:qFormat/>
    <w:uiPriority w:val="0"/>
    <w:pPr>
      <w:widowControl/>
      <w:pBdr>
        <w:bottom w:val="single" w:color="000000" w:sz="8" w:space="0"/>
        <w:right w:val="single" w:color="000000" w:sz="8" w:space="0"/>
      </w:pBdr>
      <w:spacing w:before="100" w:beforeAutospacing="1" w:after="100" w:afterAutospacing="1"/>
      <w:jc w:val="left"/>
    </w:pPr>
    <w:rPr>
      <w:rFonts w:ascii="Times New Roman" w:hAnsi="Times New Roman"/>
      <w:b/>
      <w:bCs/>
      <w:kern w:val="0"/>
      <w:szCs w:val="21"/>
    </w:rPr>
  </w:style>
  <w:style w:type="paragraph" w:customStyle="1" w:styleId="107">
    <w:name w:val="xl69"/>
    <w:basedOn w:val="1"/>
    <w:qFormat/>
    <w:uiPriority w:val="0"/>
    <w:pPr>
      <w:widowControl/>
      <w:pBdr>
        <w:right w:val="single" w:color="000000" w:sz="8" w:space="0"/>
      </w:pBdr>
      <w:spacing w:before="100" w:beforeAutospacing="1" w:after="100" w:afterAutospacing="1"/>
      <w:jc w:val="center"/>
    </w:pPr>
    <w:rPr>
      <w:rFonts w:ascii="Times New Roman" w:hAnsi="Times New Roman"/>
      <w:color w:val="000000"/>
      <w:kern w:val="0"/>
      <w:szCs w:val="21"/>
    </w:rPr>
  </w:style>
  <w:style w:type="paragraph" w:customStyle="1" w:styleId="108">
    <w:name w:val="xl65"/>
    <w:basedOn w:val="1"/>
    <w:qFormat/>
    <w:uiPriority w:val="0"/>
    <w:pPr>
      <w:widowControl/>
      <w:pBdr>
        <w:left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109">
    <w:name w:val="font9"/>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10">
    <w:name w:val="xl94"/>
    <w:basedOn w:val="1"/>
    <w:qFormat/>
    <w:uiPriority w:val="0"/>
    <w:pPr>
      <w:widowControl/>
      <w:pBdr>
        <w:bottom w:val="single" w:color="000000" w:sz="8" w:space="0"/>
        <w:right w:val="single" w:color="000000" w:sz="8" w:space="0"/>
      </w:pBdr>
      <w:spacing w:before="100" w:beforeAutospacing="1" w:after="100" w:afterAutospacing="1"/>
      <w:textAlignment w:val="bottom"/>
    </w:pPr>
    <w:rPr>
      <w:rFonts w:ascii="Times New Roman" w:hAnsi="Times New Roman"/>
      <w:b/>
      <w:bCs/>
      <w:kern w:val="0"/>
      <w:szCs w:val="21"/>
    </w:rPr>
  </w:style>
  <w:style w:type="paragraph" w:customStyle="1" w:styleId="111">
    <w:name w:val="xl11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color w:val="000000"/>
      <w:kern w:val="0"/>
      <w:szCs w:val="21"/>
    </w:rPr>
  </w:style>
  <w:style w:type="paragraph" w:customStyle="1" w:styleId="112">
    <w:name w:val="xl82"/>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113">
    <w:name w:val="xl79"/>
    <w:basedOn w:val="1"/>
    <w:qFormat/>
    <w:uiPriority w:val="0"/>
    <w:pPr>
      <w:widowControl/>
      <w:pBdr>
        <w:bottom w:val="single" w:color="000000" w:sz="8" w:space="0"/>
        <w:right w:val="single" w:color="000000" w:sz="8" w:space="0"/>
      </w:pBdr>
      <w:spacing w:before="100" w:beforeAutospacing="1" w:after="100" w:afterAutospacing="1"/>
    </w:pPr>
    <w:rPr>
      <w:rFonts w:ascii="仿宋_GB2312" w:hAnsi="宋体" w:eastAsia="仿宋_GB2312" w:cs="宋体"/>
      <w:kern w:val="0"/>
      <w:szCs w:val="21"/>
    </w:rPr>
  </w:style>
  <w:style w:type="paragraph" w:customStyle="1" w:styleId="114">
    <w:name w:val="xl76"/>
    <w:basedOn w:val="1"/>
    <w:qFormat/>
    <w:uiPriority w:val="0"/>
    <w:pPr>
      <w:widowControl/>
      <w:pBdr>
        <w:bottom w:val="single" w:color="000000" w:sz="8" w:space="0"/>
        <w:right w:val="single" w:color="000000" w:sz="8" w:space="0"/>
      </w:pBdr>
      <w:spacing w:before="100" w:beforeAutospacing="1" w:after="100" w:afterAutospacing="1"/>
    </w:pPr>
    <w:rPr>
      <w:rFonts w:ascii="仿宋_GB2312" w:hAnsi="宋体" w:eastAsia="仿宋_GB2312" w:cs="宋体"/>
      <w:color w:val="000000"/>
      <w:kern w:val="0"/>
      <w:szCs w:val="21"/>
    </w:rPr>
  </w:style>
  <w:style w:type="paragraph" w:customStyle="1" w:styleId="115">
    <w:name w:val="xl7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b/>
      <w:bCs/>
      <w:kern w:val="0"/>
      <w:szCs w:val="21"/>
    </w:rPr>
  </w:style>
  <w:style w:type="paragraph" w:customStyle="1" w:styleId="116">
    <w:name w:val="xl71"/>
    <w:basedOn w:val="1"/>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117">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黑体" w:hAnsi="黑体" w:eastAsia="黑体" w:cs="宋体"/>
      <w:kern w:val="0"/>
      <w:szCs w:val="21"/>
    </w:rPr>
  </w:style>
  <w:style w:type="paragraph" w:customStyle="1" w:styleId="118">
    <w:name w:val="font14"/>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9">
    <w:name w:val="xl12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20">
    <w:name w:val="xl6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121">
    <w:name w:val="xl88"/>
    <w:basedOn w:val="1"/>
    <w:qFormat/>
    <w:uiPriority w:val="0"/>
    <w:pPr>
      <w:widowControl/>
      <w:pBdr>
        <w:bottom w:val="single" w:color="000000" w:sz="8" w:space="0"/>
        <w:right w:val="single" w:color="000000" w:sz="8" w:space="0"/>
      </w:pBdr>
      <w:spacing w:before="100" w:beforeAutospacing="1" w:after="100" w:afterAutospacing="1"/>
      <w:jc w:val="center"/>
      <w:textAlignment w:val="top"/>
    </w:pPr>
    <w:rPr>
      <w:rFonts w:ascii="仿宋_GB2312" w:hAnsi="宋体" w:eastAsia="仿宋_GB2312" w:cs="宋体"/>
      <w:color w:val="000000"/>
      <w:kern w:val="0"/>
      <w:szCs w:val="21"/>
    </w:rPr>
  </w:style>
  <w:style w:type="paragraph" w:customStyle="1" w:styleId="122">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color w:val="000000"/>
      <w:kern w:val="0"/>
      <w:szCs w:val="21"/>
    </w:rPr>
  </w:style>
  <w:style w:type="paragraph" w:customStyle="1" w:styleId="123">
    <w:name w:val="xl86"/>
    <w:basedOn w:val="1"/>
    <w:qFormat/>
    <w:uiPriority w:val="0"/>
    <w:pPr>
      <w:widowControl/>
      <w:pBdr>
        <w:bottom w:val="single" w:color="000000" w:sz="8" w:space="0"/>
        <w:right w:val="single" w:color="000000" w:sz="8" w:space="0"/>
      </w:pBdr>
      <w:spacing w:before="100" w:beforeAutospacing="1" w:after="100" w:afterAutospacing="1"/>
      <w:jc w:val="left"/>
    </w:pPr>
    <w:rPr>
      <w:rFonts w:ascii="Times New Roman" w:hAnsi="Times New Roman"/>
      <w:color w:val="000000"/>
      <w:kern w:val="0"/>
      <w:szCs w:val="21"/>
    </w:rPr>
  </w:style>
  <w:style w:type="paragraph" w:customStyle="1" w:styleId="124">
    <w:name w:val="xl85"/>
    <w:basedOn w:val="1"/>
    <w:qFormat/>
    <w:uiPriority w:val="0"/>
    <w:pPr>
      <w:widowControl/>
      <w:pBdr>
        <w:bottom w:val="single" w:color="000000" w:sz="8" w:space="0"/>
        <w:right w:val="single" w:color="000000" w:sz="8" w:space="0"/>
      </w:pBdr>
      <w:spacing w:before="100" w:beforeAutospacing="1" w:after="100" w:afterAutospacing="1"/>
    </w:pPr>
    <w:rPr>
      <w:rFonts w:ascii="Times New Roman" w:hAnsi="Times New Roman"/>
      <w:color w:val="000000"/>
      <w:kern w:val="0"/>
      <w:szCs w:val="21"/>
    </w:rPr>
  </w:style>
  <w:style w:type="paragraph" w:customStyle="1" w:styleId="125">
    <w:name w:val="xl128"/>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仿宋_GB2312" w:hAnsi="宋体" w:eastAsia="仿宋_GB2312" w:cs="宋体"/>
      <w:color w:val="000000"/>
      <w:kern w:val="0"/>
      <w:szCs w:val="21"/>
    </w:rPr>
  </w:style>
  <w:style w:type="paragraph" w:customStyle="1" w:styleId="126">
    <w:name w:val="xl97"/>
    <w:basedOn w:val="1"/>
    <w:qFormat/>
    <w:uiPriority w:val="0"/>
    <w:pPr>
      <w:widowControl/>
      <w:pBdr>
        <w:right w:val="single" w:color="000000" w:sz="8" w:space="0"/>
      </w:pBdr>
      <w:spacing w:before="100" w:beforeAutospacing="1" w:after="100" w:afterAutospacing="1"/>
      <w:jc w:val="center"/>
      <w:textAlignment w:val="top"/>
    </w:pPr>
    <w:rPr>
      <w:rFonts w:ascii="Times New Roman" w:hAnsi="Times New Roman"/>
      <w:color w:val="000000"/>
      <w:kern w:val="0"/>
      <w:szCs w:val="21"/>
    </w:rPr>
  </w:style>
  <w:style w:type="paragraph" w:customStyle="1" w:styleId="127">
    <w:name w:val="xl129"/>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仿宋_GB2312" w:hAnsi="宋体" w:eastAsia="仿宋_GB2312" w:cs="宋体"/>
      <w:color w:val="000000"/>
      <w:kern w:val="0"/>
      <w:szCs w:val="21"/>
    </w:rPr>
  </w:style>
  <w:style w:type="paragraph" w:customStyle="1" w:styleId="128">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129">
    <w:name w:val="xl134"/>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Times New Roman" w:hAnsi="Times New Roman"/>
      <w:b/>
      <w:bCs/>
      <w:kern w:val="0"/>
      <w:szCs w:val="21"/>
    </w:rPr>
  </w:style>
  <w:style w:type="paragraph" w:customStyle="1" w:styleId="130">
    <w:name w:val="xl99"/>
    <w:basedOn w:val="1"/>
    <w:qFormat/>
    <w:uiPriority w:val="0"/>
    <w:pPr>
      <w:widowControl/>
      <w:pBdr>
        <w:bottom w:val="single" w:color="000000" w:sz="8" w:space="0"/>
        <w:right w:val="single" w:color="000000" w:sz="8" w:space="0"/>
      </w:pBdr>
      <w:spacing w:before="100" w:beforeAutospacing="1" w:after="100" w:afterAutospacing="1"/>
      <w:jc w:val="center"/>
      <w:textAlignment w:val="top"/>
    </w:pPr>
    <w:rPr>
      <w:rFonts w:ascii="Times New Roman" w:hAnsi="Times New Roman"/>
      <w:kern w:val="0"/>
      <w:szCs w:val="21"/>
    </w:rPr>
  </w:style>
  <w:style w:type="paragraph" w:customStyle="1" w:styleId="131">
    <w:name w:val="xl131"/>
    <w:basedOn w:val="1"/>
    <w:qFormat/>
    <w:uiPriority w:val="0"/>
    <w:pPr>
      <w:widowControl/>
      <w:pBdr>
        <w:top w:val="single" w:color="000000" w:sz="8" w:space="0"/>
        <w:left w:val="single" w:color="000000" w:sz="8" w:space="0"/>
        <w:bottom w:val="single" w:color="000000" w:sz="8" w:space="0"/>
      </w:pBdr>
      <w:spacing w:before="100" w:beforeAutospacing="1" w:after="100" w:afterAutospacing="1"/>
    </w:pPr>
    <w:rPr>
      <w:rFonts w:ascii="Times New Roman" w:hAnsi="Times New Roman"/>
      <w:b/>
      <w:bCs/>
      <w:kern w:val="0"/>
      <w:szCs w:val="21"/>
    </w:rPr>
  </w:style>
  <w:style w:type="paragraph" w:customStyle="1" w:styleId="132">
    <w:name w:val="xl100"/>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133">
    <w:name w:val="xl132"/>
    <w:basedOn w:val="1"/>
    <w:qFormat/>
    <w:uiPriority w:val="0"/>
    <w:pPr>
      <w:widowControl/>
      <w:pBdr>
        <w:top w:val="single" w:color="000000" w:sz="8" w:space="0"/>
        <w:bottom w:val="single" w:color="000000" w:sz="8" w:space="0"/>
      </w:pBdr>
      <w:spacing w:before="100" w:beforeAutospacing="1" w:after="100" w:afterAutospacing="1"/>
    </w:pPr>
    <w:rPr>
      <w:rFonts w:ascii="Times New Roman" w:hAnsi="Times New Roman"/>
      <w:b/>
      <w:bCs/>
      <w:kern w:val="0"/>
      <w:szCs w:val="21"/>
    </w:rPr>
  </w:style>
  <w:style w:type="paragraph" w:customStyle="1" w:styleId="134">
    <w:name w:val="xl10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黑体" w:hAnsi="黑体" w:eastAsia="黑体" w:cs="宋体"/>
      <w:kern w:val="0"/>
      <w:szCs w:val="21"/>
    </w:rPr>
  </w:style>
  <w:style w:type="paragraph" w:customStyle="1" w:styleId="135">
    <w:name w:val="xl103"/>
    <w:basedOn w:val="1"/>
    <w:qFormat/>
    <w:uiPriority w:val="0"/>
    <w:pPr>
      <w:widowControl/>
      <w:pBdr>
        <w:top w:val="single" w:color="000000" w:sz="8" w:space="0"/>
        <w:bottom w:val="single" w:color="000000" w:sz="8" w:space="0"/>
      </w:pBdr>
      <w:spacing w:before="100" w:beforeAutospacing="1" w:after="100" w:afterAutospacing="1"/>
      <w:jc w:val="center"/>
    </w:pPr>
    <w:rPr>
      <w:rFonts w:ascii="黑体" w:hAnsi="黑体" w:eastAsia="黑体" w:cs="宋体"/>
      <w:kern w:val="0"/>
      <w:szCs w:val="21"/>
    </w:rPr>
  </w:style>
  <w:style w:type="paragraph" w:customStyle="1" w:styleId="136">
    <w:name w:val="xl136"/>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Times New Roman" w:hAnsi="Times New Roman"/>
      <w:b/>
      <w:bCs/>
      <w:kern w:val="0"/>
      <w:szCs w:val="21"/>
    </w:rPr>
  </w:style>
  <w:style w:type="paragraph" w:customStyle="1" w:styleId="137">
    <w:name w:val="xl10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Cs w:val="21"/>
    </w:rPr>
  </w:style>
  <w:style w:type="paragraph" w:customStyle="1" w:styleId="138">
    <w:name w:val="xl138"/>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bottom"/>
    </w:pPr>
    <w:rPr>
      <w:rFonts w:ascii="Times New Roman" w:hAnsi="Times New Roman"/>
      <w:b/>
      <w:bCs/>
      <w:kern w:val="0"/>
      <w:szCs w:val="21"/>
    </w:rPr>
  </w:style>
  <w:style w:type="paragraph" w:customStyle="1" w:styleId="139">
    <w:name w:val="xl10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kern w:val="0"/>
      <w:szCs w:val="21"/>
    </w:rPr>
  </w:style>
  <w:style w:type="paragraph" w:customStyle="1" w:styleId="140">
    <w:name w:val="xl13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bottom"/>
    </w:pPr>
    <w:rPr>
      <w:rFonts w:ascii="Times New Roman" w:hAnsi="Times New Roman"/>
      <w:b/>
      <w:bCs/>
      <w:kern w:val="0"/>
      <w:szCs w:val="21"/>
    </w:rPr>
  </w:style>
  <w:style w:type="paragraph" w:customStyle="1" w:styleId="141">
    <w:name w:val="xl10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142">
    <w:name w:val="xl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仿宋_GB2312" w:hAnsi="宋体" w:eastAsia="仿宋_GB2312" w:cs="宋体"/>
      <w:color w:val="000000"/>
      <w:kern w:val="0"/>
      <w:szCs w:val="21"/>
    </w:rPr>
  </w:style>
  <w:style w:type="paragraph" w:customStyle="1" w:styleId="143">
    <w:name w:val="公文抄送"/>
    <w:basedOn w:val="1"/>
    <w:qFormat/>
    <w:uiPriority w:val="0"/>
    <w:pPr>
      <w:spacing w:line="600" w:lineRule="exact"/>
    </w:pPr>
    <w:rPr>
      <w:rFonts w:eastAsia="仿宋_GB2312" w:cs="宋体"/>
      <w:sz w:val="32"/>
      <w:szCs w:val="20"/>
    </w:rPr>
  </w:style>
  <w:style w:type="paragraph" w:customStyle="1" w:styleId="144">
    <w:name w:val="xl11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b/>
      <w:bCs/>
      <w:kern w:val="0"/>
      <w:szCs w:val="21"/>
    </w:rPr>
  </w:style>
  <w:style w:type="paragraph" w:customStyle="1" w:styleId="145">
    <w:name w:val="xl117"/>
    <w:basedOn w:val="1"/>
    <w:qFormat/>
    <w:uiPriority w:val="0"/>
    <w:pPr>
      <w:widowControl/>
      <w:pBdr>
        <w:left w:val="single" w:color="000000" w:sz="8" w:space="0"/>
        <w:right w:val="single" w:color="000000" w:sz="8" w:space="0"/>
      </w:pBdr>
      <w:spacing w:before="100" w:beforeAutospacing="1" w:after="100" w:afterAutospacing="1"/>
      <w:jc w:val="center"/>
    </w:pPr>
    <w:rPr>
      <w:rFonts w:ascii="Times New Roman" w:hAnsi="Times New Roman"/>
      <w:kern w:val="0"/>
      <w:szCs w:val="21"/>
    </w:rPr>
  </w:style>
  <w:style w:type="paragraph" w:customStyle="1" w:styleId="146">
    <w:name w:val="xl120"/>
    <w:basedOn w:val="1"/>
    <w:qFormat/>
    <w:uiPriority w:val="0"/>
    <w:pPr>
      <w:widowControl/>
      <w:pBdr>
        <w:left w:val="single" w:color="000000" w:sz="8" w:space="0"/>
        <w:right w:val="single" w:color="000000" w:sz="8" w:space="0"/>
      </w:pBdr>
      <w:spacing w:before="100" w:beforeAutospacing="1" w:after="100" w:afterAutospacing="1"/>
      <w:jc w:val="center"/>
    </w:pPr>
    <w:rPr>
      <w:rFonts w:ascii="Times New Roman" w:hAnsi="Times New Roman"/>
      <w:b/>
      <w:bCs/>
      <w:kern w:val="0"/>
      <w:szCs w:val="21"/>
    </w:rPr>
  </w:style>
  <w:style w:type="paragraph" w:customStyle="1" w:styleId="147">
    <w:name w:val="xl12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仿宋_GB2312" w:hAnsi="宋体" w:eastAsia="仿宋_GB2312" w:cs="宋体"/>
      <w:kern w:val="0"/>
      <w:szCs w:val="21"/>
    </w:rPr>
  </w:style>
  <w:style w:type="paragraph" w:customStyle="1" w:styleId="148">
    <w:name w:val="xl125"/>
    <w:basedOn w:val="1"/>
    <w:qFormat/>
    <w:uiPriority w:val="0"/>
    <w:pPr>
      <w:widowControl/>
      <w:pBdr>
        <w:left w:val="single" w:color="000000" w:sz="8" w:space="0"/>
        <w:right w:val="single" w:color="000000" w:sz="8" w:space="0"/>
      </w:pBdr>
      <w:spacing w:before="100" w:beforeAutospacing="1" w:after="100" w:afterAutospacing="1"/>
    </w:pPr>
    <w:rPr>
      <w:rFonts w:ascii="仿宋_GB2312" w:hAnsi="宋体" w:eastAsia="仿宋_GB2312" w:cs="宋体"/>
      <w:kern w:val="0"/>
      <w:szCs w:val="21"/>
    </w:rPr>
  </w:style>
  <w:style w:type="paragraph" w:customStyle="1" w:styleId="149">
    <w:name w:val="xl135"/>
    <w:basedOn w:val="1"/>
    <w:qFormat/>
    <w:uiPriority w:val="0"/>
    <w:pPr>
      <w:widowControl/>
      <w:pBdr>
        <w:left w:val="single" w:color="000000" w:sz="8" w:space="0"/>
        <w:right w:val="single" w:color="000000" w:sz="8" w:space="0"/>
      </w:pBdr>
      <w:spacing w:before="100" w:beforeAutospacing="1" w:after="100" w:afterAutospacing="1"/>
    </w:pPr>
    <w:rPr>
      <w:rFonts w:ascii="Times New Roman" w:hAnsi="Times New Roman"/>
      <w:b/>
      <w:bCs/>
      <w:kern w:val="0"/>
      <w:szCs w:val="21"/>
    </w:rPr>
  </w:style>
  <w:style w:type="paragraph" w:customStyle="1" w:styleId="150">
    <w:name w:val="xl140"/>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Times New Roman" w:hAnsi="Times New Roman"/>
      <w:color w:val="000000"/>
      <w:kern w:val="0"/>
      <w:szCs w:val="21"/>
    </w:rPr>
  </w:style>
  <w:style w:type="paragraph" w:customStyle="1" w:styleId="151">
    <w:name w:val="xl142"/>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Times New Roman" w:hAnsi="Times New Roman"/>
      <w:color w:val="000000"/>
      <w:kern w:val="0"/>
      <w:szCs w:val="21"/>
    </w:rPr>
  </w:style>
  <w:style w:type="paragraph" w:customStyle="1" w:styleId="152">
    <w:name w:val="Char"/>
    <w:basedOn w:val="1"/>
    <w:next w:val="11"/>
    <w:qFormat/>
    <w:uiPriority w:val="0"/>
    <w:pPr>
      <w:spacing w:line="360" w:lineRule="auto"/>
      <w:ind w:firstLine="200" w:firstLineChars="200"/>
    </w:pPr>
    <w:rPr>
      <w:kern w:val="0"/>
      <w:sz w:val="24"/>
    </w:rPr>
  </w:style>
  <w:style w:type="paragraph" w:customStyle="1" w:styleId="153">
    <w:name w:val="正文空2字"/>
    <w:qFormat/>
    <w:uiPriority w:val="0"/>
    <w:pPr>
      <w:widowControl w:val="0"/>
      <w:snapToGrid w:val="0"/>
      <w:spacing w:line="560" w:lineRule="exact"/>
      <w:ind w:firstLine="200" w:firstLineChars="200"/>
    </w:pPr>
    <w:rPr>
      <w:rFonts w:ascii="仿宋_GB2312" w:hAnsi="Times New Roman" w:eastAsia="仿宋_GB2312" w:cs="仿宋_GB2312"/>
      <w:kern w:val="2"/>
      <w:sz w:val="32"/>
      <w:szCs w:val="32"/>
      <w:lang w:val="zh-TW"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24851</Words>
  <Characters>25833</Characters>
  <Lines>256</Lines>
  <Paragraphs>72</Paragraphs>
  <TotalTime>6</TotalTime>
  <ScaleCrop>false</ScaleCrop>
  <LinksUpToDate>false</LinksUpToDate>
  <CharactersWithSpaces>25881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2023-08-29T23:23:00Z</dcterms:created>
  <dc:creator>吴大海（机要室）</dc:creator>
  <cp:lastModifiedBy>user</cp:lastModifiedBy>
  <cp:lastPrinted>2025-07-06T02:37:00Z</cp:lastPrinted>
  <dcterms:modified xsi:type="dcterms:W3CDTF">2025-08-11T11:53:55Z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01B4B49294DC3A2C6F4F9968E059D998_43</vt:lpwstr>
  </property>
  <property fmtid="{D5CDD505-2E9C-101B-9397-08002B2CF9AE}" pid="4" name="KSOTemplateDocerSaveRecord">
    <vt:lpwstr>eyJoZGlkIjoiMzhhZjJkZWI2M2YxNGRiMjI3OGRmMDNjNTkyNTc4MTIiLCJ1c2VySWQiOiIxNjM5NTc4ODc3In0=</vt:lpwstr>
  </property>
</Properties>
</file>