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4"/>
          <w:szCs w:val="22"/>
          <w:highlight w:val="none"/>
          <w:lang w:val="en-US" w:eastAsia="zh-CN"/>
        </w:rPr>
      </w:pPr>
      <w:r>
        <w:rPr>
          <w:rFonts w:hint="eastAsia" w:ascii="Times New Roman" w:hAnsi="Times New Roman" w:eastAsia="方正小标宋简体" w:cs="Times New Roman"/>
          <w:color w:val="auto"/>
          <w:sz w:val="44"/>
          <w:szCs w:val="22"/>
          <w:highlight w:val="none"/>
          <w:lang w:val="en-US" w:eastAsia="zh-CN"/>
        </w:rPr>
        <w:t>攀枝花</w:t>
      </w:r>
      <w:r>
        <w:rPr>
          <w:rFonts w:hint="default" w:ascii="Times New Roman" w:hAnsi="Times New Roman" w:eastAsia="方正小标宋简体" w:cs="Times New Roman"/>
          <w:color w:val="auto"/>
          <w:sz w:val="44"/>
          <w:szCs w:val="22"/>
          <w:highlight w:val="none"/>
          <w:lang w:val="en-US" w:eastAsia="zh-CN"/>
        </w:rPr>
        <w:t>市</w:t>
      </w:r>
      <w:r>
        <w:rPr>
          <w:rFonts w:hint="eastAsia" w:ascii="Times New Roman" w:hAnsi="Times New Roman" w:eastAsia="方正小标宋简体" w:cs="Times New Roman"/>
          <w:color w:val="auto"/>
          <w:sz w:val="44"/>
          <w:szCs w:val="22"/>
          <w:highlight w:val="none"/>
          <w:lang w:val="en-US" w:eastAsia="zh-CN"/>
        </w:rPr>
        <w:t>西区市</w:t>
      </w:r>
      <w:r>
        <w:rPr>
          <w:rFonts w:hint="default" w:ascii="Times New Roman" w:hAnsi="Times New Roman" w:eastAsia="方正小标宋简体" w:cs="Times New Roman"/>
          <w:color w:val="auto"/>
          <w:sz w:val="44"/>
          <w:szCs w:val="22"/>
          <w:highlight w:val="none"/>
          <w:lang w:val="en-US" w:eastAsia="zh-CN"/>
        </w:rPr>
        <w:t>场监管领域部门联合抽查事项清单（</w:t>
      </w:r>
      <w:r>
        <w:rPr>
          <w:rFonts w:hint="eastAsia" w:ascii="Times New Roman" w:hAnsi="Times New Roman" w:eastAsia="方正小标宋简体" w:cs="Times New Roman"/>
          <w:color w:val="auto"/>
          <w:sz w:val="44"/>
          <w:szCs w:val="22"/>
          <w:highlight w:val="none"/>
          <w:lang w:val="en-US" w:eastAsia="zh-CN"/>
        </w:rPr>
        <w:t>2025年</w:t>
      </w:r>
      <w:r>
        <w:rPr>
          <w:rFonts w:hint="default" w:ascii="Times New Roman" w:hAnsi="Times New Roman" w:eastAsia="方正小标宋简体" w:cs="Times New Roman"/>
          <w:color w:val="auto"/>
          <w:sz w:val="44"/>
          <w:szCs w:val="22"/>
          <w:highlight w:val="none"/>
          <w:lang w:val="en-US" w:eastAsia="zh-CN"/>
        </w:rPr>
        <w:t>）</w:t>
      </w:r>
    </w:p>
    <w:p>
      <w:pPr>
        <w:jc w:val="center"/>
        <w:rPr>
          <w:rFonts w:hint="default" w:ascii="Times New Roman" w:hAnsi="Times New Roman" w:eastAsia="方正小标宋简体" w:cs="Times New Roman"/>
          <w:color w:val="auto"/>
          <w:sz w:val="44"/>
          <w:szCs w:val="22"/>
          <w:highlight w:val="none"/>
          <w:lang w:val="en-US" w:eastAsia="zh-CN"/>
        </w:rPr>
      </w:pPr>
    </w:p>
    <w:tbl>
      <w:tblPr>
        <w:tblStyle w:val="4"/>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1035"/>
        <w:gridCol w:w="2031"/>
        <w:gridCol w:w="1114"/>
        <w:gridCol w:w="714"/>
        <w:gridCol w:w="1024"/>
        <w:gridCol w:w="2461"/>
        <w:gridCol w:w="762"/>
        <w:gridCol w:w="817"/>
        <w:gridCol w:w="832"/>
        <w:gridCol w:w="868"/>
        <w:gridCol w:w="155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57"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序号</w:t>
            </w:r>
          </w:p>
        </w:tc>
        <w:tc>
          <w:tcPr>
            <w:tcW w:w="1035"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抽查类别</w:t>
            </w:r>
          </w:p>
        </w:tc>
        <w:tc>
          <w:tcPr>
            <w:tcW w:w="2031"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牵头发起部门抽查事项</w:t>
            </w:r>
          </w:p>
        </w:tc>
        <w:tc>
          <w:tcPr>
            <w:tcW w:w="11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抽查对象</w:t>
            </w:r>
          </w:p>
        </w:tc>
        <w:tc>
          <w:tcPr>
            <w:tcW w:w="7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事项</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类别</w:t>
            </w:r>
          </w:p>
        </w:tc>
        <w:tc>
          <w:tcPr>
            <w:tcW w:w="5896" w:type="dxa"/>
            <w:gridSpan w:val="5"/>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牵头发起部门</w:t>
            </w:r>
          </w:p>
        </w:tc>
        <w:tc>
          <w:tcPr>
            <w:tcW w:w="86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联合抽查部门</w:t>
            </w:r>
          </w:p>
        </w:tc>
        <w:tc>
          <w:tcPr>
            <w:tcW w:w="1555"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联合抽查部门</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抽查事项</w:t>
            </w:r>
          </w:p>
        </w:tc>
        <w:tc>
          <w:tcPr>
            <w:tcW w:w="910"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对照部委</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清单事项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5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部门名称</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抽查内容</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抽查方式</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lang w:eastAsia="zh-CN"/>
              </w:rPr>
            </w:pPr>
            <w:r>
              <w:rPr>
                <w:rFonts w:hint="default" w:ascii="Times New Roman" w:hAnsi="Times New Roman" w:eastAsia="方正黑体简体" w:cs="Times New Roman"/>
                <w:b w:val="0"/>
                <w:bCs w:val="0"/>
                <w:snapToGrid w:val="0"/>
                <w:color w:val="auto"/>
                <w:sz w:val="18"/>
                <w:szCs w:val="18"/>
                <w:highlight w:val="none"/>
                <w:lang w:eastAsia="zh-CN"/>
              </w:rPr>
              <w:t>组织层级</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实施层级</w:t>
            </w:r>
          </w:p>
        </w:tc>
        <w:tc>
          <w:tcPr>
            <w:tcW w:w="86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55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vMerge w:val="restart"/>
            <w:noWrap w:val="0"/>
            <w:tcMar>
              <w:top w:w="15" w:type="dxa"/>
              <w:left w:w="15" w:type="dxa"/>
              <w:right w:w="15" w:type="dxa"/>
            </w:tcMar>
            <w:vAlign w:val="center"/>
          </w:tcPr>
          <w:p>
            <w:pPr>
              <w:keepNext w:val="0"/>
              <w:keepLines w:val="0"/>
              <w:pageBreakBefore w:val="0"/>
              <w:widowControl w:val="0"/>
              <w:numPr>
                <w:ilvl w:val="0"/>
                <w:numId w:val="0"/>
              </w:numPr>
              <w:suppressAutoHyphens/>
              <w:kinsoku/>
              <w:wordWrap/>
              <w:bidi w:val="0"/>
              <w:adjustRightInd/>
              <w:snapToGrid/>
              <w:spacing w:beforeAutospacing="0" w:after="0" w:line="260" w:lineRule="exact"/>
              <w:ind w:left="210" w:leftChars="0"/>
              <w:jc w:val="both"/>
              <w:rPr>
                <w:rFonts w:hint="eastAsia" w:ascii="Times New Roman" w:hAnsi="Times New Roman" w:eastAsia="方正仿宋简体" w:cs="Times New Roman"/>
                <w:b w:val="0"/>
                <w:bCs w:val="0"/>
                <w:snapToGrid w:val="0"/>
                <w:color w:val="1F497D"/>
                <w:sz w:val="18"/>
                <w:szCs w:val="18"/>
                <w:highlight w:val="none"/>
                <w:lang w:val="en-US" w:eastAsia="zh-CN"/>
              </w:rPr>
            </w:pPr>
            <w:r>
              <w:rPr>
                <w:rFonts w:hint="eastAsia" w:ascii="Times New Roman" w:hAnsi="Times New Roman" w:eastAsia="方正仿宋简体" w:cs="Times New Roman"/>
                <w:b w:val="0"/>
                <w:bCs w:val="0"/>
                <w:snapToGrid w:val="0"/>
                <w:color w:val="1F497D"/>
                <w:sz w:val="18"/>
                <w:szCs w:val="18"/>
                <w:highlight w:val="none"/>
                <w:lang w:val="en-US" w:eastAsia="zh-CN"/>
              </w:rPr>
              <w:t>1</w:t>
            </w:r>
          </w:p>
        </w:tc>
        <w:tc>
          <w:tcPr>
            <w:tcW w:w="1035" w:type="dxa"/>
            <w:vMerge w:val="restart"/>
            <w:noWrap w:val="0"/>
            <w:vAlign w:val="center"/>
          </w:tcPr>
          <w:p>
            <w:pPr>
              <w:keepNext w:val="0"/>
              <w:keepLines w:val="0"/>
              <w:widowControl/>
              <w:suppressLineNumbers w:val="0"/>
              <w:jc w:val="left"/>
            </w:pPr>
            <w:r>
              <w:rPr>
                <w:rFonts w:ascii="方正仿宋简体" w:hAnsi="方正仿宋简体" w:eastAsia="方正仿宋简体" w:cs="方正仿宋简体"/>
                <w:color w:val="000000"/>
                <w:kern w:val="0"/>
                <w:sz w:val="18"/>
                <w:szCs w:val="18"/>
                <w:lang w:val="en-US" w:eastAsia="zh-CN" w:bidi="ar"/>
              </w:rPr>
              <w:t xml:space="preserve">养老机构抽 </w:t>
            </w:r>
          </w:p>
          <w:p>
            <w:pPr>
              <w:keepNext w:val="0"/>
              <w:keepLines w:val="0"/>
              <w:widowControl/>
              <w:suppressLineNumbers w:val="0"/>
              <w:jc w:val="left"/>
            </w:pPr>
            <w:r>
              <w:rPr>
                <w:rFonts w:hint="eastAsia" w:ascii="方正仿宋简体" w:hAnsi="方正仿宋简体" w:eastAsia="方正仿宋简体" w:cs="方正仿宋简体"/>
                <w:color w:val="000000"/>
                <w:kern w:val="0"/>
                <w:sz w:val="18"/>
                <w:szCs w:val="18"/>
                <w:lang w:val="en-US" w:eastAsia="zh-CN" w:bidi="ar"/>
              </w:rPr>
              <w:t>查</w:t>
            </w:r>
          </w:p>
          <w:p>
            <w:pPr>
              <w:keepNext w:val="0"/>
              <w:keepLines w:val="0"/>
              <w:pageBreakBefore w:val="0"/>
              <w:widowControl w:val="0"/>
              <w:suppressAutoHyphens/>
              <w:kinsoku/>
              <w:wordWrap/>
              <w:bidi w:val="0"/>
              <w:adjustRightInd/>
              <w:snapToGrid/>
              <w:spacing w:beforeAutospacing="0" w:after="0" w:line="260" w:lineRule="exact"/>
              <w:jc w:val="both"/>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031" w:type="dxa"/>
            <w:vMerge w:val="restart"/>
            <w:noWrap w:val="0"/>
            <w:tcMar>
              <w:top w:w="15" w:type="dxa"/>
              <w:left w:w="15" w:type="dxa"/>
              <w:right w:w="15" w:type="dxa"/>
            </w:tcMar>
            <w:vAlign w:val="center"/>
          </w:tcPr>
          <w:p>
            <w:pPr>
              <w:keepNext w:val="0"/>
              <w:keepLines w:val="0"/>
              <w:widowControl/>
              <w:suppressLineNumbers w:val="0"/>
              <w:jc w:val="left"/>
              <w:rPr>
                <w:rFonts w:hint="default"/>
                <w:lang w:val="en-US"/>
              </w:rPr>
            </w:pPr>
            <w:r>
              <w:rPr>
                <w:rFonts w:ascii="方正仿宋简体" w:hAnsi="方正仿宋简体" w:eastAsia="方正仿宋简体" w:cs="方正仿宋简体"/>
                <w:color w:val="000000"/>
                <w:kern w:val="0"/>
                <w:sz w:val="18"/>
                <w:szCs w:val="18"/>
                <w:lang w:val="en-US" w:eastAsia="zh-CN" w:bidi="ar"/>
              </w:rPr>
              <w:t>养老机构</w:t>
            </w:r>
            <w:r>
              <w:rPr>
                <w:rFonts w:hint="eastAsia" w:ascii="方正仿宋简体" w:hAnsi="方正仿宋简体" w:eastAsia="方正仿宋简体" w:cs="方正仿宋简体"/>
                <w:color w:val="000000"/>
                <w:kern w:val="0"/>
                <w:sz w:val="18"/>
                <w:szCs w:val="18"/>
                <w:lang w:val="en-US" w:eastAsia="zh-CN" w:bidi="ar"/>
              </w:rPr>
              <w:t>监督检查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1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both"/>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西区公（民）办养老机构</w:t>
            </w:r>
          </w:p>
        </w:tc>
        <w:tc>
          <w:tcPr>
            <w:tcW w:w="7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重点检查事项</w:t>
            </w:r>
          </w:p>
        </w:tc>
        <w:tc>
          <w:tcPr>
            <w:tcW w:w="102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民政局部门</w:t>
            </w:r>
          </w:p>
        </w:tc>
        <w:tc>
          <w:tcPr>
            <w:tcW w:w="2461"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对养老机构的服务质量安全、资金安全、突发事件应对、从业人员、运营资质、备案事项合同管理、收费服务、信息公开、规章制度、消防安全、食品安全、特种设备、药品安全管理等内容。</w:t>
            </w:r>
          </w:p>
        </w:tc>
        <w:tc>
          <w:tcPr>
            <w:tcW w:w="762" w:type="dxa"/>
            <w:vMerge w:val="restart"/>
            <w:noWrap w:val="0"/>
            <w:tcMar>
              <w:top w:w="15" w:type="dxa"/>
              <w:left w:w="15" w:type="dxa"/>
              <w:right w:w="15" w:type="dxa"/>
            </w:tcMar>
            <w:vAlign w:val="center"/>
          </w:tcPr>
          <w:p>
            <w:pPr>
              <w:keepNext w:val="0"/>
              <w:keepLines w:val="0"/>
              <w:widowControl/>
              <w:suppressLineNumbers w:val="0"/>
              <w:jc w:val="left"/>
            </w:pPr>
            <w:r>
              <w:rPr>
                <w:rFonts w:ascii="方正仿宋简体" w:hAnsi="方正仿宋简体" w:eastAsia="方正仿宋简体" w:cs="方正仿宋简体"/>
                <w:color w:val="000000"/>
                <w:kern w:val="0"/>
                <w:sz w:val="18"/>
                <w:szCs w:val="18"/>
                <w:lang w:val="en-US" w:eastAsia="zh-CN" w:bidi="ar"/>
              </w:rPr>
              <w:t xml:space="preserve">现场检 </w:t>
            </w:r>
          </w:p>
          <w:p>
            <w:pPr>
              <w:keepNext w:val="0"/>
              <w:keepLines w:val="0"/>
              <w:widowControl/>
              <w:suppressLineNumbers w:val="0"/>
              <w:jc w:val="left"/>
            </w:pPr>
            <w:r>
              <w:rPr>
                <w:rFonts w:hint="eastAsia" w:ascii="方正仿宋简体" w:hAnsi="方正仿宋简体" w:eastAsia="方正仿宋简体" w:cs="方正仿宋简体"/>
                <w:color w:val="000000"/>
                <w:kern w:val="0"/>
                <w:sz w:val="18"/>
                <w:szCs w:val="18"/>
                <w:lang w:val="en-US" w:eastAsia="zh-CN" w:bidi="ar"/>
              </w:rPr>
              <w:t xml:space="preserve">查、书面 </w:t>
            </w:r>
          </w:p>
          <w:p>
            <w:pPr>
              <w:keepNext w:val="0"/>
              <w:keepLines w:val="0"/>
              <w:widowControl/>
              <w:suppressLineNumbers w:val="0"/>
              <w:jc w:val="left"/>
            </w:pPr>
            <w:r>
              <w:rPr>
                <w:rFonts w:hint="eastAsia" w:ascii="方正仿宋简体" w:hAnsi="方正仿宋简体" w:eastAsia="方正仿宋简体" w:cs="方正仿宋简体"/>
                <w:color w:val="000000"/>
                <w:kern w:val="0"/>
                <w:sz w:val="18"/>
                <w:szCs w:val="18"/>
                <w:lang w:val="en-US" w:eastAsia="zh-CN" w:bidi="ar"/>
              </w:rPr>
              <w:t xml:space="preserve">检查、网 </w:t>
            </w:r>
          </w:p>
          <w:p>
            <w:pPr>
              <w:keepNext w:val="0"/>
              <w:keepLines w:val="0"/>
              <w:widowControl/>
              <w:suppressLineNumbers w:val="0"/>
              <w:jc w:val="left"/>
            </w:pPr>
            <w:r>
              <w:rPr>
                <w:rFonts w:hint="eastAsia" w:ascii="方正仿宋简体" w:hAnsi="方正仿宋简体" w:eastAsia="方正仿宋简体" w:cs="方正仿宋简体"/>
                <w:color w:val="000000"/>
                <w:kern w:val="0"/>
                <w:sz w:val="18"/>
                <w:szCs w:val="18"/>
                <w:lang w:val="en-US" w:eastAsia="zh-CN" w:bidi="ar"/>
              </w:rPr>
              <w:t>络检查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17"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both"/>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市场监管部门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特种设备、食品安全工作。</w:t>
            </w:r>
          </w:p>
        </w:tc>
        <w:tc>
          <w:tcPr>
            <w:tcW w:w="910"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vMerge w:val="continue"/>
            <w:noWrap w:val="0"/>
            <w:tcMar>
              <w:top w:w="15" w:type="dxa"/>
              <w:left w:w="15" w:type="dxa"/>
              <w:right w:w="15" w:type="dxa"/>
            </w:tcMar>
            <w:vAlign w:val="center"/>
          </w:tcPr>
          <w:p>
            <w:pPr>
              <w:keepNext w:val="0"/>
              <w:keepLines w:val="0"/>
              <w:pageBreakBefore w:val="0"/>
              <w:widowControl w:val="0"/>
              <w:numPr>
                <w:ilvl w:val="0"/>
                <w:numId w:val="0"/>
              </w:numPr>
              <w:suppressAutoHyphens/>
              <w:kinsoku/>
              <w:wordWrap/>
              <w:bidi w:val="0"/>
              <w:adjustRightInd/>
              <w:snapToGrid/>
              <w:spacing w:beforeAutospacing="0" w:after="0" w:line="260" w:lineRule="exact"/>
              <w:ind w:left="210" w:leftChars="0"/>
              <w:jc w:val="center"/>
              <w:rPr>
                <w:rFonts w:hint="default" w:ascii="Times New Roman" w:hAnsi="Times New Roman" w:eastAsia="方正仿宋简体" w:cs="Times New Roman"/>
                <w:b w:val="0"/>
                <w:bCs w:val="0"/>
                <w:snapToGrid w:val="0"/>
                <w:color w:val="1F497D"/>
                <w:sz w:val="18"/>
                <w:szCs w:val="18"/>
                <w:highlight w:val="none"/>
              </w:rP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2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p>
        </w:tc>
        <w:tc>
          <w:tcPr>
            <w:tcW w:w="246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6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1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3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消防救援部门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消防安全管理工作</w:t>
            </w: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57" w:type="dxa"/>
            <w:vMerge w:val="continue"/>
            <w:noWrap w:val="0"/>
            <w:tcMar>
              <w:top w:w="15" w:type="dxa"/>
              <w:left w:w="15" w:type="dxa"/>
              <w:right w:w="15" w:type="dxa"/>
            </w:tcMar>
            <w:vAlign w:val="center"/>
          </w:tcPr>
          <w:p>
            <w:pPr>
              <w:keepNext w:val="0"/>
              <w:keepLines w:val="0"/>
              <w:pageBreakBefore w:val="0"/>
              <w:widowControl w:val="0"/>
              <w:numPr>
                <w:ilvl w:val="0"/>
                <w:numId w:val="0"/>
              </w:numPr>
              <w:suppressAutoHyphens/>
              <w:kinsoku/>
              <w:wordWrap/>
              <w:bidi w:val="0"/>
              <w:adjustRightInd/>
              <w:snapToGrid/>
              <w:spacing w:beforeAutospacing="0" w:after="0" w:line="260" w:lineRule="exact"/>
              <w:ind w:left="210" w:leftChars="0"/>
              <w:jc w:val="center"/>
              <w:rPr>
                <w:rFonts w:hint="default" w:ascii="Times New Roman" w:hAnsi="Times New Roman" w:eastAsia="方正仿宋简体" w:cs="Times New Roman"/>
                <w:b w:val="0"/>
                <w:bCs w:val="0"/>
                <w:snapToGrid w:val="0"/>
                <w:color w:val="1F497D"/>
                <w:sz w:val="18"/>
                <w:szCs w:val="18"/>
                <w:highlight w:val="none"/>
              </w:rP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2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p>
        </w:tc>
        <w:tc>
          <w:tcPr>
            <w:tcW w:w="246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6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1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3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kern w:val="2"/>
                <w:sz w:val="18"/>
                <w:szCs w:val="18"/>
                <w:highlight w:val="none"/>
                <w:lang w:val="en-US" w:eastAsia="zh-CN" w:bidi="ar-SA"/>
              </w:rPr>
              <w:t>卫生健康部门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药品安全管理工作</w:t>
            </w: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57" w:type="dxa"/>
            <w:vMerge w:val="continue"/>
            <w:noWrap w:val="0"/>
            <w:tcMar>
              <w:top w:w="15" w:type="dxa"/>
              <w:left w:w="15" w:type="dxa"/>
              <w:right w:w="15" w:type="dxa"/>
            </w:tcMar>
            <w:vAlign w:val="center"/>
          </w:tcPr>
          <w:p>
            <w:pPr>
              <w:keepNext w:val="0"/>
              <w:keepLines w:val="0"/>
              <w:pageBreakBefore w:val="0"/>
              <w:widowControl w:val="0"/>
              <w:numPr>
                <w:ilvl w:val="0"/>
                <w:numId w:val="0"/>
              </w:numPr>
              <w:suppressAutoHyphens/>
              <w:kinsoku/>
              <w:wordWrap/>
              <w:bidi w:val="0"/>
              <w:adjustRightInd/>
              <w:snapToGrid/>
              <w:spacing w:beforeAutospacing="0" w:after="0" w:line="260" w:lineRule="exact"/>
              <w:ind w:left="210" w:leftChars="0"/>
              <w:jc w:val="center"/>
              <w:rPr>
                <w:rFonts w:hint="default" w:ascii="Times New Roman" w:hAnsi="Times New Roman" w:eastAsia="方正仿宋简体" w:cs="Times New Roman"/>
                <w:b w:val="0"/>
                <w:bCs w:val="0"/>
                <w:snapToGrid w:val="0"/>
                <w:color w:val="1F497D"/>
                <w:sz w:val="18"/>
                <w:szCs w:val="18"/>
                <w:highlight w:val="none"/>
              </w:rP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2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p>
        </w:tc>
        <w:tc>
          <w:tcPr>
            <w:tcW w:w="246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6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1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3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68" w:type="dxa"/>
            <w:noWrap w:val="0"/>
            <w:tcMar>
              <w:top w:w="15" w:type="dxa"/>
              <w:left w:w="15" w:type="dxa"/>
              <w:right w:w="15" w:type="dxa"/>
            </w:tcMar>
            <w:vAlign w:val="center"/>
          </w:tcPr>
          <w:p>
            <w:pPr>
              <w:keepNext w:val="0"/>
              <w:keepLines w:val="0"/>
              <w:widowControl/>
              <w:suppressLineNumbers w:val="0"/>
              <w:jc w:val="left"/>
              <w:rPr>
                <w:rFonts w:hint="default"/>
                <w:lang w:val="en-US"/>
              </w:rPr>
            </w:pPr>
            <w:r>
              <w:rPr>
                <w:rFonts w:ascii="方正仿宋简体" w:hAnsi="方正仿宋简体" w:eastAsia="方正仿宋简体" w:cs="方正仿宋简体"/>
                <w:color w:val="000000"/>
                <w:kern w:val="0"/>
                <w:sz w:val="18"/>
                <w:szCs w:val="18"/>
                <w:lang w:val="en-US" w:eastAsia="zh-CN" w:bidi="ar"/>
              </w:rPr>
              <w:t>住房城乡建设</w:t>
            </w:r>
            <w:r>
              <w:rPr>
                <w:rFonts w:hint="eastAsia" w:ascii="方正仿宋简体" w:hAnsi="方正仿宋简体" w:eastAsia="方正仿宋简体" w:cs="方正仿宋简体"/>
                <w:color w:val="000000"/>
                <w:kern w:val="0"/>
                <w:sz w:val="18"/>
                <w:szCs w:val="18"/>
                <w:lang w:val="en-US" w:eastAsia="zh-CN" w:bidi="ar"/>
              </w:rPr>
              <w:t>部门</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555" w:type="dxa"/>
            <w:noWrap w:val="0"/>
            <w:vAlign w:val="center"/>
          </w:tcPr>
          <w:p>
            <w:pPr>
              <w:keepNext w:val="0"/>
              <w:keepLines w:val="0"/>
              <w:widowControl/>
              <w:suppressLineNumbers w:val="0"/>
              <w:jc w:val="left"/>
            </w:pPr>
            <w:r>
              <w:rPr>
                <w:rFonts w:ascii="方正仿宋简体" w:hAnsi="方正仿宋简体" w:eastAsia="方正仿宋简体" w:cs="方正仿宋简体"/>
                <w:color w:val="000000"/>
                <w:kern w:val="0"/>
                <w:sz w:val="18"/>
                <w:szCs w:val="18"/>
                <w:lang w:val="en-US" w:eastAsia="zh-CN" w:bidi="ar"/>
              </w:rPr>
              <w:t xml:space="preserve">建筑消防设计审查 </w:t>
            </w:r>
          </w:p>
          <w:p>
            <w:pPr>
              <w:keepNext w:val="0"/>
              <w:keepLines w:val="0"/>
              <w:widowControl/>
              <w:suppressLineNumbers w:val="0"/>
              <w:jc w:val="left"/>
            </w:pPr>
            <w:r>
              <w:rPr>
                <w:rFonts w:hint="eastAsia" w:ascii="方正仿宋简体" w:hAnsi="方正仿宋简体" w:eastAsia="方正仿宋简体" w:cs="方正仿宋简体"/>
                <w:color w:val="000000"/>
                <w:kern w:val="0"/>
                <w:sz w:val="18"/>
                <w:szCs w:val="18"/>
                <w:lang w:val="en-US" w:eastAsia="zh-CN" w:bidi="ar"/>
              </w:rPr>
              <w:t>和验收监督检查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2</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劳动用工抽</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各类用人单位（与劳动者</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建立劳动关系）工资支付</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情况检查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各类用人单</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位（与劳动者</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建立劳动关</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系）</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一般检</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人力资源和</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社会保障部</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遵守工资支付有关法律法规</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情况</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现场检</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市场监管</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年度报告公示信息</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部委清单</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序号34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3</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劳动用工抽</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劳务派遣用工检查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劳务派遣相</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关单位</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一般检</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人力资源和</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社会保障部</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遵守劳务派遣有关法律法规</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情况</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现场检</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市场监管</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年度报告公示信息</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部委清单</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序号34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57"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4</w:t>
            </w:r>
          </w:p>
        </w:tc>
        <w:tc>
          <w:tcPr>
            <w:tcW w:w="1035"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旅店业抽查</w:t>
            </w:r>
          </w:p>
        </w:tc>
        <w:tc>
          <w:tcPr>
            <w:tcW w:w="2031"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宾馆、旅店取得卫生许可证、卫生情况的检查</w:t>
            </w:r>
          </w:p>
        </w:tc>
        <w:tc>
          <w:tcPr>
            <w:tcW w:w="11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宾馆、旅店</w:t>
            </w:r>
          </w:p>
        </w:tc>
        <w:tc>
          <w:tcPr>
            <w:tcW w:w="71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随机抽取</w:t>
            </w:r>
          </w:p>
        </w:tc>
        <w:tc>
          <w:tcPr>
            <w:tcW w:w="1024"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卫生健康</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2461"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宾馆、旅店取得卫生许可证、卫生情况的检查</w:t>
            </w:r>
          </w:p>
        </w:tc>
        <w:tc>
          <w:tcPr>
            <w:tcW w:w="762"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现场检查、查阅资料</w:t>
            </w:r>
          </w:p>
        </w:tc>
        <w:tc>
          <w:tcPr>
            <w:tcW w:w="817"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年度报告公示信息的检查</w:t>
            </w:r>
          </w:p>
        </w:tc>
        <w:tc>
          <w:tcPr>
            <w:tcW w:w="910"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5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102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246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76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81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83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pP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公安</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住宿人员登记情况、治安防范情况检查</w:t>
            </w: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5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35"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03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1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1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24"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2461"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6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17"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32"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消防救援</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对宾馆履行消防安全主体责任情况及消防安全条件进行检查</w:t>
            </w:r>
          </w:p>
        </w:tc>
        <w:tc>
          <w:tcPr>
            <w:tcW w:w="91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5</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工业企业安全生产情况抽查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工业企业安全生产情况的检查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工业企业</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重点检查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应急管理部门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1.企业是否按规定取得相应许可证情况。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2.工业企业的安全生产主体责任、法律、法规、规章、制度等落实情况。</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查阅安全生产资料、实地现场检查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特种设备使用单位的检查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部委清单序号19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6</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农业生产资 料抽查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农药监督检查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农药生产经营者</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一般检查事项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农业农村部门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生产经营资质、档案管理、台 账管理、农药标识标签等。</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现场检查、抽样检测</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 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年度报告公示信息 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部委清单序号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7</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农业生产资 </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料抽查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肥料监督检查 </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肥料监督检查 </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一般检 </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查事项</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农业农村部门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 xml:space="preserve">肥料登记证（肥料备案情况） </w:t>
            </w:r>
          </w:p>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及肥料标签等。</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现场检查、抽样检测</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 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年度报告公示信息 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部委清单序号 1</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8</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农业生产资 料抽查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种子监督检查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种子生产经营者</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一般检查事项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农业农村部门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经营主体是否合法，是否依法备案登记；种子标签和使用说明是否规范；销售行为合法性及种子质量是否达标。</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现场检查、抽样检测</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 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年度报告公示信息 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部委清单序号 </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9</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种畜禽、水生野生动物养殖抽查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种畜禽质量监督检查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从事种畜禽生产经营的单位</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一般检查事项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农业农村部门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检查种畜禽质量及生产经营许可证情况。</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现场检查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市场监管 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年度报告公示信息 的检查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 xml:space="preserve">部委清单序号 </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10</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学校办学情况抽查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校外培训机构的办学资质、办学行为的检查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全区校外培训机构</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一般检查事项</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教育部门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按</w:t>
            </w: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照《中共中央办公厅 国务院办公厅印发〈关于进一步减</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轻</w:t>
            </w:r>
            <w:r>
              <w:rPr>
                <w:rFonts w:hint="default" w:ascii="Times New Roman" w:hAnsi="Times New Roman" w:eastAsia="方正仿宋简体" w:cs="Times New Roman"/>
                <w:b w:val="0"/>
                <w:bCs w:val="0"/>
                <w:snapToGrid w:val="0"/>
                <w:color w:val="000000"/>
                <w:kern w:val="2"/>
                <w:sz w:val="18"/>
                <w:szCs w:val="18"/>
                <w:highlight w:val="none"/>
                <w:lang w:val="en-US" w:eastAsia="zh-CN" w:bidi="ar-SA"/>
              </w:rPr>
              <w:t>义务教育阶段学生作业负担和校外培训负担的意见〉</w:t>
            </w: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的通知》《四川省委办公厅 省政府办公厅印发〈关于进一步减轻义务教育阶段学生作业负担和校外培训负担的实施方案〉的通知》等相关规定实施》</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现场检查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民政部门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民非登记情况检查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部委清单序号2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55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11</w:t>
            </w:r>
          </w:p>
        </w:tc>
        <w:tc>
          <w:tcPr>
            <w:tcW w:w="103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学校办学情况抽查</w:t>
            </w:r>
          </w:p>
        </w:tc>
        <w:tc>
          <w:tcPr>
            <w:tcW w:w="203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学校食堂食品安全情况的检查</w:t>
            </w:r>
          </w:p>
        </w:tc>
        <w:tc>
          <w:tcPr>
            <w:tcW w:w="11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学校机构食堂</w:t>
            </w:r>
          </w:p>
        </w:tc>
        <w:tc>
          <w:tcPr>
            <w:tcW w:w="71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重点检查</w:t>
            </w:r>
          </w:p>
        </w:tc>
        <w:tc>
          <w:tcPr>
            <w:tcW w:w="1024"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市场监管部门</w:t>
            </w:r>
          </w:p>
        </w:tc>
        <w:tc>
          <w:tcPr>
            <w:tcW w:w="2461"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经营资质、人员管理、过程控制等。</w:t>
            </w:r>
          </w:p>
        </w:tc>
        <w:tc>
          <w:tcPr>
            <w:tcW w:w="76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现场检查</w:t>
            </w:r>
          </w:p>
        </w:tc>
        <w:tc>
          <w:tcPr>
            <w:tcW w:w="817"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32"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区</w:t>
            </w:r>
          </w:p>
        </w:tc>
        <w:tc>
          <w:tcPr>
            <w:tcW w:w="86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教育部门</w:t>
            </w:r>
          </w:p>
        </w:tc>
        <w:tc>
          <w:tcPr>
            <w:tcW w:w="1555"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学校食堂信息的公示情况检查</w:t>
            </w:r>
          </w:p>
        </w:tc>
        <w:tc>
          <w:tcPr>
            <w:tcW w:w="910" w:type="dxa"/>
            <w:noWrap w:val="0"/>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000000"/>
                <w:kern w:val="2"/>
                <w:sz w:val="18"/>
                <w:szCs w:val="18"/>
                <w:highlight w:val="none"/>
                <w:lang w:val="en-US" w:eastAsia="zh-CN" w:bidi="ar-SA"/>
              </w:rPr>
            </w:pPr>
            <w:r>
              <w:rPr>
                <w:rFonts w:hint="eastAsia" w:ascii="Times New Roman" w:hAnsi="Times New Roman" w:eastAsia="方正仿宋简体" w:cs="Times New Roman"/>
                <w:b w:val="0"/>
                <w:bCs w:val="0"/>
                <w:snapToGrid w:val="0"/>
                <w:color w:val="000000"/>
                <w:kern w:val="2"/>
                <w:sz w:val="18"/>
                <w:szCs w:val="18"/>
                <w:highlight w:val="none"/>
                <w:lang w:val="en-US" w:eastAsia="zh-CN" w:bidi="ar-SA"/>
              </w:rPr>
              <w:t>部委清单序号2</w:t>
            </w:r>
          </w:p>
        </w:tc>
      </w:tr>
    </w:tbl>
    <w:p>
      <w:pPr>
        <w:jc w:val="center"/>
        <w:rPr>
          <w:rFonts w:hint="default" w:ascii="Times New Roman" w:hAnsi="Times New Roman" w:eastAsia="方正小标宋简体" w:cs="Times New Roman"/>
          <w:color w:val="auto"/>
          <w:sz w:val="44"/>
          <w:szCs w:val="22"/>
          <w:highlight w:val="none"/>
          <w:lang w:val="en-US" w:eastAsia="zh-CN"/>
        </w:rPr>
      </w:pPr>
    </w:p>
    <w:p>
      <w:pPr>
        <w:pStyle w:val="2"/>
        <w:rPr>
          <w:rFonts w:hint="default" w:ascii="Times New Roman" w:hAnsi="Times New Roman" w:eastAsia="方正小标宋简体" w:cs="Times New Roman"/>
          <w:color w:val="auto"/>
          <w:sz w:val="44"/>
          <w:szCs w:val="22"/>
          <w:highlight w:val="none"/>
          <w:lang w:val="en-US" w:eastAsia="zh-CN"/>
        </w:rPr>
      </w:pPr>
    </w:p>
    <w:p>
      <w:pPr>
        <w:rPr>
          <w:rFonts w:hint="default" w:ascii="Times New Roman" w:hAnsi="Times New Roman" w:eastAsia="方正小标宋简体" w:cs="Times New Roman"/>
          <w:color w:val="auto"/>
          <w:sz w:val="44"/>
          <w:szCs w:val="22"/>
          <w:highlight w:val="none"/>
          <w:lang w:val="en-US" w:eastAsia="zh-CN"/>
        </w:rPr>
      </w:pPr>
    </w:p>
    <w:p>
      <w:pPr>
        <w:pStyle w:val="2"/>
        <w:rPr>
          <w:rFonts w:hint="default" w:ascii="Times New Roman" w:hAnsi="Times New Roman" w:eastAsia="方正小标宋简体" w:cs="Times New Roman"/>
          <w:color w:val="auto"/>
          <w:sz w:val="44"/>
          <w:szCs w:val="22"/>
          <w:highlight w:val="none"/>
          <w:lang w:val="en-US" w:eastAsia="zh-CN"/>
        </w:rPr>
      </w:pPr>
    </w:p>
    <w:p>
      <w:pPr>
        <w:rPr>
          <w:rFonts w:hint="default" w:ascii="Times New Roman" w:hAnsi="Times New Roman" w:eastAsia="方正小标宋简体" w:cs="Times New Roman"/>
          <w:color w:val="auto"/>
          <w:sz w:val="44"/>
          <w:szCs w:val="22"/>
          <w:highlight w:val="none"/>
          <w:lang w:val="en-US" w:eastAsia="zh-CN"/>
        </w:rPr>
      </w:pPr>
    </w:p>
    <w:p>
      <w:pPr>
        <w:pStyle w:val="2"/>
        <w:rPr>
          <w:rFonts w:hint="default" w:ascii="Times New Roman" w:hAnsi="Times New Roman" w:eastAsia="方正小标宋简体" w:cs="Times New Roman"/>
          <w:color w:val="auto"/>
          <w:sz w:val="44"/>
          <w:szCs w:val="22"/>
          <w:highlight w:val="none"/>
          <w:lang w:val="en-US" w:eastAsia="zh-CN"/>
        </w:rPr>
      </w:pPr>
    </w:p>
    <w:p>
      <w:pPr>
        <w:rPr>
          <w:rFonts w:hint="default" w:ascii="Times New Roman" w:hAnsi="Times New Roman" w:eastAsia="方正小标宋简体" w:cs="Times New Roman"/>
          <w:color w:val="auto"/>
          <w:sz w:val="44"/>
          <w:szCs w:val="22"/>
          <w:highlight w:val="none"/>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jc w:val="both"/>
        <w:rPr>
          <w:rFonts w:hint="default" w:ascii="Times New Roman" w:hAnsi="Times New Roman" w:eastAsia="方正小标宋简体" w:cs="Times New Roman"/>
          <w:color w:val="auto"/>
          <w:sz w:val="44"/>
          <w:szCs w:val="22"/>
          <w:highlight w:val="none"/>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161F"/>
    <w:rsid w:val="0249418F"/>
    <w:rsid w:val="09BF1E8A"/>
    <w:rsid w:val="0C252478"/>
    <w:rsid w:val="0DCF6379"/>
    <w:rsid w:val="0ED13518"/>
    <w:rsid w:val="149B1195"/>
    <w:rsid w:val="19584E5F"/>
    <w:rsid w:val="1B9A11F9"/>
    <w:rsid w:val="1C417326"/>
    <w:rsid w:val="305D5DD5"/>
    <w:rsid w:val="33F4050D"/>
    <w:rsid w:val="33FB2487"/>
    <w:rsid w:val="36B64932"/>
    <w:rsid w:val="38925A62"/>
    <w:rsid w:val="39884519"/>
    <w:rsid w:val="3F2A2F98"/>
    <w:rsid w:val="420C465B"/>
    <w:rsid w:val="47164ECE"/>
    <w:rsid w:val="48804281"/>
    <w:rsid w:val="49F12176"/>
    <w:rsid w:val="4A596D8B"/>
    <w:rsid w:val="4C0B111E"/>
    <w:rsid w:val="53481693"/>
    <w:rsid w:val="58122E6D"/>
    <w:rsid w:val="585E1C92"/>
    <w:rsid w:val="592E163E"/>
    <w:rsid w:val="5A4E49B8"/>
    <w:rsid w:val="5B0A2ABB"/>
    <w:rsid w:val="5BEF34D6"/>
    <w:rsid w:val="5D8845A0"/>
    <w:rsid w:val="60673F83"/>
    <w:rsid w:val="60A81DC5"/>
    <w:rsid w:val="63477B96"/>
    <w:rsid w:val="6A361F94"/>
    <w:rsid w:val="71BB5FC5"/>
    <w:rsid w:val="72D47949"/>
    <w:rsid w:val="733749E1"/>
    <w:rsid w:val="78C420A1"/>
    <w:rsid w:val="78EE108F"/>
    <w:rsid w:val="7D4C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tabs>
        <w:tab w:val="left" w:pos="720"/>
      </w:tabs>
      <w:suppressAutoHyphens/>
      <w:topLinePunct/>
      <w:adjustRightInd w:val="0"/>
      <w:snapToGrid w:val="0"/>
      <w:spacing w:before="50" w:after="50" w:line="600" w:lineRule="exact"/>
      <w:jc w:val="center"/>
      <w:outlineLvl w:val="1"/>
    </w:pPr>
    <w:rPr>
      <w:rFonts w:ascii="方正小标宋简体" w:eastAsia="方正小标宋简体" w:cs="Times New Roman"/>
      <w:color w:val="000000"/>
      <w:kern w:val="0"/>
      <w:sz w:val="44"/>
      <w:szCs w:val="44"/>
      <w:lang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alloon Text"/>
    <w:basedOn w:val="1"/>
    <w:unhideWhenUsed/>
    <w:qFormat/>
    <w:uiPriority w:val="0"/>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496</Characters>
  <Lines>0</Lines>
  <Paragraphs>0</Paragraphs>
  <TotalTime>13</TotalTime>
  <ScaleCrop>false</ScaleCrop>
  <LinksUpToDate>false</LinksUpToDate>
  <CharactersWithSpaces>502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dc:creator>
  <cp:lastModifiedBy>Administrator</cp:lastModifiedBy>
  <dcterms:modified xsi:type="dcterms:W3CDTF">2025-07-28T08:05:08Z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7871562C4EFF41B7A03FA0B17C65D52B</vt:lpwstr>
  </property>
  <property fmtid="{D5CDD505-2E9C-101B-9397-08002B2CF9AE}" pid="4" name="KSOTemplateDocerSaveRecord">
    <vt:lpwstr>eyJoZGlkIjoiZDM4NjcwODk3MGIzMTQ0MWRmZTEzZGVmZjA0N2FkNWIiLCJ1c2VySWQiOiIxNjM5NDI5MzY3In0=</vt:lpwstr>
  </property>
</Properties>
</file>