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6"/>
      <w:bookmarkStart w:id="1" w:name="_Toc15396599"/>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2" w:name="_Toc15396475"/>
      <w:bookmarkStart w:id="3" w:name="_Toc15377425"/>
      <w:bookmarkStart w:id="4" w:name="_Toc15377193"/>
      <w:bookmarkStart w:id="5" w:name="_Toc15396597"/>
      <w:bookmarkStart w:id="6" w:name="_Toc15378441"/>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sz w:val="72"/>
          <w:szCs w:val="72"/>
        </w:rPr>
      </w:pPr>
      <w:bookmarkStart w:id="7" w:name="_Toc15377194"/>
      <w:bookmarkStart w:id="8" w:name="_Toc15396598"/>
      <w:bookmarkStart w:id="9" w:name="_Toc15378442"/>
      <w:bookmarkStart w:id="10" w:name="_Toc15377426"/>
      <w:bookmarkStart w:id="11" w:name="_Toc15396476"/>
      <w:r>
        <w:rPr>
          <w:rFonts w:hint="eastAsia" w:ascii="方正小标宋简体" w:hAnsi="方正小标宋简体" w:eastAsia="方正小标宋简体" w:cs="方正小标宋简体"/>
          <w:sz w:val="72"/>
          <w:szCs w:val="72"/>
        </w:rPr>
        <w:t>四川省</w:t>
      </w:r>
      <w:bookmarkStart w:id="12" w:name="_Toc15306268"/>
      <w:r>
        <w:rPr>
          <w:rFonts w:hint="eastAsia" w:ascii="方正小标宋简体" w:hAnsi="方正小标宋简体" w:eastAsia="方正小标宋简体" w:cs="方正小标宋简体"/>
          <w:sz w:val="72"/>
          <w:szCs w:val="72"/>
        </w:rPr>
        <w:t>攀枝花市西区</w:t>
      </w:r>
      <w:r>
        <w:rPr>
          <w:rFonts w:hint="eastAsia" w:ascii="方正小标宋简体" w:hAnsi="方正小标宋简体" w:eastAsia="方正小标宋简体" w:cs="方正小标宋简体"/>
          <w:sz w:val="72"/>
          <w:szCs w:val="72"/>
          <w:lang w:val="en-US" w:eastAsia="zh-CN"/>
        </w:rPr>
        <w:t>工商业联合会</w:t>
      </w: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2"/>
        <w:rPr>
          <w:rFonts w:cs="Times New Roman"/>
        </w:rPr>
      </w:pPr>
      <w:r>
        <w:rPr>
          <w:rFonts w:hint="eastAsia"/>
        </w:rPr>
        <w:t>公开时间：</w:t>
      </w:r>
      <w:r>
        <w:t>2022</w:t>
      </w:r>
      <w:r>
        <w:rPr>
          <w:rFonts w:hint="eastAsia"/>
        </w:rPr>
        <w:t>年</w:t>
      </w:r>
      <w:r>
        <w:t xml:space="preserve"> 10 </w:t>
      </w:r>
      <w:r>
        <w:rPr>
          <w:rFonts w:hint="eastAsia"/>
        </w:rPr>
        <w:t>月</w:t>
      </w:r>
      <w:r>
        <w:t xml:space="preserve"> 8 </w:t>
      </w:r>
      <w:r>
        <w:rPr>
          <w:rFonts w:hint="eastAsia"/>
        </w:rPr>
        <w:t>日</w:t>
      </w:r>
    </w:p>
    <w:p/>
    <w:p>
      <w:pPr>
        <w:pStyle w:val="12"/>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单位概况</w:t>
      </w:r>
      <w:r>
        <w:rPr>
          <w:rFonts w:cs="Times New Roman"/>
        </w:rPr>
        <w:tab/>
      </w:r>
      <w:r>
        <w:rPr>
          <w:rFonts w:ascii="Times New Roman" w:hAnsi="Times New Roman" w:eastAsia="宋体" w:cs="Times New Roman"/>
          <w:sz w:val="21"/>
          <w:szCs w:val="21"/>
        </w:rPr>
        <w:t>4</w:t>
      </w:r>
    </w:p>
    <w:p>
      <w:pPr>
        <w:pStyle w:val="13"/>
        <w:adjustRightInd w:val="0"/>
        <w:snapToGrid w:val="0"/>
        <w:spacing w:line="440" w:lineRule="exact"/>
        <w:ind w:left="31680"/>
        <w:jc w:val="left"/>
        <w:rPr>
          <w:sz w:val="24"/>
          <w:szCs w:val="24"/>
        </w:rPr>
      </w:pPr>
      <w:r>
        <w:rPr>
          <w:rFonts w:hint="eastAsia" w:cs="宋体"/>
          <w:sz w:val="24"/>
          <w:szCs w:val="24"/>
        </w:rPr>
        <w:t>一、职能简介</w:t>
      </w:r>
      <w:r>
        <w:tab/>
      </w:r>
      <w:r>
        <w:t>4</w:t>
      </w:r>
    </w:p>
    <w:p>
      <w:pPr>
        <w:pStyle w:val="13"/>
        <w:adjustRightInd w:val="0"/>
        <w:snapToGrid w:val="0"/>
        <w:spacing w:line="440" w:lineRule="exact"/>
        <w:ind w:left="31680"/>
        <w:jc w:val="left"/>
        <w:rPr>
          <w:rFonts w:hint="eastAsia" w:ascii="宋体" w:eastAsia="宋体"/>
          <w:sz w:val="24"/>
          <w:szCs w:val="24"/>
          <w:lang w:val="en-US" w:eastAsia="zh-CN"/>
        </w:rPr>
      </w:pPr>
      <w:r>
        <w:rPr>
          <w:rFonts w:hint="eastAsia" w:ascii="宋体" w:hAnsi="宋体" w:cs="宋体"/>
          <w:sz w:val="24"/>
          <w:szCs w:val="24"/>
        </w:rPr>
        <w:t>二、</w:t>
      </w:r>
      <w:r>
        <w:rPr>
          <w:rFonts w:ascii="宋体" w:hAnsi="宋体" w:cs="宋体"/>
          <w:sz w:val="24"/>
          <w:szCs w:val="24"/>
        </w:rPr>
        <w:t>2021</w:t>
      </w:r>
      <w:r>
        <w:rPr>
          <w:rFonts w:hint="eastAsia" w:ascii="宋体" w:hAnsi="宋体" w:cs="宋体"/>
          <w:sz w:val="24"/>
          <w:szCs w:val="24"/>
        </w:rPr>
        <w:t>年重点工作完成情况</w:t>
      </w:r>
      <w:r>
        <w:tab/>
      </w:r>
      <w:r>
        <w:rPr>
          <w:rFonts w:hint="eastAsia"/>
          <w:lang w:val="en-US" w:eastAsia="zh-CN"/>
        </w:rPr>
        <w:t>5</w:t>
      </w:r>
    </w:p>
    <w:p>
      <w:pPr>
        <w:pStyle w:val="12"/>
        <w:adjustRightInd w:val="0"/>
        <w:snapToGrid w:val="0"/>
        <w:spacing w:before="0" w:line="440" w:lineRule="exact"/>
        <w:jc w:val="left"/>
        <w:rPr>
          <w:rFonts w:hint="eastAsia" w:eastAsia="仿宋" w:cs="Times New Roman"/>
          <w:sz w:val="24"/>
          <w:szCs w:val="24"/>
          <w:lang w:val="en-US" w:eastAsia="zh-CN"/>
        </w:rPr>
      </w:pPr>
      <w:r>
        <w:rPr>
          <w:rFonts w:hint="eastAsia"/>
          <w:sz w:val="24"/>
          <w:szCs w:val="24"/>
        </w:rPr>
        <w:t>第二部分</w:t>
      </w:r>
      <w:r>
        <w:rPr>
          <w:sz w:val="24"/>
          <w:szCs w:val="24"/>
        </w:rPr>
        <w:t xml:space="preserve"> 2021</w:t>
      </w:r>
      <w:r>
        <w:rPr>
          <w:rFonts w:hint="eastAsia"/>
          <w:sz w:val="24"/>
          <w:szCs w:val="24"/>
        </w:rPr>
        <w:t>年度单位决算情况说明</w:t>
      </w:r>
      <w:r>
        <w:rPr>
          <w:rFonts w:cs="Times New Roman"/>
        </w:rPr>
        <w:tab/>
      </w:r>
      <w:r>
        <w:rPr>
          <w:rFonts w:hint="eastAsia"/>
          <w:lang w:val="en-US" w:eastAsia="zh-CN"/>
        </w:rPr>
        <w:t>11</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一、收入支出决算总体情况说明</w:t>
      </w:r>
      <w:r>
        <w:tab/>
      </w:r>
      <w:r>
        <w:rPr>
          <w:rFonts w:hint="eastAsia"/>
          <w:lang w:val="en-US" w:eastAsia="zh-CN"/>
        </w:rPr>
        <w:t>11</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二、收入决算情况说明</w:t>
      </w:r>
      <w:r>
        <w:tab/>
      </w:r>
      <w:r>
        <w:rPr>
          <w:rFonts w:hint="eastAsia"/>
          <w:lang w:val="en-US" w:eastAsia="zh-CN"/>
        </w:rPr>
        <w:t>12</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三、支出决算情况说明</w:t>
      </w:r>
      <w:r>
        <w:tab/>
      </w:r>
      <w:r>
        <w:rPr>
          <w:rFonts w:hint="eastAsia"/>
          <w:lang w:val="en-US" w:eastAsia="zh-CN"/>
        </w:rPr>
        <w:t>12</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四、财政拨款收入支出决算总体情况说明</w:t>
      </w:r>
      <w:r>
        <w:tab/>
      </w:r>
      <w:r>
        <w:rPr>
          <w:rFonts w:hint="eastAsia"/>
          <w:lang w:val="en-US" w:eastAsia="zh-CN"/>
        </w:rPr>
        <w:t>13</w:t>
      </w:r>
    </w:p>
    <w:p>
      <w:pPr>
        <w:pStyle w:val="13"/>
        <w:adjustRightInd w:val="0"/>
        <w:snapToGrid w:val="0"/>
        <w:spacing w:line="440" w:lineRule="exact"/>
        <w:ind w:left="31680"/>
        <w:jc w:val="left"/>
        <w:rPr>
          <w:rFonts w:hint="eastAsia"/>
          <w:lang w:val="en-US" w:eastAsia="zh-CN"/>
        </w:rPr>
      </w:pPr>
      <w:r>
        <w:rPr>
          <w:rFonts w:hint="eastAsia" w:cs="宋体"/>
          <w:sz w:val="24"/>
          <w:szCs w:val="24"/>
        </w:rPr>
        <w:t>五、一般公共预算财政拨款支出决算情况说明</w:t>
      </w:r>
      <w:r>
        <w:tab/>
      </w:r>
      <w:r>
        <w:rPr>
          <w:rFonts w:hint="eastAsia"/>
          <w:lang w:val="en-US" w:eastAsia="zh-CN"/>
        </w:rPr>
        <w:t>13</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六、一般公共预算财政拨款基本支出决算情况说明</w:t>
      </w:r>
      <w:r>
        <w:tab/>
      </w:r>
      <w:r>
        <w:t>1</w:t>
      </w:r>
      <w:r>
        <w:rPr>
          <w:rFonts w:hint="eastAsia"/>
          <w:lang w:val="en-US" w:eastAsia="zh-CN"/>
        </w:rPr>
        <w:t>4</w:t>
      </w:r>
    </w:p>
    <w:p>
      <w:pPr>
        <w:pStyle w:val="13"/>
        <w:adjustRightInd w:val="0"/>
        <w:snapToGrid w:val="0"/>
        <w:spacing w:line="440" w:lineRule="exact"/>
        <w:ind w:left="31680"/>
        <w:jc w:val="left"/>
        <w:rPr>
          <w:rFonts w:hint="eastAsia" w:ascii="仿宋" w:hAnsi="仿宋" w:eastAsia="宋体"/>
          <w:sz w:val="24"/>
          <w:szCs w:val="24"/>
          <w:lang w:val="en-US" w:eastAsia="zh-CN"/>
        </w:rPr>
      </w:pPr>
      <w:r>
        <w:rPr>
          <w:rFonts w:hint="eastAsia" w:cs="宋体"/>
          <w:sz w:val="24"/>
          <w:szCs w:val="24"/>
        </w:rPr>
        <w:t>七、“三公”经费财政拨款支出决算情况说明</w:t>
      </w:r>
      <w:r>
        <w:tab/>
      </w:r>
      <w:r>
        <w:t>1</w:t>
      </w:r>
      <w:r>
        <w:rPr>
          <w:rFonts w:hint="eastAsia"/>
          <w:lang w:val="en-US" w:eastAsia="zh-CN"/>
        </w:rPr>
        <w:t>5</w:t>
      </w:r>
    </w:p>
    <w:p>
      <w:pPr>
        <w:pStyle w:val="13"/>
        <w:adjustRightInd w:val="0"/>
        <w:snapToGrid w:val="0"/>
        <w:spacing w:line="440" w:lineRule="exact"/>
        <w:ind w:left="31680"/>
        <w:jc w:val="left"/>
        <w:rPr>
          <w:rFonts w:hint="eastAsia" w:ascii="仿宋" w:eastAsia="宋体"/>
          <w:sz w:val="24"/>
          <w:szCs w:val="24"/>
          <w:lang w:val="en-US" w:eastAsia="zh-CN"/>
        </w:rPr>
      </w:pPr>
      <w:r>
        <w:rPr>
          <w:rFonts w:hint="eastAsia" w:cs="宋体"/>
          <w:sz w:val="24"/>
          <w:szCs w:val="24"/>
        </w:rPr>
        <w:t>八、政府性基金预算支出决算情况说明</w:t>
      </w:r>
      <w:r>
        <w:tab/>
      </w:r>
      <w:r>
        <w:t>1</w:t>
      </w:r>
      <w:r>
        <w:rPr>
          <w:rFonts w:hint="eastAsia"/>
          <w:lang w:val="en-US" w:eastAsia="zh-CN"/>
        </w:rPr>
        <w:t>7</w:t>
      </w:r>
    </w:p>
    <w:p>
      <w:pPr>
        <w:pStyle w:val="13"/>
        <w:adjustRightInd w:val="0"/>
        <w:snapToGrid w:val="0"/>
        <w:spacing w:line="440" w:lineRule="exact"/>
        <w:ind w:left="31680"/>
        <w:jc w:val="left"/>
        <w:rPr>
          <w:rFonts w:hint="eastAsia" w:eastAsia="宋体"/>
          <w:sz w:val="24"/>
          <w:szCs w:val="24"/>
          <w:lang w:val="en-US" w:eastAsia="zh-CN"/>
        </w:rPr>
      </w:pPr>
      <w:r>
        <w:rPr>
          <w:rFonts w:hint="eastAsia" w:cs="宋体"/>
          <w:sz w:val="24"/>
          <w:szCs w:val="24"/>
        </w:rPr>
        <w:t>九、国有资本经营预算支出决算情况说明</w:t>
      </w:r>
      <w:r>
        <w:tab/>
      </w:r>
      <w:r>
        <w:t>1</w:t>
      </w:r>
      <w:r>
        <w:rPr>
          <w:rFonts w:hint="eastAsia"/>
          <w:lang w:val="en-US" w:eastAsia="zh-CN"/>
        </w:rPr>
        <w:t>7</w:t>
      </w:r>
    </w:p>
    <w:p>
      <w:pPr>
        <w:pStyle w:val="13"/>
        <w:adjustRightInd w:val="0"/>
        <w:snapToGrid w:val="0"/>
        <w:spacing w:line="440" w:lineRule="exact"/>
        <w:ind w:left="31680"/>
        <w:jc w:val="left"/>
        <w:rPr>
          <w:rFonts w:hint="eastAsia" w:eastAsia="宋体"/>
          <w:sz w:val="24"/>
          <w:szCs w:val="24"/>
          <w:lang w:val="en-US" w:eastAsia="zh-CN"/>
        </w:rPr>
      </w:pPr>
      <w:r>
        <w:rPr>
          <w:rFonts w:hint="eastAsia" w:cs="宋体"/>
          <w:sz w:val="24"/>
          <w:szCs w:val="24"/>
        </w:rPr>
        <w:t>十、其他重要事项的情况说明</w:t>
      </w:r>
      <w:r>
        <w:tab/>
      </w:r>
      <w:r>
        <w:t>1</w:t>
      </w:r>
      <w:r>
        <w:rPr>
          <w:rFonts w:hint="eastAsia"/>
          <w:lang w:val="en-US" w:eastAsia="zh-CN"/>
        </w:rPr>
        <w:t>7</w:t>
      </w:r>
    </w:p>
    <w:p>
      <w:pPr>
        <w:pStyle w:val="12"/>
        <w:adjustRightInd w:val="0"/>
        <w:snapToGrid w:val="0"/>
        <w:spacing w:before="0" w:line="440" w:lineRule="exact"/>
        <w:jc w:val="left"/>
        <w:rPr>
          <w:rFonts w:hint="eastAsia" w:eastAsia="仿宋" w:cs="Times New Roman"/>
          <w:sz w:val="24"/>
          <w:szCs w:val="24"/>
          <w:lang w:val="en-US" w:eastAsia="zh-CN"/>
        </w:rPr>
      </w:pPr>
      <w:r>
        <w:rPr>
          <w:rFonts w:hint="eastAsia"/>
          <w:sz w:val="24"/>
          <w:szCs w:val="24"/>
        </w:rPr>
        <w:t>第三部分</w:t>
      </w:r>
      <w:r>
        <w:rPr>
          <w:sz w:val="24"/>
          <w:szCs w:val="24"/>
        </w:rPr>
        <w:t xml:space="preserve"> </w:t>
      </w:r>
      <w:r>
        <w:rPr>
          <w:rFonts w:hint="eastAsia"/>
          <w:sz w:val="24"/>
          <w:szCs w:val="24"/>
        </w:rPr>
        <w:t>名词解释</w:t>
      </w:r>
      <w:r>
        <w:rPr>
          <w:rFonts w:cs="Times New Roman"/>
        </w:rPr>
        <w:tab/>
      </w:r>
      <w:r>
        <w:t>1</w:t>
      </w:r>
      <w:r>
        <w:rPr>
          <w:rFonts w:hint="eastAsia"/>
          <w:lang w:val="en-US" w:eastAsia="zh-CN"/>
        </w:rPr>
        <w:t>8</w:t>
      </w:r>
    </w:p>
    <w:p>
      <w:pPr>
        <w:pStyle w:val="12"/>
        <w:adjustRightInd w:val="0"/>
        <w:snapToGrid w:val="0"/>
        <w:spacing w:before="0" w:line="440" w:lineRule="exact"/>
        <w:jc w:val="left"/>
        <w:rPr>
          <w:rFonts w:cs="Times New Roman"/>
          <w:sz w:val="24"/>
          <w:szCs w:val="24"/>
        </w:rPr>
      </w:pPr>
      <w:r>
        <w:rPr>
          <w:rFonts w:hint="eastAsia"/>
          <w:sz w:val="24"/>
          <w:szCs w:val="24"/>
        </w:rPr>
        <w:t>第四部分</w:t>
      </w:r>
      <w:r>
        <w:rPr>
          <w:sz w:val="24"/>
          <w:szCs w:val="24"/>
        </w:rPr>
        <w:t xml:space="preserve"> </w:t>
      </w:r>
      <w:r>
        <w:rPr>
          <w:rFonts w:hint="eastAsia"/>
          <w:sz w:val="24"/>
          <w:szCs w:val="24"/>
        </w:rPr>
        <w:t>附件</w:t>
      </w:r>
      <w:r>
        <w:rPr>
          <w:rFonts w:cs="Times New Roman"/>
        </w:rPr>
        <w:tab/>
      </w:r>
      <w:r>
        <w:t>18</w:t>
      </w:r>
    </w:p>
    <w:p>
      <w:pPr>
        <w:pStyle w:val="12"/>
        <w:adjustRightInd w:val="0"/>
        <w:snapToGrid w:val="0"/>
        <w:spacing w:before="0" w:line="440" w:lineRule="exact"/>
        <w:jc w:val="left"/>
        <w:rPr>
          <w:rFonts w:cs="Times New Roman"/>
          <w:sz w:val="24"/>
          <w:szCs w:val="24"/>
        </w:rPr>
      </w:pPr>
      <w:r>
        <w:rPr>
          <w:rFonts w:hint="eastAsia"/>
          <w:sz w:val="24"/>
          <w:szCs w:val="24"/>
        </w:rPr>
        <w:t>第五部分</w:t>
      </w:r>
      <w:r>
        <w:rPr>
          <w:sz w:val="24"/>
          <w:szCs w:val="24"/>
        </w:rPr>
        <w:t xml:space="preserve"> </w:t>
      </w:r>
      <w:r>
        <w:rPr>
          <w:rFonts w:hint="eastAsia"/>
          <w:sz w:val="24"/>
          <w:szCs w:val="24"/>
        </w:rPr>
        <w:t>附表</w:t>
      </w:r>
      <w:r>
        <w:rPr>
          <w:rFonts w:cs="Times New Roman"/>
        </w:rPr>
        <w:tab/>
      </w:r>
      <w:r>
        <w:t>19</w:t>
      </w:r>
    </w:p>
    <w:p>
      <w:pPr>
        <w:pStyle w:val="13"/>
        <w:adjustRightInd w:val="0"/>
        <w:snapToGrid w:val="0"/>
        <w:spacing w:line="440" w:lineRule="exact"/>
        <w:ind w:left="31680"/>
        <w:jc w:val="left"/>
        <w:rPr>
          <w:sz w:val="24"/>
          <w:szCs w:val="24"/>
        </w:rPr>
      </w:pPr>
      <w:r>
        <w:rPr>
          <w:rFonts w:hint="eastAsia" w:cs="宋体"/>
          <w:sz w:val="24"/>
          <w:szCs w:val="24"/>
        </w:rPr>
        <w:t>一、收入支出决算总表</w:t>
      </w:r>
      <w:r>
        <w:tab/>
      </w:r>
      <w:r>
        <w:t>19</w:t>
      </w:r>
    </w:p>
    <w:p>
      <w:pPr>
        <w:pStyle w:val="13"/>
        <w:adjustRightInd w:val="0"/>
        <w:snapToGrid w:val="0"/>
        <w:spacing w:line="440" w:lineRule="exact"/>
        <w:ind w:left="31680"/>
        <w:jc w:val="left"/>
        <w:rPr>
          <w:sz w:val="24"/>
          <w:szCs w:val="24"/>
        </w:rPr>
      </w:pPr>
      <w:r>
        <w:rPr>
          <w:rFonts w:hint="eastAsia" w:cs="宋体"/>
          <w:sz w:val="24"/>
          <w:szCs w:val="24"/>
        </w:rPr>
        <w:t>二、收入决算表</w:t>
      </w:r>
      <w:r>
        <w:tab/>
      </w:r>
      <w:r>
        <w:t>19</w:t>
      </w:r>
    </w:p>
    <w:p>
      <w:pPr>
        <w:pStyle w:val="13"/>
        <w:adjustRightInd w:val="0"/>
        <w:snapToGrid w:val="0"/>
        <w:spacing w:line="440" w:lineRule="exact"/>
        <w:ind w:left="31680"/>
        <w:jc w:val="left"/>
        <w:rPr>
          <w:sz w:val="24"/>
          <w:szCs w:val="24"/>
        </w:rPr>
      </w:pPr>
      <w:r>
        <w:rPr>
          <w:rFonts w:hint="eastAsia" w:cs="宋体"/>
          <w:sz w:val="24"/>
          <w:szCs w:val="24"/>
        </w:rPr>
        <w:t>三、支出决算表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四、财政拨款收入支出决算总表</w:t>
      </w:r>
      <w:r>
        <w:tab/>
      </w:r>
      <w:r>
        <w:t>19</w:t>
      </w:r>
    </w:p>
    <w:p>
      <w:pPr>
        <w:pStyle w:val="13"/>
        <w:adjustRightInd w:val="0"/>
        <w:snapToGrid w:val="0"/>
        <w:spacing w:line="440" w:lineRule="exact"/>
        <w:ind w:left="31680"/>
        <w:jc w:val="left"/>
        <w:rPr>
          <w:sz w:val="24"/>
          <w:szCs w:val="24"/>
        </w:rPr>
      </w:pPr>
      <w:r>
        <w:rPr>
          <w:rFonts w:hint="eastAsia" w:cs="宋体"/>
          <w:sz w:val="24"/>
          <w:szCs w:val="24"/>
        </w:rPr>
        <w:t>五、财政拨款支出决算明细表</w:t>
      </w:r>
      <w:r>
        <w:tab/>
      </w:r>
      <w:r>
        <w:t>19</w:t>
      </w:r>
    </w:p>
    <w:p>
      <w:pPr>
        <w:pStyle w:val="13"/>
        <w:adjustRightInd w:val="0"/>
        <w:snapToGrid w:val="0"/>
        <w:spacing w:line="440" w:lineRule="exact"/>
        <w:ind w:left="31680"/>
        <w:jc w:val="left"/>
        <w:rPr>
          <w:sz w:val="24"/>
          <w:szCs w:val="24"/>
        </w:rPr>
      </w:pPr>
      <w:r>
        <w:rPr>
          <w:rFonts w:hint="eastAsia" w:cs="宋体"/>
          <w:sz w:val="24"/>
          <w:szCs w:val="24"/>
        </w:rPr>
        <w:t>六、一般公共预算财政拨款支出决算表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七、一般公共预算财政拨款支出决算明细表</w:t>
      </w:r>
      <w:r>
        <w:tab/>
      </w:r>
      <w:r>
        <w:t>19</w:t>
      </w:r>
    </w:p>
    <w:p>
      <w:pPr>
        <w:pStyle w:val="13"/>
        <w:adjustRightInd w:val="0"/>
        <w:snapToGrid w:val="0"/>
        <w:spacing w:line="440" w:lineRule="exact"/>
        <w:ind w:left="31680"/>
        <w:jc w:val="left"/>
        <w:rPr>
          <w:sz w:val="24"/>
          <w:szCs w:val="24"/>
        </w:rPr>
      </w:pPr>
      <w:r>
        <w:rPr>
          <w:rFonts w:hint="eastAsia" w:cs="宋体"/>
          <w:sz w:val="24"/>
          <w:szCs w:val="24"/>
        </w:rPr>
        <w:t>八、一般公共预算财政拨款基本支出决算表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九、一般公共预算财政拨款项目支出决算表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十、一般公共预算财政拨款“三公”经费支出决算表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十一、政府性基金预算财政拨款收入支出决算表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十二、政府性基金预算财政拨款“三公”经费支出决算表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十三、国有资本经营预算财政拨款收入支出决算表</w:t>
      </w:r>
      <w:r>
        <w:tab/>
      </w:r>
      <w:r>
        <w:t>19</w:t>
      </w:r>
    </w:p>
    <w:p>
      <w:pPr>
        <w:pStyle w:val="13"/>
        <w:adjustRightInd w:val="0"/>
        <w:snapToGrid w:val="0"/>
        <w:spacing w:line="440" w:lineRule="exact"/>
        <w:ind w:left="31680"/>
        <w:jc w:val="left"/>
        <w:rPr>
          <w:sz w:val="24"/>
          <w:szCs w:val="24"/>
        </w:rPr>
      </w:pPr>
      <w:r>
        <w:rPr>
          <w:rFonts w:hint="eastAsia" w:cs="宋体"/>
          <w:sz w:val="24"/>
          <w:szCs w:val="24"/>
        </w:rPr>
        <w:t>十四、国有资本经营预算财政拨款支出决算表</w:t>
      </w:r>
      <w:r>
        <w:tab/>
      </w:r>
      <w:r>
        <w:t>19</w:t>
      </w:r>
    </w:p>
    <w:p>
      <w:pPr>
        <w:pStyle w:val="3"/>
        <w:jc w:val="center"/>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rPr>
          <w:rFonts w:hint="eastAsia" w:ascii="黑体" w:hAnsi="黑体" w:eastAsia="黑体"/>
          <w:b w:val="0"/>
        </w:rPr>
      </w:pPr>
    </w:p>
    <w:p>
      <w:pPr>
        <w:pStyle w:val="2"/>
        <w:rPr>
          <w:rFonts w:hint="eastAsia"/>
        </w:rPr>
      </w:pP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0"/>
      <w:bookmarkEnd w:id="1"/>
    </w:p>
    <w:p>
      <w:pPr>
        <w:pStyle w:val="4"/>
        <w:rPr>
          <w:rStyle w:val="27"/>
          <w:rFonts w:ascii="仿宋" w:hAnsi="仿宋" w:eastAsia="仿宋"/>
          <w:b w:val="0"/>
          <w:bCs w:val="0"/>
        </w:rPr>
      </w:pPr>
      <w:bookmarkStart w:id="13" w:name="_Toc15377197"/>
      <w:bookmarkStart w:id="14" w:name="_Toc15396600"/>
      <w:r>
        <w:rPr>
          <w:rFonts w:hint="eastAsia" w:ascii="黑体" w:hAnsi="黑体" w:eastAsia="黑体"/>
          <w:b w:val="0"/>
        </w:rPr>
        <w:t>一、基</w:t>
      </w:r>
      <w:r>
        <w:rPr>
          <w:rStyle w:val="27"/>
          <w:rFonts w:hint="eastAsia" w:ascii="黑体" w:hAnsi="黑体" w:eastAsia="黑体"/>
          <w:b w:val="0"/>
          <w:bCs w:val="0"/>
        </w:rPr>
        <w:t>本职能及主要工作</w:t>
      </w:r>
      <w:bookmarkEnd w:id="13"/>
      <w:bookmarkEnd w:id="14"/>
    </w:p>
    <w:p>
      <w:pPr>
        <w:spacing w:line="353" w:lineRule="auto"/>
        <w:ind w:firstLine="640" w:firstLineChars="200"/>
        <w:rPr>
          <w:rFonts w:hint="eastAsia" w:ascii="仿宋" w:hAnsi="仿宋" w:eastAsia="仿宋"/>
          <w:bCs/>
          <w:sz w:val="32"/>
          <w:szCs w:val="32"/>
        </w:rPr>
      </w:pPr>
      <w:bookmarkStart w:id="15" w:name="_Toc15378445"/>
      <w:bookmarkStart w:id="16" w:name="_Toc15377198"/>
      <w:r>
        <w:rPr>
          <w:rFonts w:hint="eastAsia" w:ascii="仿宋" w:hAnsi="仿宋" w:eastAsia="仿宋"/>
          <w:bCs/>
          <w:sz w:val="32"/>
          <w:szCs w:val="32"/>
        </w:rPr>
        <w:t>（一）主要职能。</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参与区委、区政府大政方针及政治、经济、社会生活中的重要问题的政治协商，发挥民主监督作用，参政议政</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引导会员积极参加国家经济建设，推动社会主义市场经济体制逐步完善，促进社会全面发展</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做好工商界代表人士政治安排的推荐工作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指导同业公会和行业商会等专业组织的工作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发扬自我教育的优良传统，宣传、贯彻党和国家的方针政策，加强和改进思想政治工作，坚持对广大会员进行团结、帮助、引导、教育，促进非公有制经济健康发展，提倡爱国、敬业、守法，提高会员素质</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代表并维护会员的合法权益，反映会员的意见、要求和建议为会员提供有关证明，协调关系，参与调解经济纠纷</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为会员提供信息、培训、科技、管理、法律、会计、审计、融资、咨询等服务，帮助会员改进经营管理、完善财务制度，照章纳税，提高自身素质和生产技术、产品质量等</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r>
        <w:rPr>
          <w:rFonts w:hint="eastAsia" w:ascii="Times New Roman" w:hAnsi="Times New Roman" w:eastAsia="仿宋_GB2312" w:cs="Times New Roman"/>
          <w:color w:val="000000"/>
          <w:sz w:val="32"/>
          <w:szCs w:val="32"/>
        </w:rPr>
        <w:t>。</w:t>
      </w:r>
    </w:p>
    <w:p>
      <w:pPr>
        <w:spacing w:line="353" w:lineRule="auto"/>
        <w:ind w:firstLine="640" w:firstLineChars="200"/>
        <w:rPr>
          <w:rFonts w:ascii="仿宋" w:hAnsi="仿宋" w:eastAsia="仿宋"/>
          <w:bCs/>
          <w:sz w:val="32"/>
          <w:szCs w:val="32"/>
        </w:rPr>
      </w:pPr>
      <w:r>
        <w:rPr>
          <w:rFonts w:hint="eastAsia"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承办政府交办和有关部门委托事</w:t>
      </w:r>
      <w:r>
        <w:rPr>
          <w:rFonts w:hint="eastAsia" w:ascii="Times New Roman" w:hAnsi="Times New Roman" w:eastAsia="仿宋_GB2312" w:cs="Times New Roman"/>
          <w:color w:val="000000"/>
          <w:sz w:val="32"/>
          <w:szCs w:val="32"/>
        </w:rPr>
        <w:t>。</w:t>
      </w:r>
      <w:bookmarkEnd w:id="15"/>
      <w:bookmarkEnd w:id="16"/>
    </w:p>
    <w:p>
      <w:pPr>
        <w:ind w:firstLine="800" w:firstLineChars="250"/>
        <w:rPr>
          <w:rFonts w:hint="eastAsia" w:ascii="仿宋" w:hAnsi="仿宋" w:eastAsia="仿宋"/>
          <w:bCs/>
          <w:sz w:val="32"/>
          <w:szCs w:val="32"/>
        </w:rPr>
      </w:pPr>
      <w:bookmarkStart w:id="17" w:name="_Toc15378446"/>
      <w:bookmarkStart w:id="18"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7"/>
      <w:bookmarkEnd w:id="18"/>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优化营商环境，多措并举调研西区企业。西区工商联为认真贯彻落实区纪委、区监委印发的《关于贯彻落实区委十届九次全会精神服务保障“三区联建”持续优化营商环境纪律作风专项整治工作方案》（攀西纪发〔2021〕3号）的文件精神，持续优化营商环境，服务西区转型升级，推动高质量发展，确保涉企惠企政策落地落实。了解掌握全区营商环境存在的问题和短板，以及干部职工存在的作风及违规违纪违法问题线索，落实文件提出关于“收集辖区企业的意见建议”工作要求，深入西区企业进行专题摸底调研。一是利用企业微信工作群进行大力宣传。西区工商联将区纪委、区监委印发的《关于贯彻落实区委十届九次全会精神 服务保障“三区联建”持续优化营商环境纪律作风专项整治工作方案》（攀西纪发【2021】3号）、西区纪委办印发的《关于贯彻落实区委十届九次全会精神服务保障“三区联建”持续优化营商环境纪律作风专项整治3月份工作清单》（攀西纪办发【2021】2号）及西区工商联印发的《攀枝花市西区工商联关于调研企业营商环境存在问题的函告》共3个文件推送到西区工商联企业交流微信群，并请各会员企业积极提出相关的意见建议。二是电话询问企业相关意见建议。区工商联领导班子安排专人通过电话询问的方式，听取辖区企业遇到的困难与发展的需求。三是发挥桥梁纽带作用，深入企业走访调研。区政协副主席、区工商联主席杨华友，区委统战部副部长、区工商联党组书记、常务副主席刘伟等带队分别到瑞丰水泥厂、午跃科技、新启物流等企业走访调研。走访调研中，区工商联领导分别听取了相关企业的意见建议，围绕企业在转型升级、项目建设、安全生产、森林草原防灭火、法律、融资等诸多方面问题进行面对面沟通、心贴心交流，认真征求非公经济人士对优化营商环境政策的意见建议。</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严格推荐换届执委，做好非公经济代表人士的健康成长。今年是攀枝花市工商联（总商会）换届年，按照省市有关市商联(总商会)换届工作要求，西区根据《中国工商业联合会章程》规定，执委会执行委员人选必须满足如下基本条件：坚决拥护中国共产党的领导和中国特色社会主义制度，在政治立场、政治方向、政治原则、政治道路上同党中央保持高度一致，符合思想政治强、行业代表性强、参政议政能力强、社会信誉好的标准；坚持以社会主义核心价值观指导企业文化建设，重视支持所在企业党的建设，加强自我学习、自我教育、自我提升，做爱国敬业、守法经营、创业创新、回报社会的典范；所在企业经营状况良好，能够自觉践行新发展理念、融入新发展格局、推动高质量发展，在本行业有较强的代表性和影响力；积极参加建言资政活动，能够代表所在群体或行业向党委、政府提出高质量的意见建议；自觉履行社会责任，按照亲清原则把握和处理政商关系，积极构建和谐劳动关系，踊跃参与疫情防控、光彩事业、“万企兴万村”和其他社会公益慈善事业，具有良好的道德品行和社会形象。</w:t>
      </w:r>
    </w:p>
    <w:p>
      <w:pPr>
        <w:ind w:firstLine="800" w:firstLineChars="250"/>
        <w:rPr>
          <w:rFonts w:hint="eastAsia" w:ascii="仿宋" w:hAnsi="仿宋" w:eastAsia="仿宋"/>
          <w:sz w:val="32"/>
          <w:szCs w:val="32"/>
        </w:rPr>
      </w:pPr>
      <w:r>
        <w:rPr>
          <w:rFonts w:hint="eastAsia" w:ascii="仿宋" w:hAnsi="仿宋" w:eastAsia="仿宋"/>
          <w:sz w:val="32"/>
          <w:szCs w:val="32"/>
        </w:rPr>
        <w:t>西区工商联在充分协商的基础上，征求大多数代表和经信、商务、农村农业相关单位意见，提出候选人建议名单，上报区统战部进行社会评价公示，最后提交全体代表大会进行选举产生攀枝花市工商联（总商会）第七届执行委员会执行委员，其中有西区推荐执委13人，常委4人，副主席2人。</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、围绕经济建设中心，促进我区非公经济健康发展</w:t>
      </w:r>
    </w:p>
    <w:p>
      <w:pPr>
        <w:ind w:firstLine="800" w:firstLineChars="250"/>
        <w:rPr>
          <w:rFonts w:hint="eastAsia" w:ascii="仿宋" w:hAnsi="仿宋" w:eastAsia="仿宋"/>
          <w:sz w:val="32"/>
          <w:szCs w:val="32"/>
        </w:rPr>
      </w:pPr>
      <w:r>
        <w:rPr>
          <w:rFonts w:hint="eastAsia" w:ascii="仿宋" w:hAnsi="仿宋" w:eastAsia="仿宋"/>
          <w:sz w:val="32"/>
          <w:szCs w:val="32"/>
        </w:rPr>
        <w:t>一是创新思路、努力搭建平台、拓展服务领域。西区工商联积极为企业办实事，结合西区非公企业资金短缺，融资渠道不通畅，企业发展受阻等况，主动作为积极为企业提供融资、经贸合作、法律维权、科技人才等方面的服务，切实加强政策引导，大力宣传引导广大非公经济人士深入了解区委、区政府发展思路指导思想、产业导向和有关优惠政策，推动他们带领企业更好地发展。二是加大教育培训。区工商联积极组织企业参加省、市工商联和各单位组织的各种学习培训活动，提供经验交流和项目对接机会。已组织西区非公经济代表人士参加市经济和信息化委、市工商联联合举办的攀枝花市促进非公经济发展务实培训、参加西区统战部工商联举办的非公经济代表人士和新社会阶层人士法律环保各类培训活动12次，联系西区非公企业参加区人大召集的“围绕三线建设与成渝地区双城经济圈建设研讨会”和区政协召集的“西区科技创新及运用调研协商”2次，着力增强民营企业家研判新形势、分析新情况、解决新问题的能力，引导非公经济人士融入到全面深化改革的中心工作中。</w:t>
      </w:r>
    </w:p>
    <w:p>
      <w:pPr>
        <w:ind w:firstLine="800" w:firstLineChars="25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重温党史学习立足职能，引领企业坚定发展构建新型政商关系。自党史学习教育开展以来，西区工商联结合区工商联职责职能，采用多种方式开展党史学习教育，并积极开展“进企业促发展”活动，营造党史学习教育氛围，迅速掀起党史学习教育新高潮。一</w:t>
      </w:r>
      <w:r>
        <w:rPr>
          <w:rFonts w:hint="eastAsia" w:ascii="仿宋" w:hAnsi="仿宋" w:eastAsia="仿宋"/>
          <w:sz w:val="32"/>
          <w:szCs w:val="32"/>
          <w:lang w:eastAsia="zh-CN"/>
        </w:rPr>
        <w:t>是</w:t>
      </w:r>
      <w:r>
        <w:rPr>
          <w:rFonts w:hint="eastAsia" w:ascii="仿宋" w:hAnsi="仿宋" w:eastAsia="仿宋"/>
          <w:sz w:val="32"/>
          <w:szCs w:val="32"/>
        </w:rPr>
        <w:t>党史集中学。区工商联通过党组学习、单位干部职工大会、支部主题党日等平台，组织党员干部集中学习习近平总书记在党史学习教育动员大会上的重要讲话精神和省委、市委、区委党史学习教育动员大会精神，传达学习了区委庆祝中国共产党成立100周年活动暨党史学习教育会议精神和龙勇书记重要讲话精神，并在新华文轩购买了五套党史书籍，包括：《中国共产党简史》、《习近平新时代中国特色社会主义思想学习问答》、《论中国共产党历史》、《毛泽东邓小平江泽民胡锦涛关于中国共产党历史论述摘编》。区工商联领导干部带头分享学习感悟和体会，并撰写了多篇WP文章。组织干部职工积极参加“学党史·感党恩·跟党走—100场红色公益电影放映”活动。二是形式多样线上学。组织党员干部充分运用“学习强国”、“共产党员”教育平台、“书香花城”APP等平台，灵活自主安排时间学习。三是为民服务践初心。区工商联全体干部职工学做结合、知行合一。区工商联涌现出一个又一个不惧艰难险阻，用真实行动践行着党章的同志们。区工商联班子成员带队组织党员干部到河门口社区</w:t>
      </w:r>
      <w:bookmarkStart w:id="70" w:name="_GoBack"/>
      <w:bookmarkEnd w:id="70"/>
      <w:r>
        <w:rPr>
          <w:rFonts w:hint="eastAsia" w:ascii="仿宋" w:hAnsi="仿宋" w:eastAsia="仿宋"/>
          <w:sz w:val="32"/>
          <w:szCs w:val="32"/>
        </w:rPr>
        <w:t>、太平社区、大水井村等地看望慰问困难党员、困难群众、退休老干部、村（社区）老骨干共9户家庭，向他们致以新春祝福，并送去价值共计3300余元的新春慰问品，把党和政府的关心和温暖送到他们心坎上。区工商联为太平社区提供3000元森林防灭火工作经费。组织干部职工到包联的河门口社区开展“学党史、感党恩—我为群众办实事”卫生清扫志愿服务活动2人次，森林草原防灭火卡点值守13人次。四是引领企业一起学。利用到企业调研和“西区工商联会员企业微信工作群”等多种方式，向企业宣传党史。为创新党史学习教育、丰富学习活动载体，2021年6月18日，汇同市总商会党组、市工商联党支部组织全市所有商协会和民营企业家参观西区动力站党外人士教育创新实践基地、河门口初心园两地进行党史现场教育</w:t>
      </w:r>
      <w:r>
        <w:rPr>
          <w:rFonts w:hint="eastAsia" w:ascii="仿宋" w:hAnsi="仿宋" w:eastAsia="仿宋"/>
          <w:sz w:val="32"/>
          <w:szCs w:val="32"/>
          <w:lang w:eastAsia="zh-CN"/>
        </w:rPr>
        <w:t>。</w:t>
      </w:r>
    </w:p>
    <w:p>
      <w:pPr>
        <w:pStyle w:val="4"/>
        <w:rPr>
          <w:rStyle w:val="27"/>
          <w:b w:val="0"/>
          <w:bCs w:val="0"/>
        </w:rPr>
      </w:pPr>
      <w:bookmarkStart w:id="19" w:name="_Toc15377200"/>
      <w:bookmarkStart w:id="20" w:name="_Toc15396601"/>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19"/>
      <w:bookmarkEnd w:id="20"/>
    </w:p>
    <w:p>
      <w:pPr>
        <w:ind w:firstLine="800" w:firstLineChars="250"/>
        <w:rPr>
          <w:rFonts w:ascii="仿宋" w:hAnsi="仿宋" w:eastAsia="仿宋"/>
          <w:sz w:val="32"/>
          <w:szCs w:val="32"/>
        </w:rPr>
      </w:pPr>
      <w:r>
        <w:rPr>
          <w:rFonts w:hint="eastAsia" w:ascii="仿宋" w:hAnsi="仿宋" w:eastAsia="仿宋"/>
          <w:sz w:val="32"/>
          <w:szCs w:val="32"/>
          <w:lang w:eastAsia="zh-CN"/>
        </w:rPr>
        <w:t>西区工商联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adjustRightInd w:val="0"/>
        <w:snapToGrid w:val="0"/>
        <w:spacing w:before="93" w:line="600" w:lineRule="exac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6"/>
          <w:rFonts w:ascii="黑体" w:hAnsi="黑体" w:eastAsia="黑体"/>
          <w:b w:val="0"/>
          <w:bCs/>
        </w:rPr>
      </w:pPr>
      <w:bookmarkStart w:id="21" w:name="_Toc15377204"/>
      <w:bookmarkStart w:id="22" w:name="_Toc15396602"/>
      <w:r>
        <w:rPr>
          <w:rFonts w:hint="eastAsia" w:ascii="黑体" w:hAnsi="黑体" w:eastAsia="黑体"/>
          <w:b w:val="0"/>
        </w:rPr>
        <w:t>第二部分 2021年度</w:t>
      </w:r>
      <w:r>
        <w:rPr>
          <w:rStyle w:val="26"/>
          <w:rFonts w:hint="eastAsia" w:ascii="黑体" w:hAnsi="黑体" w:eastAsia="黑体"/>
          <w:b w:val="0"/>
          <w:bCs/>
        </w:rPr>
        <w:t>部门决算情况说明</w:t>
      </w:r>
      <w:bookmarkEnd w:id="21"/>
      <w:bookmarkEnd w:id="22"/>
    </w:p>
    <w:p/>
    <w:p>
      <w:pPr>
        <w:pStyle w:val="25"/>
        <w:numPr>
          <w:ilvl w:val="0"/>
          <w:numId w:val="1"/>
        </w:numPr>
        <w:spacing w:line="600" w:lineRule="exact"/>
        <w:ind w:firstLineChars="0"/>
        <w:outlineLvl w:val="1"/>
        <w:rPr>
          <w:rStyle w:val="27"/>
          <w:rFonts w:ascii="黑体" w:hAnsi="黑体" w:eastAsia="黑体"/>
          <w:b w:val="0"/>
        </w:rPr>
      </w:pPr>
      <w:bookmarkStart w:id="23" w:name="_Toc15396603"/>
      <w:bookmarkStart w:id="24"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3"/>
      <w:bookmarkEnd w:id="24"/>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97.75</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0.04</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p>
    <w:p>
      <w:pPr>
        <w:pStyle w:val="6"/>
      </w:pPr>
      <w:r>
        <w:rPr>
          <w:rFonts w:hint="eastAsia" w:eastAsia="宋体"/>
          <w:lang w:eastAsia="zh-CN"/>
        </w:rPr>
        <w:drawing>
          <wp:inline distT="0" distB="0" distL="114300" distR="114300">
            <wp:extent cx="4419600" cy="2676525"/>
            <wp:effectExtent l="0" t="0" r="0" b="9525"/>
            <wp:docPr id="1" name="图片 1" descr="IU5VD]MW`GOZOS0A`H[J@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U5VD]MW`GOZOS0A`H[J@WT"/>
                    <pic:cNvPicPr>
                      <a:picLocks noChangeAspect="1"/>
                    </pic:cNvPicPr>
                  </pic:nvPicPr>
                  <pic:blipFill>
                    <a:blip r:embed="rId6"/>
                    <a:stretch>
                      <a:fillRect/>
                    </a:stretch>
                  </pic:blipFill>
                  <pic:spPr>
                    <a:xfrm>
                      <a:off x="0" y="0"/>
                      <a:ext cx="4419600" cy="2676525"/>
                    </a:xfrm>
                    <a:prstGeom prst="rect">
                      <a:avLst/>
                    </a:prstGeom>
                  </pic:spPr>
                </pic:pic>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25" w:name="_Toc15377206"/>
      <w:bookmarkStart w:id="26" w:name="_Toc15396604"/>
      <w:r>
        <w:rPr>
          <w:rFonts w:hint="eastAsia" w:ascii="黑体" w:hAnsi="黑体" w:eastAsia="黑体"/>
          <w:sz w:val="32"/>
          <w:szCs w:val="32"/>
        </w:rPr>
        <w:t>收</w:t>
      </w:r>
      <w:r>
        <w:rPr>
          <w:rStyle w:val="27"/>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97.75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93.37</w:t>
      </w:r>
      <w:r>
        <w:rPr>
          <w:rFonts w:hint="eastAsia" w:ascii="仿宋" w:hAnsi="仿宋" w:eastAsia="仿宋"/>
          <w:sz w:val="32"/>
          <w:szCs w:val="32"/>
        </w:rPr>
        <w:t>万元，占</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4.38</w:t>
      </w:r>
      <w:r>
        <w:rPr>
          <w:rFonts w:hint="eastAsia" w:ascii="仿宋" w:hAnsi="仿宋" w:eastAsia="仿宋"/>
          <w:sz w:val="32"/>
          <w:szCs w:val="32"/>
        </w:rPr>
        <w:t>万元，占</w:t>
      </w:r>
      <w:r>
        <w:rPr>
          <w:rFonts w:hint="eastAsia" w:ascii="仿宋" w:hAnsi="仿宋" w:eastAsia="仿宋"/>
          <w:sz w:val="32"/>
          <w:szCs w:val="32"/>
          <w:lang w:val="en-US" w:eastAsia="zh-CN"/>
        </w:rPr>
        <w:t>4.48</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_GB2312" w:eastAsia="仿宋_GB2312"/>
          <w:sz w:val="32"/>
          <w:szCs w:val="32"/>
        </w:rPr>
      </w:pPr>
      <w:r>
        <w:drawing>
          <wp:inline distT="0" distB="0" distL="114300" distR="114300">
            <wp:extent cx="4580890" cy="2723515"/>
            <wp:effectExtent l="0" t="0" r="10160" b="6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a:stretch>
                      <a:fillRect/>
                    </a:stretch>
                  </pic:blipFill>
                  <pic:spPr>
                    <a:xfrm>
                      <a:off x="0" y="0"/>
                      <a:ext cx="4580890" cy="2723515"/>
                    </a:xfrm>
                    <a:prstGeom prst="rect">
                      <a:avLst/>
                    </a:prstGeom>
                    <a:noFill/>
                    <a:ln w="9525">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rPr>
      </w:pPr>
      <w:bookmarkStart w:id="27" w:name="_Toc15377207"/>
      <w:bookmarkStart w:id="28" w:name="_Toc15396605"/>
      <w:r>
        <w:rPr>
          <w:rFonts w:hint="eastAsia" w:ascii="黑体" w:hAnsi="黑体" w:eastAsia="黑体"/>
          <w:sz w:val="32"/>
          <w:szCs w:val="32"/>
        </w:rPr>
        <w:t>支</w:t>
      </w:r>
      <w:r>
        <w:rPr>
          <w:rStyle w:val="27"/>
          <w:rFonts w:hint="eastAsia" w:ascii="黑体" w:hAnsi="黑体" w:eastAsia="黑体"/>
          <w:b w:val="0"/>
        </w:rPr>
        <w:t>出决算情况说明</w:t>
      </w:r>
      <w:bookmarkEnd w:id="27"/>
      <w:bookmarkEnd w:id="28"/>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97.75</w:t>
      </w:r>
      <w:r>
        <w:rPr>
          <w:rFonts w:hint="eastAsia" w:ascii="仿宋" w:hAnsi="仿宋" w:eastAsia="仿宋"/>
          <w:sz w:val="32"/>
          <w:szCs w:val="32"/>
        </w:rPr>
        <w:t>万元，其中：基本支出</w:t>
      </w:r>
      <w:r>
        <w:rPr>
          <w:rFonts w:hint="eastAsia" w:ascii="仿宋" w:hAnsi="仿宋" w:eastAsia="仿宋"/>
          <w:sz w:val="32"/>
          <w:szCs w:val="32"/>
          <w:lang w:val="en-US" w:eastAsia="zh-CN"/>
        </w:rPr>
        <w:t>93.37</w:t>
      </w:r>
      <w:r>
        <w:rPr>
          <w:rFonts w:hint="eastAsia" w:ascii="仿宋" w:hAnsi="仿宋" w:eastAsia="仿宋"/>
          <w:sz w:val="32"/>
          <w:szCs w:val="32"/>
        </w:rPr>
        <w:t>万元，占</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4.38</w:t>
      </w:r>
      <w:r>
        <w:rPr>
          <w:rFonts w:hint="eastAsia" w:ascii="仿宋" w:hAnsi="仿宋" w:eastAsia="仿宋"/>
          <w:sz w:val="32"/>
          <w:szCs w:val="32"/>
        </w:rPr>
        <w:t>万元，占</w:t>
      </w:r>
      <w:r>
        <w:rPr>
          <w:rFonts w:hint="eastAsia" w:ascii="仿宋" w:hAnsi="仿宋" w:eastAsia="仿宋"/>
          <w:sz w:val="32"/>
          <w:szCs w:val="32"/>
          <w:lang w:val="en-US" w:eastAsia="zh-CN"/>
        </w:rPr>
        <w:t>4.48</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Style w:val="6"/>
      </w:pPr>
      <w:r>
        <w:drawing>
          <wp:inline distT="0" distB="0" distL="114300" distR="114300">
            <wp:extent cx="4775835" cy="3195320"/>
            <wp:effectExtent l="0" t="0" r="571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775835" cy="3195320"/>
                    </a:xfrm>
                    <a:prstGeom prst="rect">
                      <a:avLst/>
                    </a:prstGeom>
                    <a:noFill/>
                    <a:ln w="9525">
                      <a:noFill/>
                    </a:ln>
                  </pic:spPr>
                </pic:pic>
              </a:graphicData>
            </a:graphic>
          </wp:inline>
        </w:drawing>
      </w:r>
    </w:p>
    <w:p>
      <w:pPr>
        <w:spacing w:line="600" w:lineRule="exact"/>
        <w:ind w:firstLine="640" w:firstLineChars="200"/>
        <w:outlineLvl w:val="1"/>
        <w:rPr>
          <w:rStyle w:val="27"/>
          <w:rFonts w:ascii="黑体" w:hAnsi="黑体" w:eastAsia="黑体"/>
          <w:b w:val="0"/>
        </w:rPr>
      </w:pPr>
      <w:bookmarkStart w:id="29" w:name="_Toc15396606"/>
      <w:bookmarkStart w:id="30"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9"/>
      <w:bookmarkEnd w:id="3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97.75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20年相比，财政拨款收、支总计各减少</w:t>
      </w:r>
      <w:r>
        <w:rPr>
          <w:rFonts w:hint="eastAsia" w:ascii="仿宋" w:hAnsi="仿宋" w:eastAsia="仿宋"/>
          <w:sz w:val="32"/>
          <w:szCs w:val="32"/>
          <w:lang w:val="en-US" w:eastAsia="zh-CN"/>
        </w:rPr>
        <w:t>0.04</w:t>
      </w:r>
      <w:r>
        <w:rPr>
          <w:rFonts w:hint="eastAsia" w:ascii="仿宋" w:hAnsi="仿宋" w:eastAsia="仿宋"/>
          <w:sz w:val="32"/>
          <w:szCs w:val="32"/>
        </w:rPr>
        <w:t>万元，下降</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p>
    <w:p>
      <w:pPr>
        <w:keepNext w:val="0"/>
        <w:keepLines w:val="0"/>
        <w:widowControl/>
        <w:suppressLineNumbers w:val="0"/>
        <w:jc w:val="left"/>
        <w:rPr>
          <w:rFonts w:ascii="仿宋" w:hAnsi="仿宋" w:eastAsia="仿宋"/>
          <w:b/>
          <w:sz w:val="32"/>
          <w:szCs w:val="32"/>
        </w:rPr>
      </w:pPr>
      <w:r>
        <w:rPr>
          <w:rFonts w:ascii="宋体" w:hAnsi="宋体" w:eastAsia="宋体" w:cs="宋体"/>
          <w:kern w:val="0"/>
          <w:sz w:val="24"/>
          <w:szCs w:val="24"/>
          <w:lang w:val="en-US" w:eastAsia="zh-CN" w:bidi="ar"/>
        </w:rPr>
        <w:fldChar w:fldCharType="begin"/>
      </w:r>
      <w:r>
        <w:instrText xml:space="preserve"> INCLUDEPICTURE "../.config/com.360.browser/DirectOpenDownloadCache/" \* MERGEFORMAT \d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267200" cy="2686050"/>
            <wp:effectExtent l="0" t="0" r="0" b="0"/>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9"/>
                    <a:stretch>
                      <a:fillRect/>
                    </a:stretch>
                  </pic:blipFill>
                  <pic:spPr>
                    <a:xfrm>
                      <a:off x="0" y="0"/>
                      <a:ext cx="4267200" cy="26860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outlineLvl w:val="1"/>
        <w:rPr>
          <w:rStyle w:val="27"/>
          <w:rFonts w:ascii="黑体" w:hAnsi="黑体" w:eastAsia="黑体"/>
          <w:b w:val="0"/>
        </w:rPr>
      </w:pPr>
      <w:bookmarkStart w:id="31" w:name="_Toc15377209"/>
      <w:bookmarkStart w:id="32"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1"/>
      <w:bookmarkEnd w:id="32"/>
    </w:p>
    <w:p>
      <w:pPr>
        <w:spacing w:line="600" w:lineRule="exact"/>
        <w:ind w:firstLine="642"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93.37</w:t>
      </w:r>
      <w:r>
        <w:rPr>
          <w:rFonts w:hint="eastAsia" w:ascii="仿宋" w:hAnsi="仿宋" w:eastAsia="仿宋"/>
          <w:sz w:val="32"/>
          <w:szCs w:val="32"/>
        </w:rPr>
        <w:t>万元，占本年支出合计的</w:t>
      </w:r>
      <w:r>
        <w:rPr>
          <w:rFonts w:hint="eastAsia" w:ascii="仿宋" w:hAnsi="仿宋" w:eastAsia="仿宋"/>
          <w:sz w:val="32"/>
          <w:szCs w:val="32"/>
          <w:lang w:val="en-US" w:eastAsia="zh-CN"/>
        </w:rPr>
        <w:t>95.52</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2.34</w:t>
      </w:r>
      <w:r>
        <w:rPr>
          <w:rFonts w:hint="eastAsia" w:ascii="仿宋" w:hAnsi="仿宋" w:eastAsia="仿宋"/>
          <w:sz w:val="32"/>
          <w:szCs w:val="32"/>
        </w:rPr>
        <w:t>万元，下降</w:t>
      </w:r>
      <w:r>
        <w:rPr>
          <w:rFonts w:hint="eastAsia" w:ascii="仿宋" w:hAnsi="仿宋" w:eastAsia="仿宋"/>
          <w:sz w:val="32"/>
          <w:szCs w:val="32"/>
          <w:lang w:val="en-US" w:eastAsia="zh-CN"/>
        </w:rPr>
        <w:t>24.33</w:t>
      </w:r>
      <w:r>
        <w:rPr>
          <w:rFonts w:ascii="仿宋" w:hAnsi="仿宋" w:eastAsia="仿宋"/>
          <w:sz w:val="32"/>
          <w:szCs w:val="32"/>
        </w:rPr>
        <w:t>%</w:t>
      </w:r>
      <w:r>
        <w:rPr>
          <w:rFonts w:hint="eastAsia" w:ascii="仿宋" w:hAnsi="仿宋" w:eastAsia="仿宋"/>
          <w:sz w:val="32"/>
          <w:szCs w:val="32"/>
        </w:rPr>
        <w:t>。主要变动原因是</w:t>
      </w:r>
      <w:r>
        <w:rPr>
          <w:rFonts w:hint="eastAsia" w:eastAsia="仿宋"/>
          <w:color w:val="000000"/>
          <w:sz w:val="32"/>
          <w:szCs w:val="32"/>
          <w:lang w:eastAsia="zh-CN"/>
        </w:rPr>
        <w:t>项目经费支出减少</w:t>
      </w:r>
      <w:r>
        <w:rPr>
          <w:rFonts w:hint="eastAsia" w:ascii="仿宋" w:hAnsi="仿宋" w:eastAsia="仿宋"/>
          <w:sz w:val="32"/>
          <w:szCs w:val="32"/>
          <w:lang w:val="en-US" w:eastAsia="zh-CN"/>
        </w:rPr>
        <w:t>。</w:t>
      </w:r>
    </w:p>
    <w:p>
      <w:pPr>
        <w:keepNext w:val="0"/>
        <w:keepLines w:val="0"/>
        <w:widowControl/>
        <w:suppressLineNumbers w:val="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ascii="宋体" w:hAnsi="宋体" w:eastAsia="宋体" w:cs="宋体"/>
          <w:kern w:val="0"/>
          <w:sz w:val="24"/>
          <w:szCs w:val="24"/>
          <w:lang w:val="en-US" w:eastAsia="zh-CN" w:bidi="ar"/>
        </w:rPr>
        <w:fldChar w:fldCharType="begin"/>
      </w:r>
      <w:r>
        <w:instrText xml:space="preserve"> INCLUDEPICTURE "../.config/com.360.browser/DirectOpenDownloadCache/" \* MERGEFORMAT \d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975735" cy="2540000"/>
            <wp:effectExtent l="0" t="0" r="5715" b="12700"/>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10"/>
                    <a:stretch>
                      <a:fillRect/>
                    </a:stretch>
                  </pic:blipFill>
                  <pic:spPr>
                    <a:xfrm>
                      <a:off x="0" y="0"/>
                      <a:ext cx="3975735" cy="2540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hint="eastAsia" w:ascii="仿宋" w:hAnsi="仿宋" w:eastAsia="仿宋"/>
          <w:sz w:val="32"/>
          <w:szCs w:val="32"/>
          <w:lang w:val="en-US" w:eastAsia="zh-CN"/>
        </w:rPr>
        <w:t xml:space="preserve">           </w:t>
      </w:r>
    </w:p>
    <w:p>
      <w:pPr>
        <w:spacing w:line="600" w:lineRule="exact"/>
        <w:ind w:firstLine="642"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93.37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72.42</w:t>
      </w:r>
      <w:r>
        <w:rPr>
          <w:rFonts w:hint="eastAsia" w:ascii="仿宋" w:hAnsi="仿宋" w:eastAsia="仿宋"/>
          <w:sz w:val="32"/>
          <w:szCs w:val="32"/>
        </w:rPr>
        <w:t>万元，占</w:t>
      </w:r>
      <w:r>
        <w:rPr>
          <w:rFonts w:hint="eastAsia" w:ascii="仿宋" w:hAnsi="仿宋" w:eastAsia="仿宋"/>
          <w:sz w:val="32"/>
          <w:szCs w:val="32"/>
          <w:lang w:val="en-US" w:eastAsia="zh-CN"/>
        </w:rPr>
        <w:t>77.56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7.56</w:t>
      </w:r>
      <w:r>
        <w:rPr>
          <w:rFonts w:hint="eastAsia" w:ascii="仿宋" w:hAnsi="仿宋" w:eastAsia="仿宋"/>
          <w:sz w:val="32"/>
          <w:szCs w:val="32"/>
        </w:rPr>
        <w:t>万元，占</w:t>
      </w:r>
      <w:r>
        <w:rPr>
          <w:rFonts w:hint="eastAsia" w:ascii="仿宋" w:hAnsi="仿宋" w:eastAsia="仿宋"/>
          <w:sz w:val="32"/>
          <w:szCs w:val="32"/>
          <w:lang w:val="en-US" w:eastAsia="zh-CN"/>
        </w:rPr>
        <w:t>8.09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4.5</w:t>
      </w:r>
      <w:r>
        <w:rPr>
          <w:rFonts w:hint="eastAsia" w:ascii="仿宋" w:hAnsi="仿宋" w:eastAsia="仿宋"/>
          <w:sz w:val="32"/>
          <w:szCs w:val="32"/>
        </w:rPr>
        <w:t>万元，占</w:t>
      </w:r>
      <w:r>
        <w:rPr>
          <w:rFonts w:hint="eastAsia" w:ascii="仿宋" w:hAnsi="仿宋" w:eastAsia="仿宋"/>
          <w:sz w:val="32"/>
          <w:szCs w:val="32"/>
          <w:lang w:val="en-US" w:eastAsia="zh-CN"/>
        </w:rPr>
        <w:t>4.81</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8.9</w:t>
      </w:r>
      <w:r>
        <w:rPr>
          <w:rFonts w:hint="eastAsia" w:ascii="仿宋" w:hAnsi="仿宋" w:eastAsia="仿宋"/>
          <w:sz w:val="32"/>
          <w:szCs w:val="32"/>
        </w:rPr>
        <w:t>万元，占</w:t>
      </w:r>
      <w:r>
        <w:rPr>
          <w:rFonts w:hint="eastAsia" w:ascii="仿宋" w:hAnsi="仿宋" w:eastAsia="仿宋"/>
          <w:sz w:val="32"/>
          <w:szCs w:val="32"/>
          <w:lang w:val="en-US" w:eastAsia="zh-CN"/>
        </w:rPr>
        <w:t>9.54</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rPr>
          <w:rFonts w:ascii="仿宋" w:hAnsi="仿宋" w:eastAsia="仿宋"/>
          <w:sz w:val="32"/>
          <w:szCs w:val="32"/>
        </w:rPr>
      </w:pPr>
      <w:r>
        <w:rPr>
          <w:rFonts w:ascii="宋体" w:hAnsi="宋体" w:eastAsia="宋体" w:cs="宋体"/>
          <w:kern w:val="0"/>
          <w:sz w:val="24"/>
          <w:szCs w:val="24"/>
          <w:lang w:val="en-US" w:eastAsia="zh-CN" w:bidi="ar"/>
        </w:rPr>
        <w:fldChar w:fldCharType="begin"/>
      </w:r>
      <w:r>
        <w:instrText xml:space="preserve"> INCLUDEPICTURE "../.config/com.360.browser/DirectOpenDownloadCache/" \* MERGEFORMAT \d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38650" cy="2667000"/>
            <wp:effectExtent l="0" t="0" r="0" b="0"/>
            <wp:docPr id="18"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56"/>
                    <pic:cNvPicPr>
                      <a:picLocks noChangeAspect="1"/>
                    </pic:cNvPicPr>
                  </pic:nvPicPr>
                  <pic:blipFill>
                    <a:blip r:embed="rId11"/>
                    <a:stretch>
                      <a:fillRect/>
                    </a:stretch>
                  </pic:blipFill>
                  <pic:spPr>
                    <a:xfrm>
                      <a:off x="0" y="0"/>
                      <a:ext cx="4438650" cy="2667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2" w:firstLineChars="200"/>
        <w:outlineLvl w:val="2"/>
        <w:rPr>
          <w:rFonts w:ascii="仿宋" w:hAnsi="仿宋" w:eastAsia="仿宋"/>
          <w:b/>
          <w:sz w:val="32"/>
          <w:szCs w:val="32"/>
        </w:rPr>
      </w:pPr>
      <w:bookmarkStart w:id="35" w:name="_Toc15377212"/>
      <w:r>
        <w:rPr>
          <w:rFonts w:hint="eastAsia" w:ascii="仿宋" w:hAnsi="仿宋" w:eastAsia="仿宋"/>
          <w:b/>
          <w:sz w:val="32"/>
          <w:szCs w:val="32"/>
        </w:rPr>
        <w:t>（三）一般公共预算财政拨款支出决算具体情况</w:t>
      </w:r>
      <w:bookmarkEnd w:id="35"/>
    </w:p>
    <w:p>
      <w:pPr>
        <w:spacing w:line="600" w:lineRule="exact"/>
        <w:ind w:firstLine="642" w:firstLineChars="200"/>
        <w:outlineLvl w:val="2"/>
        <w:rPr>
          <w:rFonts w:ascii="仿宋" w:hAnsi="仿宋" w:eastAsia="仿宋"/>
          <w:sz w:val="32"/>
          <w:szCs w:val="32"/>
        </w:rPr>
      </w:pPr>
      <w:bookmarkStart w:id="36" w:name="_Toc15377444"/>
      <w:bookmarkStart w:id="37" w:name="_Toc15377213"/>
      <w:bookmarkStart w:id="38" w:name="_Toc15378460"/>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93.37</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6"/>
      <w:bookmarkEnd w:id="37"/>
      <w:bookmarkEnd w:id="38"/>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一般公共服务（类）民主党派及工商联事务（款）</w:t>
      </w:r>
      <w:r>
        <w:rPr>
          <w:rStyle w:val="16"/>
          <w:rFonts w:hint="eastAsia" w:ascii="仿宋" w:hAnsi="仿宋" w:eastAsia="仿宋"/>
          <w:bCs/>
          <w:sz w:val="32"/>
          <w:szCs w:val="32"/>
          <w:lang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72.42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2.</w:t>
      </w:r>
      <w:r>
        <w:rPr>
          <w:rFonts w:hint="eastAsia" w:ascii="仿宋" w:hAnsi="仿宋" w:eastAsia="仿宋"/>
          <w:b/>
          <w:sz w:val="32"/>
          <w:szCs w:val="32"/>
        </w:rPr>
        <w:t>社会保障和就业支出</w:t>
      </w:r>
      <w:r>
        <w:rPr>
          <w:rStyle w:val="16"/>
          <w:rFonts w:hint="eastAsia" w:ascii="仿宋" w:hAnsi="仿宋" w:eastAsia="仿宋"/>
          <w:bCs/>
          <w:sz w:val="32"/>
          <w:szCs w:val="32"/>
        </w:rPr>
        <w:t>（类）行政事业单位养老支出（款）行政单位离退休（项）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3.</w:t>
      </w:r>
      <w:r>
        <w:rPr>
          <w:rFonts w:hint="eastAsia" w:ascii="仿宋" w:hAnsi="仿宋" w:eastAsia="仿宋"/>
          <w:b/>
          <w:sz w:val="32"/>
          <w:szCs w:val="32"/>
        </w:rPr>
        <w:t>社会保障和就业支出</w:t>
      </w:r>
      <w:r>
        <w:rPr>
          <w:rStyle w:val="16"/>
          <w:rFonts w:hint="eastAsia" w:ascii="仿宋" w:hAnsi="仿宋" w:eastAsia="仿宋"/>
          <w:bCs/>
          <w:sz w:val="32"/>
          <w:szCs w:val="32"/>
        </w:rPr>
        <w:t>（类）行政事业单位养老支出（款）机关事业单位基本养老保险缴费支出（项）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5.93</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卫生健康支出（类）行政事业单位医疗（款）行政单位医疗（项）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4.02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卫生健康支出（类）行政事业单位医疗（款）公务员医疗补助（项）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0.48</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6.</w:t>
      </w:r>
      <w:r>
        <w:rPr>
          <w:rFonts w:hint="eastAsia" w:ascii="仿宋" w:hAnsi="仿宋" w:eastAsia="仿宋"/>
          <w:b/>
          <w:bCs/>
          <w:sz w:val="32"/>
          <w:szCs w:val="32"/>
        </w:rPr>
        <w:t>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tabs>
          <w:tab w:val="right" w:pos="8306"/>
        </w:tabs>
        <w:spacing w:line="600" w:lineRule="exact"/>
        <w:ind w:firstLine="640"/>
        <w:outlineLvl w:val="1"/>
        <w:rPr>
          <w:rStyle w:val="27"/>
        </w:rPr>
      </w:pPr>
      <w:bookmarkStart w:id="39" w:name="_Toc15396608"/>
      <w:bookmarkStart w:id="40"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9"/>
      <w:bookmarkEnd w:id="40"/>
      <w:r>
        <w:rPr>
          <w:rStyle w:val="27"/>
          <w:rFonts w:ascii="黑体" w:hAnsi="黑体" w:eastAsia="黑体"/>
          <w:b w:val="0"/>
        </w:rPr>
        <w:tab/>
      </w:r>
    </w:p>
    <w:p>
      <w:pPr>
        <w:spacing w:line="600" w:lineRule="exact"/>
        <w:ind w:firstLine="645"/>
        <w:rPr>
          <w:rFonts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w:t>
      </w:r>
      <w:r>
        <w:rPr>
          <w:rFonts w:hint="eastAsia" w:ascii="仿宋" w:hAnsi="仿宋" w:eastAsia="仿宋"/>
          <w:color w:val="auto"/>
          <w:sz w:val="32"/>
          <w:szCs w:val="32"/>
          <w:lang w:val="en-US" w:eastAsia="zh-CN"/>
        </w:rPr>
        <w:t>93.37</w:t>
      </w:r>
      <w:r>
        <w:rPr>
          <w:rFonts w:hint="eastAsia" w:ascii="仿宋" w:hAnsi="仿宋" w:eastAsia="仿宋"/>
          <w:color w:val="auto"/>
          <w:sz w:val="32"/>
          <w:szCs w:val="32"/>
        </w:rPr>
        <w:t>万元，其中：人员经费</w:t>
      </w:r>
      <w:r>
        <w:rPr>
          <w:rFonts w:hint="eastAsia" w:ascii="仿宋" w:hAnsi="仿宋" w:eastAsia="仿宋"/>
          <w:color w:val="auto"/>
          <w:sz w:val="32"/>
          <w:szCs w:val="32"/>
          <w:lang w:val="en-US" w:eastAsia="zh-CN"/>
        </w:rPr>
        <w:t>82.38</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1" w:name="_Toc15396609"/>
      <w:bookmarkStart w:id="42" w:name="_Toc15377215"/>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1"/>
      <w:bookmarkEnd w:id="42"/>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6"/>
          <w:rFonts w:hint="eastAsia" w:ascii="仿宋" w:hAnsi="仿宋" w:eastAsia="仿宋" w:cs="仿宋"/>
          <w:b w:val="0"/>
          <w:bCs w:val="0"/>
          <w:color w:val="000000"/>
          <w:sz w:val="32"/>
          <w:szCs w:val="32"/>
        </w:rPr>
        <w:t>完成预算</w:t>
      </w:r>
      <w:r>
        <w:rPr>
          <w:rStyle w:val="16"/>
          <w:rFonts w:ascii="仿宋" w:hAnsi="仿宋" w:eastAsia="仿宋" w:cs="仿宋"/>
          <w:b w:val="0"/>
          <w:bCs w:val="0"/>
          <w:color w:val="000000"/>
          <w:sz w:val="32"/>
          <w:szCs w:val="32"/>
        </w:rPr>
        <w:t>0%</w:t>
      </w:r>
      <w:r>
        <w:rPr>
          <w:rStyle w:val="16"/>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r>
        <w:rPr>
          <w:rFonts w:hint="eastAsia" w:ascii="仿宋_GB2312" w:hAnsi="仿宋" w:eastAsia="仿宋_GB2312" w:cs="仿宋_GB2312"/>
          <w:color w:val="000000"/>
          <w:sz w:val="32"/>
          <w:szCs w:val="32"/>
        </w:rPr>
        <w:t>因公出国（境）支出决算与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rPr>
          <w:rFonts w:ascii="仿宋_GB2312" w:eastAsia="仿宋_GB2312"/>
          <w:b/>
          <w:bCs/>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6"/>
          <w:rFonts w:hint="eastAsia" w:ascii="仿宋" w:hAnsi="仿宋" w:eastAsia="仿宋" w:cs="仿宋"/>
          <w:b w:val="0"/>
          <w:bCs w:val="0"/>
          <w:color w:val="000000"/>
          <w:sz w:val="32"/>
          <w:szCs w:val="32"/>
        </w:rPr>
        <w:t>完成预算</w:t>
      </w:r>
      <w:r>
        <w:rPr>
          <w:rStyle w:val="16"/>
          <w:rFonts w:ascii="仿宋" w:hAnsi="仿宋" w:eastAsia="仿宋" w:cs="仿宋"/>
          <w:b w:val="0"/>
          <w:bCs w:val="0"/>
          <w:color w:val="000000"/>
          <w:sz w:val="32"/>
          <w:szCs w:val="32"/>
        </w:rPr>
        <w:t>0%</w:t>
      </w:r>
      <w:r>
        <w:rPr>
          <w:rStyle w:val="16"/>
          <w:rFonts w:hint="eastAsia" w:ascii="仿宋" w:hAnsi="仿宋" w:eastAsia="仿宋" w:cs="仿宋"/>
          <w:b w:val="0"/>
          <w:bCs w:val="0"/>
          <w:color w:val="000000"/>
          <w:sz w:val="32"/>
          <w:szCs w:val="32"/>
        </w:rPr>
        <w:t>。公务用车购置及运行维护费支出</w:t>
      </w:r>
      <w:r>
        <w:rPr>
          <w:rFonts w:hint="eastAsia" w:ascii="仿宋_GB2312" w:hAnsi="仿宋" w:eastAsia="仿宋_GB2312" w:cs="仿宋_GB2312"/>
          <w:color w:val="000000"/>
          <w:sz w:val="32"/>
          <w:szCs w:val="32"/>
        </w:rPr>
        <w:t>决算与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年一样为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w:t>
      </w:r>
      <w:r>
        <w:rPr>
          <w:rStyle w:val="16"/>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bookmarkStart w:id="45" w:name="_Toc15377218"/>
      <w:bookmarkStart w:id="46" w:name="_Toc15396610"/>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4.38</w:t>
      </w:r>
      <w:r>
        <w:rPr>
          <w:rFonts w:hint="eastAsia" w:ascii="仿宋_GB2312" w:eastAsia="仿宋_GB2312"/>
          <w:sz w:val="32"/>
          <w:szCs w:val="32"/>
        </w:rPr>
        <w:t>万元。</w:t>
      </w:r>
    </w:p>
    <w:p>
      <w:pPr>
        <w:numPr>
          <w:ilvl w:val="0"/>
          <w:numId w:val="2"/>
        </w:numPr>
        <w:spacing w:line="600" w:lineRule="exact"/>
        <w:ind w:firstLine="640"/>
        <w:outlineLvl w:val="1"/>
        <w:rPr>
          <w:rStyle w:val="27"/>
          <w:rFonts w:ascii="黑体" w:hAnsi="黑体" w:eastAsia="黑体"/>
          <w:b w:val="0"/>
        </w:rPr>
      </w:pPr>
      <w:bookmarkStart w:id="47" w:name="_Toc15377219"/>
      <w:bookmarkStart w:id="48" w:name="_Toc15396611"/>
      <w:r>
        <w:rPr>
          <w:rStyle w:val="27"/>
          <w:rFonts w:hint="eastAsia" w:ascii="黑体" w:hAnsi="黑体" w:eastAsia="黑体"/>
          <w:b w:val="0"/>
        </w:rPr>
        <w:t>国有资本经营预算支出决算情况说明</w:t>
      </w:r>
      <w:bookmarkEnd w:id="47"/>
      <w:bookmarkEnd w:id="48"/>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7"/>
          <w:rFonts w:ascii="黑体" w:hAnsi="黑体" w:eastAsia="黑体"/>
          <w:b w:val="0"/>
        </w:rPr>
      </w:pPr>
      <w:bookmarkStart w:id="49" w:name="_Toc15396612"/>
      <w:bookmarkStart w:id="50" w:name="_Toc15377221"/>
      <w:r>
        <w:rPr>
          <w:rStyle w:val="27"/>
          <w:rFonts w:hint="eastAsia" w:ascii="黑体" w:hAnsi="黑体" w:eastAsia="黑体"/>
          <w:b w:val="0"/>
        </w:rPr>
        <w:t>其他重要事项的情况说明</w:t>
      </w:r>
      <w:bookmarkEnd w:id="49"/>
      <w:bookmarkEnd w:id="50"/>
    </w:p>
    <w:p>
      <w:pPr>
        <w:spacing w:line="600" w:lineRule="exact"/>
        <w:ind w:firstLine="642" w:firstLineChars="200"/>
        <w:outlineLvl w:val="2"/>
        <w:rPr>
          <w:rFonts w:ascii="仿宋" w:hAnsi="仿宋" w:eastAsia="仿宋"/>
          <w:sz w:val="32"/>
          <w:szCs w:val="32"/>
        </w:rPr>
      </w:pPr>
      <w:bookmarkStart w:id="51" w:name="_Toc15377222"/>
      <w:r>
        <w:rPr>
          <w:rFonts w:hint="eastAsia" w:ascii="仿宋" w:hAnsi="仿宋" w:eastAsia="仿宋"/>
          <w:b/>
          <w:sz w:val="32"/>
          <w:szCs w:val="32"/>
        </w:rPr>
        <w:t>（一）机关运行经费支出情况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21年，西区工商业联合会机关运行经费支出</w:t>
      </w:r>
      <w:r>
        <w:rPr>
          <w:rFonts w:hint="eastAsia" w:ascii="仿宋_GB2312" w:eastAsia="仿宋_GB2312"/>
          <w:sz w:val="32"/>
          <w:szCs w:val="32"/>
          <w:lang w:val="en-US" w:eastAsia="zh-CN"/>
        </w:rPr>
        <w:t>11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2.65</w:t>
      </w:r>
      <w:r>
        <w:rPr>
          <w:rFonts w:hint="eastAsia" w:ascii="仿宋_GB2312" w:eastAsia="仿宋_GB2312"/>
          <w:sz w:val="32"/>
          <w:szCs w:val="32"/>
        </w:rPr>
        <w:t>万元，增长</w:t>
      </w:r>
      <w:r>
        <w:rPr>
          <w:rFonts w:hint="eastAsia" w:ascii="仿宋_GB2312" w:eastAsia="仿宋_GB2312"/>
          <w:sz w:val="32"/>
          <w:szCs w:val="32"/>
          <w:lang w:val="en-US" w:eastAsia="zh-CN"/>
        </w:rPr>
        <w:t>31.73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auto"/>
          <w:sz w:val="32"/>
          <w:szCs w:val="32"/>
          <w:highlight w:val="none"/>
          <w:lang w:eastAsia="zh-CN"/>
        </w:rPr>
        <w:t>疫情缓解差旅费增加。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3"/>
      <w:r>
        <w:rPr>
          <w:rFonts w:hint="eastAsia" w:ascii="仿宋" w:hAnsi="仿宋" w:eastAsia="仿宋"/>
          <w:b/>
          <w:sz w:val="32"/>
          <w:szCs w:val="32"/>
        </w:rPr>
        <w:t>（二）政府采购支出情况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21年，西区工商业联合会政府采购支出总额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4"/>
      <w:r>
        <w:rPr>
          <w:rFonts w:hint="eastAsia" w:ascii="仿宋" w:hAnsi="仿宋" w:eastAsia="仿宋"/>
          <w:b/>
          <w:sz w:val="32"/>
          <w:szCs w:val="32"/>
        </w:rPr>
        <w:t>（三）国有资产占有使用情况</w:t>
      </w:r>
      <w:bookmarkEnd w:id="5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日，西区工商业联合会共有车辆</w:t>
      </w:r>
      <w:r>
        <w:rPr>
          <w:rFonts w:hint="eastAsia" w:ascii="仿宋_GB2312" w:eastAsia="仿宋_GB2312"/>
          <w:sz w:val="32"/>
          <w:szCs w:val="32"/>
          <w:lang w:val="en-US" w:eastAsia="zh-CN"/>
        </w:rPr>
        <w:t>0</w:t>
      </w:r>
      <w:r>
        <w:rPr>
          <w:rFonts w:hint="eastAsia" w:ascii="仿宋_GB2312" w:eastAsia="仿宋_GB2312"/>
          <w:sz w:val="32"/>
          <w:szCs w:val="32"/>
        </w:rPr>
        <w:t>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根据预算绩效管理要求，本部门在2021年度预算编制阶段，组织对换届选举、联系协调非公企业经费项目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eastAsia="仿宋_GB2312"/>
          <w:sz w:val="32"/>
          <w:szCs w:val="32"/>
        </w:rPr>
        <w:t>西区工商业联合会</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54" w:name="_Toc15396613"/>
      <w:bookmarkStart w:id="55" w:name="_Toc15377225"/>
      <w:r>
        <w:rPr>
          <w:rFonts w:hint="eastAsia" w:ascii="黑体" w:hAnsi="黑体" w:eastAsia="黑体"/>
          <w:sz w:val="44"/>
          <w:szCs w:val="44"/>
        </w:rPr>
        <w:t>名</w:t>
      </w:r>
      <w:r>
        <w:rPr>
          <w:rStyle w:val="26"/>
          <w:rFonts w:hint="eastAsia" w:ascii="黑体" w:hAnsi="黑体" w:eastAsia="黑体"/>
          <w:b w:val="0"/>
        </w:rPr>
        <w:t>词解释</w:t>
      </w:r>
      <w:bookmarkEnd w:id="54"/>
      <w:bookmarkEnd w:id="55"/>
    </w:p>
    <w:p>
      <w:pPr>
        <w:spacing w:line="600" w:lineRule="exact"/>
        <w:jc w:val="left"/>
        <w:rPr>
          <w:rFonts w:ascii="宋体"/>
          <w:b/>
          <w:sz w:val="44"/>
          <w:szCs w:val="44"/>
        </w:rPr>
      </w:pP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 xml:space="preserve"> 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 xml:space="preserve"> 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Times New Roman" w:hAnsi="Times New Roman" w:eastAsia="仿宋_GB2312" w:cs="Times New Roman"/>
          <w:sz w:val="32"/>
          <w:szCs w:val="32"/>
          <w:lang w:val="en-US" w:eastAsia="zh-CN"/>
        </w:rPr>
        <w:t>一般公共服务支出（类）民主党派及工商联事务（款）行政运行（项）：反映行政单位（包括实行公务员管理的事业单位）的基本支出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eastAsia="仿宋_GB2312" w:cs="Times New Roman"/>
          <w:sz w:val="32"/>
          <w:szCs w:val="32"/>
          <w:lang w:val="en-US" w:eastAsia="zh-CN"/>
        </w:rPr>
        <w:t>城乡社区支出（类）国有土地使用权出让收入安排的支出（款）土地开发支出（项）：反映新疆生产建设兵团和地方政府用于前期土地开发性支出以及前期土地开发相关的费用支出</w:t>
      </w:r>
      <w:r>
        <w:rPr>
          <w:rFonts w:hint="eastAsia" w:ascii="仿宋_GB2312" w:eastAsia="仿宋_GB2312"/>
          <w:sz w:val="32"/>
          <w:szCs w:val="32"/>
        </w:rPr>
        <w:t>。</w:t>
      </w:r>
    </w:p>
    <w:p>
      <w:pPr>
        <w:autoSpaceDE w:val="0"/>
        <w:autoSpaceDN w:val="0"/>
        <w:adjustRightInd w:val="0"/>
        <w:spacing w:line="353" w:lineRule="auto"/>
        <w:jc w:val="left"/>
        <w:rPr>
          <w:rFonts w:ascii="仿宋_GB2312" w:eastAsia="仿宋_GB2312"/>
          <w:sz w:val="32"/>
          <w:szCs w:val="32"/>
        </w:rPr>
      </w:pPr>
      <w:r>
        <w:rPr>
          <w:rFonts w:hint="eastAsia" w:ascii="仿宋_GB2312" w:eastAsia="仿宋_GB2312"/>
          <w:sz w:val="32"/>
          <w:szCs w:val="32"/>
          <w:lang w:val="en-US" w:eastAsia="zh-CN"/>
        </w:rPr>
        <w:t xml:space="preserve">    8</w:t>
      </w:r>
      <w:r>
        <w:rPr>
          <w:rFonts w:ascii="仿宋_GB2312" w:eastAsia="仿宋_GB2312"/>
          <w:sz w:val="32"/>
          <w:szCs w:val="32"/>
        </w:rPr>
        <w:t>.</w:t>
      </w:r>
      <w:r>
        <w:rPr>
          <w:rFonts w:hint="eastAsia" w:ascii="Times New Roman" w:hAnsi="Times New Roman" w:eastAsia="仿宋_GB2312" w:cs="Times New Roman"/>
          <w:sz w:val="32"/>
          <w:szCs w:val="32"/>
        </w:rPr>
        <w:t>卫生健康支出支出（类） 行政事业单位医疗支出（款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行政单位医疗</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项）</w:t>
      </w:r>
      <w:r>
        <w:rPr>
          <w:rFonts w:hint="eastAsia" w:ascii="Times New Roman" w:hAnsi="Times New Roman" w:eastAsia="仿宋_GB2312" w:cs="Times New Roman"/>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Times New Roman" w:hAnsi="Times New Roman" w:eastAsia="仿宋_GB2312" w:cs="Times New Roman"/>
          <w:sz w:val="32"/>
          <w:szCs w:val="32"/>
        </w:rPr>
        <w:t>卫生健康支出支出（类） 行政事业单位医疗支出（款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公务员医疗补助</w:t>
      </w:r>
      <w:r>
        <w:rPr>
          <w:rFonts w:hint="eastAsia" w:ascii="仿宋_GB2312" w:eastAsia="仿宋_GB2312"/>
          <w:sz w:val="32"/>
          <w:szCs w:val="32"/>
        </w:rPr>
        <w:t>（项）：指</w:t>
      </w:r>
      <w:r>
        <w:rPr>
          <w:rFonts w:hint="eastAsia" w:ascii="Times New Roman" w:hAnsi="Times New Roman" w:eastAsia="仿宋_GB2312" w:cs="Times New Roman"/>
          <w:sz w:val="32"/>
          <w:szCs w:val="32"/>
        </w:rPr>
        <w:t>反映财政部门安排的公务员医疗补助经费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（类）行政事业单位养老支出（款）行政单位离退休</w:t>
      </w:r>
      <w:r>
        <w:rPr>
          <w:rFonts w:hint="eastAsia" w:ascii="仿宋_GB2312" w:eastAsia="仿宋_GB2312"/>
          <w:sz w:val="32"/>
          <w:szCs w:val="32"/>
        </w:rPr>
        <w:t>（项）：</w:t>
      </w:r>
      <w:r>
        <w:rPr>
          <w:rFonts w:hint="eastAsia" w:ascii="Times New Roman" w:hAnsi="Times New Roman" w:eastAsia="仿宋_GB2312" w:cs="Times New Roman"/>
          <w:sz w:val="32"/>
          <w:szCs w:val="32"/>
        </w:rPr>
        <w:t>指行政单位（包括实行公务员管理的事业单位）开支的离退休支出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（类）行政事业单位养老支出</w:t>
      </w:r>
      <w:r>
        <w:rPr>
          <w:rFonts w:hint="eastAsia" w:ascii="仿宋_GB2312" w:eastAsia="仿宋_GB2312"/>
          <w:sz w:val="32"/>
          <w:szCs w:val="32"/>
        </w:rPr>
        <w:t>（款）</w:t>
      </w:r>
      <w:r>
        <w:rPr>
          <w:rFonts w:hint="eastAsia" w:ascii="Times New Roman" w:hAnsi="Times New Roman" w:eastAsia="仿宋_GB2312" w:cs="Times New Roman"/>
          <w:sz w:val="32"/>
          <w:szCs w:val="32"/>
        </w:rPr>
        <w:t>机关事业单位基本养老保险缴费支出</w:t>
      </w:r>
      <w:r>
        <w:rPr>
          <w:rFonts w:hint="eastAsia" w:ascii="仿宋_GB2312" w:eastAsia="仿宋_GB2312"/>
          <w:sz w:val="32"/>
          <w:szCs w:val="32"/>
        </w:rPr>
        <w:t>（项）：指</w:t>
      </w:r>
      <w:r>
        <w:rPr>
          <w:rFonts w:hint="eastAsia" w:ascii="Times New Roman" w:hAnsi="Times New Roman" w:eastAsia="仿宋_GB2312" w:cs="Times New Roman"/>
          <w:sz w:val="32"/>
          <w:szCs w:val="32"/>
        </w:rPr>
        <w:t>机关事业单位实施养老保险制度有单位缴纳的基本养老保险费支出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 xml:space="preserve"> </w:t>
      </w: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auto"/>
          <w:sz w:val="32"/>
          <w:szCs w:val="32"/>
        </w:rPr>
      </w:pPr>
    </w:p>
    <w:p>
      <w:pPr>
        <w:spacing w:line="600" w:lineRule="exact"/>
        <w:jc w:val="center"/>
        <w:outlineLvl w:val="0"/>
        <w:rPr>
          <w:rFonts w:hint="eastAsia" w:ascii="黑体" w:hAnsi="黑体" w:eastAsia="黑体"/>
          <w:sz w:val="44"/>
          <w:szCs w:val="44"/>
        </w:rPr>
      </w:pPr>
      <w:bookmarkStart w:id="56" w:name="_Toc15396618"/>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p>
    <w:p>
      <w:pPr>
        <w:spacing w:line="572" w:lineRule="exact"/>
        <w:jc w:val="center"/>
        <w:rPr>
          <w:rFonts w:hint="eastAsia"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2021年攀枝花市西区工商业联合会部门</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6"/>
        <w:rPr>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 w:hAnsi="仿宋" w:eastAsia="仿宋"/>
          <w:sz w:val="32"/>
          <w:szCs w:val="32"/>
          <w:lang w:eastAsia="zh-CN"/>
        </w:rPr>
        <w:t>西区工商联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_GB2312" w:hAnsi="宋体" w:eastAsia="仿宋_GB2312" w:cs="宋体"/>
          <w:color w:val="auto"/>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参与区委、区政府大政方针及政治、经济、社会生活中的重要问题的政治协商，发挥民主监督作用，参政议政</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引导会员积极参加国家经济建设，推动社会主义市场经济体制逐步完善，促进社会全面发展</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做好工商界代表人士政治安排的推荐工作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指导同业公会和行业商会等专业组织的工作</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发扬自我教育的优良传统，宣传、贯彻党和国家的方针政策，加强和改进思想政治工作，坚持对广大会员进行团结、帮助、引导、教育，促进非公有制经济健康发展，提倡爱国、敬业、守法，提高会员素质</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代表并维护会员的合法权益，反映会员的意见、要求和建议为会员提供有关证明，协调关系，参与调解经济纠纷</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引导会员把自身企业的发展与国家发展结合起来，把个人富裕与全体人民的共同富裕结合起来，把遵守市场规则与发扬社会主义道德结合起来，弘扬中华民族传统，先富帮后富，走共同富裕的道路，热心社会公益事业，积极参加扶贫光彩事业</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为会员提供信息、培训、科技、管理、法律、会计、审计、融资、咨询等服务，帮助会员改进经营管理、完善财务制度，照章纳税，提高自身素质和生产技术、产品质量等</w:t>
      </w:r>
      <w:r>
        <w:rPr>
          <w:rFonts w:hint="eastAsia" w:ascii="Times New Roman" w:hAnsi="Times New Roman" w:eastAsia="仿宋_GB2312" w:cs="Times New Roman"/>
          <w:color w:val="000000"/>
          <w:sz w:val="32"/>
          <w:szCs w:val="32"/>
        </w:rPr>
        <w:t>。</w:t>
      </w:r>
    </w:p>
    <w:p>
      <w:pPr>
        <w:spacing w:line="353"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w:t>
      </w:r>
      <w:r>
        <w:rPr>
          <w:rFonts w:hint="eastAsia" w:ascii="Times New Roman" w:hAnsi="Times New Roman" w:eastAsia="仿宋_GB2312" w:cs="Times New Roman"/>
          <w:color w:val="000000"/>
          <w:sz w:val="32"/>
          <w:szCs w:val="32"/>
        </w:rPr>
        <w:t>。</w:t>
      </w:r>
    </w:p>
    <w:p>
      <w:pPr>
        <w:pStyle w:val="2"/>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承办政府交办和有关部门委托事。</w:t>
      </w:r>
    </w:p>
    <w:p>
      <w:pPr>
        <w:pStyle w:val="2"/>
        <w:rPr>
          <w:rFonts w:hint="eastAsia" w:ascii="仿宋_GB2312" w:hAnsi="宋体" w:eastAsia="仿宋_GB2312" w:cs="宋体"/>
          <w:kern w:val="0"/>
          <w:sz w:val="32"/>
          <w:szCs w:val="32"/>
          <w:shd w:val="clear" w:color="auto" w:fill="FFFFFF"/>
          <w:lang w:val="zh-CN"/>
        </w:rPr>
      </w:pPr>
      <w:r>
        <w:rPr>
          <w:rFonts w:hint="eastAsia" w:ascii="Times New Roman" w:hAnsi="Times New Roman" w:eastAsia="仿宋_GB2312" w:cs="Times New Roman"/>
          <w:color w:val="000000"/>
          <w:sz w:val="32"/>
          <w:szCs w:val="32"/>
          <w:lang w:val="en-US" w:eastAsia="zh-CN"/>
        </w:rPr>
        <w:t xml:space="preserve">   </w:t>
      </w:r>
      <w:r>
        <w:rPr>
          <w:rFonts w:hint="eastAsia" w:ascii="仿宋_GB2312" w:hAnsi="宋体" w:eastAsia="仿宋_GB2312" w:cs="宋体"/>
          <w:kern w:val="0"/>
          <w:sz w:val="32"/>
          <w:szCs w:val="32"/>
          <w:shd w:val="clear" w:color="auto" w:fill="FFFFFF"/>
          <w:lang w:val="zh-CN"/>
        </w:rPr>
        <w:t>（三）人员概况。</w:t>
      </w:r>
    </w:p>
    <w:p>
      <w:pPr>
        <w:pStyle w:val="6"/>
        <w:rPr>
          <w:lang w:val="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区工商联核定行政编制</w:t>
      </w:r>
      <w:r>
        <w:rPr>
          <w:rFonts w:ascii="仿宋_GB2312" w:hAnsi="仿宋" w:eastAsia="仿宋_GB2312"/>
          <w:sz w:val="32"/>
          <w:szCs w:val="32"/>
        </w:rPr>
        <w:t>2</w:t>
      </w:r>
      <w:r>
        <w:rPr>
          <w:rFonts w:hint="eastAsia" w:ascii="仿宋_GB2312" w:hAnsi="仿宋" w:eastAsia="仿宋_GB2312"/>
          <w:sz w:val="32"/>
          <w:szCs w:val="32"/>
        </w:rPr>
        <w:t>名，临聘人员编制</w:t>
      </w:r>
      <w:r>
        <w:rPr>
          <w:rFonts w:ascii="仿宋_GB2312" w:hAnsi="仿宋" w:eastAsia="仿宋_GB2312"/>
          <w:sz w:val="32"/>
          <w:szCs w:val="32"/>
        </w:rPr>
        <w:t>1</w:t>
      </w:r>
      <w:r>
        <w:rPr>
          <w:rFonts w:hint="eastAsia" w:ascii="仿宋_GB2312" w:hAnsi="仿宋" w:eastAsia="仿宋_GB2312"/>
          <w:sz w:val="32"/>
          <w:szCs w:val="32"/>
        </w:rPr>
        <w:t>名。区工商联实有行政人员4名，临聘人员</w:t>
      </w:r>
      <w:r>
        <w:rPr>
          <w:rFonts w:ascii="仿宋_GB2312" w:hAnsi="仿宋" w:eastAsia="仿宋_GB2312"/>
          <w:sz w:val="32"/>
          <w:szCs w:val="32"/>
        </w:rPr>
        <w:t>1</w:t>
      </w:r>
      <w:r>
        <w:rPr>
          <w:rFonts w:hint="eastAsia" w:ascii="仿宋_GB2312" w:hAnsi="仿宋" w:eastAsia="仿宋_GB2312"/>
          <w:sz w:val="32"/>
          <w:szCs w:val="32"/>
        </w:rPr>
        <w:t>名。核定常务主席一名，副主席兼秘书长一名。区工商联现有主席</w:t>
      </w:r>
      <w:r>
        <w:rPr>
          <w:rFonts w:ascii="仿宋_GB2312" w:hAnsi="仿宋" w:eastAsia="仿宋_GB2312"/>
          <w:sz w:val="32"/>
          <w:szCs w:val="32"/>
        </w:rPr>
        <w:t>1</w:t>
      </w:r>
      <w:r>
        <w:rPr>
          <w:rFonts w:hint="eastAsia" w:ascii="仿宋_GB2312" w:hAnsi="仿宋" w:eastAsia="仿宋_GB2312"/>
          <w:sz w:val="32"/>
          <w:szCs w:val="32"/>
        </w:rPr>
        <w:t>名、常务副主席</w:t>
      </w:r>
      <w:r>
        <w:rPr>
          <w:rFonts w:ascii="仿宋_GB2312" w:hAnsi="仿宋" w:eastAsia="仿宋_GB2312"/>
          <w:sz w:val="32"/>
          <w:szCs w:val="32"/>
        </w:rPr>
        <w:t>1</w:t>
      </w:r>
      <w:r>
        <w:rPr>
          <w:rFonts w:hint="eastAsia" w:ascii="仿宋_GB2312" w:hAnsi="仿宋" w:eastAsia="仿宋_GB2312"/>
          <w:sz w:val="32"/>
          <w:szCs w:val="32"/>
        </w:rPr>
        <w:t>名，副主席兼秘书长</w:t>
      </w:r>
      <w:r>
        <w:rPr>
          <w:rFonts w:ascii="仿宋_GB2312" w:hAnsi="仿宋" w:eastAsia="仿宋_GB2312"/>
          <w:sz w:val="32"/>
          <w:szCs w:val="32"/>
        </w:rPr>
        <w:t>1</w:t>
      </w:r>
      <w:r>
        <w:rPr>
          <w:rFonts w:hint="eastAsia" w:ascii="仿宋_GB2312" w:hAnsi="仿宋" w:eastAsia="仿宋_GB2312"/>
          <w:sz w:val="32"/>
          <w:szCs w:val="32"/>
        </w:rPr>
        <w:t>名，无超职数配备领导干部和高配领导干部情况。均严格按照编制执行</w:t>
      </w:r>
      <w:r>
        <w:rPr>
          <w:rFonts w:hint="eastAsia" w:ascii="仿宋_GB2312" w:hAnsi="仿宋" w:eastAsia="仿宋_GB2312"/>
          <w:sz w:val="32"/>
          <w:szCs w:val="32"/>
          <w:lang w:eastAsia="zh-CN"/>
        </w:rPr>
        <w:t>。</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6"/>
        <w:rPr>
          <w:lang w:val="zh-CN"/>
        </w:rPr>
      </w:pPr>
      <w:r>
        <w:rPr>
          <w:rFonts w:hint="eastAsia" w:ascii="Times New Roman" w:hAnsi="Times New Roman" w:cs="Times New Roman"/>
          <w:i w:val="0"/>
          <w:caps w:val="0"/>
          <w:color w:val="333333"/>
          <w:spacing w:val="0"/>
          <w:sz w:val="32"/>
          <w:szCs w:val="32"/>
          <w:shd w:val="clear" w:fill="FFFFFF"/>
          <w:lang w:val="en-US" w:eastAsia="zh-CN"/>
        </w:rPr>
        <w:t xml:space="preserve">  </w:t>
      </w:r>
      <w:r>
        <w:rPr>
          <w:rFonts w:hint="eastAsia" w:ascii="仿宋_GB2312" w:hAnsi="宋体" w:eastAsia="仿宋_GB2312" w:cs="宋体"/>
          <w:kern w:val="0"/>
          <w:sz w:val="32"/>
          <w:szCs w:val="32"/>
          <w:shd w:val="clear" w:color="auto" w:fill="FFFFFF"/>
          <w:lang w:val="en-US" w:eastAsia="zh-CN" w:bidi="ar-SA"/>
        </w:rPr>
        <w:t xml:space="preserve">  </w:t>
      </w:r>
      <w:r>
        <w:rPr>
          <w:rFonts w:hint="default" w:ascii="仿宋_GB2312" w:hAnsi="宋体" w:eastAsia="仿宋_GB2312" w:cs="宋体"/>
          <w:kern w:val="0"/>
          <w:sz w:val="32"/>
          <w:szCs w:val="32"/>
          <w:shd w:val="clear" w:color="auto" w:fill="FFFFFF"/>
          <w:lang w:val="zh-CN" w:eastAsia="zh-CN" w:bidi="ar-SA"/>
        </w:rPr>
        <w:t>按照预算管理有关规定，目前部门预算的编制实行综合预算制度，即全部收入和支出都反映在预算中</w:t>
      </w:r>
      <w:r>
        <w:rPr>
          <w:rFonts w:hint="eastAsia" w:ascii="仿宋_GB2312" w:hAnsi="宋体" w:eastAsia="仿宋_GB2312" w:cs="宋体"/>
          <w:kern w:val="0"/>
          <w:sz w:val="32"/>
          <w:szCs w:val="32"/>
          <w:shd w:val="clear" w:color="auto" w:fill="FFFFFF"/>
          <w:lang w:val="zh-CN" w:eastAsia="zh-CN" w:bidi="ar-SA"/>
        </w:rPr>
        <w:t>。</w:t>
      </w:r>
      <w:r>
        <w:rPr>
          <w:rFonts w:hint="default" w:ascii="仿宋_GB2312" w:hAnsi="宋体" w:eastAsia="仿宋_GB2312" w:cs="宋体"/>
          <w:kern w:val="0"/>
          <w:sz w:val="32"/>
          <w:szCs w:val="32"/>
          <w:shd w:val="clear" w:color="auto" w:fill="FFFFFF"/>
          <w:lang w:val="zh-CN"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zh-CN" w:eastAsia="zh-CN" w:bidi="ar-SA"/>
        </w:rPr>
        <w:t>年</w:t>
      </w:r>
      <w:r>
        <w:rPr>
          <w:rFonts w:hint="eastAsia" w:ascii="仿宋_GB2312" w:hAnsi="宋体" w:eastAsia="仿宋_GB2312" w:cs="宋体"/>
          <w:kern w:val="0"/>
          <w:sz w:val="32"/>
          <w:szCs w:val="32"/>
          <w:shd w:val="clear" w:color="auto" w:fill="FFFFFF"/>
          <w:lang w:val="zh-CN" w:eastAsia="zh-CN" w:bidi="ar-SA"/>
        </w:rPr>
        <w:t>西</w:t>
      </w:r>
      <w:r>
        <w:rPr>
          <w:rFonts w:hint="default" w:ascii="仿宋_GB2312" w:hAnsi="宋体" w:eastAsia="仿宋_GB2312" w:cs="宋体"/>
          <w:kern w:val="0"/>
          <w:sz w:val="32"/>
          <w:szCs w:val="32"/>
          <w:shd w:val="clear" w:color="auto" w:fill="FFFFFF"/>
          <w:lang w:val="zh-CN" w:eastAsia="zh-CN" w:bidi="ar-SA"/>
        </w:rPr>
        <w:t>区工商联收入预算总额为</w:t>
      </w:r>
      <w:r>
        <w:rPr>
          <w:rFonts w:hint="eastAsia" w:ascii="仿宋_GB2312" w:hAnsi="宋体" w:eastAsia="仿宋_GB2312" w:cs="宋体"/>
          <w:kern w:val="0"/>
          <w:sz w:val="32"/>
          <w:szCs w:val="32"/>
          <w:shd w:val="clear" w:color="auto" w:fill="FFFFFF"/>
          <w:lang w:val="en-US" w:eastAsia="zh-CN" w:bidi="ar-SA"/>
        </w:rPr>
        <w:t>97.75</w:t>
      </w:r>
      <w:r>
        <w:rPr>
          <w:rFonts w:hint="default" w:ascii="仿宋_GB2312" w:hAnsi="宋体" w:eastAsia="仿宋_GB2312" w:cs="宋体"/>
          <w:kern w:val="0"/>
          <w:sz w:val="32"/>
          <w:szCs w:val="32"/>
          <w:shd w:val="clear" w:color="auto" w:fill="FFFFFF"/>
          <w:lang w:val="zh-CN" w:eastAsia="zh-CN" w:bidi="ar-SA"/>
        </w:rPr>
        <w:t>万元，其中：财政拨款预算收入</w:t>
      </w:r>
      <w:r>
        <w:rPr>
          <w:rFonts w:hint="eastAsia" w:ascii="仿宋_GB2312" w:hAnsi="宋体" w:eastAsia="仿宋_GB2312" w:cs="宋体"/>
          <w:kern w:val="0"/>
          <w:sz w:val="32"/>
          <w:szCs w:val="32"/>
          <w:shd w:val="clear" w:color="auto" w:fill="FFFFFF"/>
          <w:lang w:val="en-US" w:eastAsia="zh-CN" w:bidi="ar-SA"/>
        </w:rPr>
        <w:t>97.75万元，</w:t>
      </w:r>
      <w:r>
        <w:rPr>
          <w:rFonts w:hint="default" w:ascii="仿宋_GB2312" w:hAnsi="宋体" w:eastAsia="仿宋_GB2312" w:cs="宋体"/>
          <w:kern w:val="0"/>
          <w:sz w:val="32"/>
          <w:szCs w:val="32"/>
          <w:shd w:val="clear" w:color="auto" w:fill="FFFFFF"/>
          <w:lang w:val="zh-CN" w:eastAsia="zh-CN" w:bidi="ar-SA"/>
        </w:rPr>
        <w:t>其中</w:t>
      </w:r>
      <w:r>
        <w:rPr>
          <w:rFonts w:hint="eastAsia" w:ascii="仿宋_GB2312" w:hAnsi="宋体" w:eastAsia="仿宋_GB2312" w:cs="宋体"/>
          <w:kern w:val="0"/>
          <w:sz w:val="32"/>
          <w:szCs w:val="32"/>
          <w:shd w:val="clear" w:color="auto" w:fill="FFFFFF"/>
          <w:lang w:val="zh-CN" w:eastAsia="zh-CN" w:bidi="ar-SA"/>
        </w:rPr>
        <w:t>：</w:t>
      </w:r>
      <w:r>
        <w:rPr>
          <w:rFonts w:hint="default" w:ascii="仿宋_GB2312" w:hAnsi="宋体" w:eastAsia="仿宋_GB2312" w:cs="宋体"/>
          <w:kern w:val="0"/>
          <w:sz w:val="32"/>
          <w:szCs w:val="32"/>
          <w:shd w:val="clear" w:color="auto" w:fill="FFFFFF"/>
          <w:lang w:val="zh-CN" w:eastAsia="zh-CN" w:bidi="ar-SA"/>
        </w:rPr>
        <w:t>工资福利支出</w:t>
      </w:r>
      <w:r>
        <w:rPr>
          <w:rFonts w:hint="eastAsia" w:ascii="仿宋_GB2312" w:hAnsi="宋体" w:eastAsia="仿宋_GB2312" w:cs="宋体"/>
          <w:kern w:val="0"/>
          <w:sz w:val="32"/>
          <w:szCs w:val="32"/>
          <w:shd w:val="clear" w:color="auto" w:fill="FFFFFF"/>
          <w:lang w:val="en-US" w:eastAsia="zh-CN" w:bidi="ar-SA"/>
        </w:rPr>
        <w:t>80.75</w:t>
      </w:r>
      <w:r>
        <w:rPr>
          <w:rFonts w:hint="default" w:ascii="仿宋_GB2312" w:hAnsi="宋体" w:eastAsia="仿宋_GB2312" w:cs="宋体"/>
          <w:kern w:val="0"/>
          <w:sz w:val="32"/>
          <w:szCs w:val="32"/>
          <w:shd w:val="clear" w:color="auto" w:fill="FFFFFF"/>
          <w:lang w:val="zh-CN" w:eastAsia="zh-CN" w:bidi="ar-SA"/>
        </w:rPr>
        <w:t>万元，日常公用支出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zh-CN" w:eastAsia="zh-CN" w:bidi="ar-SA"/>
        </w:rPr>
        <w:t>万元，对个人和家庭的补助支出</w:t>
      </w:r>
      <w:r>
        <w:rPr>
          <w:rFonts w:hint="eastAsia" w:ascii="仿宋_GB2312" w:hAnsi="宋体" w:eastAsia="仿宋_GB2312" w:cs="宋体"/>
          <w:kern w:val="0"/>
          <w:sz w:val="32"/>
          <w:szCs w:val="32"/>
          <w:shd w:val="clear" w:color="auto" w:fill="FFFFFF"/>
          <w:lang w:val="en-US" w:eastAsia="zh-CN" w:bidi="ar-SA"/>
        </w:rPr>
        <w:t>1.63</w:t>
      </w:r>
      <w:r>
        <w:rPr>
          <w:rFonts w:hint="default" w:ascii="仿宋_GB2312" w:hAnsi="宋体" w:eastAsia="仿宋_GB2312" w:cs="宋体"/>
          <w:kern w:val="0"/>
          <w:sz w:val="32"/>
          <w:szCs w:val="32"/>
          <w:shd w:val="clear" w:color="auto" w:fill="FFFFFF"/>
          <w:lang w:val="zh-CN" w:eastAsia="zh-CN" w:bidi="ar-SA"/>
        </w:rPr>
        <w:t>万元，项目支出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zh-CN" w:eastAsia="zh-CN" w:bidi="ar-SA"/>
        </w:rPr>
        <w:t>万元</w:t>
      </w:r>
      <w:r>
        <w:rPr>
          <w:rFonts w:hint="eastAsia" w:ascii="仿宋_GB2312" w:hAnsi="宋体" w:eastAsia="仿宋_GB2312" w:cs="宋体"/>
          <w:kern w:val="0"/>
          <w:sz w:val="32"/>
          <w:szCs w:val="32"/>
          <w:shd w:val="clear" w:color="auto" w:fill="FFFFFF"/>
          <w:lang w:val="zh-CN"/>
        </w:rPr>
        <w:t>。</w:t>
      </w:r>
    </w:p>
    <w:p>
      <w:pPr>
        <w:widowControl/>
        <w:numPr>
          <w:ilvl w:val="0"/>
          <w:numId w:val="0"/>
        </w:numPr>
        <w:adjustRightInd w:val="0"/>
        <w:snapToGrid w:val="0"/>
        <w:spacing w:line="572" w:lineRule="exact"/>
        <w:contextualSpacing/>
        <w:jc w:val="left"/>
        <w:rPr>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（二）部门财政资金支出情况。</w:t>
      </w:r>
    </w:p>
    <w:p>
      <w:pPr>
        <w:pStyle w:val="6"/>
        <w:ind w:firstLine="640"/>
        <w:rPr>
          <w:rFonts w:hint="eastAsia" w:ascii="仿宋_GB2312" w:hAnsi="宋体" w:eastAsia="仿宋_GB2312" w:cs="宋体"/>
          <w:kern w:val="0"/>
          <w:sz w:val="32"/>
          <w:szCs w:val="32"/>
          <w:shd w:val="clear" w:color="auto" w:fill="FFFFFF"/>
          <w:lang w:val="en-US" w:eastAsia="zh-CN" w:bidi="ar-SA"/>
        </w:rPr>
      </w:pPr>
      <w:r>
        <w:rPr>
          <w:rFonts w:hint="default" w:ascii="仿宋_GB2312" w:hAnsi="宋体" w:eastAsia="仿宋_GB2312" w:cs="宋体"/>
          <w:kern w:val="0"/>
          <w:sz w:val="32"/>
          <w:szCs w:val="32"/>
          <w:shd w:val="clear" w:color="auto" w:fill="FFFFFF"/>
          <w:lang w:val="en-US" w:eastAsia="zh-CN" w:bidi="ar-SA"/>
        </w:rPr>
        <w:t>严格按照财政相关规定，对财政各项资金加强监督管理，确保资金及时、足额到位，专款专用；定期按规定对财政拨付的专项资金进行自检自查，做好资金使用效益管理工作，充分发挥各项资金的使用效益；在项目实施过程中，严格按照专项资金管理办法和各项财务管理制度执行，项目审批流程齐全、附件资料完整，资金拨付合法合规，会计核算及时，资金使用无截留、挤占、挪用、虚列支出等情况</w:t>
      </w:r>
      <w:r>
        <w:rPr>
          <w:rFonts w:hint="eastAsia" w:ascii="仿宋_GB2312" w:hAnsi="宋体" w:eastAsia="仿宋_GB2312" w:cs="宋体"/>
          <w:kern w:val="0"/>
          <w:sz w:val="32"/>
          <w:szCs w:val="32"/>
          <w:shd w:val="clear" w:color="auto" w:fill="FFFFFF"/>
          <w:lang w:val="en-US" w:eastAsia="zh-CN" w:bidi="ar-SA"/>
        </w:rPr>
        <w:t>。</w:t>
      </w:r>
    </w:p>
    <w:p>
      <w:pPr>
        <w:ind w:firstLine="640"/>
        <w:rPr>
          <w:rFonts w:hint="eastAsia" w:ascii="仿宋_GB2312" w:hAnsi="宋体" w:eastAsia="仿宋_GB2312" w:cs="宋体"/>
          <w:kern w:val="0"/>
          <w:sz w:val="32"/>
          <w:szCs w:val="32"/>
          <w:shd w:val="clear" w:color="auto" w:fill="FFFFFF"/>
          <w:lang w:val="en-US" w:eastAsia="zh-CN" w:bidi="ar-SA"/>
        </w:rPr>
      </w:pPr>
      <w:r>
        <w:rPr>
          <w:rFonts w:hint="default" w:ascii="仿宋_GB2312" w:hAnsi="宋体" w:eastAsia="仿宋_GB2312" w:cs="宋体"/>
          <w:kern w:val="0"/>
          <w:sz w:val="32"/>
          <w:szCs w:val="32"/>
          <w:shd w:val="clear" w:color="auto" w:fill="FFFFFF"/>
          <w:lang w:val="en-US"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en-US" w:eastAsia="zh-CN" w:bidi="ar-SA"/>
        </w:rPr>
        <w:t>年度财政实际拨款</w:t>
      </w:r>
      <w:r>
        <w:rPr>
          <w:rFonts w:hint="eastAsia" w:ascii="仿宋_GB2312" w:hAnsi="宋体" w:eastAsia="仿宋_GB2312" w:cs="宋体"/>
          <w:kern w:val="0"/>
          <w:sz w:val="32"/>
          <w:szCs w:val="32"/>
          <w:shd w:val="clear" w:color="auto" w:fill="FFFFFF"/>
          <w:lang w:val="en-US" w:eastAsia="zh-CN" w:bidi="ar-SA"/>
        </w:rPr>
        <w:t>97.75</w:t>
      </w:r>
      <w:r>
        <w:rPr>
          <w:rFonts w:hint="default" w:ascii="仿宋_GB2312" w:hAnsi="宋体" w:eastAsia="仿宋_GB2312" w:cs="宋体"/>
          <w:kern w:val="0"/>
          <w:sz w:val="32"/>
          <w:szCs w:val="32"/>
          <w:shd w:val="clear" w:color="auto" w:fill="FFFFFF"/>
          <w:lang w:val="en-US" w:eastAsia="zh-CN" w:bidi="ar-SA"/>
        </w:rPr>
        <w:t>万元，基本支出</w:t>
      </w:r>
      <w:r>
        <w:rPr>
          <w:rFonts w:hint="eastAsia" w:ascii="仿宋_GB2312" w:hAnsi="宋体" w:eastAsia="仿宋_GB2312" w:cs="宋体"/>
          <w:kern w:val="0"/>
          <w:sz w:val="32"/>
          <w:szCs w:val="32"/>
          <w:shd w:val="clear" w:color="auto" w:fill="FFFFFF"/>
          <w:lang w:val="en-US" w:eastAsia="zh-CN" w:bidi="ar-SA"/>
        </w:rPr>
        <w:t>93.37</w:t>
      </w:r>
      <w:r>
        <w:rPr>
          <w:rFonts w:hint="default" w:ascii="仿宋_GB2312" w:hAnsi="宋体" w:eastAsia="仿宋_GB2312" w:cs="宋体"/>
          <w:kern w:val="0"/>
          <w:sz w:val="32"/>
          <w:szCs w:val="32"/>
          <w:shd w:val="clear" w:color="auto" w:fill="FFFFFF"/>
          <w:lang w:val="en-US" w:eastAsia="zh-CN" w:bidi="ar-SA"/>
        </w:rPr>
        <w:t>万元，其中工资福利支出</w:t>
      </w:r>
      <w:r>
        <w:rPr>
          <w:rFonts w:hint="eastAsia" w:ascii="仿宋_GB2312" w:hAnsi="宋体" w:eastAsia="仿宋_GB2312" w:cs="宋体"/>
          <w:kern w:val="0"/>
          <w:sz w:val="32"/>
          <w:szCs w:val="32"/>
          <w:shd w:val="clear" w:color="auto" w:fill="FFFFFF"/>
          <w:lang w:val="en-US" w:eastAsia="zh-CN" w:bidi="ar-SA"/>
        </w:rPr>
        <w:t>80.75</w:t>
      </w:r>
      <w:r>
        <w:rPr>
          <w:rFonts w:hint="default" w:ascii="仿宋_GB2312" w:hAnsi="宋体" w:eastAsia="仿宋_GB2312" w:cs="宋体"/>
          <w:kern w:val="0"/>
          <w:sz w:val="32"/>
          <w:szCs w:val="32"/>
          <w:shd w:val="clear" w:color="auto" w:fill="FFFFFF"/>
          <w:lang w:val="en-US" w:eastAsia="zh-CN" w:bidi="ar-SA"/>
        </w:rPr>
        <w:t>万元，商品和服务支出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en-US" w:eastAsia="zh-CN" w:bidi="ar-SA"/>
        </w:rPr>
        <w:t>万元，对个人和家庭的补助支出</w:t>
      </w:r>
      <w:r>
        <w:rPr>
          <w:rFonts w:hint="eastAsia" w:ascii="仿宋_GB2312" w:hAnsi="宋体" w:eastAsia="仿宋_GB2312" w:cs="宋体"/>
          <w:kern w:val="0"/>
          <w:sz w:val="32"/>
          <w:szCs w:val="32"/>
          <w:shd w:val="clear" w:color="auto" w:fill="FFFFFF"/>
          <w:lang w:val="en-US" w:eastAsia="zh-CN" w:bidi="ar-SA"/>
        </w:rPr>
        <w:t>1.63</w:t>
      </w:r>
      <w:r>
        <w:rPr>
          <w:rFonts w:hint="default" w:ascii="仿宋_GB2312" w:hAnsi="宋体" w:eastAsia="仿宋_GB2312" w:cs="宋体"/>
          <w:kern w:val="0"/>
          <w:sz w:val="32"/>
          <w:szCs w:val="32"/>
          <w:shd w:val="clear" w:color="auto" w:fill="FFFFFF"/>
          <w:lang w:val="en-US" w:eastAsia="zh-CN" w:bidi="ar-SA"/>
        </w:rPr>
        <w:t>万元；项目支出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202</w:t>
      </w:r>
      <w:r>
        <w:rPr>
          <w:rFonts w:hint="eastAsia" w:ascii="仿宋_GB2312" w:hAnsi="宋体" w:eastAsia="仿宋_GB2312" w:cs="宋体"/>
          <w:kern w:val="0"/>
          <w:sz w:val="32"/>
          <w:szCs w:val="32"/>
          <w:shd w:val="clear" w:color="auto" w:fill="FFFFFF"/>
          <w:lang w:val="en-US" w:eastAsia="zh-CN" w:bidi="ar-SA"/>
        </w:rPr>
        <w:t>1</w:t>
      </w:r>
      <w:r>
        <w:rPr>
          <w:rFonts w:hint="default" w:ascii="仿宋_GB2312" w:hAnsi="宋体" w:eastAsia="仿宋_GB2312" w:cs="宋体"/>
          <w:kern w:val="0"/>
          <w:sz w:val="32"/>
          <w:szCs w:val="32"/>
          <w:shd w:val="clear" w:color="auto" w:fill="FFFFFF"/>
          <w:lang w:val="en-US" w:eastAsia="zh-CN" w:bidi="ar-SA"/>
        </w:rPr>
        <w:t>年人员支出</w:t>
      </w:r>
      <w:r>
        <w:rPr>
          <w:rFonts w:hint="eastAsia" w:ascii="仿宋_GB2312" w:hAnsi="宋体" w:eastAsia="仿宋_GB2312" w:cs="宋体"/>
          <w:kern w:val="0"/>
          <w:sz w:val="32"/>
          <w:szCs w:val="32"/>
          <w:shd w:val="clear" w:color="auto" w:fill="FFFFFF"/>
          <w:lang w:val="en-US" w:eastAsia="zh-CN" w:bidi="ar-SA"/>
        </w:rPr>
        <w:t>82.38</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占比</w:t>
      </w:r>
      <w:r>
        <w:rPr>
          <w:rFonts w:hint="eastAsia" w:ascii="仿宋_GB2312" w:hAnsi="宋体" w:eastAsia="仿宋_GB2312" w:cs="宋体"/>
          <w:kern w:val="0"/>
          <w:sz w:val="32"/>
          <w:szCs w:val="32"/>
          <w:shd w:val="clear" w:color="auto" w:fill="FFFFFF"/>
          <w:lang w:val="en-US" w:eastAsia="zh-CN" w:bidi="ar-SA"/>
        </w:rPr>
        <w:t>84.28</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比</w:t>
      </w:r>
      <w:r>
        <w:rPr>
          <w:rFonts w:hint="eastAsia" w:ascii="仿宋_GB2312" w:hAnsi="宋体" w:eastAsia="仿宋_GB2312" w:cs="宋体"/>
          <w:kern w:val="0"/>
          <w:sz w:val="32"/>
          <w:szCs w:val="32"/>
          <w:shd w:val="clear" w:color="auto" w:fill="FFFFFF"/>
          <w:lang w:val="en-US" w:eastAsia="zh-CN" w:bidi="ar-SA"/>
        </w:rPr>
        <w:t>2020</w:t>
      </w:r>
      <w:r>
        <w:rPr>
          <w:rFonts w:hint="default" w:ascii="仿宋_GB2312" w:hAnsi="宋体" w:eastAsia="仿宋_GB2312" w:cs="宋体"/>
          <w:kern w:val="0"/>
          <w:sz w:val="32"/>
          <w:szCs w:val="32"/>
          <w:shd w:val="clear" w:color="auto" w:fill="FFFFFF"/>
          <w:lang w:val="en-US" w:eastAsia="zh-CN" w:bidi="ar-SA"/>
        </w:rPr>
        <w:t>年支出减少</w:t>
      </w:r>
      <w:r>
        <w:rPr>
          <w:rFonts w:hint="eastAsia" w:ascii="仿宋_GB2312" w:hAnsi="宋体" w:eastAsia="仿宋_GB2312" w:cs="宋体"/>
          <w:kern w:val="0"/>
          <w:sz w:val="32"/>
          <w:szCs w:val="32"/>
          <w:shd w:val="clear" w:color="auto" w:fill="FFFFFF"/>
          <w:lang w:val="en-US" w:eastAsia="zh-CN" w:bidi="ar-SA"/>
        </w:rPr>
        <w:t>2.35</w:t>
      </w:r>
      <w:r>
        <w:rPr>
          <w:rFonts w:hint="default" w:ascii="仿宋_GB2312" w:hAnsi="宋体" w:eastAsia="仿宋_GB2312" w:cs="宋体"/>
          <w:kern w:val="0"/>
          <w:sz w:val="32"/>
          <w:szCs w:val="32"/>
          <w:shd w:val="clear" w:color="auto" w:fill="FFFFFF"/>
          <w:lang w:val="en-US" w:eastAsia="zh-CN" w:bidi="ar-SA"/>
        </w:rPr>
        <w:t>万元，同比减少</w:t>
      </w:r>
      <w:r>
        <w:rPr>
          <w:rFonts w:hint="eastAsia" w:ascii="仿宋_GB2312" w:hAnsi="宋体" w:eastAsia="仿宋_GB2312" w:cs="宋体"/>
          <w:kern w:val="0"/>
          <w:sz w:val="32"/>
          <w:szCs w:val="32"/>
          <w:shd w:val="clear" w:color="auto" w:fill="FFFFFF"/>
          <w:lang w:val="en-US" w:eastAsia="zh-CN" w:bidi="ar-SA"/>
        </w:rPr>
        <w:t>2.95</w:t>
      </w:r>
      <w:r>
        <w:rPr>
          <w:rFonts w:hint="default" w:ascii="仿宋_GB2312" w:hAnsi="宋体" w:eastAsia="仿宋_GB2312" w:cs="宋体"/>
          <w:kern w:val="0"/>
          <w:sz w:val="32"/>
          <w:szCs w:val="32"/>
          <w:shd w:val="clear" w:color="auto" w:fill="FFFFFF"/>
          <w:lang w:val="en-US" w:eastAsia="zh-CN" w:bidi="ar-SA"/>
        </w:rPr>
        <w:t>％，日常公用支出</w:t>
      </w:r>
      <w:r>
        <w:rPr>
          <w:rFonts w:hint="eastAsia" w:ascii="仿宋_GB2312" w:hAnsi="宋体" w:eastAsia="仿宋_GB2312" w:cs="宋体"/>
          <w:kern w:val="0"/>
          <w:sz w:val="32"/>
          <w:szCs w:val="32"/>
          <w:shd w:val="clear" w:color="auto" w:fill="FFFFFF"/>
          <w:lang w:val="en-US" w:eastAsia="zh-CN" w:bidi="ar-SA"/>
        </w:rPr>
        <w:t>11</w:t>
      </w:r>
      <w:r>
        <w:rPr>
          <w:rFonts w:hint="default" w:ascii="仿宋_GB2312" w:hAnsi="宋体" w:eastAsia="仿宋_GB2312" w:cs="宋体"/>
          <w:kern w:val="0"/>
          <w:sz w:val="32"/>
          <w:szCs w:val="32"/>
          <w:shd w:val="clear" w:color="auto" w:fill="FFFFFF"/>
          <w:lang w:val="en-US" w:eastAsia="zh-CN" w:bidi="ar-SA"/>
        </w:rPr>
        <w:t>万元</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占比</w:t>
      </w:r>
      <w:r>
        <w:rPr>
          <w:rFonts w:hint="eastAsia" w:ascii="仿宋_GB2312" w:hAnsi="宋体" w:eastAsia="仿宋_GB2312" w:cs="宋体"/>
          <w:kern w:val="0"/>
          <w:sz w:val="32"/>
          <w:szCs w:val="32"/>
          <w:shd w:val="clear" w:color="auto" w:fill="FFFFFF"/>
          <w:lang w:val="en-US" w:eastAsia="zh-CN" w:bidi="ar-SA"/>
        </w:rPr>
        <w:t>11.26</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w:t>
      </w:r>
      <w:r>
        <w:rPr>
          <w:rFonts w:hint="default" w:ascii="仿宋_GB2312" w:hAnsi="宋体" w:eastAsia="仿宋_GB2312" w:cs="宋体"/>
          <w:kern w:val="0"/>
          <w:sz w:val="32"/>
          <w:szCs w:val="32"/>
          <w:shd w:val="clear" w:color="auto" w:fill="FFFFFF"/>
          <w:lang w:val="en-US" w:eastAsia="zh-CN" w:bidi="ar-SA"/>
        </w:rPr>
        <w:t>比</w:t>
      </w:r>
      <w:r>
        <w:rPr>
          <w:rFonts w:hint="eastAsia" w:ascii="仿宋_GB2312" w:hAnsi="宋体" w:eastAsia="仿宋_GB2312" w:cs="宋体"/>
          <w:kern w:val="0"/>
          <w:sz w:val="32"/>
          <w:szCs w:val="32"/>
          <w:shd w:val="clear" w:color="auto" w:fill="FFFFFF"/>
          <w:lang w:val="en-US" w:eastAsia="zh-CN" w:bidi="ar-SA"/>
        </w:rPr>
        <w:t>2020</w:t>
      </w:r>
      <w:r>
        <w:rPr>
          <w:rFonts w:hint="default" w:ascii="仿宋_GB2312" w:hAnsi="宋体" w:eastAsia="仿宋_GB2312" w:cs="宋体"/>
          <w:kern w:val="0"/>
          <w:sz w:val="32"/>
          <w:szCs w:val="32"/>
          <w:shd w:val="clear" w:color="auto" w:fill="FFFFFF"/>
          <w:lang w:val="en-US" w:eastAsia="zh-CN" w:bidi="ar-SA"/>
        </w:rPr>
        <w:t>年支出增加</w:t>
      </w:r>
      <w:r>
        <w:rPr>
          <w:rFonts w:hint="eastAsia" w:ascii="仿宋_GB2312" w:hAnsi="宋体" w:eastAsia="仿宋_GB2312" w:cs="宋体"/>
          <w:kern w:val="0"/>
          <w:sz w:val="32"/>
          <w:szCs w:val="32"/>
          <w:shd w:val="clear" w:color="auto" w:fill="FFFFFF"/>
          <w:lang w:val="en-US" w:eastAsia="zh-CN" w:bidi="ar-SA"/>
        </w:rPr>
        <w:t>2.65</w:t>
      </w:r>
      <w:r>
        <w:rPr>
          <w:rFonts w:hint="default" w:ascii="仿宋_GB2312" w:hAnsi="宋体" w:eastAsia="仿宋_GB2312" w:cs="宋体"/>
          <w:kern w:val="0"/>
          <w:sz w:val="32"/>
          <w:szCs w:val="32"/>
          <w:shd w:val="clear" w:color="auto" w:fill="FFFFFF"/>
          <w:lang w:val="en-US" w:eastAsia="zh-CN" w:bidi="ar-SA"/>
        </w:rPr>
        <w:t>万元，同比增加</w:t>
      </w:r>
      <w:r>
        <w:rPr>
          <w:rFonts w:hint="eastAsia" w:ascii="仿宋_GB2312" w:hAnsi="宋体" w:eastAsia="仿宋_GB2312" w:cs="宋体"/>
          <w:kern w:val="0"/>
          <w:sz w:val="32"/>
          <w:szCs w:val="32"/>
          <w:shd w:val="clear" w:color="auto" w:fill="FFFFFF"/>
          <w:lang w:val="en-US" w:eastAsia="zh-CN" w:bidi="ar-SA"/>
        </w:rPr>
        <w:t>31.73</w:t>
      </w:r>
      <w:r>
        <w:rPr>
          <w:rFonts w:hint="default" w:ascii="仿宋_GB2312" w:hAnsi="宋体" w:eastAsia="仿宋_GB2312" w:cs="宋体"/>
          <w:kern w:val="0"/>
          <w:sz w:val="32"/>
          <w:szCs w:val="32"/>
          <w:shd w:val="clear" w:color="auto" w:fill="FFFFFF"/>
          <w:lang w:val="en-US" w:eastAsia="zh-CN" w:bidi="ar-SA"/>
        </w:rPr>
        <w:t>％。项目支出</w:t>
      </w:r>
      <w:r>
        <w:rPr>
          <w:rFonts w:hint="eastAsia" w:ascii="仿宋_GB2312" w:hAnsi="宋体" w:eastAsia="仿宋_GB2312" w:cs="宋体"/>
          <w:kern w:val="0"/>
          <w:sz w:val="32"/>
          <w:szCs w:val="32"/>
          <w:shd w:val="clear" w:color="auto" w:fill="FFFFFF"/>
          <w:lang w:val="en-US" w:eastAsia="zh-CN" w:bidi="ar-SA"/>
        </w:rPr>
        <w:t>4.38</w:t>
      </w:r>
      <w:r>
        <w:rPr>
          <w:rFonts w:hint="default" w:ascii="仿宋_GB2312" w:hAnsi="宋体" w:eastAsia="仿宋_GB2312" w:cs="宋体"/>
          <w:kern w:val="0"/>
          <w:sz w:val="32"/>
          <w:szCs w:val="32"/>
          <w:shd w:val="clear" w:color="auto" w:fill="FFFFFF"/>
          <w:lang w:val="en-US" w:eastAsia="zh-CN" w:bidi="ar-SA"/>
        </w:rPr>
        <w:t>万元，占比</w:t>
      </w:r>
      <w:r>
        <w:rPr>
          <w:rFonts w:hint="eastAsia" w:ascii="仿宋_GB2312" w:hAnsi="宋体" w:eastAsia="仿宋_GB2312" w:cs="宋体"/>
          <w:kern w:val="0"/>
          <w:sz w:val="32"/>
          <w:szCs w:val="32"/>
          <w:shd w:val="clear" w:color="auto" w:fill="FFFFFF"/>
          <w:lang w:val="en-US" w:eastAsia="zh-CN" w:bidi="ar-SA"/>
        </w:rPr>
        <w:t>4.46</w:t>
      </w:r>
      <w:r>
        <w:rPr>
          <w:rFonts w:hint="default" w:ascii="仿宋_GB2312" w:hAnsi="宋体" w:eastAsia="仿宋_GB2312" w:cs="宋体"/>
          <w:kern w:val="0"/>
          <w:sz w:val="32"/>
          <w:szCs w:val="32"/>
          <w:shd w:val="clear" w:color="auto" w:fill="FFFFFF"/>
          <w:lang w:val="en-US" w:eastAsia="zh-CN" w:bidi="ar-SA"/>
        </w:rPr>
        <w:t>%</w:t>
      </w:r>
      <w:r>
        <w:rPr>
          <w:rFonts w:hint="eastAsia" w:ascii="仿宋_GB2312" w:hAnsi="宋体" w:eastAsia="仿宋_GB2312" w:cs="宋体"/>
          <w:kern w:val="0"/>
          <w:sz w:val="32"/>
          <w:szCs w:val="32"/>
          <w:shd w:val="clear" w:color="auto" w:fill="FFFFFF"/>
          <w:lang w:val="en-US" w:eastAsia="zh-CN" w:bidi="ar-SA"/>
        </w:rPr>
        <w:t>，同比减少40.16%。</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8"/>
        <w:spacing w:line="60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1.年初部门预算绩效目标完成情况</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8"/>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年初部门预算产出指标完成情况：数量指标、成本指标、时效指标和质量指标均按计划完成，保障单位正常开展业务工作，2个项目按年初计划完成任务，完成基本支出93.37万元，项目支出4.38万元，100%完成绩效目标。</w:t>
      </w:r>
    </w:p>
    <w:p>
      <w:pPr>
        <w:pStyle w:val="8"/>
        <w:numPr>
          <w:ilvl w:val="0"/>
          <w:numId w:val="0"/>
        </w:numPr>
        <w:spacing w:line="600" w:lineRule="exact"/>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效益指标完成情况分析。</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楷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2021年全面履行工作职责，加强思想政治引导，促进非公经济人士健康成长，努力构建亲清新型政商关系，积极引导企业致富思源、回报社会，加强非公有制企业党建工作，切实做好综合评价工作，严把选人用人关。充分发挥工商联、商协会民间性的优势，争取省市工商联的帮助，保障机构正常运行。</w:t>
      </w:r>
    </w:p>
    <w:p>
      <w:pPr>
        <w:pStyle w:val="8"/>
        <w:numPr>
          <w:ilvl w:val="0"/>
          <w:numId w:val="0"/>
        </w:numPr>
        <w:spacing w:line="60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w:t>
      </w:r>
    </w:p>
    <w:p>
      <w:pPr>
        <w:pStyle w:val="8"/>
        <w:numPr>
          <w:ilvl w:val="0"/>
          <w:numId w:val="0"/>
        </w:numPr>
        <w:spacing w:line="600" w:lineRule="exact"/>
        <w:ind w:firstLine="64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服务对象及职工抽样满意度达到基本满意以上。</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2.专项（项目）资金绩效目标完成情况</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购买社会服务经费1.4万元，支付1.4万元，执行率为100%。产出指标完成情况：数量指标和成本指标完成财务软件服务年费、聘用会计劳务费1.4万元；时效指标能够按照工作计划于2021年完成任务；质量指标能按质保障业务工作运行。</w:t>
      </w:r>
    </w:p>
    <w:p>
      <w:pPr>
        <w:pStyle w:val="8"/>
        <w:numPr>
          <w:ilvl w:val="0"/>
          <w:numId w:val="0"/>
        </w:numPr>
        <w:spacing w:line="600" w:lineRule="exact"/>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联系协调非公企业经费2.98万元，支出2.98万元，执行率为100%。产出指标完成情况：数量指标和成本指标完成支付办公费、培训费等2.98万元，补充公用经费；时效指标能够按照工作计划于2021年完成任务；质量指标能按质保障业务工作运行。</w:t>
      </w:r>
    </w:p>
    <w:p>
      <w:pPr>
        <w:pStyle w:val="8"/>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w:t>
      </w:r>
    </w:p>
    <w:p>
      <w:pPr>
        <w:pStyle w:val="8"/>
        <w:spacing w:line="600" w:lineRule="exact"/>
        <w:ind w:firstLine="640" w:firstLineChars="200"/>
        <w:jc w:val="left"/>
        <w:rPr>
          <w:rFonts w:hint="default" w:ascii="Times New Roman" w:hAnsi="Times New Roman" w:eastAsia="楷体" w:cs="Times New Roman"/>
          <w:sz w:val="32"/>
          <w:szCs w:val="32"/>
        </w:rPr>
      </w:pPr>
      <w:r>
        <w:rPr>
          <w:rFonts w:hint="eastAsia" w:ascii="Times New Roman" w:hAnsi="Times New Roman" w:eastAsia="仿宋_GB2312" w:cs="Times New Roman"/>
          <w:sz w:val="32"/>
          <w:szCs w:val="32"/>
          <w:lang w:eastAsia="zh-CN"/>
        </w:rPr>
        <w:t>保障单位正常运行，确保完成年度职能目标任务，保障工商联全面工作职责</w:t>
      </w:r>
      <w:r>
        <w:rPr>
          <w:rFonts w:hint="default" w:ascii="Times New Roman" w:hAnsi="Times New Roman" w:eastAsia="仿宋_GB2312" w:cs="Times New Roman"/>
          <w:sz w:val="32"/>
          <w:szCs w:val="32"/>
        </w:rPr>
        <w:t>。</w:t>
      </w:r>
    </w:p>
    <w:p>
      <w:pPr>
        <w:pStyle w:val="8"/>
        <w:numPr>
          <w:ilvl w:val="0"/>
          <w:numId w:val="4"/>
        </w:num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8"/>
        <w:numPr>
          <w:ilvl w:val="0"/>
          <w:numId w:val="0"/>
        </w:numPr>
        <w:spacing w:line="600" w:lineRule="exact"/>
        <w:jc w:val="left"/>
        <w:rPr>
          <w:rFonts w:ascii="仿宋_GB2312" w:hAnsi="宋体" w:eastAsia="仿宋_GB2312" w:cs="宋体"/>
          <w:kern w:val="0"/>
          <w:sz w:val="32"/>
          <w:szCs w:val="32"/>
          <w:shd w:val="clear" w:color="auto" w:fill="FFFFFF"/>
          <w:lang w:val="zh-CN"/>
        </w:rPr>
      </w:pPr>
      <w:r>
        <w:rPr>
          <w:rFonts w:hint="eastAsia" w:ascii="Times New Roman" w:hAnsi="Times New Roman" w:eastAsia="仿宋_GB2312" w:cs="Times New Roman"/>
          <w:sz w:val="32"/>
          <w:szCs w:val="32"/>
          <w:lang w:val="en-US" w:eastAsia="zh-CN"/>
        </w:rPr>
        <w:t xml:space="preserve">    服务对象及职工抽样满意度达到95%以上</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en-US" w:eastAsia="zh-CN"/>
        </w:rPr>
        <w:t>本单位按照区财政局下达的预算指标，严格执行预算内开支，保障了单位正常运转。并按相关要求进行预决算公开工作，绩效目标如实填报，专项预算进行了规划和筹划</w:t>
      </w:r>
      <w:r>
        <w:rPr>
          <w:rFonts w:hint="eastAsia" w:ascii="仿宋_GB2312" w:hAnsi="宋体" w:eastAsia="仿宋_GB2312" w:cs="宋体"/>
          <w:kern w:val="0"/>
          <w:sz w:val="32"/>
          <w:szCs w:val="32"/>
          <w:shd w:val="clear" w:color="auto" w:fill="FFFFFF"/>
          <w:lang w:val="zh-CN" w:eastAsia="zh-CN"/>
        </w:rPr>
        <w:t>。</w:t>
      </w:r>
    </w:p>
    <w:p>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通过对区工商联收支情况、预决算编制、预算执行管理、支出绩效及财政管理等方面的综合评价，区工商联支出绩效总体较好，对财政资金的使用能够严格执行行政事业单位会计制度及财政相关规定，坚持以经济建设为中心，以促进民营经济健康发展和民营经济人士健康成长为己任，一是以重点工作为抓手，压实工作责任；二是跟进预算执行，不断提高预算执行效果；三是认真履职尽责，发挥好区工商联组织联系非公有制经济人士的桥梁纽带、政府管理和服务非公有制经济的助手</w:t>
      </w:r>
      <w:r>
        <w:rPr>
          <w:rFonts w:hint="eastAsia" w:ascii="仿宋_GB2312" w:hAnsi="宋体" w:eastAsia="仿宋_GB2312" w:cs="宋体"/>
          <w:kern w:val="0"/>
          <w:sz w:val="32"/>
          <w:szCs w:val="32"/>
          <w:shd w:val="clear" w:color="auto" w:fill="FFFFFF"/>
        </w:rPr>
        <w:t>。</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6"/>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 xml:space="preserve">    从整体上看，2020年区工商联资金运行维护决策正确，资金管理规范，项目管理到位，政策执行有力，有效发挥了财政资金的使用效率。各项资金其主要用途是保障该部门机构正常运转、完成日常工作任务以及本单位承担的其他具体工作。在人员经费支出、公共支出严格执行区委区政府的各项制度；在项目经费的使用上，在保证各项任务顺利完成的同时，严格落实厉行节约的原则；三公经费的使用严格控制在预算申报的范围内。</w:t>
      </w:r>
    </w:p>
    <w:p>
      <w:pPr>
        <w:widowControl/>
        <w:numPr>
          <w:ilvl w:val="0"/>
          <w:numId w:val="0"/>
        </w:numPr>
        <w:adjustRightInd w:val="0"/>
        <w:snapToGrid w:val="0"/>
        <w:spacing w:line="576"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（二）存在问题。</w:t>
      </w:r>
    </w:p>
    <w:p>
      <w:pPr>
        <w:pStyle w:val="6"/>
        <w:rPr>
          <w:rFonts w:hint="eastAsia" w:ascii="仿宋_GB2312" w:hAnsi="宋体" w:eastAsia="仿宋_GB2312" w:cs="宋体"/>
          <w:kern w:val="0"/>
          <w:sz w:val="32"/>
          <w:szCs w:val="32"/>
          <w:shd w:val="clear" w:color="auto" w:fill="FFFFFF"/>
          <w:lang w:val="zh-CN" w:eastAsia="zh-CN" w:bidi="ar-SA"/>
        </w:rPr>
      </w:pPr>
      <w:r>
        <w:rPr>
          <w:rFonts w:hint="eastAsia" w:ascii="仿宋_GB2312" w:hAnsi="宋体" w:eastAsia="仿宋_GB2312" w:cs="宋体"/>
          <w:kern w:val="0"/>
          <w:sz w:val="32"/>
          <w:szCs w:val="32"/>
          <w:shd w:val="clear" w:color="auto" w:fill="FFFFFF"/>
          <w:lang w:val="en-US" w:eastAsia="zh-CN" w:bidi="ar-SA"/>
        </w:rPr>
        <w:t xml:space="preserve">    自主预算绩效监控意识不够，未及时对各项目经费进行预算绩效监控。</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r>
        <w:rPr>
          <w:rFonts w:hint="eastAsia" w:ascii="仿宋_GB2312" w:hAnsi="宋体" w:eastAsia="仿宋_GB2312" w:cs="宋体"/>
          <w:kern w:val="0"/>
          <w:sz w:val="32"/>
          <w:szCs w:val="32"/>
          <w:shd w:val="clear" w:color="auto" w:fill="FFFFFF"/>
          <w:lang w:val="en-US" w:eastAsia="zh-CN" w:bidi="ar-SA"/>
        </w:rPr>
        <w:t>及时做好各项目资金的预算绩效监控工作，即要确保各项工作顺利的开展，又要做好厉行节约，力争把成本降低。</w:t>
      </w: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ind w:firstLine="640"/>
        <w:rPr>
          <w:rFonts w:hint="eastAsia" w:ascii="仿宋_GB2312" w:hAnsi="宋体" w:eastAsia="仿宋_GB2312" w:cs="宋体"/>
          <w:kern w:val="0"/>
          <w:sz w:val="32"/>
          <w:szCs w:val="32"/>
          <w:shd w:val="clear" w:color="auto" w:fill="FFFFFF"/>
          <w:lang w:val="en-US" w:eastAsia="zh-CN" w:bidi="ar-SA"/>
        </w:rPr>
      </w:pPr>
    </w:p>
    <w:p>
      <w:pPr>
        <w:pStyle w:val="2"/>
        <w:spacing w:before="72"/>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区工商联办公室是该项目的具体实施主体。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项目立项、资金申报的依据是：根据工作职责，为民营企业和中心企业牵线搭桥、组织银企对接、搭建融资平台,经费</w:t>
      </w:r>
      <w:r>
        <w:rPr>
          <w:rFonts w:hint="eastAsia" w:ascii="仿宋_GB2312" w:hAnsi="宋体" w:eastAsia="仿宋_GB2312"/>
          <w:sz w:val="32"/>
          <w:szCs w:val="32"/>
          <w:lang w:val="en-US" w:eastAsia="zh-CN"/>
        </w:rPr>
        <w:t>4.38万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举办沙龙、培训班、读书班、座谈会等形式，组织举办非公经济人士理想信念教育实践活动4次以上。引导各级商会组织和广大非公人士增强“四个意识”，坚定“四个自信”，做到“两个维护”，并始终内化于心，外化于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通过联谊活动，引导广大非公经济人士加强党的政策理论学习，促进我区非公经济更好、更快发展。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通过联谊活动加强会员之间交流相互学习基本达到预期指标。全年财政拨款</w:t>
      </w:r>
      <w:r>
        <w:rPr>
          <w:rFonts w:hint="eastAsia" w:ascii="仿宋_GB2312" w:hAnsi="宋体" w:eastAsia="仿宋_GB2312"/>
          <w:sz w:val="32"/>
          <w:szCs w:val="32"/>
          <w:lang w:val="en-US" w:eastAsia="zh-CN"/>
        </w:rPr>
        <w:t>4.38万</w:t>
      </w:r>
      <w:r>
        <w:rPr>
          <w:rFonts w:hint="eastAsia" w:ascii="仿宋_GB2312" w:hAnsi="宋体" w:eastAsia="仿宋_GB2312"/>
          <w:sz w:val="32"/>
          <w:szCs w:val="32"/>
          <w:lang w:val="zh-CN"/>
        </w:rPr>
        <w:t>元用于该项目，此项目已按计划认真落实了。</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一是通过参加人员培训学习总结效果进行评价，二是从参加培训后工作能力提高效果进行评价。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1．资金计划。该项目属区级预算项目经费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单位根据会议情况列支费用，</w:t>
      </w:r>
      <w:r>
        <w:rPr>
          <w:rFonts w:hint="default" w:ascii="仿宋_GB2312" w:hAnsi="宋体" w:eastAsia="仿宋_GB2312"/>
          <w:sz w:val="32"/>
          <w:szCs w:val="32"/>
          <w:lang w:val="zh-CN"/>
        </w:rPr>
        <w:t>该项目资金财政已在202</w:t>
      </w:r>
      <w:r>
        <w:rPr>
          <w:rFonts w:hint="eastAsia" w:ascii="仿宋_GB2312" w:hAnsi="宋体" w:eastAsia="仿宋_GB2312"/>
          <w:sz w:val="32"/>
          <w:szCs w:val="32"/>
          <w:lang w:val="en-US" w:eastAsia="zh-CN"/>
        </w:rPr>
        <w:t>1</w:t>
      </w:r>
      <w:r>
        <w:rPr>
          <w:rFonts w:hint="default" w:ascii="仿宋_GB2312" w:hAnsi="宋体" w:eastAsia="仿宋_GB2312"/>
          <w:sz w:val="32"/>
          <w:szCs w:val="32"/>
          <w:lang w:val="zh-CN"/>
        </w:rPr>
        <w:t>年内按规定要求使用完。资金的支付范围、支付标准、支付依据等是合规合法、与预算相符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区财政局根据预算项目批复，下达项目经费，预算单位进行项目实施计划。</w:t>
      </w:r>
    </w:p>
    <w:p>
      <w:pPr>
        <w:pStyle w:val="6"/>
        <w:rPr>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拨付时根据会议情况，报分管领导审批同意，呈报主要负责人审核并批复同意支付。</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（二）</w:t>
      </w: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（三）项目监管情况。</w:t>
      </w:r>
    </w:p>
    <w:p>
      <w:pPr>
        <w:numPr>
          <w:ilvl w:val="0"/>
          <w:numId w:val="0"/>
        </w:numPr>
        <w:adjustRightInd w:val="0"/>
        <w:snapToGrid w:val="0"/>
        <w:spacing w:line="600" w:lineRule="exact"/>
        <w:rPr>
          <w:rFonts w:ascii="仿宋_GB2312" w:hAnsi="宋体" w:eastAsia="仿宋_GB2312"/>
          <w:sz w:val="32"/>
          <w:szCs w:val="32"/>
          <w:lang w:val="zh-CN"/>
        </w:rPr>
      </w:pPr>
      <w:r>
        <w:rPr>
          <w:rFonts w:ascii="微软雅黑" w:hAnsi="微软雅黑" w:eastAsia="微软雅黑" w:cs="微软雅黑"/>
          <w:i w:val="0"/>
          <w:caps w:val="0"/>
          <w:color w:val="333333"/>
          <w:spacing w:val="0"/>
          <w:sz w:val="32"/>
          <w:szCs w:val="32"/>
          <w:shd w:val="clear" w:fill="FFFFFF"/>
        </w:rPr>
        <w:t> </w:t>
      </w:r>
      <w:r>
        <w:rPr>
          <w:rFonts w:hint="eastAsia" w:ascii="微软雅黑" w:hAnsi="微软雅黑" w:eastAsia="微软雅黑" w:cs="微软雅黑"/>
          <w:i w:val="0"/>
          <w:caps w:val="0"/>
          <w:color w:val="333333"/>
          <w:spacing w:val="0"/>
          <w:sz w:val="32"/>
          <w:szCs w:val="32"/>
          <w:shd w:val="clear" w:fill="FFFFFF"/>
          <w:lang w:val="en-US" w:eastAsia="zh-CN"/>
        </w:rPr>
        <w:t xml:space="preserve">    </w:t>
      </w: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1.数理指标：1次</w:t>
      </w:r>
    </w:p>
    <w:p>
      <w:pPr>
        <w:pStyle w:val="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2.质量指标：增强交流、吸引成功经验，提高我联服务能力和水平。</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3.时效指标：项目实施时间为2021年1月至12月。</w:t>
      </w:r>
    </w:p>
    <w:p>
      <w:pPr>
        <w:pStyle w:val="6"/>
        <w:rPr>
          <w:lang w:val="en-US"/>
        </w:rPr>
      </w:pPr>
      <w:r>
        <w:rPr>
          <w:rFonts w:hint="eastAsia" w:ascii="仿宋_GB2312" w:hAnsi="宋体" w:eastAsia="仿宋_GB2312"/>
          <w:sz w:val="32"/>
          <w:szCs w:val="32"/>
          <w:lang w:val="en-US" w:eastAsia="zh-CN"/>
        </w:rPr>
        <w:t xml:space="preserve">     4.成本指标：预算指标为4.38万元，实际支出4.38万元。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通过联谊活动，引导广大非公经济人士加强党的政策理论学习，促进我区非公经济更好、更快发展。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一是本项目依规立项；二是本项目严格按相关要求执行；三是本项目资金使用合理合规；四是本项目在产出数量、产出质量、产出时效、产出成本方面均达到绩效目标，经济效益、社会效益成果显著。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Pr>
        <w:spacing w:line="600" w:lineRule="exact"/>
        <w:jc w:val="center"/>
        <w:outlineLvl w:val="0"/>
        <w:rPr>
          <w:rStyle w:val="32"/>
          <w:rFonts w:ascii="黑体" w:hAnsi="黑体" w:eastAsia="黑体"/>
          <w:b w:val="0"/>
          <w:bCs w:val="0"/>
        </w:rPr>
      </w:pPr>
      <w:r>
        <w:rPr>
          <w:rFonts w:hint="eastAsia" w:ascii="黑体" w:hAnsi="黑体" w:eastAsia="黑体" w:cs="黑体"/>
          <w:sz w:val="44"/>
          <w:szCs w:val="44"/>
        </w:rPr>
        <w:t>第</w:t>
      </w:r>
      <w:r>
        <w:rPr>
          <w:rStyle w:val="32"/>
          <w:rFonts w:hint="eastAsia" w:ascii="黑体" w:hAnsi="黑体" w:eastAsia="黑体" w:cs="黑体"/>
          <w:b w:val="0"/>
          <w:bCs w:val="0"/>
        </w:rPr>
        <w:t>四部分</w:t>
      </w:r>
      <w:r>
        <w:rPr>
          <w:rStyle w:val="32"/>
          <w:rFonts w:ascii="黑体" w:hAnsi="黑体" w:eastAsia="黑体" w:cs="黑体"/>
          <w:b w:val="0"/>
          <w:bCs w:val="0"/>
        </w:rPr>
        <w:t xml:space="preserve"> </w:t>
      </w:r>
      <w:r>
        <w:rPr>
          <w:rStyle w:val="32"/>
          <w:rFonts w:hint="eastAsia" w:ascii="黑体" w:hAnsi="黑体" w:eastAsia="黑体" w:cs="黑体"/>
          <w:b w:val="0"/>
          <w:bCs w:val="0"/>
        </w:rPr>
        <w:t>附件</w:t>
      </w:r>
    </w:p>
    <w:tbl>
      <w:tblPr>
        <w:tblStyle w:val="14"/>
        <w:tblpPr w:leftFromText="180" w:rightFromText="180" w:vertAnchor="text" w:horzAnchor="page" w:tblpX="1351" w:tblpY="727"/>
        <w:tblOverlap w:val="never"/>
        <w:tblW w:w="9811" w:type="dxa"/>
        <w:tblInd w:w="0" w:type="dxa"/>
        <w:tblLayout w:type="fixed"/>
        <w:tblCellMar>
          <w:top w:w="0" w:type="dxa"/>
          <w:left w:w="108" w:type="dxa"/>
          <w:bottom w:w="0" w:type="dxa"/>
          <w:right w:w="108" w:type="dxa"/>
        </w:tblCellMar>
      </w:tblPr>
      <w:tblGrid>
        <w:gridCol w:w="1976"/>
        <w:gridCol w:w="1142"/>
        <w:gridCol w:w="1505"/>
        <w:gridCol w:w="130"/>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olor w:val="FF0000"/>
                <w:sz w:val="18"/>
                <w:szCs w:val="18"/>
              </w:rPr>
            </w:pPr>
            <w:r>
              <w:rPr>
                <w:rFonts w:hint="eastAsia" w:ascii="宋体" w:hAnsi="宋体" w:cs="宋体"/>
                <w:kern w:val="0"/>
                <w:sz w:val="24"/>
                <w:szCs w:val="24"/>
              </w:rPr>
              <w:t>攀枝花市西区</w:t>
            </w:r>
            <w:r>
              <w:rPr>
                <w:rFonts w:hint="eastAsia" w:ascii="宋体" w:hAnsi="宋体" w:cs="宋体"/>
                <w:kern w:val="0"/>
                <w:sz w:val="24"/>
                <w:szCs w:val="24"/>
                <w:lang w:val="en-US" w:eastAsia="zh-CN"/>
              </w:rPr>
              <w:t>工商业联合会139</w:t>
            </w:r>
            <w:r>
              <w:rPr>
                <w:rFonts w:ascii="宋体" w:hAnsi="宋体" w:cs="宋体"/>
                <w:kern w:val="0"/>
                <w:sz w:val="24"/>
                <w:szCs w:val="24"/>
              </w:rPr>
              <w:t>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宋体" w:eastAsia="宋体"/>
                <w:color w:val="FF0000"/>
                <w:sz w:val="18"/>
                <w:szCs w:val="18"/>
                <w:lang w:val="en-US" w:eastAsia="zh-CN"/>
              </w:rPr>
            </w:pPr>
            <w:r>
              <w:rPr>
                <w:rFonts w:hint="eastAsia" w:ascii="宋体" w:hAnsi="宋体" w:cs="宋体"/>
                <w:kern w:val="0"/>
                <w:sz w:val="24"/>
                <w:szCs w:val="24"/>
                <w:lang w:val="en-US" w:eastAsia="zh-CN"/>
              </w:rPr>
              <w:t>西区工商业联合会</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sz w:val="24"/>
                <w:szCs w:val="24"/>
              </w:rPr>
            </w:pP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eastAsia="zh-CN"/>
              </w:rPr>
            </w:pPr>
            <w:r>
              <w:rPr>
                <w:rFonts w:hint="eastAsia"/>
                <w:sz w:val="24"/>
                <w:szCs w:val="24"/>
                <w:lang w:val="en-US" w:eastAsia="zh-CN"/>
              </w:rPr>
              <w:t>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val="en-US" w:eastAsia="zh-CN"/>
              </w:rPr>
            </w:pPr>
            <w:r>
              <w:rPr>
                <w:rFonts w:hint="eastAsia"/>
                <w:kern w:val="0"/>
                <w:sz w:val="24"/>
                <w:szCs w:val="24"/>
                <w:lang w:val="en-US" w:eastAsia="zh-CN"/>
              </w:rPr>
              <w:t>2.98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eastAsia="zh-CN"/>
              </w:rPr>
            </w:pPr>
            <w:r>
              <w:rPr>
                <w:rFonts w:hint="eastAsia"/>
                <w:sz w:val="24"/>
                <w:szCs w:val="24"/>
                <w:lang w:val="en-US" w:eastAsia="zh-CN"/>
              </w:rPr>
              <w:t>3</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sz w:val="24"/>
                <w:szCs w:val="24"/>
                <w:lang w:val="en-US" w:eastAsia="zh-CN"/>
              </w:rPr>
            </w:pPr>
            <w:r>
              <w:rPr>
                <w:rFonts w:hint="eastAsia"/>
                <w:kern w:val="0"/>
                <w:sz w:val="24"/>
                <w:szCs w:val="24"/>
                <w:lang w:val="en-US" w:eastAsia="zh-CN"/>
              </w:rPr>
              <w:t>2.98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cs="宋体"/>
                <w:sz w:val="24"/>
                <w:szCs w:val="24"/>
              </w:rPr>
              <w:t xml:space="preserve">    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ascii="宋体" w:cs="宋体"/>
                <w:sz w:val="24"/>
                <w:szCs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4"/>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hint="eastAsia" w:ascii="宋体" w:eastAsia="宋体"/>
                <w:color w:val="000000"/>
                <w:sz w:val="24"/>
                <w:szCs w:val="24"/>
                <w:lang w:val="en-US" w:eastAsia="zh-CN"/>
              </w:rPr>
            </w:pPr>
            <w:r>
              <w:rPr>
                <w:rFonts w:hint="eastAsia" w:ascii="宋体" w:hAnsi="宋体" w:cs="宋体"/>
                <w:kern w:val="0"/>
                <w:sz w:val="24"/>
                <w:szCs w:val="24"/>
                <w:lang w:val="en-US" w:eastAsia="zh-CN"/>
              </w:rPr>
              <w:t>根据工作职责，为西区民营企业和会员企业寻找鹊桥、组织私企对接、搭建交流平台。</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ind w:firstLine="480" w:firstLineChars="200"/>
              <w:jc w:val="left"/>
              <w:textAlignment w:val="top"/>
              <w:rPr>
                <w:rFonts w:hint="eastAsia" w:ascii="宋体" w:eastAsia="宋体"/>
                <w:kern w:val="0"/>
                <w:sz w:val="24"/>
                <w:szCs w:val="24"/>
                <w:lang w:val="en-US" w:eastAsia="zh-CN"/>
              </w:rPr>
            </w:pPr>
            <w:r>
              <w:rPr>
                <w:rFonts w:hint="eastAsia" w:ascii="宋体" w:hAnsi="宋体" w:cs="宋体"/>
                <w:kern w:val="0"/>
                <w:sz w:val="24"/>
                <w:szCs w:val="24"/>
                <w:lang w:val="en-US" w:eastAsia="zh-CN"/>
              </w:rPr>
              <w:t>很好完成了年度目标任务。</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完成</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数量指标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000000"/>
                <w:kern w:val="0"/>
                <w:sz w:val="24"/>
                <w:szCs w:val="24"/>
                <w:lang w:val="en-US" w:eastAsia="zh-CN"/>
              </w:rPr>
            </w:pPr>
            <w:r>
              <w:rPr>
                <w:rFonts w:hint="eastAsia" w:cs="宋体"/>
                <w:color w:val="000000"/>
                <w:kern w:val="0"/>
                <w:sz w:val="24"/>
                <w:szCs w:val="24"/>
                <w:lang w:val="en-US" w:eastAsia="zh-CN"/>
              </w:rPr>
              <w:t>召开会议、培训次数。</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召开执委会2次，主席会1次、组织企业参加各种培训10次以上。</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通过举办沙龙、培训班、读书班、座谈会等形式，组织举办非公经济人士培训会4次以上，引导各级商会组织和广大非公人士增强“四个意识”，坚定“四个自信”，做到“两个维护”，并能内化于心，外化于行。</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质量指标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jc w:val="left"/>
              <w:rPr>
                <w:rFonts w:hint="eastAsia" w:eastAsia="宋体"/>
                <w:color w:val="000000"/>
                <w:kern w:val="0"/>
                <w:sz w:val="24"/>
                <w:szCs w:val="24"/>
                <w:lang w:val="en-US" w:eastAsia="zh-CN"/>
              </w:rPr>
            </w:pPr>
            <w:r>
              <w:rPr>
                <w:rFonts w:hint="eastAsia"/>
                <w:color w:val="000000"/>
                <w:kern w:val="0"/>
                <w:sz w:val="24"/>
                <w:szCs w:val="24"/>
                <w:lang w:val="en-US" w:eastAsia="zh-CN"/>
              </w:rPr>
              <w:t>提高非公经济人士思想素质和参政议政能力。</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olor w:val="000000"/>
                <w:kern w:val="0"/>
                <w:sz w:val="24"/>
                <w:szCs w:val="24"/>
                <w:lang w:val="en-US" w:eastAsia="zh-CN"/>
              </w:rPr>
              <w:t>提高非公经济人士思想素质和参政议政能力。</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已完成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时效指标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完成时间</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szCs w:val="24"/>
              </w:rPr>
              <w:t>≤1</w:t>
            </w:r>
            <w:r>
              <w:rPr>
                <w:rFonts w:hint="eastAsia" w:cs="宋体"/>
                <w:color w:val="000000"/>
                <w:kern w:val="0"/>
                <w:sz w:val="24"/>
                <w:szCs w:val="24"/>
              </w:rPr>
              <w:t>年</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color w:val="000000"/>
                <w:kern w:val="0"/>
                <w:sz w:val="24"/>
                <w:szCs w:val="24"/>
              </w:rPr>
              <w:t>1</w:t>
            </w:r>
            <w:r>
              <w:rPr>
                <w:rFonts w:hint="eastAsia" w:cs="宋体"/>
                <w:color w:val="000000"/>
                <w:kern w:val="0"/>
                <w:sz w:val="24"/>
                <w:szCs w:val="24"/>
              </w:rPr>
              <w:t>年内</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成本指标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hint="eastAsia" w:ascii="仿宋_GB2312" w:hAnsi="仿宋_GB2312" w:eastAsia="仿宋_GB2312"/>
                <w:color w:val="000000"/>
                <w:sz w:val="18"/>
                <w:szCs w:val="18"/>
                <w:lang w:val="en-US" w:eastAsia="zh-CN"/>
              </w:rPr>
            </w:pPr>
            <w:r>
              <w:rPr>
                <w:rFonts w:hint="eastAsia" w:ascii="仿宋_GB2312" w:hAnsi="仿宋_GB2312" w:eastAsia="仿宋_GB2312"/>
                <w:color w:val="000000"/>
                <w:sz w:val="18"/>
                <w:szCs w:val="18"/>
                <w:lang w:val="en-US" w:eastAsia="zh-CN"/>
              </w:rPr>
              <w:t>联系非公企业经费</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2021年预算3万元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支持办公费、培训费2.98万元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社会效益</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hint="eastAsia" w:ascii="仿宋_GB2312" w:hAnsi="仿宋_GB2312" w:eastAsia="仿宋_GB2312"/>
                <w:color w:val="000000"/>
                <w:sz w:val="18"/>
                <w:szCs w:val="18"/>
                <w:lang w:val="en-US" w:eastAsia="zh-CN"/>
              </w:rPr>
            </w:pPr>
            <w:r>
              <w:rPr>
                <w:rFonts w:hint="eastAsia" w:eastAsia="仿宋_GB2312" w:cs="宋体"/>
                <w:color w:val="000000"/>
                <w:kern w:val="0"/>
                <w:sz w:val="18"/>
                <w:szCs w:val="18"/>
                <w:lang w:val="en-US" w:eastAsia="zh-CN"/>
              </w:rPr>
              <w:t>促进非公经济健康发展</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olor w:val="000000"/>
                <w:sz w:val="28"/>
                <w:szCs w:val="28"/>
              </w:rPr>
            </w:pPr>
            <w:r>
              <w:rPr>
                <w:rFonts w:hint="eastAsia" w:eastAsia="仿宋_GB2312" w:cs="宋体"/>
                <w:color w:val="000000"/>
                <w:kern w:val="0"/>
                <w:sz w:val="18"/>
                <w:szCs w:val="18"/>
                <w:lang w:val="en-US" w:eastAsia="zh-CN"/>
              </w:rPr>
              <w:t>促进非公经济健康发展</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已完成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olor w:val="000000"/>
                <w:sz w:val="28"/>
                <w:szCs w:val="2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可持续影响</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bottom"/>
              <w:rPr>
                <w:rFonts w:ascii="仿宋_GB2312" w:hAnsi="仿宋_GB2312" w:eastAsia="仿宋_GB2312"/>
                <w:color w:val="000000"/>
                <w:sz w:val="18"/>
                <w:szCs w:val="18"/>
              </w:rPr>
            </w:pPr>
            <w:r>
              <w:rPr>
                <w:rFonts w:hint="eastAsia" w:cs="宋体"/>
                <w:color w:val="000000"/>
                <w:kern w:val="0"/>
                <w:sz w:val="18"/>
                <w:szCs w:val="18"/>
              </w:rPr>
              <w:t>加大财政监督力度</w:t>
            </w:r>
            <w:r>
              <w:rPr>
                <w:color w:val="000000"/>
                <w:kern w:val="0"/>
                <w:sz w:val="18"/>
                <w:szCs w:val="18"/>
              </w:rPr>
              <w:t>,</w:t>
            </w:r>
            <w:r>
              <w:rPr>
                <w:rFonts w:hint="eastAsia" w:cs="宋体"/>
                <w:color w:val="000000"/>
                <w:kern w:val="0"/>
                <w:sz w:val="18"/>
                <w:szCs w:val="18"/>
              </w:rPr>
              <w:t>营造廉洁勤政氛围。</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szCs w:val="24"/>
              </w:rPr>
              <w:t>长效</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cs="宋体"/>
                <w:color w:val="000000"/>
                <w:kern w:val="0"/>
                <w:sz w:val="24"/>
                <w:szCs w:val="24"/>
              </w:rPr>
              <w:t>长效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olor w:val="000000"/>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满意</w:t>
            </w:r>
            <w:r>
              <w:rPr>
                <w:rFonts w:ascii="仿宋_GB2312" w:hAnsi="仿宋_GB2312" w:eastAsia="仿宋_GB2312"/>
                <w:color w:val="000000"/>
                <w:kern w:val="0"/>
                <w:sz w:val="28"/>
                <w:szCs w:val="28"/>
              </w:rPr>
              <w:br w:type="textWrapping"/>
            </w:r>
            <w:r>
              <w:rPr>
                <w:rFonts w:hint="eastAsia" w:ascii="仿宋_GB2312" w:hAnsi="仿宋_GB2312" w:eastAsia="仿宋_GB2312" w:cs="仿宋_GB2312"/>
                <w:color w:val="000000"/>
                <w:kern w:val="0"/>
                <w:sz w:val="28"/>
                <w:szCs w:val="28"/>
              </w:rPr>
              <w:t>度指标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olor w:val="000000"/>
                <w:kern w:val="0"/>
                <w:sz w:val="28"/>
                <w:szCs w:val="28"/>
              </w:rPr>
            </w:pPr>
            <w:r>
              <w:rPr>
                <w:rFonts w:hint="eastAsia" w:ascii="仿宋_GB2312" w:hAnsi="仿宋_GB2312" w:eastAsia="仿宋_GB2312" w:cs="仿宋_GB2312"/>
                <w:color w:val="000000"/>
                <w:kern w:val="0"/>
                <w:sz w:val="28"/>
                <w:szCs w:val="28"/>
              </w:rPr>
              <w:t>满意度</w:t>
            </w:r>
          </w:p>
          <w:p>
            <w:pPr>
              <w:widowControl/>
              <w:spacing w:line="320" w:lineRule="exact"/>
              <w:jc w:val="center"/>
              <w:textAlignment w:val="bottom"/>
              <w:rPr>
                <w:rFonts w:ascii="仿宋_GB2312" w:hAnsi="仿宋_GB2312" w:eastAsia="仿宋_GB2312"/>
                <w:color w:val="000000"/>
                <w:sz w:val="28"/>
                <w:szCs w:val="28"/>
              </w:rPr>
            </w:pPr>
            <w:r>
              <w:rPr>
                <w:rFonts w:hint="eastAsia" w:ascii="仿宋_GB2312" w:hAnsi="仿宋_GB2312" w:eastAsia="仿宋_GB2312" w:cs="仿宋_GB2312"/>
                <w:color w:val="000000"/>
                <w:kern w:val="0"/>
                <w:sz w:val="28"/>
                <w:szCs w:val="28"/>
              </w:rPr>
              <w:t>指标</w:t>
            </w:r>
          </w:p>
        </w:tc>
        <w:tc>
          <w:tcPr>
            <w:tcW w:w="13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s="宋体"/>
                <w:color w:val="000000"/>
                <w:kern w:val="0"/>
                <w:sz w:val="24"/>
                <w:szCs w:val="24"/>
                <w:lang w:val="en-US" w:eastAsia="zh-CN"/>
              </w:rPr>
              <w:t>非公经济人士评价达95%以上</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已完成</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olor w:val="000000"/>
                <w:sz w:val="28"/>
                <w:szCs w:val="28"/>
                <w:lang w:val="en-US" w:eastAsia="zh-CN"/>
              </w:rPr>
            </w:pPr>
            <w:r>
              <w:rPr>
                <w:rFonts w:hint="eastAsia" w:eastAsia="仿宋_GB2312"/>
                <w:color w:val="000000"/>
                <w:kern w:val="0"/>
                <w:sz w:val="24"/>
                <w:szCs w:val="24"/>
                <w:lang w:val="en-US" w:eastAsia="zh-CN"/>
              </w:rPr>
              <w:t>100%</w:t>
            </w:r>
          </w:p>
        </w:tc>
      </w:tr>
    </w:tbl>
    <w:p>
      <w:pPr>
        <w:keepNext w:val="0"/>
        <w:keepLines w:val="0"/>
        <w:widowControl/>
        <w:suppressLineNumbers w:val="0"/>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6"/>
      <w:bookmarkStart w:id="57" w:name="_Toc15396619"/>
    </w:p>
    <w:p>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57"/>
    </w:p>
    <w:p>
      <w:pPr>
        <w:pStyle w:val="4"/>
        <w:rPr>
          <w:rFonts w:ascii="仿宋" w:hAnsi="仿宋" w:eastAsia="仿宋"/>
        </w:rPr>
      </w:pPr>
      <w:bookmarkStart w:id="58" w:name="_Toc15396620"/>
      <w:r>
        <w:rPr>
          <w:rFonts w:hint="eastAsia" w:ascii="仿宋" w:hAnsi="仿宋" w:eastAsia="仿宋"/>
          <w:b w:val="0"/>
        </w:rPr>
        <w:t>二、收</w:t>
      </w:r>
      <w:r>
        <w:rPr>
          <w:rStyle w:val="27"/>
          <w:rFonts w:hint="eastAsia" w:ascii="仿宋" w:hAnsi="仿宋" w:eastAsia="仿宋"/>
          <w:b w:val="0"/>
          <w:bCs w:val="0"/>
        </w:rPr>
        <w:t>入决算表</w:t>
      </w:r>
      <w:bookmarkEnd w:id="58"/>
    </w:p>
    <w:p>
      <w:pPr>
        <w:pStyle w:val="4"/>
        <w:rPr>
          <w:rFonts w:ascii="仿宋" w:hAnsi="仿宋" w:eastAsia="仿宋"/>
        </w:rPr>
      </w:pPr>
      <w:bookmarkStart w:id="59"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59"/>
    </w:p>
    <w:p>
      <w:pPr>
        <w:pStyle w:val="4"/>
        <w:rPr>
          <w:rFonts w:ascii="仿宋" w:hAnsi="仿宋" w:eastAsia="仿宋"/>
          <w:b w:val="0"/>
        </w:rPr>
      </w:pPr>
      <w:bookmarkStart w:id="60"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60"/>
    </w:p>
    <w:p>
      <w:pPr>
        <w:pStyle w:val="4"/>
        <w:rPr>
          <w:rStyle w:val="27"/>
          <w:rFonts w:ascii="仿宋" w:hAnsi="仿宋" w:eastAsia="仿宋"/>
          <w:b w:val="0"/>
          <w:bCs w:val="0"/>
        </w:rPr>
      </w:pPr>
      <w:bookmarkStart w:id="61"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1"/>
      <w:bookmarkStart w:id="62" w:name="_Toc15396624"/>
    </w:p>
    <w:p>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62"/>
    </w:p>
    <w:p>
      <w:pPr>
        <w:pStyle w:val="4"/>
        <w:rPr>
          <w:rFonts w:ascii="仿宋" w:hAnsi="仿宋" w:eastAsia="仿宋"/>
        </w:rPr>
      </w:pPr>
      <w:bookmarkStart w:id="63"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63"/>
    </w:p>
    <w:p>
      <w:pPr>
        <w:pStyle w:val="4"/>
        <w:rPr>
          <w:rFonts w:ascii="仿宋" w:hAnsi="仿宋" w:eastAsia="仿宋"/>
        </w:rPr>
      </w:pPr>
      <w:bookmarkStart w:id="64"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64"/>
    </w:p>
    <w:p>
      <w:pPr>
        <w:pStyle w:val="4"/>
        <w:rPr>
          <w:rFonts w:ascii="仿宋" w:hAnsi="仿宋" w:eastAsia="仿宋"/>
        </w:rPr>
      </w:pPr>
      <w:bookmarkStart w:id="65"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65"/>
    </w:p>
    <w:p>
      <w:pPr>
        <w:pStyle w:val="4"/>
        <w:rPr>
          <w:rFonts w:ascii="仿宋" w:hAnsi="仿宋" w:eastAsia="仿宋"/>
        </w:rPr>
      </w:pPr>
      <w:bookmarkStart w:id="66"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66"/>
    </w:p>
    <w:p>
      <w:pPr>
        <w:pStyle w:val="4"/>
        <w:rPr>
          <w:rFonts w:ascii="仿宋" w:hAnsi="仿宋" w:eastAsia="仿宋"/>
        </w:rPr>
      </w:pPr>
      <w:bookmarkStart w:id="67"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67"/>
    </w:p>
    <w:p>
      <w:pPr>
        <w:pStyle w:val="4"/>
        <w:rPr>
          <w:rFonts w:ascii="仿宋" w:hAnsi="仿宋" w:eastAsia="仿宋"/>
        </w:rPr>
      </w:pPr>
      <w:bookmarkStart w:id="68"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68"/>
    </w:p>
    <w:p>
      <w:pPr>
        <w:pStyle w:val="4"/>
        <w:rPr>
          <w:rStyle w:val="27"/>
          <w:rFonts w:ascii="仿宋" w:hAnsi="仿宋" w:eastAsia="仿宋"/>
          <w:b w:val="0"/>
          <w:bCs w:val="0"/>
        </w:rPr>
      </w:pPr>
      <w:bookmarkStart w:id="69"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69"/>
    </w:p>
    <w:p>
      <w:pPr>
        <w:rPr>
          <w:rFonts w:eastAsia="仿宋"/>
        </w:rPr>
      </w:pPr>
      <w:r>
        <w:rPr>
          <w:rStyle w:val="27"/>
          <w:rFonts w:hint="eastAsia" w:ascii="仿宋" w:hAnsi="仿宋" w:eastAsia="仿宋"/>
          <w:b w:val="0"/>
          <w:bCs w:val="0"/>
        </w:rPr>
        <w:t>十四、国有资本经营预算财政拨款支出决算表</w:t>
      </w:r>
    </w:p>
    <w:p>
      <w:pPr>
        <w:pStyle w:val="2"/>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abstractNum w:abstractNumId="4">
    <w:nsid w:val="62A6AB56"/>
    <w:multiLevelType w:val="singleLevel"/>
    <w:tmpl w:val="62A6AB56"/>
    <w:lvl w:ilvl="0" w:tentative="0">
      <w:start w:val="2"/>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WFjMGE1YTM1YjA5YWU3ODViMTQ4NzY2ZjJmY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A50CD"/>
    <w:rsid w:val="066E0107"/>
    <w:rsid w:val="067C6FD8"/>
    <w:rsid w:val="07996F6E"/>
    <w:rsid w:val="0A2032A3"/>
    <w:rsid w:val="101860EC"/>
    <w:rsid w:val="10C055FF"/>
    <w:rsid w:val="118107EC"/>
    <w:rsid w:val="13D50BC4"/>
    <w:rsid w:val="16BB723D"/>
    <w:rsid w:val="17A634A1"/>
    <w:rsid w:val="1BE8440E"/>
    <w:rsid w:val="1D155CEE"/>
    <w:rsid w:val="1EB34974"/>
    <w:rsid w:val="21AD0A51"/>
    <w:rsid w:val="23860B96"/>
    <w:rsid w:val="240371BF"/>
    <w:rsid w:val="29FD04D3"/>
    <w:rsid w:val="2C8A61B5"/>
    <w:rsid w:val="2DF04E50"/>
    <w:rsid w:val="319F7F4E"/>
    <w:rsid w:val="337C9F04"/>
    <w:rsid w:val="36AA5135"/>
    <w:rsid w:val="37E16F03"/>
    <w:rsid w:val="3C1B0D93"/>
    <w:rsid w:val="3D98207C"/>
    <w:rsid w:val="3F4F06E8"/>
    <w:rsid w:val="44E268DA"/>
    <w:rsid w:val="45955CA3"/>
    <w:rsid w:val="49E962CF"/>
    <w:rsid w:val="4A627F82"/>
    <w:rsid w:val="4B4F25DA"/>
    <w:rsid w:val="4BE068DB"/>
    <w:rsid w:val="4D0F4FF3"/>
    <w:rsid w:val="4D577224"/>
    <w:rsid w:val="4EAB630A"/>
    <w:rsid w:val="4ECE2238"/>
    <w:rsid w:val="52632795"/>
    <w:rsid w:val="56663077"/>
    <w:rsid w:val="589679C8"/>
    <w:rsid w:val="5AF92295"/>
    <w:rsid w:val="5C3B4BBD"/>
    <w:rsid w:val="5CD71FC4"/>
    <w:rsid w:val="6C4A05C8"/>
    <w:rsid w:val="6E7E3605"/>
    <w:rsid w:val="6F926B76"/>
    <w:rsid w:val="6FF5CC65"/>
    <w:rsid w:val="712727F0"/>
    <w:rsid w:val="715C0E4B"/>
    <w:rsid w:val="72734D90"/>
    <w:rsid w:val="7334175E"/>
    <w:rsid w:val="73AD73D5"/>
    <w:rsid w:val="73B6EB34"/>
    <w:rsid w:val="75461305"/>
    <w:rsid w:val="774204EE"/>
    <w:rsid w:val="79EE5BA4"/>
    <w:rsid w:val="7A894339"/>
    <w:rsid w:val="7E296456"/>
    <w:rsid w:val="7EEF11D3"/>
    <w:rsid w:val="7FA30C79"/>
    <w:rsid w:val="7FC96657"/>
    <w:rsid w:val="7FDF1666"/>
    <w:rsid w:val="BBEF88FF"/>
    <w:rsid w:val="BFBBDA12"/>
    <w:rsid w:val="D8D6DB89"/>
    <w:rsid w:val="DB6F4CAB"/>
    <w:rsid w:val="DF6F9789"/>
    <w:rsid w:val="E7BB8451"/>
    <w:rsid w:val="FFF3E3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Salutation"/>
    <w:basedOn w:val="1"/>
    <w:next w:val="1"/>
    <w:unhideWhenUsed/>
    <w:qFormat/>
    <w:uiPriority w:val="99"/>
    <w:rPr>
      <w:rFonts w:ascii="Times New Roman" w:hAnsi="Times New Roman"/>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unhideWhenUsed/>
    <w:qFormat/>
    <w:uiPriority w:val="99"/>
    <w:rPr>
      <w:rFonts w:ascii="宋体" w:hAnsi="Courier New"/>
    </w:r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Heading 1 Char"/>
    <w:basedOn w:val="15"/>
    <w:link w:val="3"/>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12034</Words>
  <Characters>12632</Characters>
  <Lines>57</Lines>
  <Paragraphs>16</Paragraphs>
  <TotalTime>16</TotalTime>
  <ScaleCrop>false</ScaleCrop>
  <LinksUpToDate>false</LinksUpToDate>
  <CharactersWithSpaces>12810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2023-07-20T02:31:00Z</cp:lastPrinted>
  <dcterms:modified xsi:type="dcterms:W3CDTF">2025-07-18T16:01:00Z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E01AB1B75B40959A3CFF796874C70AB9</vt:lpwstr>
  </property>
</Properties>
</file>