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rPr>
      </w:pPr>
      <w:bookmarkStart w:id="0" w:name="OLE_LINK1"/>
      <w:r>
        <w:rPr>
          <w:rFonts w:hint="eastAsia" w:ascii="方正小标宋_GBK" w:hAnsi="方正小标宋_GBK" w:eastAsia="方正小标宋_GBK" w:cs="方正小标宋_GBK"/>
          <w:b/>
          <w:bCs/>
          <w:sz w:val="44"/>
          <w:szCs w:val="44"/>
        </w:rPr>
        <w:t>攀枝花市西区</w:t>
      </w:r>
      <w:r>
        <w:rPr>
          <w:rFonts w:hint="eastAsia" w:ascii="方正小标宋_GBK" w:hAnsi="方正小标宋_GBK" w:eastAsia="方正小标宋_GBK" w:cs="方正小标宋_GBK"/>
          <w:b/>
          <w:bCs/>
          <w:sz w:val="44"/>
          <w:szCs w:val="44"/>
          <w:lang w:eastAsia="zh-CN"/>
        </w:rPr>
        <w:t>商务</w:t>
      </w:r>
      <w:r>
        <w:rPr>
          <w:rFonts w:hint="eastAsia" w:ascii="方正小标宋_GBK" w:hAnsi="方正小标宋_GBK" w:eastAsia="方正小标宋_GBK" w:cs="方正小标宋_GBK"/>
          <w:b/>
          <w:bCs/>
          <w:sz w:val="44"/>
          <w:szCs w:val="44"/>
        </w:rPr>
        <w:t>局涉企行政检查标准</w:t>
      </w:r>
    </w:p>
    <w:bookmarkEnd w:id="0"/>
    <w:p>
      <w:pPr>
        <w:jc w:val="center"/>
        <w:rPr>
          <w:rFonts w:hint="eastAsia" w:ascii="方正仿宋_GBK" w:hAnsi="方正仿宋_GBK" w:eastAsia="方正仿宋_GBK" w:cs="方正仿宋_GBK"/>
          <w:b/>
          <w:bCs/>
          <w:sz w:val="32"/>
          <w:szCs w:val="32"/>
          <w:lang w:val="en-US" w:eastAsia="zh-CN"/>
        </w:rPr>
      </w:pPr>
    </w:p>
    <w:p>
      <w:pPr>
        <w:numPr>
          <w:numId w:val="0"/>
        </w:numPr>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w:t>
      </w:r>
      <w:r>
        <w:rPr>
          <w:rFonts w:hint="eastAsia" w:ascii="方正仿宋_GBK" w:hAnsi="方正仿宋_GBK" w:eastAsia="方正仿宋_GBK" w:cs="方正仿宋_GBK"/>
          <w:b w:val="0"/>
          <w:bCs w:val="0"/>
          <w:sz w:val="32"/>
          <w:szCs w:val="32"/>
          <w:lang w:val="en-US" w:eastAsia="zh-CN"/>
        </w:rPr>
        <w:t>单用途商业预付卡管理办法（试行）</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suppressLineNumbers w:val="0"/>
        <w:pBdr>
          <w:top w:val="none" w:color="auto" w:sz="0" w:space="0"/>
          <w:left w:val="none" w:color="auto" w:sz="0" w:space="0"/>
          <w:bottom w:val="single" w:color="DCDCDC" w:sz="2"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方正仿宋_GBK" w:hAnsi="方正仿宋_GBK" w:eastAsia="方正仿宋_GBK" w:cs="方正仿宋_GBK"/>
          <w:i w:val="0"/>
          <w:iCs w:val="0"/>
          <w:caps w:val="0"/>
          <w:color w:val="262626"/>
          <w:spacing w:val="0"/>
          <w:sz w:val="32"/>
          <w:szCs w:val="32"/>
          <w:lang w:eastAsia="zh-CN"/>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第五章 监督管理</w:t>
      </w:r>
      <w:r>
        <w:rPr>
          <w:rFonts w:hint="eastAsia" w:ascii="方正仿宋_GBK" w:hAnsi="方正仿宋_GBK" w:eastAsia="方正仿宋_GBK" w:cs="方正仿宋_GBK"/>
          <w:i w:val="0"/>
          <w:iCs w:val="0"/>
          <w:caps w:val="0"/>
          <w:color w:val="262626"/>
          <w:spacing w:val="0"/>
          <w:sz w:val="32"/>
          <w:szCs w:val="32"/>
        </w:rPr>
        <w:br w:type="textWrapping"/>
      </w:r>
      <w:r>
        <w:rPr>
          <w:rFonts w:hint="eastAsia" w:ascii="方正仿宋_GBK" w:hAnsi="方正仿宋_GBK" w:eastAsia="方正仿宋_GBK" w:cs="方正仿宋_GBK"/>
          <w:i w:val="0"/>
          <w:iCs w:val="0"/>
          <w:caps w:val="0"/>
          <w:color w:val="262626"/>
          <w:spacing w:val="0"/>
          <w:sz w:val="32"/>
          <w:szCs w:val="32"/>
        </w:rPr>
        <w:t>　　第三十二条 省、自治区、直辖市人民政府商务主管部门应制定专项应急预案，积极预防、妥善处理本行政区域内涉及单用途卡业务的重大突发性事件，并及时上报商务部。 </w:t>
      </w:r>
      <w:r>
        <w:rPr>
          <w:rFonts w:hint="eastAsia" w:ascii="方正仿宋_GBK" w:hAnsi="方正仿宋_GBK" w:eastAsia="方正仿宋_GBK" w:cs="方正仿宋_GBK"/>
          <w:i w:val="0"/>
          <w:iCs w:val="0"/>
          <w:caps w:val="0"/>
          <w:color w:val="262626"/>
          <w:spacing w:val="0"/>
          <w:sz w:val="32"/>
          <w:szCs w:val="32"/>
        </w:rPr>
        <w:br w:type="textWrapping"/>
      </w:r>
      <w:r>
        <w:rPr>
          <w:rFonts w:hint="eastAsia" w:ascii="方正仿宋_GBK" w:hAnsi="方正仿宋_GBK" w:eastAsia="方正仿宋_GBK" w:cs="方正仿宋_GBK"/>
          <w:i w:val="0"/>
          <w:iCs w:val="0"/>
          <w:caps w:val="0"/>
          <w:color w:val="262626"/>
          <w:spacing w:val="0"/>
          <w:sz w:val="32"/>
          <w:szCs w:val="32"/>
        </w:rPr>
        <w:t>　　第三十三条商务部和地方人民政府商务主管部门应对发卡企业和售卡企业的单用途卡业务活动、内部控制和风险状况等进行定期或不定期的现场及非现场检查。发卡企业和售卡企业应配合商务主管部门的检查。 </w:t>
      </w:r>
      <w:r>
        <w:rPr>
          <w:rFonts w:hint="eastAsia" w:ascii="方正仿宋_GBK" w:hAnsi="方正仿宋_GBK" w:eastAsia="方正仿宋_GBK" w:cs="方正仿宋_GBK"/>
          <w:i w:val="0"/>
          <w:iCs w:val="0"/>
          <w:caps w:val="0"/>
          <w:color w:val="262626"/>
          <w:spacing w:val="0"/>
          <w:sz w:val="32"/>
          <w:szCs w:val="32"/>
        </w:rPr>
        <w:br w:type="textWrapping"/>
      </w:r>
      <w:r>
        <w:rPr>
          <w:rFonts w:hint="eastAsia" w:ascii="方正仿宋_GBK" w:hAnsi="方正仿宋_GBK" w:eastAsia="方正仿宋_GBK" w:cs="方正仿宋_GBK"/>
          <w:i w:val="0"/>
          <w:iCs w:val="0"/>
          <w:caps w:val="0"/>
          <w:color w:val="262626"/>
          <w:spacing w:val="0"/>
          <w:sz w:val="32"/>
          <w:szCs w:val="32"/>
        </w:rPr>
        <w:t>　　第三十四条商务部应建立健全“单用途商业预付卡业务信息系统”。地方人民政府商务主管部门应充分运用信息化手段加强对发卡企业的监督管理。 </w:t>
      </w:r>
      <w:r>
        <w:rPr>
          <w:rFonts w:hint="eastAsia" w:ascii="方正仿宋_GBK" w:hAnsi="方正仿宋_GBK" w:eastAsia="方正仿宋_GBK" w:cs="方正仿宋_GBK"/>
          <w:i w:val="0"/>
          <w:iCs w:val="0"/>
          <w:caps w:val="0"/>
          <w:color w:val="262626"/>
          <w:spacing w:val="0"/>
          <w:sz w:val="32"/>
          <w:szCs w:val="32"/>
        </w:rPr>
        <w:br w:type="textWrapping"/>
      </w:r>
      <w:r>
        <w:rPr>
          <w:rFonts w:hint="eastAsia" w:ascii="方正仿宋_GBK" w:hAnsi="方正仿宋_GBK" w:eastAsia="方正仿宋_GBK" w:cs="方正仿宋_GBK"/>
          <w:i w:val="0"/>
          <w:iCs w:val="0"/>
          <w:caps w:val="0"/>
          <w:color w:val="262626"/>
          <w:spacing w:val="0"/>
          <w:sz w:val="32"/>
          <w:szCs w:val="32"/>
        </w:rPr>
        <w:t>　　第三十五条商务部和地方人民政府商务主管部门应通过12312商务举报投诉服务平台接受与本办法有关的举报和投诉</w:t>
      </w:r>
      <w:r>
        <w:rPr>
          <w:rFonts w:hint="eastAsia" w:ascii="方正仿宋_GBK" w:hAnsi="方正仿宋_GBK" w:eastAsia="方正仿宋_GBK" w:cs="方正仿宋_GBK"/>
          <w:i w:val="0"/>
          <w:iCs w:val="0"/>
          <w:caps w:val="0"/>
          <w:color w:val="262626"/>
          <w:spacing w:val="0"/>
          <w:sz w:val="32"/>
          <w:szCs w:val="32"/>
          <w:lang w:eastAsia="zh-CN"/>
        </w:rPr>
        <w:t>。</w:t>
      </w:r>
    </w:p>
    <w:p>
      <w:pPr>
        <w:keepNext w:val="0"/>
        <w:keepLines w:val="0"/>
        <w:widowControl/>
        <w:suppressLineNumbers w:val="0"/>
        <w:pBdr>
          <w:top w:val="none" w:color="auto" w:sz="0" w:space="0"/>
          <w:left w:val="none" w:color="auto" w:sz="0" w:space="0"/>
          <w:bottom w:val="single" w:color="DCDCDC" w:sz="2" w:space="0"/>
          <w:right w:val="none" w:color="auto" w:sz="0" w:space="0"/>
        </w:pBdr>
        <w:spacing w:before="0" w:beforeAutospacing="0" w:after="0" w:afterAutospacing="0" w:line="288" w:lineRule="atLeast"/>
        <w:ind w:left="0" w:right="0" w:firstLine="0"/>
        <w:jc w:val="left"/>
        <w:rPr>
          <w:rFonts w:hint="eastAsia" w:ascii="方正仿宋_GBK" w:hAnsi="方正仿宋_GBK" w:eastAsia="方正仿宋_GBK" w:cs="方正仿宋_GBK"/>
          <w:i w:val="0"/>
          <w:iCs w:val="0"/>
          <w:caps w:val="0"/>
          <w:color w:val="262626"/>
          <w:spacing w:val="0"/>
          <w:sz w:val="32"/>
          <w:szCs w:val="32"/>
          <w:lang w:eastAsia="zh-CN"/>
        </w:rPr>
      </w:pPr>
    </w:p>
    <w:p>
      <w:pPr>
        <w:keepNext w:val="0"/>
        <w:keepLines w:val="0"/>
        <w:widowControl/>
        <w:numPr>
          <w:numId w:val="0"/>
        </w:numPr>
        <w:suppressLineNumbers w:val="0"/>
        <w:pBdr>
          <w:top w:val="none" w:color="auto" w:sz="0" w:space="0"/>
          <w:left w:val="none" w:color="auto" w:sz="0" w:space="0"/>
          <w:bottom w:val="single" w:color="DCDCDC" w:sz="2" w:space="0"/>
          <w:right w:val="none" w:color="auto" w:sz="0" w:space="0"/>
        </w:pBdr>
        <w:spacing w:before="0" w:beforeAutospacing="0" w:after="0" w:afterAutospacing="0" w:line="288" w:lineRule="atLeast"/>
        <w:ind w:leftChars="0" w:right="0" w:rightChars="0"/>
        <w:jc w:val="both"/>
        <w:rPr>
          <w:rFonts w:hint="eastAsia" w:ascii="方正仿宋_GBK" w:hAnsi="方正仿宋_GBK" w:eastAsia="方正仿宋_GBK" w:cs="方正仿宋_GBK"/>
          <w:i w:val="0"/>
          <w:iCs w:val="0"/>
          <w:caps w:val="0"/>
          <w:color w:val="262626"/>
          <w:spacing w:val="0"/>
          <w:sz w:val="32"/>
          <w:szCs w:val="32"/>
          <w:lang w:eastAsia="zh-CN"/>
        </w:rPr>
      </w:pPr>
      <w:r>
        <w:rPr>
          <w:rFonts w:hint="eastAsia" w:ascii="方正仿宋_GBK" w:hAnsi="方正仿宋_GBK" w:eastAsia="方正仿宋_GBK" w:cs="方正仿宋_GBK"/>
          <w:i w:val="0"/>
          <w:iCs w:val="0"/>
          <w:caps w:val="0"/>
          <w:color w:val="262626"/>
          <w:spacing w:val="0"/>
          <w:sz w:val="32"/>
          <w:szCs w:val="32"/>
          <w:lang w:eastAsia="zh-CN"/>
        </w:rPr>
        <w:t>二、《四川省洗染业经营者备案实施办法》</w:t>
      </w:r>
    </w:p>
    <w:p>
      <w:pPr>
        <w:keepNext w:val="0"/>
        <w:keepLines w:val="0"/>
        <w:pageBreakBefore w:val="0"/>
        <w:widowControl/>
        <w:numPr>
          <w:numId w:val="0"/>
        </w:numPr>
        <w:suppressLineNumbers w:val="0"/>
        <w:pBdr>
          <w:top w:val="none" w:color="auto" w:sz="0" w:space="0"/>
          <w:left w:val="none" w:color="auto" w:sz="0" w:space="0"/>
          <w:bottom w:val="single" w:color="DCDCDC" w:sz="2"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第十四条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县级以上商务主管部门对本辖区内洗染业经营者备案情况进行监督检查。 </w:t>
      </w:r>
    </w:p>
    <w:p>
      <w:pPr>
        <w:keepNext w:val="0"/>
        <w:keepLines w:val="0"/>
        <w:widowControl/>
        <w:suppressLineNumbers w:val="0"/>
        <w:jc w:val="both"/>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三、《零售商促销行为管理办法》</w:t>
      </w:r>
    </w:p>
    <w:p>
      <w:pPr>
        <w:keepNext w:val="0"/>
        <w:keepLines w:val="0"/>
        <w:widowControl/>
        <w:suppressLineNumbers w:val="0"/>
        <w:pBdr>
          <w:top w:val="none" w:color="auto" w:sz="0" w:space="0"/>
          <w:left w:val="none" w:color="auto" w:sz="0" w:space="0"/>
          <w:bottom w:val="single" w:color="DCDCDC" w:sz="2" w:space="0"/>
          <w:right w:val="none" w:color="auto" w:sz="0" w:space="0"/>
        </w:pBdr>
        <w:spacing w:before="0" w:beforeAutospacing="0" w:after="0" w:afterAutospacing="0" w:line="288" w:lineRule="atLeast"/>
        <w:ind w:left="0" w:right="0" w:firstLine="480"/>
        <w:jc w:val="both"/>
        <w:rPr>
          <w:rFonts w:hint="eastAsia" w:ascii="方正仿宋_GBK" w:hAnsi="方正仿宋_GBK" w:eastAsia="方正仿宋_GBK" w:cs="方正仿宋_GBK"/>
          <w:color w:val="404040"/>
          <w:kern w:val="0"/>
          <w:sz w:val="32"/>
          <w:szCs w:val="32"/>
          <w:lang w:val="en-US" w:eastAsia="zh-CN" w:bidi="ar"/>
        </w:rPr>
      </w:pPr>
      <w:r>
        <w:rPr>
          <w:rFonts w:hint="eastAsia" w:ascii="方正仿宋_GBK" w:hAnsi="方正仿宋_GBK" w:eastAsia="方正仿宋_GBK" w:cs="方正仿宋_GBK"/>
          <w:color w:val="404040"/>
          <w:kern w:val="0"/>
          <w:sz w:val="32"/>
          <w:szCs w:val="32"/>
          <w:lang w:val="en-US" w:eastAsia="zh-CN" w:bidi="ar"/>
        </w:rPr>
        <w:t xml:space="preserve">第二十一条 </w:t>
      </w:r>
    </w:p>
    <w:p>
      <w:pPr>
        <w:keepNext w:val="0"/>
        <w:keepLines w:val="0"/>
        <w:widowControl/>
        <w:suppressLineNumbers w:val="0"/>
        <w:pBdr>
          <w:top w:val="none" w:color="auto" w:sz="0" w:space="0"/>
          <w:left w:val="none" w:color="auto" w:sz="0" w:space="0"/>
          <w:bottom w:val="single" w:color="DCDCDC" w:sz="2" w:space="0"/>
          <w:right w:val="none" w:color="auto" w:sz="0" w:space="0"/>
        </w:pBdr>
        <w:spacing w:before="0" w:beforeAutospacing="0" w:after="0" w:afterAutospacing="0" w:line="288" w:lineRule="atLeast"/>
        <w:ind w:left="0" w:right="0" w:firstLine="480"/>
        <w:jc w:val="both"/>
        <w:rPr>
          <w:rFonts w:hint="eastAsia" w:ascii="方正仿宋_GBK" w:hAnsi="方正仿宋_GBK" w:eastAsia="方正仿宋_GBK" w:cs="方正仿宋_GBK"/>
          <w:i w:val="0"/>
          <w:iCs w:val="0"/>
          <w:caps w:val="0"/>
          <w:color w:val="262626"/>
          <w:spacing w:val="0"/>
          <w:sz w:val="32"/>
          <w:szCs w:val="32"/>
          <w:lang w:val="en-US" w:eastAsia="zh-CN"/>
        </w:rPr>
      </w:pPr>
      <w:r>
        <w:rPr>
          <w:rFonts w:hint="eastAsia" w:ascii="方正仿宋_GBK" w:hAnsi="方正仿宋_GBK" w:eastAsia="方正仿宋_GBK" w:cs="方正仿宋_GBK"/>
          <w:color w:val="404040"/>
          <w:kern w:val="0"/>
          <w:sz w:val="32"/>
          <w:szCs w:val="32"/>
          <w:lang w:val="en-US" w:eastAsia="zh-CN" w:bidi="ar"/>
        </w:rPr>
        <w:t>各地商务、价格、税务、工商等部门依照法律法规及有关规定，在各自职责范围内对促销行为</w:t>
      </w:r>
      <w:bookmarkStart w:id="1" w:name="_GoBack"/>
      <w:bookmarkEnd w:id="1"/>
      <w:r>
        <w:rPr>
          <w:rFonts w:hint="eastAsia" w:ascii="方正仿宋_GBK" w:hAnsi="方正仿宋_GBK" w:eastAsia="方正仿宋_GBK" w:cs="方正仿宋_GBK"/>
          <w:color w:val="404040"/>
          <w:kern w:val="0"/>
          <w:sz w:val="32"/>
          <w:szCs w:val="32"/>
          <w:lang w:val="en-US" w:eastAsia="zh-CN" w:bidi="ar"/>
        </w:rPr>
        <w:t>进行监督管理。对涉嫌犯罪的，由公安机关依法予以查处。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35A8F"/>
    <w:rsid w:val="38C35A8F"/>
    <w:rsid w:val="5999312B"/>
    <w:rsid w:val="6022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2025-07-04T09:11:00Z</dcterms:created>
  <dc:creator>Administrator</dc:creator>
  <cp:lastModifiedBy>Administrator</cp:lastModifiedBy>
  <dcterms:modified xsi:type="dcterms:W3CDTF">2025-07-04T09:19:07Z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43E6CB5E95F0411A84F72B79BF1E23E0</vt:lpwstr>
  </property>
</Properties>
</file>