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9305F">
      <w:pPr>
        <w:widowControl/>
        <w:spacing w:line="578" w:lineRule="exact"/>
        <w:contextualSpacing/>
        <w:rPr>
          <w:rFonts w:eastAsia="宋体"/>
          <w:b/>
          <w:sz w:val="44"/>
          <w:szCs w:val="44"/>
          <w:shd w:val="clear" w:color="auto" w:fill="FFFFFF"/>
        </w:rPr>
      </w:pPr>
    </w:p>
    <w:p w14:paraId="56077131">
      <w:pPr>
        <w:spacing w:line="560" w:lineRule="exact"/>
        <w:jc w:val="center"/>
        <w:rPr>
          <w:rFonts w:hint="eastAsia" w:ascii="Times New Roman" w:hAnsi="Times New Roman" w:eastAsia="方正小标宋_GBK"/>
          <w:b/>
          <w:sz w:val="38"/>
          <w:szCs w:val="38"/>
          <w:lang w:val="en-US" w:eastAsia="zh-CN"/>
        </w:rPr>
      </w:pPr>
      <w:r>
        <w:rPr>
          <w:rFonts w:ascii="Times New Roman" w:hAnsi="Times New Roman" w:eastAsia="方正小标宋_GBK"/>
          <w:b/>
          <w:sz w:val="38"/>
          <w:szCs w:val="38"/>
        </w:rPr>
        <w:t>中共攀枝花市西区区委宣传部</w:t>
      </w:r>
      <w:r>
        <w:rPr>
          <w:rFonts w:hint="eastAsia" w:ascii="Times New Roman" w:hAnsi="Times New Roman" w:eastAsia="方正小标宋_GBK"/>
          <w:b/>
          <w:sz w:val="38"/>
          <w:szCs w:val="38"/>
          <w:lang w:val="en-US" w:eastAsia="zh-CN"/>
        </w:rPr>
        <w:t>2024年</w:t>
      </w:r>
    </w:p>
    <w:p w14:paraId="237FC168">
      <w:pPr>
        <w:spacing w:line="560" w:lineRule="exact"/>
        <w:jc w:val="center"/>
        <w:rPr>
          <w:rFonts w:ascii="Times New Roman" w:hAnsi="Times New Roman" w:eastAsia="方正小标宋_GBK"/>
          <w:b/>
          <w:sz w:val="38"/>
          <w:szCs w:val="38"/>
        </w:rPr>
      </w:pPr>
      <w:r>
        <w:rPr>
          <w:rFonts w:ascii="Times New Roman" w:hAnsi="Times New Roman" w:eastAsia="方正小标宋_GBK"/>
          <w:b/>
          <w:sz w:val="38"/>
          <w:szCs w:val="38"/>
        </w:rPr>
        <w:t>部门预算绩效</w:t>
      </w:r>
      <w:r>
        <w:rPr>
          <w:rFonts w:hint="eastAsia" w:ascii="Times New Roman" w:hAnsi="Times New Roman" w:eastAsia="方正小标宋_GBK"/>
          <w:b/>
          <w:sz w:val="38"/>
          <w:szCs w:val="38"/>
        </w:rPr>
        <w:t>自评</w:t>
      </w:r>
      <w:r>
        <w:rPr>
          <w:rFonts w:ascii="Times New Roman" w:hAnsi="Times New Roman" w:eastAsia="方正小标宋_GBK"/>
          <w:b/>
          <w:sz w:val="38"/>
          <w:szCs w:val="38"/>
        </w:rPr>
        <w:t>报告</w:t>
      </w:r>
    </w:p>
    <w:p w14:paraId="0DC4BDE7">
      <w:pPr>
        <w:widowControl/>
        <w:spacing w:line="578" w:lineRule="exact"/>
        <w:contextualSpacing/>
        <w:jc w:val="center"/>
        <w:rPr>
          <w:szCs w:val="32"/>
          <w:shd w:val="clear" w:color="auto" w:fill="FFFFFF"/>
        </w:rPr>
      </w:pPr>
    </w:p>
    <w:p w14:paraId="4ABEB919">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14:paraId="45BA1392">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szCs w:val="32"/>
        </w:rPr>
      </w:pPr>
      <w:r>
        <w:rPr>
          <w:rFonts w:eastAsia="黑体"/>
          <w:color w:val="000000"/>
          <w:kern w:val="0"/>
          <w:szCs w:val="32"/>
          <w:shd w:val="clear" w:color="auto" w:fill="FFFFFF"/>
          <w:lang w:val="zh-CN"/>
        </w:rPr>
        <w:t>一、部门（单位）基本情况</w:t>
      </w:r>
    </w:p>
    <w:p w14:paraId="0C22DFA2">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szCs w:val="32"/>
        </w:rPr>
      </w:pPr>
      <w:r>
        <w:rPr>
          <w:rFonts w:eastAsia="楷体_GB2312"/>
          <w:b/>
          <w:bCs/>
          <w:color w:val="000000"/>
          <w:kern w:val="0"/>
          <w:szCs w:val="32"/>
          <w:shd w:val="clear" w:color="auto" w:fill="FFFFFF"/>
          <w:lang w:val="zh-CN"/>
        </w:rPr>
        <w:t>（一）机构组成</w:t>
      </w:r>
      <w:r>
        <w:rPr>
          <w:rFonts w:hint="eastAsia" w:eastAsia="楷体_GB2312"/>
          <w:b/>
          <w:bCs/>
          <w:color w:val="000000"/>
          <w:kern w:val="0"/>
          <w:szCs w:val="32"/>
          <w:shd w:val="clear" w:color="auto" w:fill="FFFFFF"/>
          <w:lang w:val="zh-CN"/>
        </w:rPr>
        <w:t>。</w:t>
      </w:r>
    </w:p>
    <w:p w14:paraId="6B990CBC">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楷体_GB2312"/>
          <w:b/>
          <w:bCs/>
          <w:color w:val="000000"/>
          <w:kern w:val="0"/>
          <w:szCs w:val="32"/>
          <w:shd w:val="clear" w:color="auto" w:fill="FFFFFF"/>
          <w:lang w:val="zh-CN"/>
        </w:rPr>
      </w:pPr>
      <w:r>
        <w:rPr>
          <w:rFonts w:hint="eastAsia" w:ascii="Times New Roman" w:hAnsi="Times New Roman" w:eastAsia="仿宋_GB2312" w:cs="Times New Roman"/>
          <w:lang w:val="zh-CN" w:eastAsia="zh-CN"/>
        </w:rPr>
        <w:t>中共攀枝花市西区区委宣传部（简称区委宣传部）是区委主管意识形态方面工作的职能部门，为正科级，</w:t>
      </w:r>
      <w:r>
        <w:rPr>
          <w:rFonts w:hint="eastAsia" w:cs="Times New Roman"/>
          <w:lang w:val="zh-CN" w:eastAsia="zh-CN"/>
        </w:rPr>
        <w:t>列入</w:t>
      </w:r>
      <w:r>
        <w:rPr>
          <w:rFonts w:hint="eastAsia" w:ascii="Times New Roman" w:hAnsi="Times New Roman" w:eastAsia="仿宋_GB2312" w:cs="Times New Roman"/>
          <w:lang w:val="zh-CN" w:eastAsia="zh-CN"/>
        </w:rPr>
        <w:t>区委工作机关序列。加挂区精神文明建设办公室、区委对外宣传办公室（区政府新闻办公室）、区新闻出版局（区版权局）牌子。</w:t>
      </w:r>
      <w:r>
        <w:rPr>
          <w:rFonts w:hint="eastAsia" w:cs="Times New Roman"/>
          <w:lang w:val="zh-CN" w:eastAsia="zh-CN"/>
        </w:rPr>
        <w:t>下设二级单位区舆情信息中心，</w:t>
      </w:r>
      <w:r>
        <w:rPr>
          <w:rFonts w:hint="eastAsia" w:ascii="Times New Roman" w:hAnsi="Times New Roman" w:eastAsia="仿宋_GB2312" w:cs="Times New Roman"/>
          <w:lang w:val="zh-CN" w:eastAsia="zh-CN"/>
        </w:rPr>
        <w:t>代管区融媒体中心、区文联</w:t>
      </w:r>
      <w:r>
        <w:rPr>
          <w:rFonts w:hint="eastAsia" w:cs="Times New Roman"/>
          <w:lang w:val="zh-CN" w:eastAsia="zh-CN"/>
        </w:rPr>
        <w:t>。</w:t>
      </w:r>
    </w:p>
    <w:p w14:paraId="71CA83D5">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（二）机构职能。</w:t>
      </w:r>
    </w:p>
    <w:p w14:paraId="1C84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楷体_GB2312"/>
          <w:b/>
          <w:bCs/>
          <w:color w:val="000000"/>
          <w:kern w:val="0"/>
          <w:szCs w:val="32"/>
          <w:shd w:val="clear" w:color="auto" w:fill="FFFFFF"/>
          <w:lang w:val="zh-CN"/>
        </w:rPr>
      </w:pPr>
      <w:r>
        <w:rPr>
          <w:rFonts w:hint="eastAsia" w:ascii="Times New Roman" w:hAnsi="Times New Roman" w:eastAsia="仿宋_GB2312" w:cs="Times New Roman"/>
          <w:lang w:val="zh-CN" w:eastAsia="zh-CN"/>
        </w:rPr>
        <w:t>一是拟定全区宣传思想文化工作重大政策和事业产业发展总体规划，统筹协调推进宣传思想文化领域法治建设。二是统筹协调全区党的意识形态工作。三是统筹指导协调理论研究、理论学习、理论宣传工作，组织推动理论武装工作。四是负责规划组织全局性思想政治工作；组织重大先进典型的学习和推广。五是统筹组织协调精神文明建设工作，协调推进精神文明创建、公民思想道德建设和志愿服务工作。六是统筹协调对外宣传工作。七是统筹指导推进文化体制改革和文化事业、文化产业及旅游发展。八是负责管理新闻出版行政事务。九是负责管理电影行政事务。十是归口领导区文广旅局等宣传思想文化和旅游单位，受区委委托，代管区文学艺术界联合会等宣传思想文化和旅游单位。十一是统筹推进网络阵地建设。十二是负责职责范围内的安全生产和职业健康、生态环境保护等工作。十三是完成区委和市委宣传部交办的其他任务</w:t>
      </w:r>
      <w:r>
        <w:rPr>
          <w:rFonts w:hint="eastAsia" w:cs="Times New Roman"/>
          <w:lang w:val="zh-CN" w:eastAsia="zh-CN"/>
        </w:rPr>
        <w:t>。</w:t>
      </w:r>
    </w:p>
    <w:p w14:paraId="5AB0F344">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Fonts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人员概况。</w:t>
      </w:r>
    </w:p>
    <w:p w14:paraId="0137E4F4">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eastAsia="黑体"/>
          <w:color w:val="000000"/>
          <w:kern w:val="0"/>
          <w:szCs w:val="32"/>
          <w:shd w:val="clear" w:color="auto" w:fill="FFFFFF"/>
        </w:rPr>
      </w:pPr>
      <w:r>
        <w:rPr>
          <w:szCs w:val="32"/>
        </w:rPr>
        <w:t>截至202</w:t>
      </w:r>
      <w:r>
        <w:rPr>
          <w:rFonts w:hint="eastAsia"/>
          <w:szCs w:val="32"/>
        </w:rPr>
        <w:t>4</w:t>
      </w:r>
      <w:r>
        <w:rPr>
          <w:szCs w:val="32"/>
        </w:rPr>
        <w:t>年末，</w:t>
      </w:r>
      <w:r>
        <w:rPr>
          <w:rFonts w:hint="eastAsia" w:ascii="Times New Roman" w:hAnsi="Times New Roman" w:eastAsia="仿宋_GB2312" w:cs="Times New Roman"/>
          <w:lang w:val="zh-CN" w:eastAsia="zh-CN"/>
        </w:rPr>
        <w:t>区委宣传部行政编制</w:t>
      </w:r>
      <w:r>
        <w:rPr>
          <w:rFonts w:hint="eastAsia" w:cs="Times New Roman"/>
          <w:lang w:val="en-US" w:eastAsia="zh-CN"/>
        </w:rPr>
        <w:t>8</w:t>
      </w:r>
      <w:r>
        <w:rPr>
          <w:rFonts w:hint="eastAsia" w:ascii="Times New Roman" w:hAnsi="Times New Roman" w:eastAsia="仿宋_GB2312" w:cs="Times New Roman"/>
          <w:lang w:val="zh-CN" w:eastAsia="zh-CN"/>
        </w:rPr>
        <w:t>名，区文联参公编制</w:t>
      </w:r>
      <w:r>
        <w:rPr>
          <w:rFonts w:hint="eastAsia" w:cs="Times New Roman"/>
          <w:lang w:val="en-US" w:eastAsia="zh-CN"/>
        </w:rPr>
        <w:t>4</w:t>
      </w:r>
      <w:r>
        <w:rPr>
          <w:rFonts w:hint="eastAsia" w:ascii="Times New Roman" w:hAnsi="Times New Roman" w:eastAsia="仿宋_GB2312" w:cs="Times New Roman"/>
          <w:lang w:val="zh-CN" w:eastAsia="zh-CN"/>
        </w:rPr>
        <w:t>名，区融媒体中心事业编制</w:t>
      </w:r>
      <w:r>
        <w:rPr>
          <w:rFonts w:hint="default" w:ascii="Times New Roman" w:hAnsi="Times New Roman" w:eastAsia="仿宋_GB2312" w:cs="Times New Roman"/>
          <w:lang w:val="zh-CN" w:eastAsia="zh-CN"/>
        </w:rPr>
        <w:t>1</w:t>
      </w:r>
      <w:r>
        <w:rPr>
          <w:rFonts w:hint="eastAsia" w:cs="Times New Roman"/>
          <w:lang w:val="en-US" w:eastAsia="zh-CN"/>
        </w:rPr>
        <w:t>3</w:t>
      </w:r>
      <w:r>
        <w:rPr>
          <w:rFonts w:hint="eastAsia" w:ascii="Times New Roman" w:hAnsi="Times New Roman" w:eastAsia="仿宋_GB2312" w:cs="Times New Roman"/>
          <w:lang w:val="zh-CN" w:eastAsia="zh-CN"/>
        </w:rPr>
        <w:t>名、临聘编制</w:t>
      </w:r>
      <w:r>
        <w:rPr>
          <w:rFonts w:hint="default" w:ascii="Times New Roman" w:hAnsi="Times New Roman" w:eastAsia="仿宋_GB2312" w:cs="Times New Roman"/>
          <w:lang w:val="zh-CN" w:eastAsia="zh-CN"/>
        </w:rPr>
        <w:t>1</w:t>
      </w:r>
      <w:r>
        <w:rPr>
          <w:rFonts w:hint="eastAsia" w:ascii="Times New Roman" w:hAnsi="Times New Roman" w:eastAsia="仿宋_GB2312" w:cs="Times New Roman"/>
          <w:lang w:val="zh-CN" w:eastAsia="zh-CN"/>
        </w:rPr>
        <w:t>名</w:t>
      </w:r>
      <w:r>
        <w:rPr>
          <w:rFonts w:hint="eastAsia" w:cs="Times New Roman"/>
          <w:lang w:val="zh-CN" w:eastAsia="zh-CN"/>
        </w:rPr>
        <w:t>，区舆情信息中心编制</w:t>
      </w:r>
      <w:r>
        <w:rPr>
          <w:rFonts w:hint="eastAsia" w:cs="Times New Roman"/>
          <w:lang w:val="en-US" w:eastAsia="zh-CN"/>
        </w:rPr>
        <w:t>5名</w:t>
      </w:r>
      <w:r>
        <w:rPr>
          <w:szCs w:val="32"/>
        </w:rPr>
        <w:t>。</w:t>
      </w:r>
      <w:r>
        <w:rPr>
          <w:rFonts w:hint="eastAsia"/>
          <w:szCs w:val="32"/>
          <w:lang w:eastAsia="zh-CN"/>
        </w:rPr>
        <w:t>年末实有人员</w:t>
      </w:r>
      <w:r>
        <w:rPr>
          <w:rFonts w:hint="eastAsia"/>
          <w:szCs w:val="32"/>
          <w:lang w:val="en-US" w:eastAsia="zh-CN"/>
        </w:rPr>
        <w:t>28人。</w:t>
      </w:r>
    </w:p>
    <w:p w14:paraId="15DFA9FF">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14:paraId="78C17B3B">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rFonts w:ascii="Times New Roman" w:hAnsi="Times New Roman" w:cs="Times New Roman"/>
          <w:b/>
          <w:bCs/>
          <w:szCs w:val="32"/>
          <w:lang w:val="zh-CN"/>
        </w:rPr>
      </w:pPr>
      <w:r>
        <w:rPr>
          <w:rFonts w:eastAsia="楷体_GB2312"/>
          <w:b/>
          <w:bCs/>
          <w:color w:val="000000"/>
          <w:kern w:val="0"/>
          <w:szCs w:val="32"/>
          <w:shd w:val="clear" w:color="auto" w:fill="FFFFFF"/>
          <w:lang w:val="zh-CN"/>
        </w:rPr>
        <w:t>（一）收入情况</w:t>
      </w:r>
      <w:r>
        <w:rPr>
          <w:rFonts w:ascii="Times New Roman" w:hAnsi="Times New Roman" w:cs="Times New Roman"/>
          <w:b/>
          <w:bCs/>
          <w:szCs w:val="32"/>
          <w:lang w:val="zh-CN"/>
        </w:rPr>
        <w:t>。</w:t>
      </w:r>
    </w:p>
    <w:p w14:paraId="071E69F4">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楷体_GB2312"/>
          <w:b/>
          <w:bCs/>
          <w:color w:val="000000"/>
          <w:kern w:val="0"/>
          <w:szCs w:val="32"/>
          <w:shd w:val="clear" w:color="auto" w:fill="FFFFFF"/>
        </w:rPr>
      </w:pPr>
      <w:r>
        <w:rPr>
          <w:rFonts w:hint="eastAsia"/>
          <w:color w:val="000000"/>
          <w:kern w:val="0"/>
          <w:szCs w:val="32"/>
          <w:shd w:val="clear" w:color="auto" w:fill="FFFFFF"/>
          <w:lang w:val="en-US" w:eastAsia="zh-CN"/>
        </w:rPr>
        <w:t>区委宣传部</w:t>
      </w:r>
      <w:r>
        <w:rPr>
          <w:rFonts w:hint="eastAsia" w:ascii="Times New Roman" w:hAnsi="Times New Roman" w:cs="Times New Roman"/>
          <w:szCs w:val="32"/>
          <w:lang w:val="zh-CN"/>
        </w:rPr>
        <w:t>20</w:t>
      </w:r>
      <w:r>
        <w:rPr>
          <w:rFonts w:hint="eastAsia" w:cs="Times New Roman"/>
          <w:szCs w:val="32"/>
          <w:lang w:val="en-US" w:eastAsia="zh-CN"/>
        </w:rPr>
        <w:t>24</w:t>
      </w:r>
      <w:r>
        <w:rPr>
          <w:rFonts w:hint="eastAsia" w:ascii="Times New Roman" w:hAnsi="Times New Roman" w:cs="Times New Roman"/>
          <w:szCs w:val="32"/>
          <w:lang w:val="zh-CN"/>
        </w:rPr>
        <w:t>年全年预算收入</w:t>
      </w:r>
      <w:r>
        <w:rPr>
          <w:rFonts w:hint="eastAsia" w:cs="Times New Roman"/>
          <w:szCs w:val="32"/>
          <w:lang w:val="en-US" w:eastAsia="zh-CN"/>
        </w:rPr>
        <w:t>1010.76</w:t>
      </w:r>
      <w:r>
        <w:rPr>
          <w:rFonts w:hint="eastAsia" w:ascii="Times New Roman" w:hAnsi="Times New Roman" w:cs="Times New Roman"/>
          <w:szCs w:val="32"/>
          <w:lang w:val="zh-CN"/>
        </w:rPr>
        <w:t>万元，其中：一般公共预算拨款收入</w:t>
      </w:r>
      <w:r>
        <w:rPr>
          <w:rFonts w:hint="eastAsia" w:cs="Times New Roman"/>
          <w:szCs w:val="32"/>
          <w:lang w:val="en-US" w:eastAsia="zh-CN"/>
        </w:rPr>
        <w:t>878.59</w:t>
      </w:r>
      <w:r>
        <w:rPr>
          <w:rFonts w:hint="eastAsia" w:ascii="Times New Roman" w:hAnsi="Times New Roman" w:cs="Times New Roman"/>
          <w:szCs w:val="32"/>
          <w:lang w:val="zh-CN"/>
        </w:rPr>
        <w:t>万元，占总收入</w:t>
      </w:r>
      <w:r>
        <w:rPr>
          <w:rFonts w:hint="eastAsia" w:cs="Times New Roman"/>
          <w:szCs w:val="32"/>
          <w:lang w:val="en-US" w:eastAsia="zh-CN"/>
        </w:rPr>
        <w:t>86.92</w:t>
      </w:r>
      <w:r>
        <w:rPr>
          <w:rFonts w:hint="eastAsia" w:ascii="Times New Roman" w:hAnsi="Times New Roman" w:cs="Times New Roman"/>
          <w:szCs w:val="32"/>
          <w:lang w:val="zh-CN"/>
        </w:rPr>
        <w:t>%；政府性基金预算拨款</w:t>
      </w:r>
      <w:r>
        <w:rPr>
          <w:rFonts w:hint="eastAsia" w:cs="Times New Roman"/>
          <w:szCs w:val="32"/>
          <w:lang w:val="zh-CN"/>
        </w:rPr>
        <w:t>收入</w:t>
      </w:r>
      <w:r>
        <w:rPr>
          <w:rFonts w:hint="eastAsia" w:cs="Times New Roman"/>
          <w:szCs w:val="32"/>
          <w:lang w:val="en-US" w:eastAsia="zh-CN"/>
        </w:rPr>
        <w:t>132.17</w:t>
      </w:r>
      <w:r>
        <w:rPr>
          <w:rFonts w:hint="eastAsia" w:ascii="Times New Roman" w:hAnsi="Times New Roman" w:cs="Times New Roman"/>
          <w:szCs w:val="32"/>
          <w:lang w:val="zh-CN"/>
        </w:rPr>
        <w:t>万元，占总收入</w:t>
      </w:r>
      <w:r>
        <w:rPr>
          <w:rFonts w:hint="eastAsia" w:cs="Times New Roman"/>
          <w:szCs w:val="32"/>
          <w:lang w:val="en-US" w:eastAsia="zh-CN"/>
        </w:rPr>
        <w:t>13.08</w:t>
      </w:r>
      <w:r>
        <w:rPr>
          <w:rFonts w:hint="eastAsia" w:ascii="Times New Roman" w:hAnsi="Times New Roman" w:cs="Times New Roman"/>
          <w:szCs w:val="32"/>
          <w:lang w:val="zh-CN"/>
        </w:rPr>
        <w:t>%</w:t>
      </w:r>
      <w:r>
        <w:rPr>
          <w:rFonts w:ascii="Times New Roman" w:hAnsi="Times New Roman" w:cs="Times New Roman"/>
          <w:szCs w:val="32"/>
        </w:rPr>
        <w:t>。</w:t>
      </w:r>
    </w:p>
    <w:p w14:paraId="52C760B4">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szCs w:val="32"/>
          <w:lang w:val="zh-CN"/>
        </w:rPr>
      </w:pPr>
      <w:r>
        <w:rPr>
          <w:rFonts w:eastAsia="楷体_GB2312"/>
          <w:b/>
          <w:bCs/>
          <w:color w:val="000000"/>
          <w:kern w:val="0"/>
          <w:szCs w:val="32"/>
          <w:shd w:val="clear" w:color="auto" w:fill="FFFFFF"/>
          <w:lang w:val="zh-CN"/>
        </w:rPr>
        <w:t>（二）支出情况。</w:t>
      </w:r>
    </w:p>
    <w:p w14:paraId="2DA15591">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rPr>
        <w:t>202</w:t>
      </w:r>
      <w:r>
        <w:rPr>
          <w:rFonts w:hint="eastAsia" w:ascii="Times New Roman" w:hAnsi="Times New Roman" w:cs="Times New Roman"/>
          <w:color w:val="000000"/>
          <w:kern w:val="0"/>
          <w:szCs w:val="32"/>
          <w:shd w:val="clear" w:color="auto" w:fill="FFFFFF"/>
          <w:lang w:val="en-US" w:eastAsia="zh-CN"/>
        </w:rPr>
        <w:t>4</w:t>
      </w:r>
      <w:r>
        <w:rPr>
          <w:rFonts w:hint="eastAsia" w:ascii="Times New Roman" w:hAnsi="Times New Roman" w:cs="Times New Roman"/>
          <w:color w:val="000000"/>
          <w:kern w:val="0"/>
          <w:szCs w:val="32"/>
          <w:shd w:val="clear" w:color="auto" w:fill="FFFFFF"/>
          <w:lang w:val="zh-CN"/>
        </w:rPr>
        <w:t>年财政资金支出</w:t>
      </w:r>
      <w:r>
        <w:rPr>
          <w:rFonts w:hint="eastAsia" w:cs="Times New Roman"/>
          <w:color w:val="000000"/>
          <w:kern w:val="0"/>
          <w:szCs w:val="32"/>
          <w:shd w:val="clear" w:color="auto" w:fill="FFFFFF"/>
          <w:lang w:val="en-US" w:eastAsia="zh-CN"/>
        </w:rPr>
        <w:t>727.12</w:t>
      </w:r>
      <w:r>
        <w:rPr>
          <w:rFonts w:hint="eastAsia" w:ascii="Times New Roman" w:hAnsi="Times New Roman" w:cs="Times New Roman"/>
          <w:color w:val="000000"/>
          <w:kern w:val="0"/>
          <w:szCs w:val="32"/>
          <w:shd w:val="clear" w:color="auto" w:fill="FFFFFF"/>
          <w:lang w:val="zh-CN"/>
        </w:rPr>
        <w:t>万元，其中：基本支出</w:t>
      </w:r>
      <w:r>
        <w:rPr>
          <w:rFonts w:hint="eastAsia" w:cs="Times New Roman"/>
          <w:color w:val="000000"/>
          <w:kern w:val="0"/>
          <w:szCs w:val="32"/>
          <w:shd w:val="clear" w:color="auto" w:fill="FFFFFF"/>
          <w:lang w:val="en-US" w:eastAsia="zh-CN"/>
        </w:rPr>
        <w:t>541.24</w:t>
      </w:r>
      <w:r>
        <w:rPr>
          <w:rFonts w:hint="eastAsia" w:ascii="Times New Roman" w:hAnsi="Times New Roman" w:cs="Times New Roman"/>
          <w:color w:val="000000"/>
          <w:kern w:val="0"/>
          <w:szCs w:val="32"/>
          <w:shd w:val="clear" w:color="auto" w:fill="FFFFFF"/>
          <w:lang w:val="zh-CN"/>
        </w:rPr>
        <w:t>万元，其中：人员经费</w:t>
      </w:r>
      <w:r>
        <w:rPr>
          <w:rFonts w:hint="eastAsia" w:cs="Times New Roman"/>
          <w:color w:val="000000"/>
          <w:kern w:val="0"/>
          <w:szCs w:val="32"/>
          <w:shd w:val="clear" w:color="auto" w:fill="FFFFFF"/>
          <w:lang w:val="en-US" w:eastAsia="zh-CN"/>
        </w:rPr>
        <w:t>498.62</w:t>
      </w:r>
      <w:r>
        <w:rPr>
          <w:rFonts w:hint="eastAsia" w:ascii="Times New Roman" w:hAnsi="Times New Roman" w:cs="Times New Roman"/>
          <w:color w:val="000000"/>
          <w:kern w:val="0"/>
          <w:szCs w:val="32"/>
          <w:shd w:val="clear" w:color="auto" w:fill="FFFFFF"/>
          <w:lang w:val="zh-CN"/>
        </w:rPr>
        <w:t>万元，公用经费</w:t>
      </w:r>
      <w:r>
        <w:rPr>
          <w:rFonts w:hint="eastAsia" w:cs="Times New Roman"/>
          <w:color w:val="000000"/>
          <w:kern w:val="0"/>
          <w:szCs w:val="32"/>
          <w:shd w:val="clear" w:color="auto" w:fill="FFFFFF"/>
          <w:lang w:val="en-US" w:eastAsia="zh-CN"/>
        </w:rPr>
        <w:t>42.62</w:t>
      </w:r>
      <w:r>
        <w:rPr>
          <w:rFonts w:hint="eastAsia" w:ascii="Times New Roman" w:hAnsi="Times New Roman" w:cs="Times New Roman"/>
          <w:color w:val="000000"/>
          <w:kern w:val="0"/>
          <w:szCs w:val="32"/>
          <w:shd w:val="clear" w:color="auto" w:fill="FFFFFF"/>
          <w:lang w:val="zh-CN"/>
        </w:rPr>
        <w:t>万元；项目经费支出</w:t>
      </w:r>
      <w:r>
        <w:rPr>
          <w:rFonts w:hint="eastAsia" w:cs="Times New Roman"/>
          <w:color w:val="000000"/>
          <w:kern w:val="0"/>
          <w:szCs w:val="32"/>
          <w:shd w:val="clear" w:color="auto" w:fill="FFFFFF"/>
          <w:lang w:val="en-US" w:eastAsia="zh-CN"/>
        </w:rPr>
        <w:t>185.88</w:t>
      </w:r>
      <w:r>
        <w:rPr>
          <w:rFonts w:hint="eastAsia" w:ascii="Times New Roman" w:hAnsi="Times New Roman" w:cs="Times New Roman"/>
          <w:color w:val="000000"/>
          <w:kern w:val="0"/>
          <w:szCs w:val="32"/>
          <w:shd w:val="clear" w:color="auto" w:fill="FFFFFF"/>
          <w:lang w:val="zh-CN"/>
        </w:rPr>
        <w:t>万元。</w:t>
      </w:r>
    </w:p>
    <w:p w14:paraId="45564D5F">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color w:val="000000"/>
          <w:kern w:val="0"/>
          <w:szCs w:val="32"/>
          <w:shd w:val="clear" w:color="auto" w:fill="FFFFFF"/>
          <w:lang w:val="zh-CN"/>
        </w:rPr>
      </w:pPr>
      <w:r>
        <w:rPr>
          <w:rFonts w:eastAsia="楷体_GB2312"/>
          <w:b/>
          <w:bCs/>
          <w:color w:val="000000"/>
          <w:kern w:val="0"/>
          <w:szCs w:val="32"/>
          <w:shd w:val="clear" w:color="auto" w:fill="FFFFFF"/>
          <w:lang w:val="zh-CN"/>
        </w:rPr>
        <w:t>（三）</w:t>
      </w:r>
      <w:r>
        <w:rPr>
          <w:rFonts w:eastAsia="楷体_GB2312"/>
          <w:b/>
          <w:szCs w:val="32"/>
        </w:rPr>
        <w:t>结余分配和结转结余情况。</w:t>
      </w:r>
    </w:p>
    <w:p w14:paraId="3F1B1DE4">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黑体"/>
          <w:color w:val="000000"/>
          <w:kern w:val="0"/>
          <w:szCs w:val="32"/>
          <w:shd w:val="clear" w:color="auto" w:fill="FFFFFF"/>
        </w:rPr>
      </w:pPr>
      <w:r>
        <w:rPr>
          <w:rFonts w:hint="eastAsia" w:cs="Times New Roman"/>
          <w:color w:val="000000"/>
          <w:kern w:val="0"/>
          <w:szCs w:val="32"/>
          <w:shd w:val="clear" w:color="auto" w:fill="FFFFFF"/>
          <w:lang w:val="en-US" w:eastAsia="zh-CN"/>
        </w:rPr>
        <w:t>区委宣传部</w:t>
      </w:r>
      <w:r>
        <w:rPr>
          <w:szCs w:val="32"/>
        </w:rPr>
        <w:t>202</w:t>
      </w:r>
      <w:r>
        <w:rPr>
          <w:rFonts w:hint="eastAsia"/>
          <w:szCs w:val="32"/>
        </w:rPr>
        <w:t>4</w:t>
      </w:r>
      <w:r>
        <w:rPr>
          <w:szCs w:val="32"/>
        </w:rPr>
        <w:t>年决算报表</w:t>
      </w:r>
      <w:r>
        <w:rPr>
          <w:rFonts w:hint="eastAsia"/>
          <w:szCs w:val="32"/>
          <w:lang w:eastAsia="zh-CN"/>
        </w:rPr>
        <w:t>无</w:t>
      </w:r>
      <w:r>
        <w:rPr>
          <w:color w:val="000000"/>
          <w:kern w:val="0"/>
          <w:szCs w:val="32"/>
          <w:shd w:val="clear" w:color="auto" w:fill="FFFFFF"/>
        </w:rPr>
        <w:t>结转结余。</w:t>
      </w:r>
    </w:p>
    <w:p w14:paraId="779F7AAB">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黑体"/>
          <w:color w:val="000000" w:themeColor="text1"/>
          <w:kern w:val="0"/>
          <w:szCs w:val="32"/>
          <w:shd w:val="clear" w:color="auto" w:fill="FFFFFF"/>
          <w14:textFill>
            <w14:solidFill>
              <w14:schemeClr w14:val="tx1"/>
            </w14:solidFill>
          </w14:textFill>
        </w:rPr>
      </w:pPr>
      <w:r>
        <w:rPr>
          <w:rFonts w:eastAsia="黑体"/>
          <w:color w:val="000000"/>
          <w:kern w:val="0"/>
          <w:szCs w:val="32"/>
          <w:shd w:val="clear" w:color="auto" w:fill="FFFFFF"/>
        </w:rPr>
        <w:t>三、部门预算绩效分析</w:t>
      </w:r>
    </w:p>
    <w:p w14:paraId="38F57D89">
      <w:pPr>
        <w:keepNext w:val="0"/>
        <w:keepLines w:val="0"/>
        <w:pageBreakBefore w:val="0"/>
        <w:kinsoku/>
        <w:wordWrap/>
        <w:overflowPunct/>
        <w:topLinePunct w:val="0"/>
        <w:autoSpaceDE/>
        <w:autoSpaceDN/>
        <w:bidi w:val="0"/>
        <w:adjustRightInd w:val="0"/>
        <w:snapToGrid w:val="0"/>
        <w:spacing w:line="360" w:lineRule="auto"/>
        <w:ind w:firstLine="643" w:firstLineChars="200"/>
        <w:contextualSpacing/>
        <w:jc w:val="left"/>
        <w:textAlignment w:val="auto"/>
        <w:rPr>
          <w:color w:val="000000"/>
          <w:kern w:val="0"/>
          <w:szCs w:val="32"/>
          <w:shd w:val="clear" w:color="auto" w:fill="FFFFFF"/>
          <w:lang w:val="zh-CN"/>
        </w:rPr>
      </w:pPr>
      <w:r>
        <w:rPr>
          <w:rFonts w:eastAsia="楷体_GB2312"/>
          <w:b/>
          <w:bCs/>
          <w:color w:val="000000"/>
          <w:kern w:val="0"/>
          <w:szCs w:val="32"/>
          <w:shd w:val="clear" w:color="auto" w:fill="FFFFFF"/>
          <w:lang w:val="zh-CN"/>
        </w:rPr>
        <w:t>（一）部门预算总体绩效分析。</w:t>
      </w:r>
    </w:p>
    <w:p w14:paraId="48715FCB">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color w:val="000000"/>
          <w:kern w:val="0"/>
          <w:szCs w:val="32"/>
          <w:shd w:val="clear" w:color="auto" w:fill="FFFFFF"/>
          <w:lang w:val="zh-CN"/>
        </w:rPr>
      </w:pPr>
      <w:r>
        <w:rPr>
          <w:rFonts w:eastAsia="楷体_GB2312"/>
          <w:color w:val="000000"/>
          <w:kern w:val="0"/>
          <w:szCs w:val="32"/>
          <w:shd w:val="clear" w:color="auto" w:fill="FFFFFF"/>
        </w:rPr>
        <w:t>1.</w:t>
      </w:r>
      <w:r>
        <w:rPr>
          <w:rFonts w:eastAsia="楷体_GB2312"/>
          <w:color w:val="000000"/>
          <w:kern w:val="0"/>
          <w:szCs w:val="32"/>
          <w:shd w:val="clear" w:color="auto" w:fill="FFFFFF"/>
          <w:lang w:val="zh-CN"/>
        </w:rPr>
        <w:t>履职效能。</w:t>
      </w:r>
    </w:p>
    <w:p w14:paraId="10AFDC4F">
      <w:pPr>
        <w:keepNext w:val="0"/>
        <w:keepLines w:val="0"/>
        <w:pageBreakBefore w:val="0"/>
        <w:kinsoku/>
        <w:wordWrap/>
        <w:overflowPunct/>
        <w:topLinePunct w:val="0"/>
        <w:autoSpaceDE/>
        <w:autoSpaceDN/>
        <w:bidi w:val="0"/>
        <w:adjustRightInd/>
        <w:snapToGrid/>
        <w:spacing w:line="360" w:lineRule="auto"/>
        <w:ind w:firstLine="643" w:firstLineChars="200"/>
        <w:contextualSpacing/>
        <w:textAlignment w:val="auto"/>
        <w:rPr>
          <w:rFonts w:hint="eastAsia" w:ascii="仿宋" w:hAnsi="仿宋" w:eastAsia="仿宋" w:cs="仿宋"/>
          <w:b/>
          <w:bCs/>
          <w:sz w:val="32"/>
          <w:szCs w:val="32"/>
          <w:lang w:eastAsia="zh-CN"/>
        </w:rPr>
      </w:pPr>
      <w:r>
        <w:rPr>
          <w:rFonts w:hint="eastAsia" w:ascii="仿宋" w:hAnsi="仿宋" w:eastAsia="仿宋" w:cs="仿宋"/>
          <w:b/>
          <w:bCs/>
          <w:color w:val="000000"/>
          <w:sz w:val="32"/>
          <w:szCs w:val="32"/>
          <w:lang w:val="en-US" w:eastAsia="zh-CN"/>
        </w:rPr>
        <w:t>（1）筑牢组织基石，</w:t>
      </w:r>
      <w:r>
        <w:rPr>
          <w:rFonts w:hint="eastAsia" w:ascii="仿宋" w:hAnsi="仿宋" w:eastAsia="仿宋" w:cs="仿宋"/>
          <w:b/>
          <w:bCs/>
          <w:sz w:val="32"/>
          <w:szCs w:val="32"/>
          <w:lang w:eastAsia="zh-CN"/>
        </w:rPr>
        <w:t>理论研究入脑入心</w:t>
      </w:r>
    </w:p>
    <w:p w14:paraId="6ACCE728">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理论学习深化实化。</w:t>
      </w:r>
      <w:r>
        <w:rPr>
          <w:rFonts w:hint="eastAsia" w:ascii="仿宋_GB2312" w:hAnsi="仿宋_GB2312" w:eastAsia="仿宋_GB2312" w:cs="仿宋_GB2312"/>
          <w:color w:val="000000"/>
          <w:kern w:val="0"/>
          <w:sz w:val="32"/>
          <w:szCs w:val="32"/>
          <w:shd w:val="clear" w:color="auto" w:fill="FFFFFF"/>
          <w:lang w:val="zh-CN" w:eastAsia="zh-CN"/>
        </w:rPr>
        <w:t>坚持用习近平新时代中国特色社会主义思想凝心铸魂</w:t>
      </w:r>
      <w:bookmarkStart w:id="3" w:name="_GoBack"/>
      <w:bookmarkEnd w:id="3"/>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en-US" w:eastAsia="zh-CN"/>
        </w:rPr>
        <w:t>把“学思想”摆在首位并贯穿始终，教育引导党员干部</w:t>
      </w:r>
      <w:r>
        <w:rPr>
          <w:rFonts w:hint="eastAsia" w:ascii="仿宋_GB2312" w:hAnsi="仿宋_GB2312" w:eastAsia="仿宋_GB2312" w:cs="仿宋_GB2312"/>
          <w:color w:val="000000"/>
          <w:kern w:val="0"/>
          <w:sz w:val="32"/>
          <w:szCs w:val="32"/>
          <w:shd w:val="clear" w:color="auto" w:fill="FFFFFF"/>
          <w:lang w:val="zh-CN"/>
        </w:rPr>
        <w:t>深入学习贯彻习近平新时代中国特色社会主义思想、习近平文化思想等</w:t>
      </w:r>
      <w:r>
        <w:rPr>
          <w:rFonts w:hint="eastAsia" w:ascii="仿宋_GB2312" w:hAnsi="仿宋_GB2312" w:eastAsia="仿宋_GB2312" w:cs="仿宋_GB2312"/>
          <w:color w:val="000000"/>
          <w:kern w:val="0"/>
          <w:sz w:val="32"/>
          <w:szCs w:val="32"/>
          <w:shd w:val="clear" w:color="auto" w:fill="FFFFFF"/>
          <w:lang w:val="zh-CN" w:eastAsia="zh-CN"/>
        </w:rPr>
        <w:t>重要</w:t>
      </w:r>
      <w:r>
        <w:rPr>
          <w:rFonts w:hint="eastAsia" w:ascii="仿宋_GB2312" w:hAnsi="仿宋_GB2312" w:eastAsia="仿宋_GB2312" w:cs="仿宋_GB2312"/>
          <w:color w:val="000000"/>
          <w:kern w:val="0"/>
          <w:sz w:val="32"/>
          <w:szCs w:val="32"/>
          <w:shd w:val="clear" w:color="auto" w:fill="FFFFFF"/>
          <w:lang w:val="zh-CN"/>
        </w:rPr>
        <w:t>精神，学习中央、省市重要会议、文件精神，统筹抓好全区党（工）委（党组）中心组</w:t>
      </w:r>
      <w:r>
        <w:rPr>
          <w:rFonts w:hint="eastAsia" w:ascii="仿宋_GB2312" w:hAnsi="仿宋_GB2312" w:eastAsia="仿宋_GB2312" w:cs="仿宋_GB2312"/>
          <w:color w:val="000000"/>
          <w:kern w:val="0"/>
          <w:sz w:val="32"/>
          <w:szCs w:val="32"/>
          <w:shd w:val="clear" w:color="auto" w:fill="FFFFFF"/>
          <w:lang w:val="zh-CN" w:eastAsia="zh-CN"/>
        </w:rPr>
        <w:t>学习</w:t>
      </w:r>
      <w:r>
        <w:rPr>
          <w:rFonts w:hint="eastAsia" w:ascii="仿宋_GB2312" w:hAnsi="仿宋_GB2312" w:eastAsia="仿宋_GB2312" w:cs="仿宋_GB2312"/>
          <w:color w:val="000000"/>
          <w:kern w:val="0"/>
          <w:sz w:val="32"/>
          <w:szCs w:val="32"/>
          <w:shd w:val="clear" w:color="auto" w:fill="FFFFFF"/>
          <w:lang w:val="zh-CN"/>
        </w:rPr>
        <w:t>，印发《202</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lang w:val="zh-CN"/>
        </w:rPr>
        <w:t>年度区委理论学习中心组安排意见》，推动党的创新理论往深里走、往心里走、往实里走，</w:t>
      </w:r>
      <w:r>
        <w:rPr>
          <w:rFonts w:hint="eastAsia" w:ascii="仿宋_GB2312" w:hAnsi="仿宋_GB2312" w:eastAsia="仿宋_GB2312" w:cs="仿宋_GB2312"/>
          <w:color w:val="000000"/>
          <w:kern w:val="0"/>
          <w:sz w:val="32"/>
          <w:szCs w:val="32"/>
          <w:shd w:val="clear" w:color="auto" w:fill="FFFFFF"/>
          <w:lang w:val="zh-CN" w:eastAsia="zh-CN"/>
        </w:rPr>
        <w:t>截至目前</w:t>
      </w:r>
      <w:r>
        <w:rPr>
          <w:rFonts w:hint="eastAsia" w:ascii="仿宋_GB2312" w:hAnsi="仿宋_GB2312" w:eastAsia="仿宋_GB2312" w:cs="仿宋_GB2312"/>
          <w:color w:val="000000"/>
          <w:kern w:val="0"/>
          <w:sz w:val="32"/>
          <w:szCs w:val="32"/>
          <w:shd w:val="clear" w:color="auto" w:fill="FFFFFF"/>
          <w:lang w:val="zh-CN"/>
        </w:rPr>
        <w:t>开展区委理论学习中心组集中学习</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lang w:val="zh-CN"/>
        </w:rPr>
        <w:t>次。</w:t>
      </w:r>
      <w:r>
        <w:rPr>
          <w:rFonts w:hint="eastAsia" w:ascii="仿宋_GB2312" w:hAnsi="仿宋_GB2312" w:eastAsia="仿宋_GB2312" w:cs="仿宋_GB2312"/>
          <w:b/>
          <w:bCs/>
          <w:sz w:val="32"/>
          <w:szCs w:val="32"/>
          <w:lang w:eastAsia="zh-CN"/>
        </w:rPr>
        <w:t>二是理论宣传广泛深入。</w:t>
      </w:r>
      <w:r>
        <w:rPr>
          <w:rFonts w:hint="eastAsia" w:ascii="仿宋_GB2312" w:hAnsi="仿宋_GB2312" w:eastAsia="仿宋_GB2312" w:cs="仿宋_GB2312"/>
          <w:sz w:val="32"/>
          <w:szCs w:val="32"/>
          <w:lang w:eastAsia="zh-CN"/>
        </w:rPr>
        <w:t>持续推动打造“苏铁花开”基层理论宣讲品牌，</w:t>
      </w: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lang w:eastAsia="zh-CN"/>
        </w:rPr>
        <w:t>《攀枝花市西区系统打造“苏铁花开”基层理论宣讲品牌实施方案》，将全区宣讲队伍按照“</w:t>
      </w:r>
      <w:r>
        <w:rPr>
          <w:rFonts w:hint="eastAsia" w:ascii="仿宋_GB2312" w:hAnsi="仿宋_GB2312" w:eastAsia="仿宋_GB2312" w:cs="仿宋_GB2312"/>
          <w:sz w:val="32"/>
          <w:szCs w:val="32"/>
          <w:lang w:val="en-US" w:eastAsia="zh-CN"/>
        </w:rPr>
        <w:t>1+6+N</w:t>
      </w:r>
      <w:r>
        <w:rPr>
          <w:rFonts w:hint="eastAsia" w:ascii="仿宋_GB2312" w:hAnsi="仿宋_GB2312" w:eastAsia="仿宋_GB2312" w:cs="仿宋_GB2312"/>
          <w:sz w:val="32"/>
          <w:szCs w:val="32"/>
          <w:lang w:eastAsia="zh-CN"/>
        </w:rPr>
        <w:t>”的形式划分为</w:t>
      </w:r>
      <w:r>
        <w:rPr>
          <w:rFonts w:hint="eastAsia" w:ascii="仿宋_GB2312" w:hAnsi="仿宋_GB2312" w:eastAsia="仿宋_GB2312" w:cs="仿宋_GB2312"/>
          <w:sz w:val="32"/>
          <w:szCs w:val="32"/>
          <w:lang w:val="en-US" w:eastAsia="zh-CN"/>
        </w:rPr>
        <w:t>1个区委宣讲团、6支基层宣讲队、N个行业宣讲队和特色理论宣讲小分队，进一步构建区、镇（街道）、村（社区）三级联动、全区干部群众广泛参与的理论宣讲大格局，</w:t>
      </w:r>
      <w:r>
        <w:rPr>
          <w:rFonts w:hint="eastAsia" w:ascii="仿宋_GB2312" w:hAnsi="仿宋_GB2312" w:eastAsia="仿宋_GB2312" w:cs="仿宋_GB2312"/>
          <w:color w:val="000000"/>
          <w:sz w:val="32"/>
          <w:szCs w:val="32"/>
          <w:lang w:bidi="ar-SA"/>
        </w:rPr>
        <w:t>党的二十大精神、习近平总书记来川视察重要指示精神，以及</w:t>
      </w:r>
      <w:r>
        <w:rPr>
          <w:rFonts w:hint="eastAsia" w:ascii="仿宋_GB2312" w:hAnsi="仿宋_GB2312" w:eastAsia="仿宋_GB2312" w:cs="仿宋_GB2312"/>
          <w:color w:val="000000"/>
          <w:sz w:val="32"/>
          <w:szCs w:val="32"/>
          <w:lang w:val="en-US" w:eastAsia="zh-CN" w:bidi="ar-SA"/>
        </w:rPr>
        <w:t>中央、省委、市委、区委</w:t>
      </w:r>
      <w:r>
        <w:rPr>
          <w:rFonts w:hint="eastAsia" w:ascii="仿宋_GB2312" w:hAnsi="仿宋_GB2312" w:eastAsia="仿宋_GB2312" w:cs="仿宋_GB2312"/>
          <w:color w:val="000000"/>
          <w:sz w:val="32"/>
          <w:szCs w:val="32"/>
          <w:lang w:eastAsia="zh-CN" w:bidi="ar-SA"/>
        </w:rPr>
        <w:t>全会</w:t>
      </w:r>
      <w:r>
        <w:rPr>
          <w:rFonts w:hint="eastAsia" w:ascii="仿宋_GB2312" w:hAnsi="仿宋_GB2312" w:eastAsia="仿宋_GB2312" w:cs="仿宋_GB2312"/>
          <w:color w:val="000000"/>
          <w:sz w:val="32"/>
          <w:szCs w:val="32"/>
          <w:lang w:bidi="ar-SA"/>
        </w:rPr>
        <w:t>精神</w:t>
      </w:r>
      <w:r>
        <w:rPr>
          <w:rFonts w:hint="eastAsia" w:ascii="仿宋_GB2312" w:hAnsi="仿宋_GB2312" w:eastAsia="仿宋_GB2312" w:cs="仿宋_GB2312"/>
          <w:color w:val="000000"/>
          <w:sz w:val="32"/>
          <w:szCs w:val="32"/>
          <w:lang w:eastAsia="zh-CN" w:bidi="ar-SA"/>
        </w:rPr>
        <w:t>等重大主题</w:t>
      </w:r>
      <w:r>
        <w:rPr>
          <w:rFonts w:hint="eastAsia" w:ascii="仿宋_GB2312" w:hAnsi="仿宋_GB2312" w:eastAsia="仿宋_GB2312" w:cs="仿宋_GB2312"/>
          <w:sz w:val="32"/>
          <w:szCs w:val="32"/>
        </w:rPr>
        <w:t>深入基层开展对象化、分众化精神宣讲</w:t>
      </w:r>
      <w:r>
        <w:rPr>
          <w:rFonts w:hint="eastAsia" w:ascii="仿宋_GB2312" w:hAnsi="仿宋_GB2312" w:eastAsia="仿宋_GB2312" w:cs="仿宋_GB2312"/>
          <w:sz w:val="32"/>
          <w:szCs w:val="32"/>
          <w:lang w:val="en-US" w:eastAsia="zh-CN"/>
        </w:rPr>
        <w:t>260余</w:t>
      </w:r>
      <w:r>
        <w:rPr>
          <w:rFonts w:hint="eastAsia" w:ascii="仿宋_GB2312" w:hAnsi="仿宋_GB2312" w:eastAsia="仿宋_GB2312" w:cs="仿宋_GB2312"/>
          <w:sz w:val="32"/>
          <w:szCs w:val="32"/>
        </w:rPr>
        <w:t>场次。</w:t>
      </w:r>
      <w:r>
        <w:rPr>
          <w:rFonts w:hint="eastAsia" w:ascii="仿宋_GB2312" w:hAnsi="仿宋_GB2312" w:eastAsia="仿宋_GB2312" w:cs="仿宋_GB2312"/>
          <w:b/>
          <w:bCs/>
          <w:sz w:val="32"/>
          <w:szCs w:val="32"/>
          <w:lang w:eastAsia="zh-CN"/>
        </w:rPr>
        <w:t>三是理论研究初见成效。</w:t>
      </w:r>
      <w:r>
        <w:rPr>
          <w:rFonts w:hint="eastAsia" w:ascii="仿宋_GB2312" w:hAnsi="仿宋_GB2312" w:eastAsia="仿宋_GB2312" w:cs="仿宋_GB2312"/>
          <w:sz w:val="32"/>
          <w:szCs w:val="32"/>
        </w:rPr>
        <w:t>围绕市委、区委总体工作思路，聚焦</w:t>
      </w:r>
      <w:r>
        <w:rPr>
          <w:rFonts w:hint="eastAsia" w:ascii="仿宋_GB2312" w:hAnsi="仿宋_GB2312" w:eastAsia="仿宋_GB2312" w:cs="仿宋_GB2312"/>
          <w:sz w:val="32"/>
          <w:szCs w:val="32"/>
          <w:lang w:eastAsia="zh-CN"/>
        </w:rPr>
        <w:t>城乡融合发展、纪念人民代表大会制度建立</w:t>
      </w:r>
      <w:r>
        <w:rPr>
          <w:rFonts w:hint="eastAsia" w:ascii="仿宋_GB2312" w:hAnsi="仿宋_GB2312" w:eastAsia="仿宋_GB2312" w:cs="仿宋_GB2312"/>
          <w:sz w:val="32"/>
          <w:szCs w:val="32"/>
          <w:lang w:val="en-US" w:eastAsia="zh-CN"/>
        </w:rPr>
        <w:t>70周年</w:t>
      </w:r>
      <w:r>
        <w:rPr>
          <w:rFonts w:hint="eastAsia" w:ascii="仿宋_GB2312" w:hAnsi="仿宋_GB2312" w:eastAsia="仿宋_GB2312" w:cs="仿宋_GB2312"/>
          <w:sz w:val="32"/>
          <w:szCs w:val="32"/>
        </w:rPr>
        <w:t>等重大课题，</w:t>
      </w:r>
      <w:r>
        <w:rPr>
          <w:rFonts w:hint="eastAsia" w:ascii="仿宋_GB2312" w:hAnsi="仿宋_GB2312" w:eastAsia="仿宋_GB2312" w:cs="仿宋_GB2312"/>
          <w:sz w:val="32"/>
          <w:szCs w:val="32"/>
          <w:lang w:eastAsia="zh-CN"/>
        </w:rPr>
        <w:t>面向全区各部门（单位）</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理论</w:t>
      </w:r>
      <w:r>
        <w:rPr>
          <w:rFonts w:hint="eastAsia" w:ascii="仿宋_GB2312" w:hAnsi="仿宋_GB2312" w:eastAsia="仿宋_GB2312" w:cs="仿宋_GB2312"/>
          <w:sz w:val="32"/>
          <w:szCs w:val="32"/>
        </w:rPr>
        <w:t>征文</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征集论文</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篇。</w:t>
      </w:r>
      <w:r>
        <w:rPr>
          <w:rFonts w:hint="eastAsia" w:ascii="仿宋_GB2312" w:hAnsi="仿宋_GB2312" w:eastAsia="仿宋_GB2312" w:cs="仿宋_GB2312"/>
          <w:sz w:val="32"/>
          <w:szCs w:val="32"/>
          <w:lang w:eastAsia="zh-CN"/>
        </w:rPr>
        <w:t>其中，推荐报送的《高质量推进城乡融合发展助力共富试验区建设》被市委宣传部、市社科联评为二等奖、《村集体经济下产业振兴与共同富裕的西区实践探索》《提升县域综合承载能力和服务功能为城乡融合发展探索西区道路》被评为三等奖。</w:t>
      </w:r>
    </w:p>
    <w:p w14:paraId="6837DFC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cs="仿宋_GB2312"/>
          <w:b/>
          <w:bCs/>
          <w:sz w:val="32"/>
          <w:szCs w:val="32"/>
          <w:lang w:eastAsia="zh-CN"/>
        </w:rPr>
        <w:t>（</w:t>
      </w:r>
      <w:r>
        <w:rPr>
          <w:rFonts w:hint="eastAsia" w:ascii="仿宋_GB2312" w:hAnsi="仿宋_GB2312" w:cs="仿宋_GB2312"/>
          <w:b/>
          <w:bCs/>
          <w:sz w:val="32"/>
          <w:szCs w:val="32"/>
          <w:lang w:val="en-US" w:eastAsia="zh-CN"/>
        </w:rPr>
        <w:t>2）</w:t>
      </w:r>
      <w:r>
        <w:rPr>
          <w:rFonts w:hint="default" w:ascii="仿宋_GB2312" w:hAnsi="仿宋_GB2312" w:eastAsia="仿宋_GB2312" w:cs="仿宋_GB2312"/>
          <w:b/>
          <w:bCs/>
          <w:kern w:val="2"/>
          <w:sz w:val="32"/>
          <w:szCs w:val="32"/>
          <w:lang w:val="en-US" w:eastAsia="zh-CN" w:bidi="ar-SA"/>
        </w:rPr>
        <w:t>厚植精神沃土，城市文明建设</w:t>
      </w:r>
      <w:r>
        <w:rPr>
          <w:rFonts w:hint="eastAsia" w:ascii="仿宋_GB2312" w:hAnsi="仿宋_GB2312" w:eastAsia="仿宋_GB2312" w:cs="仿宋_GB2312"/>
          <w:b/>
          <w:bCs/>
          <w:kern w:val="2"/>
          <w:sz w:val="32"/>
          <w:szCs w:val="32"/>
          <w:lang w:val="en-US" w:eastAsia="zh-CN" w:bidi="ar-SA"/>
        </w:rPr>
        <w:t>有力</w:t>
      </w:r>
      <w:r>
        <w:rPr>
          <w:rFonts w:hint="default" w:ascii="仿宋_GB2312" w:hAnsi="仿宋_GB2312" w:eastAsia="仿宋_GB2312" w:cs="仿宋_GB2312"/>
          <w:b/>
          <w:bCs/>
          <w:kern w:val="2"/>
          <w:sz w:val="32"/>
          <w:szCs w:val="32"/>
          <w:lang w:val="en-US" w:eastAsia="zh-CN" w:bidi="ar-SA"/>
        </w:rPr>
        <w:t>有效</w:t>
      </w:r>
    </w:p>
    <w:p w14:paraId="4920ECC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一是精神共富稳步推进。</w:t>
      </w:r>
      <w:r>
        <w:rPr>
          <w:rFonts w:hint="eastAsia" w:ascii="仿宋_GB2312" w:hAnsi="仿宋_GB2312" w:eastAsia="仿宋_GB2312" w:cs="仿宋_GB2312"/>
          <w:sz w:val="32"/>
          <w:szCs w:val="32"/>
          <w:lang w:val="en-US" w:eastAsia="zh-CN"/>
        </w:rPr>
        <w:t>全力</w:t>
      </w:r>
      <w:r>
        <w:rPr>
          <w:rFonts w:hint="default" w:ascii="仿宋_GB2312" w:hAnsi="仿宋_GB2312" w:eastAsia="仿宋_GB2312" w:cs="仿宋_GB2312"/>
          <w:sz w:val="32"/>
          <w:szCs w:val="32"/>
          <w:lang w:val="en-US" w:eastAsia="zh-CN"/>
        </w:rPr>
        <w:t>推动精神共富</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全面</w:t>
      </w:r>
      <w:r>
        <w:rPr>
          <w:rFonts w:hint="default" w:ascii="仿宋_GB2312" w:hAnsi="仿宋_GB2312" w:eastAsia="仿宋_GB2312" w:cs="仿宋_GB2312"/>
          <w:sz w:val="32"/>
          <w:szCs w:val="32"/>
          <w:lang w:val="en-US" w:eastAsia="zh-CN"/>
        </w:rPr>
        <w:t>推进“四张清单”任务落实。围绕出成果、出经验的要求，打造“好耍还是河门口”、杨家坪社区文化服务优质共享等3个精神共富场景，实施“三个一”促进群众精神生活富裕案例入选国家发改委《共同富裕动态》，全市首个共同富裕试验区理论实践基地在河门口社区挂牌成立，推动了共同富裕理论创新和实践探索。</w:t>
      </w:r>
      <w:r>
        <w:rPr>
          <w:rFonts w:hint="default" w:ascii="仿宋_GB2312" w:hAnsi="仿宋_GB2312" w:eastAsia="仿宋_GB2312" w:cs="仿宋_GB2312"/>
          <w:b/>
          <w:bCs/>
          <w:sz w:val="32"/>
          <w:szCs w:val="32"/>
          <w:lang w:val="en-US" w:eastAsia="zh-CN"/>
        </w:rPr>
        <w:t>二是社会主义核心价值观深入人心。</w:t>
      </w:r>
      <w:r>
        <w:rPr>
          <w:rFonts w:hint="default" w:ascii="仿宋_GB2312" w:hAnsi="仿宋_GB2312" w:eastAsia="仿宋_GB2312" w:cs="仿宋_GB2312"/>
          <w:sz w:val="32"/>
          <w:szCs w:val="32"/>
          <w:lang w:val="en-US" w:eastAsia="zh-CN"/>
        </w:rPr>
        <w:t>深入实施公民道德建设工程，积极选树“四川好人”“道德模范”等先进典型</w:t>
      </w:r>
      <w:r>
        <w:rPr>
          <w:rFonts w:hint="eastAsia" w:ascii="仿宋_GB2312" w:hAnsi="仿宋_GB2312" w:eastAsia="仿宋_GB2312" w:cs="仿宋_GB2312"/>
          <w:sz w:val="32"/>
          <w:szCs w:val="32"/>
          <w:lang w:val="en-US" w:eastAsia="zh-CN"/>
        </w:rPr>
        <w:t>，西区2人获评“四川好人”称号</w:t>
      </w:r>
      <w:r>
        <w:rPr>
          <w:rFonts w:hint="default" w:ascii="仿宋_GB2312" w:hAnsi="仿宋_GB2312" w:eastAsia="仿宋_GB2312" w:cs="仿宋_GB2312"/>
          <w:sz w:val="32"/>
          <w:szCs w:val="32"/>
          <w:lang w:val="en-US" w:eastAsia="zh-CN"/>
        </w:rPr>
        <w:t>。加强未成年人思想道德建设，实施“启智育心”“阳光育心”“三维少年”等特色德育课程，《探索12356工作法，筑牢学生心理服务体系》案例入选教育部的地方典型案例</w:t>
      </w:r>
      <w:r>
        <w:rPr>
          <w:rFonts w:hint="eastAsia" w:ascii="仿宋_GB2312" w:hAnsi="仿宋_GB2312" w:eastAsia="仿宋_GB2312" w:cs="仿宋_GB2312"/>
          <w:sz w:val="32"/>
          <w:szCs w:val="32"/>
          <w:lang w:val="en-US" w:eastAsia="zh-CN"/>
        </w:rPr>
        <w:t>，是四川省</w:t>
      </w:r>
      <w:r>
        <w:rPr>
          <w:rFonts w:hint="default" w:ascii="仿宋_GB2312" w:hAnsi="仿宋_GB2312" w:eastAsia="仿宋_GB2312" w:cs="仿宋_GB2312"/>
          <w:sz w:val="32"/>
          <w:szCs w:val="32"/>
          <w:lang w:val="en-US" w:eastAsia="zh-CN"/>
        </w:rPr>
        <w:t>唯一入选教育部的地方典型案例。</w:t>
      </w:r>
      <w:r>
        <w:rPr>
          <w:rFonts w:hint="eastAsia" w:ascii="仿宋_GB2312" w:hAnsi="仿宋_GB2312" w:eastAsia="仿宋_GB2312" w:cs="仿宋_GB2312"/>
          <w:sz w:val="32"/>
          <w:szCs w:val="32"/>
          <w:lang w:val="en-US" w:eastAsia="zh-CN"/>
        </w:rPr>
        <w:t>稳步推进</w:t>
      </w:r>
      <w:r>
        <w:rPr>
          <w:rFonts w:hint="default" w:ascii="仿宋_GB2312" w:hAnsi="仿宋_GB2312" w:eastAsia="仿宋_GB2312" w:cs="仿宋_GB2312"/>
          <w:sz w:val="32"/>
          <w:szCs w:val="32"/>
          <w:lang w:val="en-US" w:eastAsia="zh-CN"/>
        </w:rPr>
        <w:t>新时代文明实践</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培育了</w:t>
      </w:r>
      <w:r>
        <w:rPr>
          <w:rFonts w:hint="default" w:ascii="仿宋_GB2312" w:hAnsi="仿宋_GB2312" w:eastAsia="仿宋_GB2312" w:cs="仿宋_GB2312"/>
          <w:sz w:val="32"/>
          <w:szCs w:val="32"/>
          <w:lang w:val="en-US" w:eastAsia="zh-CN"/>
        </w:rPr>
        <w:t>“新时代文明实践集中日”</w:t>
      </w:r>
      <w:r>
        <w:rPr>
          <w:rFonts w:hint="eastAsia" w:ascii="仿宋_GB2312" w:hAnsi="仿宋_GB2312" w:eastAsia="仿宋_GB2312" w:cs="仿宋_GB2312"/>
          <w:sz w:val="32"/>
          <w:szCs w:val="32"/>
          <w:lang w:val="en-US" w:eastAsia="zh-CN"/>
        </w:rPr>
        <w:t>“爱心储蓄站”“苏铁剧场”</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文明实践项目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获评</w:t>
      </w:r>
      <w:r>
        <w:rPr>
          <w:rFonts w:hint="default" w:ascii="仿宋_GB2312" w:hAnsi="仿宋_GB2312" w:eastAsia="仿宋_GB2312" w:cs="仿宋_GB2312"/>
          <w:sz w:val="32"/>
          <w:szCs w:val="32"/>
          <w:lang w:val="en-US" w:eastAsia="zh-CN"/>
        </w:rPr>
        <w:t>省级文明实践示范阵地3个。持续深化文明风尚引导行动，开展“做文明有礼西区人”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移风易俗</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val="en-US" w:eastAsia="zh-CN"/>
        </w:rPr>
        <w:t>活动200</w:t>
      </w:r>
      <w:r>
        <w:rPr>
          <w:rFonts w:hint="default"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lang w:val="en-US" w:eastAsia="zh-CN"/>
        </w:rPr>
        <w:t>场次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“我们的节日”主题活</w:t>
      </w:r>
      <w:r>
        <w:rPr>
          <w:rFonts w:hint="eastAsia" w:ascii="仿宋_GB2312" w:hAnsi="仿宋_GB2312" w:eastAsia="仿宋_GB2312" w:cs="仿宋_GB2312"/>
          <w:sz w:val="32"/>
          <w:szCs w:val="32"/>
          <w:lang w:val="en-US" w:eastAsia="zh-CN"/>
        </w:rPr>
        <w:t>动</w:t>
      </w:r>
      <w:r>
        <w:rPr>
          <w:rFonts w:hint="default" w:ascii="仿宋_GB2312" w:hAnsi="仿宋_GB2312" w:eastAsia="仿宋_GB2312" w:cs="仿宋_GB2312"/>
          <w:sz w:val="32"/>
          <w:szCs w:val="32"/>
          <w:lang w:val="en-US" w:eastAsia="zh-CN"/>
        </w:rPr>
        <w:t>100余场</w:t>
      </w:r>
      <w:r>
        <w:rPr>
          <w:rFonts w:hint="eastAsia" w:ascii="仿宋_GB2312" w:hAnsi="仿宋_GB2312" w:eastAsia="仿宋_GB2312" w:cs="仿宋_GB2312"/>
          <w:sz w:val="32"/>
          <w:szCs w:val="32"/>
          <w:lang w:val="en-US" w:eastAsia="zh-CN"/>
        </w:rPr>
        <w:t>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今年春节期间，回西区过年超过10万人次，西区年味一年更比一年浓。</w:t>
      </w:r>
      <w:r>
        <w:rPr>
          <w:rFonts w:hint="default"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lang w:val="en-US" w:eastAsia="zh-CN"/>
        </w:rPr>
        <w:t>全力推进城市文明建设。</w:t>
      </w:r>
      <w:r>
        <w:rPr>
          <w:rFonts w:hint="default" w:ascii="仿宋_GB2312" w:hAnsi="仿宋_GB2312" w:eastAsia="仿宋_GB2312" w:cs="仿宋_GB2312"/>
          <w:sz w:val="32"/>
          <w:szCs w:val="32"/>
          <w:lang w:val="en-US" w:eastAsia="zh-CN"/>
        </w:rPr>
        <w:t>圆满完成了第七届全国文明城市测评的各项任务</w:t>
      </w:r>
      <w:r>
        <w:rPr>
          <w:rFonts w:hint="eastAsia" w:ascii="仿宋_GB2312" w:hAnsi="仿宋_GB2312" w:eastAsia="仿宋_GB2312" w:cs="仿宋_GB2312"/>
          <w:sz w:val="32"/>
          <w:szCs w:val="32"/>
          <w:lang w:val="en-US" w:eastAsia="zh-CN"/>
        </w:rPr>
        <w:t>。始终坚持为民创建的出发点，区领导带队深入基层社区、深入老百姓身边，问计于民、问需于民，征集意见建议57条，全部纳入区委2024年重点工作，区委共富办跟踪督办，已解决问题22项，正在常态化办理35项。同时，紧盯群众反映强烈的基础设施差、公共服务设施缺失等问题，整合资金投入9000余万元，</w:t>
      </w:r>
      <w:r>
        <w:rPr>
          <w:rFonts w:hint="default" w:ascii="仿宋_GB2312" w:hAnsi="仿宋_GB2312" w:eastAsia="仿宋_GB2312" w:cs="仿宋_GB2312"/>
          <w:sz w:val="32"/>
          <w:szCs w:val="32"/>
          <w:lang w:val="en-US" w:eastAsia="zh-CN"/>
        </w:rPr>
        <w:t>实施城市基础设施改造提升工程，</w:t>
      </w:r>
      <w:r>
        <w:rPr>
          <w:rFonts w:hint="eastAsia" w:ascii="仿宋_GB2312" w:hAnsi="仿宋_GB2312" w:eastAsia="仿宋_GB2312" w:cs="仿宋_GB2312"/>
          <w:sz w:val="32"/>
          <w:szCs w:val="32"/>
          <w:lang w:val="en-US" w:eastAsia="zh-CN"/>
        </w:rPr>
        <w:t>新增路灯1200余盏，新建口袋公园3处，推动城市更新更有速度、城市管理更有温度，让人民群众从文明创建中看到新变化、得到真实惠，以服务人民的“温度”换取了群众“满意度”。</w:t>
      </w:r>
      <w:r>
        <w:rPr>
          <w:rFonts w:hint="default" w:ascii="仿宋_GB2312" w:hAnsi="仿宋_GB2312" w:eastAsia="仿宋_GB2312" w:cs="仿宋_GB2312"/>
          <w:sz w:val="32"/>
          <w:szCs w:val="32"/>
          <w:lang w:val="en-US" w:eastAsia="zh-CN"/>
        </w:rPr>
        <w:t>开展“交通违法乱象整治专项行动”“治理占道经营专项行动”“文明养犬不掉链宣传行动”等专项行动，</w:t>
      </w:r>
      <w:r>
        <w:rPr>
          <w:rFonts w:hint="eastAsia" w:ascii="仿宋_GB2312" w:hAnsi="仿宋_GB2312" w:eastAsia="仿宋_GB2312" w:cs="仿宋_GB2312"/>
          <w:sz w:val="32"/>
          <w:szCs w:val="32"/>
          <w:lang w:val="en-US" w:eastAsia="zh-CN"/>
        </w:rPr>
        <w:t>常态化开展文明劝导，促进群众文明素养进一步提升</w:t>
      </w:r>
      <w:r>
        <w:rPr>
          <w:rFonts w:hint="default" w:ascii="仿宋_GB2312" w:hAnsi="仿宋_GB2312" w:eastAsia="仿宋_GB2312" w:cs="仿宋_GB2312"/>
          <w:sz w:val="32"/>
          <w:szCs w:val="32"/>
          <w:lang w:val="en-US" w:eastAsia="zh-CN"/>
        </w:rPr>
        <w:t>。</w:t>
      </w:r>
    </w:p>
    <w:p w14:paraId="46358EFC">
      <w:pPr>
        <w:keepNext w:val="0"/>
        <w:keepLines w:val="0"/>
        <w:pageBreakBefore w:val="0"/>
        <w:kinsoku/>
        <w:wordWrap/>
        <w:overflowPunct/>
        <w:topLinePunct w:val="0"/>
        <w:autoSpaceDE/>
        <w:autoSpaceDN/>
        <w:bidi w:val="0"/>
        <w:adjustRightInd/>
        <w:snapToGrid/>
        <w:spacing w:line="360" w:lineRule="auto"/>
        <w:ind w:firstLine="643" w:firstLineChars="200"/>
        <w:contextualSpacing/>
        <w:textAlignment w:val="auto"/>
        <w:rPr>
          <w:rFonts w:hint="eastAsia" w:ascii="仿宋_GB2312" w:hAnsi="仿宋_GB2312" w:eastAsia="仿宋_GB2312" w:cs="仿宋_GB2312"/>
          <w:b/>
          <w:bCs/>
          <w:sz w:val="32"/>
          <w:szCs w:val="32"/>
          <w:lang w:eastAsia="zh-CN"/>
        </w:rPr>
      </w:pPr>
      <w:r>
        <w:rPr>
          <w:rFonts w:hint="eastAsia" w:ascii="仿宋_GB2312" w:hAnsi="仿宋_GB2312" w:cs="仿宋_GB2312"/>
          <w:b/>
          <w:bCs/>
          <w:sz w:val="32"/>
          <w:szCs w:val="32"/>
          <w:lang w:eastAsia="zh-CN"/>
        </w:rPr>
        <w:t>（</w:t>
      </w: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rPr>
        <w:t>加强宣传引导，</w:t>
      </w:r>
      <w:r>
        <w:rPr>
          <w:rFonts w:hint="eastAsia" w:ascii="仿宋_GB2312" w:hAnsi="仿宋_GB2312" w:eastAsia="仿宋_GB2312" w:cs="仿宋_GB2312"/>
          <w:b/>
          <w:bCs/>
          <w:sz w:val="32"/>
          <w:szCs w:val="32"/>
          <w:lang w:val="en-US" w:eastAsia="zh-CN"/>
        </w:rPr>
        <w:t>弘扬宣传领域主流思想</w:t>
      </w:r>
    </w:p>
    <w:p w14:paraId="269462B8">
      <w:pPr>
        <w:keepNext w:val="0"/>
        <w:keepLines w:val="0"/>
        <w:pageBreakBefore w:val="0"/>
        <w:kinsoku/>
        <w:wordWrap/>
        <w:overflowPunct/>
        <w:topLinePunct w:val="0"/>
        <w:autoSpaceDE/>
        <w:autoSpaceDN/>
        <w:bidi w:val="0"/>
        <w:adjustRightInd w:val="0"/>
        <w:snapToGrid w:val="0"/>
        <w:spacing w:line="360" w:lineRule="auto"/>
        <w:ind w:firstLine="643" w:firstLineChars="200"/>
        <w:contextualSpacing/>
        <w:jc w:val="left"/>
        <w:textAlignment w:val="auto"/>
        <w:rPr>
          <w:rFonts w:eastAsia="楷体_GB2312"/>
          <w:color w:val="000000"/>
          <w:kern w:val="0"/>
          <w:szCs w:val="32"/>
          <w:shd w:val="clear" w:color="auto" w:fill="FFFFFF"/>
        </w:rPr>
      </w:pPr>
      <w:r>
        <w:rPr>
          <w:rFonts w:hint="eastAsia" w:ascii="仿宋_GB2312" w:hAnsi="仿宋_GB2312" w:eastAsia="仿宋_GB2312" w:cs="仿宋_GB2312"/>
          <w:b/>
          <w:bCs w:val="0"/>
          <w:color w:val="auto"/>
          <w:kern w:val="0"/>
          <w:sz w:val="32"/>
          <w:szCs w:val="32"/>
          <w:lang w:val="en-US" w:eastAsia="zh-CN" w:bidi="ar-SA"/>
        </w:rPr>
        <w:t>一是固本强基</w:t>
      </w:r>
      <w:r>
        <w:rPr>
          <w:rFonts w:hint="eastAsia" w:ascii="仿宋_GB2312" w:hAnsi="仿宋_GB2312" w:eastAsia="仿宋_GB2312" w:cs="仿宋_GB2312"/>
          <w:b/>
          <w:color w:val="auto"/>
          <w:kern w:val="0"/>
          <w:sz w:val="32"/>
          <w:szCs w:val="32"/>
          <w:lang w:val="en-US" w:eastAsia="zh-CN" w:bidi="ar-SA"/>
        </w:rPr>
        <w:t>，做优融媒主阵地</w:t>
      </w:r>
      <w:r>
        <w:rPr>
          <w:rFonts w:hint="eastAsia" w:ascii="仿宋_GB2312" w:hAnsi="仿宋_GB2312" w:eastAsia="仿宋_GB2312" w:cs="仿宋_GB2312"/>
          <w:b/>
          <w:bCs w:val="0"/>
          <w:color w:val="auto"/>
          <w:kern w:val="0"/>
          <w:sz w:val="32"/>
          <w:szCs w:val="32"/>
          <w:lang w:val="en-US" w:eastAsia="zh-CN" w:bidi="ar-SA"/>
        </w:rPr>
        <w:t>。</w:t>
      </w:r>
      <w:r>
        <w:rPr>
          <w:rFonts w:hint="eastAsia" w:ascii="仿宋_GB2312" w:hAnsi="仿宋_GB2312" w:eastAsia="仿宋_GB2312" w:cs="仿宋_GB2312"/>
          <w:b w:val="0"/>
          <w:bCs w:val="0"/>
          <w:i w:val="0"/>
          <w:iCs w:val="0"/>
          <w:caps w:val="0"/>
          <w:color w:val="000000"/>
          <w:spacing w:val="0"/>
          <w:sz w:val="32"/>
          <w:szCs w:val="32"/>
        </w:rPr>
        <w:t>持续加强微信、微博、微视频（抖音、快手、视频号）、</w:t>
      </w:r>
      <w:r>
        <w:rPr>
          <w:rFonts w:hint="eastAsia" w:ascii="仿宋_GB2312" w:hAnsi="仿宋_GB2312" w:eastAsia="仿宋_GB2312" w:cs="仿宋_GB2312"/>
          <w:b w:val="0"/>
          <w:bCs w:val="0"/>
          <w:i w:val="0"/>
          <w:iCs w:val="0"/>
          <w:caps w:val="0"/>
          <w:color w:val="000000"/>
          <w:spacing w:val="0"/>
          <w:sz w:val="32"/>
          <w:szCs w:val="32"/>
          <w:lang w:val="en-US" w:eastAsia="zh-CN"/>
        </w:rPr>
        <w:t>移动</w:t>
      </w:r>
      <w:r>
        <w:rPr>
          <w:rFonts w:hint="eastAsia" w:ascii="仿宋_GB2312" w:hAnsi="仿宋_GB2312" w:eastAsia="仿宋_GB2312" w:cs="仿宋_GB2312"/>
          <w:b w:val="0"/>
          <w:bCs w:val="0"/>
          <w:i w:val="0"/>
          <w:iCs w:val="0"/>
          <w:caps w:val="0"/>
          <w:color w:val="000000"/>
          <w:spacing w:val="0"/>
          <w:sz w:val="32"/>
          <w:szCs w:val="32"/>
        </w:rPr>
        <w:t>客户端“三微一端”六大</w:t>
      </w:r>
      <w:r>
        <w:rPr>
          <w:rFonts w:hint="eastAsia" w:ascii="仿宋_GB2312" w:hAnsi="仿宋_GB2312" w:eastAsia="仿宋_GB2312" w:cs="仿宋_GB2312"/>
          <w:b w:val="0"/>
          <w:bCs w:val="0"/>
          <w:i w:val="0"/>
          <w:iCs w:val="0"/>
          <w:caps w:val="0"/>
          <w:color w:val="000000"/>
          <w:spacing w:val="0"/>
          <w:sz w:val="32"/>
          <w:szCs w:val="32"/>
          <w:lang w:val="en-US" w:eastAsia="zh-CN"/>
        </w:rPr>
        <w:t>新媒体</w:t>
      </w:r>
      <w:r>
        <w:rPr>
          <w:rFonts w:hint="eastAsia" w:ascii="仿宋_GB2312" w:hAnsi="仿宋_GB2312" w:eastAsia="仿宋_GB2312" w:cs="仿宋_GB2312"/>
          <w:b w:val="0"/>
          <w:bCs w:val="0"/>
          <w:i w:val="0"/>
          <w:iCs w:val="0"/>
          <w:caps w:val="0"/>
          <w:color w:val="000000"/>
          <w:spacing w:val="0"/>
          <w:sz w:val="32"/>
          <w:szCs w:val="32"/>
        </w:rPr>
        <w:t>平台建设，</w:t>
      </w:r>
      <w:r>
        <w:rPr>
          <w:rFonts w:hint="eastAsia" w:ascii="仿宋_GB2312" w:hAnsi="仿宋_GB2312" w:eastAsia="仿宋_GB2312" w:cs="仿宋_GB2312"/>
          <w:b w:val="0"/>
          <w:bCs w:val="0"/>
          <w:i w:val="0"/>
          <w:iCs w:val="0"/>
          <w:caps w:val="0"/>
          <w:color w:val="000000"/>
          <w:spacing w:val="0"/>
          <w:sz w:val="32"/>
          <w:szCs w:val="32"/>
          <w:lang w:val="en-US" w:eastAsia="zh-CN"/>
        </w:rPr>
        <w:t>做强</w:t>
      </w:r>
      <w:r>
        <w:rPr>
          <w:rFonts w:hint="eastAsia" w:ascii="仿宋_GB2312" w:hAnsi="仿宋_GB2312" w:eastAsia="仿宋_GB2312" w:cs="仿宋_GB2312"/>
          <w:b w:val="0"/>
          <w:bCs w:val="0"/>
          <w:i w:val="0"/>
          <w:iCs w:val="0"/>
          <w:caps w:val="0"/>
          <w:color w:val="000000"/>
          <w:spacing w:val="0"/>
          <w:sz w:val="32"/>
          <w:szCs w:val="32"/>
        </w:rPr>
        <w:t>“一端多线”的西区官方权威融媒主阵地。优化栏目配置，</w:t>
      </w:r>
      <w:r>
        <w:rPr>
          <w:rFonts w:hint="eastAsia" w:ascii="仿宋_GB2312" w:hAnsi="仿宋_GB2312" w:eastAsia="仿宋_GB2312" w:cs="仿宋_GB2312"/>
          <w:b w:val="0"/>
          <w:bCs w:val="0"/>
          <w:i w:val="0"/>
          <w:iCs w:val="0"/>
          <w:caps w:val="0"/>
          <w:color w:val="000000"/>
          <w:spacing w:val="0"/>
          <w:sz w:val="32"/>
          <w:szCs w:val="32"/>
          <w:lang w:val="en-US" w:eastAsia="zh-CN"/>
        </w:rPr>
        <w:t>强化融媒网络安全建设，对客户端</w:t>
      </w:r>
      <w:r>
        <w:rPr>
          <w:rFonts w:hint="eastAsia" w:ascii="仿宋_GB2312" w:hAnsi="仿宋_GB2312" w:eastAsia="仿宋_GB2312" w:cs="仿宋_GB2312"/>
          <w:b w:val="0"/>
          <w:bCs w:val="0"/>
          <w:i w:val="0"/>
          <w:iCs w:val="0"/>
          <w:caps w:val="0"/>
          <w:color w:val="000000"/>
          <w:spacing w:val="0"/>
          <w:sz w:val="32"/>
          <w:szCs w:val="32"/>
        </w:rPr>
        <w:t>综合业务管理</w:t>
      </w:r>
      <w:r>
        <w:rPr>
          <w:rFonts w:hint="eastAsia" w:ascii="仿宋_GB2312" w:hAnsi="仿宋_GB2312" w:eastAsia="仿宋_GB2312" w:cs="仿宋_GB2312"/>
          <w:b w:val="0"/>
          <w:bCs w:val="0"/>
          <w:i w:val="0"/>
          <w:iCs w:val="0"/>
          <w:caps w:val="0"/>
          <w:color w:val="000000"/>
          <w:spacing w:val="0"/>
          <w:sz w:val="32"/>
          <w:szCs w:val="32"/>
          <w:lang w:val="en-US" w:eastAsia="zh-CN"/>
        </w:rPr>
        <w:t>应用</w:t>
      </w:r>
      <w:r>
        <w:rPr>
          <w:rFonts w:hint="eastAsia" w:ascii="仿宋_GB2312" w:hAnsi="仿宋_GB2312" w:eastAsia="仿宋_GB2312" w:cs="仿宋_GB2312"/>
          <w:b w:val="0"/>
          <w:bCs w:val="0"/>
          <w:i w:val="0"/>
          <w:iCs w:val="0"/>
          <w:caps w:val="0"/>
          <w:color w:val="000000"/>
          <w:spacing w:val="0"/>
          <w:sz w:val="32"/>
          <w:szCs w:val="32"/>
        </w:rPr>
        <w:t>系统</w:t>
      </w:r>
      <w:r>
        <w:rPr>
          <w:rFonts w:hint="eastAsia" w:ascii="仿宋_GB2312" w:hAnsi="仿宋_GB2312" w:eastAsia="仿宋_GB2312" w:cs="仿宋_GB2312"/>
          <w:b w:val="0"/>
          <w:bCs w:val="0"/>
          <w:i w:val="0"/>
          <w:iCs w:val="0"/>
          <w:caps w:val="0"/>
          <w:color w:val="000000"/>
          <w:spacing w:val="0"/>
          <w:sz w:val="32"/>
          <w:szCs w:val="32"/>
          <w:lang w:val="en-US" w:eastAsia="zh-CN"/>
        </w:rPr>
        <w:t>实施“二级等保”安全测评。协同推进天府融媒联合体建设，助力建构省市县三级融媒</w:t>
      </w:r>
      <w:r>
        <w:rPr>
          <w:rFonts w:hint="eastAsia" w:ascii="仿宋_GB2312" w:hAnsi="仿宋_GB2312" w:eastAsia="仿宋_GB2312" w:cs="仿宋_GB2312"/>
          <w:b w:val="0"/>
          <w:bCs w:val="0"/>
          <w:i w:val="0"/>
          <w:iCs w:val="0"/>
          <w:caps w:val="0"/>
          <w:color w:val="000000"/>
          <w:spacing w:val="0"/>
          <w:sz w:val="32"/>
          <w:szCs w:val="32"/>
        </w:rPr>
        <w:t>联动矩阵</w:t>
      </w:r>
      <w:r>
        <w:rPr>
          <w:rFonts w:hint="eastAsia" w:ascii="仿宋_GB2312" w:hAnsi="仿宋_GB2312" w:eastAsia="仿宋_GB2312" w:cs="仿宋_GB2312"/>
          <w:b w:val="0"/>
          <w:bCs w:val="0"/>
          <w:i w:val="0"/>
          <w:iCs w:val="0"/>
          <w:caps w:val="0"/>
          <w:color w:val="000000"/>
          <w:spacing w:val="0"/>
          <w:sz w:val="32"/>
          <w:szCs w:val="32"/>
          <w:lang w:eastAsia="zh-CN"/>
        </w:rPr>
        <w:t>。</w:t>
      </w:r>
      <w:r>
        <w:rPr>
          <w:rFonts w:hint="eastAsia" w:ascii="仿宋_GB2312" w:hAnsi="仿宋_GB2312" w:eastAsia="仿宋_GB2312" w:cs="仿宋_GB2312"/>
          <w:b w:val="0"/>
          <w:bCs w:val="0"/>
          <w:i w:val="0"/>
          <w:iCs w:val="0"/>
          <w:caps w:val="0"/>
          <w:color w:val="000000"/>
          <w:spacing w:val="0"/>
          <w:sz w:val="32"/>
          <w:szCs w:val="32"/>
          <w:lang w:val="en-US" w:eastAsia="zh-CN"/>
        </w:rPr>
        <w:t>真正</w:t>
      </w:r>
      <w:r>
        <w:rPr>
          <w:rFonts w:hint="eastAsia" w:ascii="仿宋_GB2312" w:hAnsi="仿宋_GB2312" w:eastAsia="仿宋_GB2312" w:cs="仿宋_GB2312"/>
          <w:b w:val="0"/>
          <w:bCs w:val="0"/>
          <w:i w:val="0"/>
          <w:iCs w:val="0"/>
          <w:caps w:val="0"/>
          <w:color w:val="000000"/>
          <w:spacing w:val="0"/>
          <w:sz w:val="32"/>
          <w:szCs w:val="32"/>
        </w:rPr>
        <w:t>实现社会化入驻、全民化生产、分众化传播。</w:t>
      </w:r>
      <w:r>
        <w:rPr>
          <w:rFonts w:hint="eastAsia" w:ascii="仿宋_GB2312" w:hAnsi="仿宋_GB2312" w:eastAsia="仿宋_GB2312" w:cs="仿宋_GB2312"/>
          <w:b/>
          <w:color w:val="auto"/>
          <w:kern w:val="0"/>
          <w:sz w:val="32"/>
          <w:szCs w:val="32"/>
          <w:lang w:val="en-US" w:eastAsia="zh-CN" w:bidi="ar-SA"/>
        </w:rPr>
        <w:t>二是守正创新，展现西区好魅力。</w:t>
      </w:r>
      <w:r>
        <w:rPr>
          <w:rFonts w:hint="eastAsia" w:ascii="仿宋_GB2312" w:hAnsi="仿宋_GB2312" w:eastAsia="仿宋_GB2312" w:cs="仿宋_GB2312"/>
          <w:color w:val="auto"/>
          <w:kern w:val="2"/>
          <w:sz w:val="32"/>
          <w:szCs w:val="32"/>
          <w:lang w:val="en-US" w:eastAsia="zh-CN" w:bidi="ar-SA"/>
        </w:rPr>
        <w:t>立足新时代新征程的新定位新要求，聚焦“攀西工业强区”和“山水灵秀新城”建设目标，创新选题策划，推出20余个宣传专题，多方位、宽视域、立体化展示西区奋力追赶跨越、推进经济社会高质量发展的生动实践和阶段性成果。今年以来，西区在国家级主流媒体刊发稿件463条、省级58条。</w:t>
      </w:r>
      <w:r>
        <w:rPr>
          <w:rFonts w:hint="eastAsia" w:ascii="仿宋_GB2312" w:hAnsi="仿宋_GB2312" w:eastAsia="仿宋_GB2312" w:cs="仿宋_GB2312"/>
          <w:b/>
          <w:bCs/>
          <w:color w:val="auto"/>
          <w:kern w:val="0"/>
          <w:sz w:val="32"/>
          <w:szCs w:val="32"/>
        </w:rPr>
        <w:t>央视</w:t>
      </w:r>
      <w:r>
        <w:rPr>
          <w:rFonts w:hint="eastAsia" w:ascii="仿宋_GB2312" w:hAnsi="仿宋_GB2312" w:eastAsia="仿宋_GB2312" w:cs="仿宋_GB2312"/>
          <w:b/>
          <w:bCs/>
          <w:color w:val="auto"/>
          <w:kern w:val="0"/>
          <w:sz w:val="32"/>
          <w:szCs w:val="32"/>
          <w:lang w:val="en-US" w:eastAsia="zh-CN"/>
        </w:rPr>
        <w:t>播报4</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2"/>
          <w:sz w:val="32"/>
          <w:szCs w:val="32"/>
          <w:lang w:val="en-US" w:eastAsia="zh-CN" w:bidi="ar-SA"/>
        </w:rPr>
        <w:t>《四川攀枝花:三角梅进入盛花期》在</w:t>
      </w:r>
      <w:r>
        <w:rPr>
          <w:rFonts w:hint="eastAsia" w:ascii="仿宋_GB2312" w:hAnsi="仿宋_GB2312" w:eastAsia="仿宋_GB2312" w:cs="仿宋_GB2312"/>
          <w:color w:val="auto"/>
          <w:kern w:val="0"/>
          <w:sz w:val="32"/>
          <w:szCs w:val="32"/>
        </w:rPr>
        <w:t>央视二台正点财经频道播报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央视新闻联播</w:t>
      </w:r>
      <w:r>
        <w:rPr>
          <w:rFonts w:hint="eastAsia" w:ascii="仿宋_GB2312" w:hAnsi="仿宋_GB2312" w:eastAsia="仿宋_GB2312" w:cs="仿宋_GB2312"/>
          <w:color w:val="auto"/>
          <w:kern w:val="2"/>
          <w:sz w:val="32"/>
          <w:szCs w:val="32"/>
          <w:lang w:val="en-US" w:eastAsia="zh-CN" w:bidi="ar-SA"/>
        </w:rPr>
        <w:t>《我国生态保护修复取得明显成效》关注攀枝花苏铁保护成果，《四川攀枝花警方破获一起危害珍贵、濒危野生动物案》在央视新闻播报，《警方破获网售伪劣农资产品案 假劣农药或致绝收 农药残留超标危害大》在央视新闻直播间播报。</w:t>
      </w:r>
      <w:r>
        <w:rPr>
          <w:rFonts w:hint="eastAsia" w:ascii="仿宋_GB2312" w:hAnsi="仿宋_GB2312" w:eastAsia="仿宋_GB2312" w:cs="仿宋_GB2312"/>
          <w:b/>
          <w:bCs/>
          <w:color w:val="auto"/>
          <w:kern w:val="2"/>
          <w:sz w:val="32"/>
          <w:szCs w:val="32"/>
          <w:lang w:val="en-US" w:eastAsia="zh-CN" w:bidi="ar-SA"/>
        </w:rPr>
        <w:t>学习强国</w:t>
      </w:r>
      <w:r>
        <w:rPr>
          <w:rFonts w:hint="eastAsia" w:ascii="仿宋_GB2312" w:hAnsi="仿宋_GB2312" w:eastAsia="仿宋_GB2312" w:cs="仿宋_GB2312"/>
          <w:b w:val="0"/>
          <w:bCs w:val="0"/>
          <w:color w:val="auto"/>
          <w:kern w:val="2"/>
          <w:sz w:val="32"/>
          <w:szCs w:val="32"/>
          <w:lang w:val="en-US" w:eastAsia="zh-CN" w:bidi="ar-SA"/>
        </w:rPr>
        <w:t>上稿336条</w:t>
      </w:r>
      <w:r>
        <w:rPr>
          <w:rFonts w:hint="eastAsia" w:ascii="仿宋_GB2312" w:hAnsi="仿宋_GB2312" w:eastAsia="仿宋_GB2312" w:cs="仿宋_GB2312"/>
          <w:color w:val="auto"/>
          <w:kern w:val="2"/>
          <w:sz w:val="32"/>
          <w:szCs w:val="32"/>
          <w:lang w:val="en-US" w:eastAsia="zh-CN" w:bidi="ar-SA"/>
        </w:rPr>
        <w:t>，其中8条被国家总台采用；</w:t>
      </w:r>
      <w:r>
        <w:rPr>
          <w:rFonts w:hint="eastAsia" w:ascii="仿宋_GB2312" w:hAnsi="仿宋_GB2312" w:eastAsia="仿宋_GB2312" w:cs="仿宋_GB2312"/>
          <w:b/>
          <w:bCs/>
          <w:color w:val="auto"/>
          <w:kern w:val="2"/>
          <w:sz w:val="32"/>
          <w:szCs w:val="32"/>
          <w:lang w:val="en-US" w:eastAsia="zh-CN" w:bidi="ar-SA"/>
        </w:rPr>
        <w:t>新华社</w:t>
      </w:r>
      <w:r>
        <w:rPr>
          <w:rFonts w:hint="eastAsia" w:ascii="仿宋_GB2312" w:hAnsi="仿宋_GB2312" w:eastAsia="仿宋_GB2312" w:cs="仿宋_GB2312"/>
          <w:color w:val="auto"/>
          <w:kern w:val="2"/>
          <w:sz w:val="32"/>
          <w:szCs w:val="32"/>
          <w:lang w:val="en-US" w:eastAsia="zh-CN" w:bidi="ar-SA"/>
        </w:rPr>
        <w:t>采用51条，参与</w:t>
      </w:r>
      <w:r>
        <w:rPr>
          <w:rFonts w:hint="eastAsia" w:ascii="仿宋_GB2312" w:hAnsi="仿宋_GB2312" w:eastAsia="仿宋_GB2312" w:cs="仿宋_GB2312"/>
          <w:b/>
          <w:bCs/>
          <w:color w:val="auto"/>
          <w:kern w:val="2"/>
          <w:sz w:val="32"/>
          <w:szCs w:val="32"/>
          <w:lang w:val="en-US" w:eastAsia="zh-CN" w:bidi="ar-SA"/>
        </w:rPr>
        <w:t>“百部川扬”</w:t>
      </w:r>
      <w:r>
        <w:rPr>
          <w:rFonts w:hint="eastAsia" w:ascii="仿宋_GB2312" w:hAnsi="仿宋_GB2312" w:eastAsia="仿宋_GB2312" w:cs="仿宋_GB2312"/>
          <w:color w:val="auto"/>
          <w:kern w:val="2"/>
          <w:sz w:val="32"/>
          <w:szCs w:val="32"/>
          <w:lang w:val="en-US" w:eastAsia="zh-CN" w:bidi="ar-SA"/>
        </w:rPr>
        <w:t>报送视频13件，其中5件被采用展播，在央广网刊播。西区</w:t>
      </w:r>
      <w:r>
        <w:rPr>
          <w:rFonts w:hint="eastAsia" w:ascii="仿宋_GB2312" w:hAnsi="仿宋_GB2312" w:eastAsia="仿宋_GB2312" w:cs="仿宋_GB2312"/>
          <w:color w:val="000000" w:themeColor="text1"/>
          <w:kern w:val="0"/>
          <w:sz w:val="32"/>
          <w:szCs w:val="32"/>
          <w14:textFill>
            <w14:solidFill>
              <w14:schemeClr w14:val="tx1"/>
            </w14:solidFill>
          </w14:textFill>
        </w:rPr>
        <w:t>融媒</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推荐</w:t>
      </w:r>
      <w:r>
        <w:rPr>
          <w:rFonts w:hint="eastAsia" w:ascii="仿宋_GB2312" w:hAnsi="仿宋_GB2312" w:eastAsia="仿宋_GB2312" w:cs="仿宋_GB2312"/>
          <w:color w:val="000000" w:themeColor="text1"/>
          <w:kern w:val="0"/>
          <w:sz w:val="32"/>
          <w:szCs w:val="32"/>
          <w14:textFill>
            <w14:solidFill>
              <w14:schemeClr w14:val="tx1"/>
            </w14:solidFill>
          </w14:textFill>
        </w:rPr>
        <w:t>作</w:t>
      </w:r>
      <w:r>
        <w:rPr>
          <w:rFonts w:hint="eastAsia" w:ascii="仿宋_GB2312" w:hAnsi="仿宋_GB2312" w:eastAsia="仿宋_GB2312" w:cs="仿宋_GB2312"/>
          <w:color w:val="auto"/>
          <w:kern w:val="0"/>
          <w:sz w:val="32"/>
          <w:szCs w:val="32"/>
        </w:rPr>
        <w:t>品</w:t>
      </w:r>
      <w:r>
        <w:rPr>
          <w:rFonts w:hint="eastAsia" w:ascii="仿宋_GB2312" w:hAnsi="仿宋_GB2312" w:eastAsia="仿宋_GB2312" w:cs="仿宋_GB2312"/>
          <w:color w:val="auto"/>
          <w:kern w:val="2"/>
          <w:sz w:val="32"/>
          <w:szCs w:val="32"/>
          <w:lang w:val="en-US" w:eastAsia="zh-CN" w:bidi="ar-SA"/>
        </w:rPr>
        <w:t>获四川省新媒体技能大赛优秀奖1个；《老车票——四川攀枝花交通发展变迁的见证》入选“学习强国”2024年春季全国县级融媒体中心优秀作品，是全国评选出的60件（四川省共5件）优秀作品之一。</w:t>
      </w:r>
    </w:p>
    <w:p w14:paraId="61F2823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楷体_GB2312"/>
          <w:color w:val="000000"/>
          <w:kern w:val="0"/>
          <w:szCs w:val="32"/>
          <w:shd w:val="clear" w:color="auto" w:fill="FFFFFF"/>
          <w:lang w:val="zh-CN"/>
        </w:rPr>
      </w:pPr>
      <w:r>
        <w:rPr>
          <w:rFonts w:hint="eastAsia" w:eastAsia="楷体_GB2312"/>
          <w:color w:val="000000"/>
          <w:kern w:val="0"/>
          <w:szCs w:val="32"/>
          <w:shd w:val="clear" w:color="auto" w:fill="FFFFFF"/>
          <w:lang w:val="en-US" w:eastAsia="zh-CN"/>
        </w:rPr>
        <w:t>2.</w:t>
      </w:r>
      <w:r>
        <w:rPr>
          <w:rFonts w:eastAsia="楷体_GB2312"/>
          <w:color w:val="000000"/>
          <w:kern w:val="0"/>
          <w:szCs w:val="32"/>
          <w:shd w:val="clear" w:color="auto" w:fill="FFFFFF"/>
          <w:lang w:val="zh-CN"/>
        </w:rPr>
        <w:t>预算</w:t>
      </w:r>
      <w:r>
        <w:rPr>
          <w:rFonts w:hint="eastAsia" w:eastAsia="楷体_GB2312"/>
          <w:color w:val="000000"/>
          <w:kern w:val="0"/>
          <w:szCs w:val="32"/>
          <w:shd w:val="clear" w:color="auto" w:fill="FFFFFF"/>
          <w:lang w:val="zh-CN"/>
        </w:rPr>
        <w:t>编制情况</w:t>
      </w:r>
      <w:r>
        <w:rPr>
          <w:rFonts w:eastAsia="楷体_GB2312"/>
          <w:color w:val="000000"/>
          <w:kern w:val="0"/>
          <w:szCs w:val="32"/>
          <w:shd w:val="clear" w:color="auto" w:fill="FFFFFF"/>
          <w:lang w:val="zh-CN"/>
        </w:rPr>
        <w:t>。</w:t>
      </w:r>
    </w:p>
    <w:p w14:paraId="6AB62EA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contextualSpacing/>
        <w:jc w:val="left"/>
        <w:textAlignment w:val="auto"/>
        <w:rPr>
          <w:color w:val="000000"/>
          <w:kern w:val="0"/>
          <w:szCs w:val="32"/>
          <w:shd w:val="clear" w:color="auto" w:fill="FFFFFF"/>
          <w:lang w:val="zh-CN"/>
        </w:rPr>
      </w:pPr>
      <w:r>
        <w:rPr>
          <w:rFonts w:hint="eastAsia"/>
          <w:color w:val="000000"/>
          <w:kern w:val="0"/>
          <w:szCs w:val="32"/>
          <w:shd w:val="clear" w:color="auto" w:fill="FFFFFF"/>
          <w:lang w:val="en-US" w:eastAsia="zh-CN"/>
        </w:rPr>
        <w:t>2024年区委宣传部严格按照西区财政局预算编制通知和有关要求，按时按质完成报送决算编制等工作，并按时提交部门预算编制草案，不存在应编、未编、错误列编，西区财政局根据预算编制草案，进行审核，批复2024年部门预算收入755.86万元，其中：工资福利支出427.82万元、日常公用支出49.62万元、对个人和家庭的补助支出3.42万元、项目支出275万元。</w:t>
      </w:r>
    </w:p>
    <w:p w14:paraId="6F5593B6">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楷体_GB2312"/>
          <w:color w:val="000000"/>
          <w:kern w:val="0"/>
          <w:szCs w:val="32"/>
          <w:shd w:val="clear" w:color="auto" w:fill="FFFFFF"/>
          <w:lang w:val="zh-CN"/>
        </w:rPr>
      </w:pPr>
      <w:r>
        <w:rPr>
          <w:rFonts w:eastAsia="楷体_GB2312"/>
          <w:color w:val="000000"/>
          <w:kern w:val="0"/>
          <w:szCs w:val="32"/>
          <w:shd w:val="clear" w:color="auto" w:fill="FFFFFF"/>
        </w:rPr>
        <w:t>3.</w:t>
      </w:r>
      <w:r>
        <w:rPr>
          <w:rFonts w:eastAsia="楷体_GB2312"/>
          <w:color w:val="000000"/>
          <w:kern w:val="0"/>
          <w:szCs w:val="32"/>
          <w:shd w:val="clear" w:color="auto" w:fill="FFFFFF"/>
          <w:lang w:val="zh-CN"/>
        </w:rPr>
        <w:t>财务管理。</w:t>
      </w:r>
    </w:p>
    <w:p w14:paraId="624209FF">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建立健全了财务管理制度，涵盖预算管理、收支管理、资产管理等方面，制度执行严格</w:t>
      </w:r>
      <w:r>
        <w:rPr>
          <w:rFonts w:hint="default" w:ascii="Times New Roman" w:hAnsi="Times New Roman" w:cs="Times New Roman"/>
          <w:color w:val="000000"/>
          <w:kern w:val="0"/>
          <w:szCs w:val="32"/>
          <w:shd w:val="clear" w:color="auto" w:fill="FFFFFF"/>
          <w:lang w:val="zh-CN" w:eastAsia="zh-CN"/>
        </w:rPr>
        <w:t>，确保财务工作有章可循；财务岗位设置科学分工，明确岗位权责，做到不相容岗位相互分离，避免兼岗带来的风险；资金使用规范上，严格把控资金审批流程，确保每一笔资金都按照规定用途、标准和程序使用，杜绝挪用、滥用等违规行为，保障财务工作有序进行，维护财务安全与规范</w:t>
      </w:r>
      <w:r>
        <w:rPr>
          <w:rFonts w:hint="eastAsia" w:ascii="Times New Roman" w:hAnsi="Times New Roman" w:cs="Times New Roman"/>
          <w:color w:val="000000"/>
          <w:kern w:val="0"/>
          <w:szCs w:val="32"/>
          <w:shd w:val="clear" w:color="auto" w:fill="FFFFFF"/>
          <w:lang w:val="zh-CN" w:eastAsia="zh-CN"/>
        </w:rPr>
        <w:t>。</w:t>
      </w:r>
    </w:p>
    <w:p w14:paraId="548171EC">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楷体_GB2312"/>
          <w:color w:val="000000"/>
          <w:kern w:val="0"/>
          <w:szCs w:val="32"/>
          <w:shd w:val="clear" w:color="auto" w:fill="FFFFFF"/>
          <w:lang w:val="zh-CN"/>
        </w:rPr>
      </w:pPr>
      <w:r>
        <w:rPr>
          <w:rFonts w:eastAsia="楷体_GB2312"/>
          <w:color w:val="000000"/>
          <w:kern w:val="0"/>
          <w:szCs w:val="32"/>
          <w:shd w:val="clear" w:color="auto" w:fill="FFFFFF"/>
        </w:rPr>
        <w:t>4.</w:t>
      </w:r>
      <w:r>
        <w:rPr>
          <w:rFonts w:eastAsia="楷体_GB2312"/>
          <w:color w:val="000000"/>
          <w:kern w:val="0"/>
          <w:szCs w:val="32"/>
          <w:shd w:val="clear" w:color="auto" w:fill="FFFFFF"/>
          <w:lang w:val="zh-CN"/>
        </w:rPr>
        <w:t>资产管理。</w:t>
      </w:r>
    </w:p>
    <w:p w14:paraId="60ED435F">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高度重视闲置资产管理，建立动态清查机制，定期梳理闲置资产明细，通过内部调剂、共享使用等方式，将闲置设备、办公用品等调配至需求科室。同时，</w:t>
      </w:r>
      <w:r>
        <w:rPr>
          <w:rFonts w:hint="default" w:ascii="Times New Roman" w:hAnsi="Times New Roman" w:cs="Times New Roman"/>
          <w:color w:val="000000"/>
          <w:kern w:val="0"/>
          <w:szCs w:val="32"/>
          <w:shd w:val="clear" w:color="auto" w:fill="FFFFFF"/>
          <w:lang w:val="zh-CN" w:eastAsia="zh-CN"/>
        </w:rPr>
        <w:t>在资产系统内对固定资产及状态及时进行更新</w:t>
      </w:r>
      <w:r>
        <w:rPr>
          <w:rFonts w:hint="default" w:ascii="Times New Roman" w:hAnsi="Times New Roman" w:cs="Times New Roman"/>
          <w:color w:val="000000"/>
          <w:kern w:val="0"/>
          <w:szCs w:val="32"/>
          <w:shd w:val="clear" w:color="auto" w:fill="FFFFFF"/>
          <w:lang w:val="zh-CN"/>
        </w:rPr>
        <w:t>，优化资源配置，显著提升资产利用率，有效避免资源浪费，为机关高效运转提供有力保障。</w:t>
      </w:r>
    </w:p>
    <w:p w14:paraId="363D768B">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楷体_GB2312"/>
          <w:color w:val="000000"/>
          <w:kern w:val="0"/>
          <w:szCs w:val="32"/>
          <w:shd w:val="clear" w:color="auto" w:fill="FFFFFF"/>
          <w:lang w:val="zh-CN"/>
        </w:rPr>
      </w:pPr>
      <w:r>
        <w:rPr>
          <w:rFonts w:eastAsia="楷体_GB2312"/>
          <w:color w:val="000000"/>
          <w:kern w:val="0"/>
          <w:szCs w:val="32"/>
          <w:shd w:val="clear" w:color="auto" w:fill="FFFFFF"/>
        </w:rPr>
        <w:t>5.</w:t>
      </w:r>
      <w:r>
        <w:rPr>
          <w:rFonts w:eastAsia="楷体_GB2312"/>
          <w:color w:val="000000"/>
          <w:kern w:val="0"/>
          <w:szCs w:val="32"/>
          <w:shd w:val="clear" w:color="auto" w:fill="FFFFFF"/>
          <w:lang w:val="zh-CN"/>
        </w:rPr>
        <w:t>采购管理。</w:t>
      </w:r>
    </w:p>
    <w:p w14:paraId="424060B7">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Times New Roman" w:hAnsi="Times New Roman" w:cs="Times New Roman"/>
          <w:color w:val="000000"/>
          <w:kern w:val="0"/>
          <w:szCs w:val="32"/>
          <w:shd w:val="clear" w:color="auto" w:fill="FFFFFF"/>
          <w:lang w:val="zh-CN" w:eastAsia="zh-CN"/>
        </w:rPr>
      </w:pPr>
      <w:r>
        <w:rPr>
          <w:rFonts w:hint="default" w:ascii="Times New Roman" w:hAnsi="Times New Roman" w:cs="Times New Roman"/>
          <w:color w:val="000000"/>
          <w:kern w:val="0"/>
          <w:szCs w:val="32"/>
          <w:shd w:val="clear" w:color="auto" w:fill="FFFFFF"/>
          <w:lang w:val="zh-CN"/>
        </w:rPr>
        <w:t>严格</w:t>
      </w:r>
      <w:r>
        <w:rPr>
          <w:rFonts w:hint="default" w:ascii="Times New Roman" w:hAnsi="Times New Roman" w:cs="Times New Roman"/>
          <w:color w:val="000000"/>
          <w:kern w:val="0"/>
          <w:szCs w:val="32"/>
          <w:shd w:val="clear" w:color="auto" w:fill="FFFFFF"/>
          <w:lang w:val="zh-CN" w:eastAsia="zh-CN"/>
        </w:rPr>
        <w:t>按照</w:t>
      </w:r>
      <w:r>
        <w:rPr>
          <w:rFonts w:hint="default" w:ascii="Times New Roman" w:hAnsi="Times New Roman" w:cs="Times New Roman"/>
          <w:color w:val="000000"/>
          <w:kern w:val="0"/>
          <w:szCs w:val="32"/>
          <w:shd w:val="clear" w:color="auto" w:fill="FFFFFF"/>
          <w:lang w:val="zh-CN"/>
        </w:rPr>
        <w:t>采购管理</w:t>
      </w:r>
      <w:r>
        <w:rPr>
          <w:rFonts w:hint="default" w:ascii="Times New Roman" w:hAnsi="Times New Roman" w:cs="Times New Roman"/>
          <w:color w:val="000000"/>
          <w:kern w:val="0"/>
          <w:szCs w:val="32"/>
          <w:shd w:val="clear" w:color="auto" w:fill="FFFFFF"/>
          <w:lang w:val="zh-CN" w:eastAsia="zh-CN"/>
        </w:rPr>
        <w:t>文件要求执行</w:t>
      </w:r>
      <w:r>
        <w:rPr>
          <w:rFonts w:hint="default" w:ascii="Times New Roman" w:hAnsi="Times New Roman" w:cs="Times New Roman"/>
          <w:color w:val="000000"/>
          <w:kern w:val="0"/>
          <w:szCs w:val="32"/>
          <w:shd w:val="clear" w:color="auto" w:fill="FFFFFF"/>
          <w:lang w:val="zh-CN"/>
        </w:rPr>
        <w:t>，采购前精准预算编制，结合实际需求科学规划；采购中坚持公开透明，严格执行</w:t>
      </w:r>
      <w:r>
        <w:rPr>
          <w:rFonts w:hint="default" w:ascii="Times New Roman" w:hAnsi="Times New Roman" w:cs="Times New Roman"/>
          <w:color w:val="000000"/>
          <w:kern w:val="0"/>
          <w:szCs w:val="32"/>
          <w:shd w:val="clear" w:color="auto" w:fill="FFFFFF"/>
          <w:lang w:val="zh-CN" w:eastAsia="zh-CN"/>
        </w:rPr>
        <w:t>采购</w:t>
      </w:r>
      <w:r>
        <w:rPr>
          <w:rFonts w:hint="default" w:ascii="Times New Roman" w:hAnsi="Times New Roman" w:cs="Times New Roman"/>
          <w:color w:val="000000"/>
          <w:kern w:val="0"/>
          <w:szCs w:val="32"/>
          <w:shd w:val="clear" w:color="auto" w:fill="FFFFFF"/>
          <w:lang w:val="zh-CN"/>
        </w:rPr>
        <w:t>程序；采购后加强验收与监督，确保物资质量达标，同时强化档案管理，保障采购全程留痕、规范有</w:t>
      </w:r>
      <w:r>
        <w:rPr>
          <w:rFonts w:hint="eastAsia" w:ascii="Times New Roman" w:hAnsi="Times New Roman" w:cs="Times New Roman"/>
          <w:color w:val="000000"/>
          <w:kern w:val="0"/>
          <w:szCs w:val="32"/>
          <w:shd w:val="clear" w:color="auto" w:fill="FFFFFF"/>
          <w:lang w:val="zh-CN" w:eastAsia="zh-CN"/>
        </w:rPr>
        <w:t>序。</w:t>
      </w:r>
    </w:p>
    <w:p w14:paraId="13DF7B67">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color w:val="000000"/>
          <w:kern w:val="0"/>
          <w:szCs w:val="32"/>
          <w:shd w:val="clear" w:color="auto" w:fill="FFFFFF"/>
        </w:rPr>
      </w:pPr>
      <w:r>
        <w:rPr>
          <w:rFonts w:eastAsia="楷体_GB2312"/>
          <w:b/>
          <w:bCs/>
          <w:color w:val="000000"/>
          <w:kern w:val="0"/>
          <w:szCs w:val="32"/>
          <w:shd w:val="clear" w:color="auto" w:fill="FFFFFF"/>
          <w:lang w:val="zh-CN"/>
        </w:rPr>
        <w:t>（二）部门预算项目绩效分析。</w:t>
      </w:r>
    </w:p>
    <w:p w14:paraId="18EC912B">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rPr>
        <w:t>常年项目绩效分析。</w:t>
      </w:r>
      <w:r>
        <w:rPr>
          <w:color w:val="000000"/>
          <w:kern w:val="0"/>
          <w:szCs w:val="32"/>
          <w:shd w:val="clear" w:color="auto" w:fill="FFFFFF"/>
          <w:lang w:val="zh-CN"/>
        </w:rPr>
        <w:t>该类项目总数</w:t>
      </w:r>
      <w:r>
        <w:rPr>
          <w:rFonts w:hint="eastAsia"/>
          <w:color w:val="000000"/>
          <w:kern w:val="0"/>
          <w:szCs w:val="32"/>
          <w:shd w:val="clear" w:color="auto" w:fill="FFFFFF"/>
          <w:lang w:val="en-US" w:eastAsia="zh-CN"/>
        </w:rPr>
        <w:t>13</w:t>
      </w:r>
      <w:r>
        <w:rPr>
          <w:color w:val="000000"/>
          <w:kern w:val="0"/>
          <w:szCs w:val="32"/>
          <w:shd w:val="clear" w:color="auto" w:fill="FFFFFF"/>
          <w:lang w:val="zh-CN"/>
        </w:rPr>
        <w:t>个，涉及预算总金额</w:t>
      </w:r>
      <w:r>
        <w:rPr>
          <w:rFonts w:hint="eastAsia"/>
          <w:color w:val="000000"/>
          <w:kern w:val="0"/>
          <w:szCs w:val="32"/>
          <w:shd w:val="clear" w:color="auto" w:fill="FFFFFF"/>
          <w:lang w:val="en-US" w:eastAsia="zh-CN"/>
        </w:rPr>
        <w:t>469.52</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lang w:val="en-US" w:eastAsia="zh-CN"/>
        </w:rPr>
        <w:t>39.59</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lang w:val="en-US" w:eastAsia="zh-CN"/>
        </w:rPr>
        <w:t>5</w:t>
      </w:r>
      <w:r>
        <w:rPr>
          <w:color w:val="000000"/>
          <w:kern w:val="0"/>
          <w:szCs w:val="32"/>
          <w:shd w:val="clear" w:color="auto" w:fill="FFFFFF"/>
          <w:lang w:val="zh-CN"/>
        </w:rPr>
        <w:t>个。</w:t>
      </w:r>
    </w:p>
    <w:p w14:paraId="117097EE">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rPr>
        <w:t>阶段（</w:t>
      </w:r>
      <w:r>
        <w:rPr>
          <w:rFonts w:hint="eastAsia"/>
          <w:color w:val="000000"/>
          <w:kern w:val="0"/>
          <w:szCs w:val="32"/>
          <w:shd w:val="clear" w:color="auto" w:fill="FFFFFF"/>
        </w:rPr>
        <w:t>含</w:t>
      </w:r>
      <w:r>
        <w:rPr>
          <w:color w:val="000000"/>
          <w:kern w:val="0"/>
          <w:szCs w:val="32"/>
          <w:shd w:val="clear" w:color="auto" w:fill="FFFFFF"/>
        </w:rPr>
        <w:t>一次性）项目绩效分析。</w:t>
      </w:r>
      <w:r>
        <w:rPr>
          <w:color w:val="000000"/>
          <w:kern w:val="0"/>
          <w:szCs w:val="32"/>
          <w:shd w:val="clear" w:color="auto" w:fill="FFFFFF"/>
          <w:lang w:val="zh-CN"/>
        </w:rPr>
        <w:t>该类项目总数</w:t>
      </w:r>
      <w:r>
        <w:rPr>
          <w:rFonts w:hint="eastAsia"/>
          <w:color w:val="000000"/>
          <w:kern w:val="0"/>
          <w:szCs w:val="32"/>
          <w:shd w:val="clear" w:color="auto" w:fill="FFFFFF"/>
          <w:lang w:val="en-US" w:eastAsia="zh-CN"/>
        </w:rPr>
        <w:t>13</w:t>
      </w:r>
      <w:r>
        <w:rPr>
          <w:color w:val="000000"/>
          <w:kern w:val="0"/>
          <w:szCs w:val="32"/>
          <w:shd w:val="clear" w:color="auto" w:fill="FFFFFF"/>
          <w:lang w:val="zh-CN"/>
        </w:rPr>
        <w:t>个，涉及预算总金额</w:t>
      </w:r>
      <w:r>
        <w:rPr>
          <w:rFonts w:hint="eastAsia"/>
          <w:color w:val="000000"/>
          <w:kern w:val="0"/>
          <w:szCs w:val="32"/>
          <w:shd w:val="clear" w:color="auto" w:fill="FFFFFF"/>
          <w:lang w:val="en-US" w:eastAsia="zh-CN"/>
        </w:rPr>
        <w:t>469.52</w:t>
      </w:r>
      <w:r>
        <w:rPr>
          <w:color w:val="000000"/>
          <w:kern w:val="0"/>
          <w:szCs w:val="32"/>
          <w:shd w:val="clear" w:color="auto" w:fill="FFFFFF"/>
          <w:lang w:val="zh-CN"/>
        </w:rPr>
        <w:t>万元，1</w:t>
      </w:r>
      <w:r>
        <w:rPr>
          <w:rFonts w:hint="eastAsia"/>
          <w:color w:val="000000"/>
          <w:kern w:val="0"/>
          <w:szCs w:val="32"/>
          <w:shd w:val="clear" w:color="auto" w:fill="FFFFFF"/>
          <w:lang w:val="zh-CN"/>
        </w:rPr>
        <w:t>—</w:t>
      </w:r>
      <w:r>
        <w:rPr>
          <w:color w:val="000000"/>
          <w:kern w:val="0"/>
          <w:szCs w:val="32"/>
          <w:shd w:val="clear" w:color="auto" w:fill="FFFFFF"/>
          <w:lang w:val="zh-CN"/>
        </w:rPr>
        <w:t>1</w:t>
      </w:r>
      <w:r>
        <w:rPr>
          <w:color w:val="000000"/>
          <w:kern w:val="0"/>
          <w:szCs w:val="32"/>
          <w:shd w:val="clear" w:color="auto" w:fill="FFFFFF"/>
        </w:rPr>
        <w:t>2</w:t>
      </w:r>
      <w:r>
        <w:rPr>
          <w:color w:val="000000"/>
          <w:kern w:val="0"/>
          <w:szCs w:val="32"/>
          <w:shd w:val="clear" w:color="auto" w:fill="FFFFFF"/>
          <w:lang w:val="zh-CN"/>
        </w:rPr>
        <w:t>月预算执行总体进度为</w:t>
      </w:r>
      <w:r>
        <w:rPr>
          <w:rFonts w:hint="eastAsia"/>
          <w:color w:val="000000"/>
          <w:kern w:val="0"/>
          <w:szCs w:val="32"/>
          <w:shd w:val="clear" w:color="auto" w:fill="FFFFFF"/>
          <w:lang w:val="en-US" w:eastAsia="zh-CN"/>
        </w:rPr>
        <w:t>39.59</w:t>
      </w:r>
      <w:r>
        <w:rPr>
          <w:color w:val="000000"/>
          <w:kern w:val="0"/>
          <w:szCs w:val="32"/>
          <w:shd w:val="clear" w:color="auto" w:fill="FFFFFF"/>
          <w:lang w:val="zh-CN"/>
        </w:rPr>
        <w:t>%，其中：预算结余率大于</w:t>
      </w:r>
      <w:r>
        <w:rPr>
          <w:color w:val="000000"/>
          <w:kern w:val="0"/>
          <w:szCs w:val="32"/>
          <w:shd w:val="clear" w:color="auto" w:fill="FFFFFF"/>
        </w:rPr>
        <w:t>10%</w:t>
      </w:r>
      <w:r>
        <w:rPr>
          <w:color w:val="000000"/>
          <w:kern w:val="0"/>
          <w:szCs w:val="32"/>
          <w:shd w:val="clear" w:color="auto" w:fill="FFFFFF"/>
          <w:lang w:val="zh-CN"/>
        </w:rPr>
        <w:t>的项目共计</w:t>
      </w:r>
      <w:r>
        <w:rPr>
          <w:rFonts w:hint="eastAsia"/>
          <w:color w:val="000000"/>
          <w:kern w:val="0"/>
          <w:szCs w:val="32"/>
          <w:shd w:val="clear" w:color="auto" w:fill="FFFFFF"/>
          <w:lang w:val="en-US" w:eastAsia="zh-CN"/>
        </w:rPr>
        <w:t>5</w:t>
      </w:r>
      <w:r>
        <w:rPr>
          <w:color w:val="000000"/>
          <w:kern w:val="0"/>
          <w:szCs w:val="32"/>
          <w:shd w:val="clear" w:color="auto" w:fill="FFFFFF"/>
          <w:lang w:val="zh-CN"/>
        </w:rPr>
        <w:t>个。</w:t>
      </w:r>
    </w:p>
    <w:p w14:paraId="62F855A9">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楷体_GB2312"/>
          <w:color w:val="000000"/>
          <w:kern w:val="0"/>
          <w:szCs w:val="32"/>
          <w:shd w:val="clear" w:color="auto" w:fill="FFFFFF"/>
          <w:lang w:val="zh-CN"/>
        </w:rPr>
      </w:pPr>
      <w:r>
        <w:rPr>
          <w:rFonts w:eastAsia="楷体_GB2312"/>
          <w:color w:val="000000"/>
          <w:kern w:val="0"/>
          <w:szCs w:val="32"/>
          <w:shd w:val="clear" w:color="auto" w:fill="FFFFFF"/>
        </w:rPr>
        <w:t>1.</w:t>
      </w:r>
      <w:r>
        <w:rPr>
          <w:rFonts w:eastAsia="楷体_GB2312"/>
          <w:color w:val="000000"/>
          <w:kern w:val="0"/>
          <w:szCs w:val="32"/>
          <w:shd w:val="clear" w:color="auto" w:fill="FFFFFF"/>
          <w:lang w:val="zh-CN"/>
        </w:rPr>
        <w:t>项目决策。</w:t>
      </w:r>
    </w:p>
    <w:p w14:paraId="7048E757">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hint="eastAsia" w:ascii="Times New Roman" w:hAnsi="Times New Roman" w:cs="Times New Roman"/>
          <w:color w:val="000000"/>
          <w:kern w:val="0"/>
          <w:szCs w:val="32"/>
          <w:shd w:val="clear" w:color="auto" w:fill="FFFFFF"/>
          <w:lang w:val="zh-CN" w:eastAsia="zh-CN"/>
        </w:rPr>
      </w:pPr>
      <w:r>
        <w:rPr>
          <w:rFonts w:hint="eastAsia" w:ascii="Times New Roman" w:hAnsi="Times New Roman" w:cs="Times New Roman"/>
          <w:color w:val="000000"/>
          <w:kern w:val="0"/>
          <w:szCs w:val="32"/>
          <w:shd w:val="clear" w:color="auto" w:fill="FFFFFF"/>
          <w:lang w:val="zh-CN" w:eastAsia="zh-CN"/>
        </w:rPr>
        <w:t>以202</w:t>
      </w:r>
      <w:r>
        <w:rPr>
          <w:rFonts w:hint="eastAsia" w:ascii="Times New Roman" w:hAnsi="Times New Roman" w:cs="Times New Roman"/>
          <w:color w:val="000000"/>
          <w:kern w:val="0"/>
          <w:szCs w:val="32"/>
          <w:shd w:val="clear" w:color="auto" w:fill="FFFFFF"/>
          <w:lang w:val="en-US" w:eastAsia="zh-CN"/>
        </w:rPr>
        <w:t>4</w:t>
      </w:r>
      <w:r>
        <w:rPr>
          <w:rFonts w:hint="eastAsia" w:ascii="Times New Roman" w:hAnsi="Times New Roman" w:cs="Times New Roman"/>
          <w:color w:val="000000"/>
          <w:kern w:val="0"/>
          <w:szCs w:val="32"/>
          <w:shd w:val="clear" w:color="auto" w:fill="FFFFFF"/>
          <w:lang w:val="zh-CN" w:eastAsia="zh-CN"/>
        </w:rPr>
        <w:t>工作安排为参考，以202</w:t>
      </w:r>
      <w:r>
        <w:rPr>
          <w:rFonts w:hint="eastAsia" w:ascii="Times New Roman" w:hAnsi="Times New Roman" w:cs="Times New Roman"/>
          <w:color w:val="000000"/>
          <w:kern w:val="0"/>
          <w:szCs w:val="32"/>
          <w:shd w:val="clear" w:color="auto" w:fill="FFFFFF"/>
          <w:lang w:val="en-US" w:eastAsia="zh-CN"/>
        </w:rPr>
        <w:t>4</w:t>
      </w:r>
      <w:r>
        <w:rPr>
          <w:rFonts w:hint="eastAsia" w:ascii="Times New Roman" w:hAnsi="Times New Roman" w:cs="Times New Roman"/>
          <w:color w:val="000000"/>
          <w:kern w:val="0"/>
          <w:szCs w:val="32"/>
          <w:shd w:val="clear" w:color="auto" w:fill="FFFFFF"/>
          <w:lang w:val="zh-CN" w:eastAsia="zh-CN"/>
        </w:rPr>
        <w:t>年工作计划为依据，预算安排共计</w:t>
      </w:r>
      <w:r>
        <w:rPr>
          <w:rFonts w:hint="eastAsia" w:cs="Times New Roman"/>
          <w:color w:val="000000"/>
          <w:kern w:val="0"/>
          <w:szCs w:val="32"/>
          <w:shd w:val="clear" w:color="auto" w:fill="FFFFFF"/>
          <w:lang w:val="en-US" w:eastAsia="zh-CN"/>
        </w:rPr>
        <w:t>1010.76</w:t>
      </w:r>
      <w:r>
        <w:rPr>
          <w:rFonts w:hint="eastAsia" w:ascii="Times New Roman" w:hAnsi="Times New Roman" w:cs="Times New Roman"/>
          <w:color w:val="000000"/>
          <w:kern w:val="0"/>
          <w:szCs w:val="32"/>
          <w:shd w:val="clear" w:color="auto" w:fill="FFFFFF"/>
          <w:lang w:val="zh-CN" w:eastAsia="zh-CN"/>
        </w:rPr>
        <w:t>万元，以不断提高服务对象满意度，及时发现工作存在的问题，提升工人服务质量，提高政策知晓率。投入成本与预期产出及效果相匹配，成本测算依据充分。同时在支出过程中，严格履行政府采购程序，合理控制成本，确保资金投入与支出比例合理。当年实际支出</w:t>
      </w:r>
      <w:r>
        <w:rPr>
          <w:rFonts w:hint="eastAsia" w:cs="Times New Roman"/>
          <w:color w:val="000000"/>
          <w:kern w:val="0"/>
          <w:szCs w:val="32"/>
          <w:shd w:val="clear" w:color="auto" w:fill="FFFFFF"/>
          <w:lang w:val="en-US" w:eastAsia="zh-CN"/>
        </w:rPr>
        <w:t>727.12</w:t>
      </w:r>
      <w:r>
        <w:rPr>
          <w:rFonts w:hint="eastAsia" w:ascii="Times New Roman" w:hAnsi="Times New Roman" w:cs="Times New Roman"/>
          <w:color w:val="000000"/>
          <w:kern w:val="0"/>
          <w:szCs w:val="32"/>
          <w:shd w:val="clear" w:color="auto" w:fill="FFFFFF"/>
          <w:lang w:val="zh-CN" w:eastAsia="zh-CN"/>
        </w:rPr>
        <w:t>万元，执行率</w:t>
      </w:r>
      <w:r>
        <w:rPr>
          <w:rFonts w:hint="eastAsia" w:cs="Times New Roman"/>
          <w:color w:val="000000"/>
          <w:kern w:val="0"/>
          <w:szCs w:val="32"/>
          <w:shd w:val="clear" w:color="auto" w:fill="FFFFFF"/>
          <w:lang w:val="en-US" w:eastAsia="zh-CN"/>
        </w:rPr>
        <w:t>71.93</w:t>
      </w:r>
      <w:r>
        <w:rPr>
          <w:rFonts w:hint="eastAsia" w:ascii="Times New Roman" w:hAnsi="Times New Roman" w:cs="Times New Roman"/>
          <w:color w:val="000000"/>
          <w:kern w:val="0"/>
          <w:szCs w:val="32"/>
          <w:shd w:val="clear" w:color="auto" w:fill="FFFFFF"/>
          <w:lang w:val="zh-CN" w:eastAsia="zh-CN"/>
        </w:rPr>
        <w:t>%。</w:t>
      </w:r>
    </w:p>
    <w:p w14:paraId="069849FE">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楷体_GB2312"/>
          <w:color w:val="000000"/>
          <w:kern w:val="0"/>
          <w:szCs w:val="32"/>
          <w:shd w:val="clear" w:color="auto" w:fill="FFFFFF"/>
          <w:lang w:val="zh-CN"/>
        </w:rPr>
      </w:pPr>
      <w:r>
        <w:rPr>
          <w:rFonts w:eastAsia="楷体_GB2312"/>
          <w:color w:val="000000"/>
          <w:kern w:val="0"/>
          <w:szCs w:val="32"/>
          <w:shd w:val="clear" w:color="auto" w:fill="FFFFFF"/>
        </w:rPr>
        <w:t>2.项目执行</w:t>
      </w:r>
      <w:r>
        <w:rPr>
          <w:rFonts w:eastAsia="楷体_GB2312"/>
          <w:color w:val="000000"/>
          <w:kern w:val="0"/>
          <w:szCs w:val="32"/>
          <w:shd w:val="clear" w:color="auto" w:fill="FFFFFF"/>
          <w:lang w:val="zh-CN"/>
        </w:rPr>
        <w:t>。</w:t>
      </w:r>
    </w:p>
    <w:p w14:paraId="48C12492">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rPr>
        <w:t>项目实施期限</w:t>
      </w:r>
      <w:r>
        <w:rPr>
          <w:rFonts w:hint="eastAsia" w:cs="Times New Roman"/>
          <w:color w:val="000000"/>
          <w:kern w:val="0"/>
          <w:szCs w:val="32"/>
          <w:shd w:val="clear" w:color="auto" w:fill="FFFFFF"/>
          <w:lang w:val="zh-CN"/>
        </w:rPr>
        <w:t>主要</w:t>
      </w:r>
      <w:r>
        <w:rPr>
          <w:rFonts w:hint="eastAsia" w:ascii="Times New Roman" w:hAnsi="Times New Roman" w:cs="Times New Roman"/>
          <w:color w:val="000000"/>
          <w:kern w:val="0"/>
          <w:szCs w:val="32"/>
          <w:shd w:val="clear" w:color="auto" w:fill="FFFFFF"/>
          <w:lang w:val="zh-CN"/>
        </w:rPr>
        <w:t>为202</w:t>
      </w:r>
      <w:r>
        <w:rPr>
          <w:rFonts w:hint="eastAsia" w:ascii="Times New Roman" w:hAnsi="Times New Roman" w:cs="Times New Roman"/>
          <w:color w:val="000000"/>
          <w:kern w:val="0"/>
          <w:szCs w:val="32"/>
          <w:shd w:val="clear" w:color="auto" w:fill="FFFFFF"/>
          <w:lang w:val="en-US" w:eastAsia="zh-CN"/>
        </w:rPr>
        <w:t>4</w:t>
      </w:r>
      <w:r>
        <w:rPr>
          <w:rFonts w:hint="eastAsia" w:ascii="Times New Roman" w:hAnsi="Times New Roman" w:cs="Times New Roman"/>
          <w:color w:val="000000"/>
          <w:kern w:val="0"/>
          <w:szCs w:val="32"/>
          <w:shd w:val="clear" w:color="auto" w:fill="FFFFFF"/>
          <w:lang w:val="zh-CN"/>
        </w:rPr>
        <w:t>年1月至12月，由</w:t>
      </w:r>
      <w:r>
        <w:rPr>
          <w:rFonts w:hint="eastAsia" w:cs="Times New Roman"/>
          <w:color w:val="000000"/>
          <w:kern w:val="0"/>
          <w:szCs w:val="32"/>
          <w:shd w:val="clear" w:color="auto" w:fill="FFFFFF"/>
          <w:lang w:val="en-US" w:eastAsia="zh-CN"/>
        </w:rPr>
        <w:t>区委宣传部</w:t>
      </w:r>
      <w:r>
        <w:rPr>
          <w:rFonts w:hint="eastAsia" w:ascii="Times New Roman" w:hAnsi="Times New Roman" w:cs="Times New Roman"/>
          <w:color w:val="000000"/>
          <w:kern w:val="0"/>
          <w:szCs w:val="32"/>
          <w:shd w:val="clear" w:color="auto" w:fill="FFFFFF"/>
          <w:lang w:val="zh-CN"/>
        </w:rPr>
        <w:t>申报，</w:t>
      </w:r>
      <w:r>
        <w:rPr>
          <w:rFonts w:hint="eastAsia" w:ascii="Times New Roman" w:hAnsi="Times New Roman" w:cs="Times New Roman"/>
          <w:color w:val="000000"/>
          <w:kern w:val="0"/>
          <w:szCs w:val="32"/>
          <w:shd w:val="clear" w:color="auto" w:fill="FFFFFF"/>
          <w:lang w:val="zh-CN" w:eastAsia="zh-CN"/>
        </w:rPr>
        <w:t>西区</w:t>
      </w:r>
      <w:r>
        <w:rPr>
          <w:rFonts w:hint="eastAsia" w:ascii="Times New Roman" w:hAnsi="Times New Roman" w:cs="Times New Roman"/>
          <w:color w:val="000000"/>
          <w:kern w:val="0"/>
          <w:szCs w:val="32"/>
          <w:shd w:val="clear" w:color="auto" w:fill="FFFFFF"/>
          <w:lang w:val="zh-CN"/>
        </w:rPr>
        <w:t>财政局审核批复，主要用于保障</w:t>
      </w:r>
      <w:r>
        <w:rPr>
          <w:rFonts w:hint="eastAsia" w:ascii="Times New Roman" w:hAnsi="Times New Roman" w:cs="Times New Roman"/>
          <w:color w:val="000000"/>
          <w:kern w:val="0"/>
          <w:szCs w:val="32"/>
          <w:shd w:val="clear" w:color="auto" w:fill="FFFFFF"/>
          <w:lang w:val="en-US" w:eastAsia="zh-CN"/>
        </w:rPr>
        <w:t>创建文明城市工作经费</w:t>
      </w:r>
      <w:r>
        <w:rPr>
          <w:rFonts w:hint="eastAsia" w:ascii="Times New Roman" w:hAnsi="Times New Roman"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en-US" w:eastAsia="zh-CN"/>
        </w:rPr>
        <w:t>文联工作经费</w:t>
      </w:r>
      <w:r>
        <w:rPr>
          <w:rFonts w:hint="eastAsia" w:ascii="Times New Roman" w:hAnsi="Times New Roman"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en-US" w:eastAsia="zh-CN"/>
        </w:rPr>
        <w:t>融媒体中心运行维护费、精神文明建设及文化发展服务费</w:t>
      </w:r>
      <w:r>
        <w:rPr>
          <w:rFonts w:hint="eastAsia" w:cs="Times New Roman"/>
          <w:color w:val="000000"/>
          <w:kern w:val="0"/>
          <w:szCs w:val="32"/>
          <w:shd w:val="clear" w:color="auto" w:fill="FFFFFF"/>
          <w:lang w:val="en-US" w:eastAsia="zh-CN"/>
        </w:rPr>
        <w:t>等</w:t>
      </w:r>
      <w:r>
        <w:rPr>
          <w:rFonts w:hint="eastAsia" w:ascii="Times New Roman" w:hAnsi="Times New Roman" w:cs="Times New Roman"/>
          <w:color w:val="000000"/>
          <w:kern w:val="0"/>
          <w:szCs w:val="32"/>
          <w:shd w:val="clear" w:color="auto" w:fill="FFFFFF"/>
          <w:lang w:val="en-US" w:eastAsia="zh-CN"/>
        </w:rPr>
        <w:t>项目</w:t>
      </w:r>
      <w:r>
        <w:rPr>
          <w:rFonts w:hint="eastAsia" w:ascii="Times New Roman" w:hAnsi="Times New Roman" w:cs="Times New Roman"/>
          <w:color w:val="000000"/>
          <w:kern w:val="0"/>
          <w:szCs w:val="32"/>
          <w:shd w:val="clear" w:color="auto" w:fill="FFFFFF"/>
          <w:lang w:val="zh-CN" w:eastAsia="zh-CN"/>
        </w:rPr>
        <w:t>工作</w:t>
      </w:r>
      <w:r>
        <w:rPr>
          <w:rFonts w:hint="eastAsia" w:ascii="Times New Roman" w:hAnsi="Times New Roman" w:cs="Times New Roman"/>
          <w:color w:val="000000"/>
          <w:kern w:val="0"/>
          <w:szCs w:val="32"/>
          <w:shd w:val="clear" w:color="auto" w:fill="FFFFFF"/>
          <w:lang w:val="zh-CN"/>
        </w:rPr>
        <w:t>开展，</w:t>
      </w:r>
      <w:r>
        <w:rPr>
          <w:rFonts w:hint="eastAsia" w:ascii="Times New Roman" w:hAnsi="Times New Roman" w:cs="Times New Roman"/>
          <w:color w:val="000000"/>
          <w:kern w:val="0"/>
          <w:szCs w:val="32"/>
          <w:shd w:val="clear" w:color="auto" w:fill="FFFFFF"/>
          <w:lang w:val="zh-CN" w:eastAsia="zh-CN"/>
        </w:rPr>
        <w:t>加强项目实施过程中的监督审核，建立健全财政专项资金的公开机制、评审机制、跟踪检查机制，确保财政资金安全高效使用</w:t>
      </w:r>
      <w:r>
        <w:rPr>
          <w:rFonts w:hint="eastAsia" w:ascii="Times New Roman" w:hAnsi="Times New Roman" w:cs="Times New Roman"/>
          <w:color w:val="000000"/>
          <w:kern w:val="0"/>
          <w:szCs w:val="32"/>
          <w:shd w:val="clear" w:color="auto" w:fill="FFFFFF"/>
          <w:lang w:val="zh-CN"/>
        </w:rPr>
        <w:t>。</w:t>
      </w:r>
    </w:p>
    <w:p w14:paraId="7E543129">
      <w:pPr>
        <w:keepNext w:val="0"/>
        <w:keepLines w:val="0"/>
        <w:pageBreakBefore w:val="0"/>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楷体_GB2312"/>
          <w:color w:val="000000"/>
          <w:kern w:val="0"/>
          <w:szCs w:val="32"/>
          <w:shd w:val="clear" w:color="auto" w:fill="FFFFFF"/>
          <w:lang w:val="zh-CN"/>
        </w:rPr>
      </w:pPr>
      <w:r>
        <w:rPr>
          <w:rFonts w:eastAsia="楷体_GB2312"/>
          <w:color w:val="000000"/>
          <w:kern w:val="0"/>
          <w:szCs w:val="32"/>
          <w:shd w:val="clear" w:color="auto" w:fill="FFFFFF"/>
        </w:rPr>
        <w:t>3.</w:t>
      </w:r>
      <w:r>
        <w:rPr>
          <w:rFonts w:eastAsia="楷体_GB2312"/>
          <w:color w:val="000000"/>
          <w:kern w:val="0"/>
          <w:szCs w:val="32"/>
          <w:shd w:val="clear" w:color="auto" w:fill="FFFFFF"/>
          <w:lang w:val="zh-CN"/>
        </w:rPr>
        <w:t>目标实现。</w:t>
      </w:r>
    </w:p>
    <w:p w14:paraId="7F3C610A">
      <w:pPr>
        <w:keepNext w:val="0"/>
        <w:keepLines w:val="0"/>
        <w:pageBreakBefore w:val="0"/>
        <w:kinsoku/>
        <w:wordWrap/>
        <w:overflowPunct/>
        <w:topLinePunct w:val="0"/>
        <w:autoSpaceDE/>
        <w:autoSpaceDN/>
        <w:bidi w:val="0"/>
        <w:spacing w:line="360" w:lineRule="auto"/>
        <w:ind w:firstLine="640" w:firstLineChars="200"/>
        <w:textAlignment w:val="auto"/>
        <w:rPr>
          <w:rFonts w:hint="eastAsia"/>
          <w:szCs w:val="32"/>
        </w:rPr>
      </w:pPr>
      <w:r>
        <w:rPr>
          <w:rFonts w:hint="eastAsia"/>
          <w:szCs w:val="32"/>
          <w:lang w:val="en-US" w:eastAsia="zh-CN"/>
        </w:rPr>
        <w:t>2024年区委宣传部</w:t>
      </w:r>
      <w:r>
        <w:rPr>
          <w:rFonts w:hint="eastAsia"/>
          <w:szCs w:val="32"/>
          <w:lang w:eastAsia="zh-CN"/>
        </w:rPr>
        <w:t>预算</w:t>
      </w:r>
      <w:r>
        <w:rPr>
          <w:rFonts w:hint="eastAsia"/>
          <w:szCs w:val="32"/>
        </w:rPr>
        <w:t>资金</w:t>
      </w:r>
      <w:r>
        <w:rPr>
          <w:rFonts w:hint="eastAsia"/>
          <w:szCs w:val="32"/>
          <w:lang w:val="en-US" w:eastAsia="zh-CN"/>
        </w:rPr>
        <w:t>1010.76</w:t>
      </w:r>
      <w:r>
        <w:rPr>
          <w:rFonts w:hint="eastAsia"/>
          <w:szCs w:val="32"/>
        </w:rPr>
        <w:t>万元由</w:t>
      </w:r>
      <w:r>
        <w:rPr>
          <w:rFonts w:hint="eastAsia"/>
          <w:szCs w:val="32"/>
          <w:lang w:eastAsia="zh-CN"/>
        </w:rPr>
        <w:t>区</w:t>
      </w:r>
      <w:r>
        <w:rPr>
          <w:rFonts w:hint="eastAsia"/>
          <w:szCs w:val="32"/>
        </w:rPr>
        <w:t>财政局纳入一体化管理平台统一管理，专款专用，资金拨付执行审批程序，使用规范，入账手续齐全。</w:t>
      </w:r>
    </w:p>
    <w:p w14:paraId="7E5097DF">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szCs w:val="32"/>
        </w:rPr>
      </w:pPr>
      <w:r>
        <w:rPr>
          <w:rFonts w:hint="eastAsia"/>
          <w:szCs w:val="32"/>
          <w:lang w:eastAsia="zh-CN"/>
        </w:rPr>
        <w:t>（</w:t>
      </w:r>
      <w:r>
        <w:rPr>
          <w:rFonts w:hint="eastAsia"/>
          <w:szCs w:val="32"/>
          <w:lang w:val="en-US" w:eastAsia="zh-CN"/>
        </w:rPr>
        <w:t>1）</w:t>
      </w:r>
      <w:r>
        <w:rPr>
          <w:rFonts w:hint="eastAsia"/>
          <w:szCs w:val="32"/>
        </w:rPr>
        <w:t>项目的经济效益分析。</w:t>
      </w:r>
    </w:p>
    <w:p w14:paraId="25303042">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szCs w:val="32"/>
        </w:rPr>
      </w:pPr>
      <w:r>
        <w:rPr>
          <w:rFonts w:hint="eastAsia"/>
          <w:szCs w:val="32"/>
        </w:rPr>
        <w:t>专项工作经费的预算符合国家财经法规和财务管理制度以及有关资金管理办法的规定，资金的拨付</w:t>
      </w:r>
      <w:r>
        <w:rPr>
          <w:rFonts w:hint="eastAsia"/>
          <w:szCs w:val="32"/>
          <w:lang w:eastAsia="zh-CN"/>
        </w:rPr>
        <w:t>报账</w:t>
      </w:r>
      <w:r>
        <w:rPr>
          <w:rFonts w:hint="eastAsia"/>
          <w:szCs w:val="32"/>
        </w:rPr>
        <w:t>有完整的审批程序和手续，资金使用符合项目预算批复，项目开展不超预算成本。严格执行项目管理制度，同时财务人员定期或不定期对资金使用、管理情况进行自查和检查，做到财务会计资料信息真实、及时、完整，资金的拨付有完整的审批程序和手续，各项制度执行落实较好，资金使用较为安全规范。项目开展控制在预算范围内。</w:t>
      </w:r>
    </w:p>
    <w:p w14:paraId="345C9412">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szCs w:val="32"/>
        </w:rPr>
      </w:pPr>
      <w:r>
        <w:rPr>
          <w:rFonts w:hint="eastAsia"/>
          <w:szCs w:val="32"/>
          <w:lang w:eastAsia="zh-CN"/>
        </w:rPr>
        <w:t>（</w:t>
      </w:r>
      <w:r>
        <w:rPr>
          <w:rFonts w:hint="eastAsia"/>
          <w:szCs w:val="32"/>
          <w:lang w:val="en-US" w:eastAsia="zh-CN"/>
        </w:rPr>
        <w:t>2）</w:t>
      </w:r>
      <w:r>
        <w:rPr>
          <w:rFonts w:hint="eastAsia"/>
          <w:szCs w:val="32"/>
        </w:rPr>
        <w:t>项目的社会效益分析。</w:t>
      </w:r>
    </w:p>
    <w:p w14:paraId="50FDAB25">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szCs w:val="32"/>
        </w:rPr>
      </w:pPr>
      <w:r>
        <w:rPr>
          <w:rFonts w:hint="eastAsia"/>
          <w:szCs w:val="32"/>
        </w:rPr>
        <w:t>促进地方经济发展、促进社会进步、带动就业、提高人民生活水平，顺利完成工作任务，达到预期目标。</w:t>
      </w:r>
    </w:p>
    <w:p w14:paraId="4C2E0216">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szCs w:val="32"/>
        </w:rPr>
      </w:pPr>
      <w:r>
        <w:rPr>
          <w:rFonts w:hint="eastAsia"/>
          <w:szCs w:val="32"/>
          <w:lang w:eastAsia="zh-CN"/>
        </w:rPr>
        <w:t>（</w:t>
      </w:r>
      <w:r>
        <w:rPr>
          <w:rFonts w:hint="eastAsia"/>
          <w:szCs w:val="32"/>
          <w:lang w:val="en-US" w:eastAsia="zh-CN"/>
        </w:rPr>
        <w:t>3）</w:t>
      </w:r>
      <w:r>
        <w:rPr>
          <w:rFonts w:hint="eastAsia"/>
          <w:szCs w:val="32"/>
        </w:rPr>
        <w:t>项目的可持续性分析。</w:t>
      </w:r>
    </w:p>
    <w:p w14:paraId="04CD5EB8">
      <w:pPr>
        <w:keepNext w:val="0"/>
        <w:keepLines w:val="0"/>
        <w:pageBreakBefore w:val="0"/>
        <w:kinsoku/>
        <w:wordWrap/>
        <w:overflowPunct/>
        <w:topLinePunct w:val="0"/>
        <w:autoSpaceDE/>
        <w:autoSpaceDN/>
        <w:bidi w:val="0"/>
        <w:spacing w:line="360" w:lineRule="auto"/>
        <w:ind w:firstLine="640" w:firstLineChars="200"/>
        <w:textAlignment w:val="auto"/>
        <w:rPr>
          <w:szCs w:val="32"/>
        </w:rPr>
      </w:pPr>
      <w:r>
        <w:rPr>
          <w:rFonts w:hint="eastAsia"/>
          <w:szCs w:val="32"/>
        </w:rPr>
        <w:t>202</w:t>
      </w:r>
      <w:r>
        <w:rPr>
          <w:rFonts w:hint="eastAsia"/>
          <w:szCs w:val="32"/>
          <w:lang w:val="en-US" w:eastAsia="zh-CN"/>
        </w:rPr>
        <w:t>4</w:t>
      </w:r>
      <w:r>
        <w:rPr>
          <w:rFonts w:hint="eastAsia"/>
          <w:szCs w:val="32"/>
        </w:rPr>
        <w:t>年度</w:t>
      </w:r>
      <w:r>
        <w:rPr>
          <w:rFonts w:hint="eastAsia"/>
          <w:szCs w:val="32"/>
          <w:lang w:eastAsia="zh-CN"/>
        </w:rPr>
        <w:t>较好地完成了年初制定的工作目标任务，各个项目有序开展，整体支出平稳，较好地实现了社会效益和可持续效益目标</w:t>
      </w:r>
      <w:r>
        <w:rPr>
          <w:szCs w:val="32"/>
        </w:rPr>
        <w:t>。</w:t>
      </w:r>
    </w:p>
    <w:p w14:paraId="64706C0E">
      <w:pPr>
        <w:keepNext w:val="0"/>
        <w:keepLines w:val="0"/>
        <w:pageBreakBefore w:val="0"/>
        <w:kinsoku/>
        <w:wordWrap/>
        <w:overflowPunct/>
        <w:topLinePunct w:val="0"/>
        <w:autoSpaceDE/>
        <w:autoSpaceDN/>
        <w:bidi w:val="0"/>
        <w:snapToGrid w:val="0"/>
        <w:spacing w:line="360" w:lineRule="auto"/>
        <w:ind w:firstLine="643" w:firstLineChars="200"/>
        <w:textAlignment w:val="auto"/>
        <w:rPr>
          <w:b/>
          <w:szCs w:val="32"/>
        </w:rPr>
      </w:pPr>
      <w:r>
        <w:rPr>
          <w:rFonts w:eastAsia="楷体_GB2312"/>
          <w:b/>
          <w:bCs/>
          <w:color w:val="000000"/>
          <w:kern w:val="0"/>
          <w:szCs w:val="32"/>
          <w:shd w:val="clear" w:color="auto" w:fill="FFFFFF"/>
          <w:lang w:val="zh-CN"/>
        </w:rPr>
        <w:t>（三）</w:t>
      </w:r>
      <w:r>
        <w:rPr>
          <w:rFonts w:eastAsia="楷体_GB2312"/>
          <w:b/>
          <w:bCs/>
          <w:szCs w:val="32"/>
          <w:lang w:val="zh-CN"/>
        </w:rPr>
        <w:t>绩效结果应用情况。</w:t>
      </w:r>
    </w:p>
    <w:p w14:paraId="2A0B8667">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黑体"/>
          <w:color w:val="000000"/>
          <w:kern w:val="0"/>
          <w:szCs w:val="32"/>
          <w:shd w:val="clear" w:color="auto" w:fill="FFFFFF"/>
        </w:rPr>
      </w:pPr>
      <w:r>
        <w:rPr>
          <w:rFonts w:hint="eastAsia" w:ascii="仿宋" w:hAnsi="仿宋" w:eastAsia="仿宋"/>
          <w:color w:val="000000"/>
          <w:kern w:val="0"/>
          <w:szCs w:val="32"/>
          <w:shd w:val="clear" w:color="auto" w:fill="FFFFFF"/>
          <w:lang w:val="zh-CN"/>
        </w:rPr>
        <w:t>本单位所有开支均按照财务管理制度执行，资金的使用严格把关，机关的日常工作运行基本得到保障。绩效评价对全年工作目标起到积极的促进作用。强调部门目标的层层分解与传递以明确岗位职责提高执行力，为明年的工作开展及实施奠定坚实的基础。我单位将绩效自评结果运用到下一年工作的统筹安排、项目资金划拨及按照工作任务的重要性来明确资金使用上，以提高工作效率保质保量完成区委、区政府交办的各项工作任务。在绩效自评工作完成后将结果放在攀枝花市西区人民政府网站政务公开栏目中公开公示。</w:t>
      </w:r>
    </w:p>
    <w:p w14:paraId="0CEE23B4">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四、评价结论及建议</w:t>
      </w:r>
    </w:p>
    <w:p w14:paraId="49DCA02E">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rFonts w:eastAsia="楷体_GB2312"/>
          <w:b/>
          <w:bCs/>
          <w:color w:val="000000"/>
          <w:kern w:val="0"/>
          <w:szCs w:val="32"/>
          <w:shd w:val="clear" w:color="auto" w:fill="FFFFFF"/>
        </w:rPr>
      </w:pPr>
      <w:r>
        <w:rPr>
          <w:rFonts w:eastAsia="楷体_GB2312"/>
          <w:b/>
          <w:bCs/>
          <w:color w:val="000000"/>
          <w:kern w:val="0"/>
          <w:szCs w:val="32"/>
          <w:shd w:val="clear" w:color="auto" w:fill="FFFFFF"/>
          <w:lang w:val="zh-CN"/>
        </w:rPr>
        <w:t>（一）评价结论。</w:t>
      </w:r>
    </w:p>
    <w:p w14:paraId="60FC87A2">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default"/>
          <w:szCs w:val="32"/>
          <w:lang w:val="en-US" w:eastAsia="zh-CN"/>
        </w:rPr>
      </w:pPr>
      <w:r>
        <w:rPr>
          <w:rFonts w:hint="eastAsia"/>
          <w:szCs w:val="32"/>
          <w:lang w:val="en-US" w:eastAsia="zh-CN"/>
        </w:rPr>
        <w:t>2024年区委宣传部整体支出绩效自评较科学准确，真实地反映了本单位财政收支情况，较好完成年初绩效目标任务，自评优秀。评价得分97分,其中总体绩效62分，项目绩效35分。</w:t>
      </w:r>
    </w:p>
    <w:p w14:paraId="59FBC48D">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rFonts w:hint="eastAsia" w:eastAsia="楷体_GB2312"/>
          <w:b/>
          <w:bCs/>
          <w:color w:val="000000"/>
          <w:kern w:val="0"/>
          <w:szCs w:val="32"/>
          <w:shd w:val="clear" w:color="auto" w:fill="FFFFFF"/>
          <w:lang w:val="zh-CN" w:eastAsia="zh-CN"/>
        </w:rPr>
      </w:pPr>
      <w:r>
        <w:rPr>
          <w:rFonts w:eastAsia="楷体_GB2312"/>
          <w:b/>
          <w:bCs/>
          <w:color w:val="000000"/>
          <w:kern w:val="0"/>
          <w:szCs w:val="32"/>
          <w:shd w:val="clear" w:color="auto" w:fill="FFFFFF"/>
          <w:lang w:val="zh-CN"/>
        </w:rPr>
        <w:t>（二）存在问题。</w:t>
      </w:r>
    </w:p>
    <w:p w14:paraId="65DB24D5">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default"/>
          <w:szCs w:val="32"/>
          <w:lang w:val="en-US" w:eastAsia="zh-CN"/>
        </w:rPr>
      </w:pPr>
      <w:r>
        <w:rPr>
          <w:rFonts w:hint="default"/>
          <w:szCs w:val="32"/>
          <w:lang w:val="en-US" w:eastAsia="zh-CN"/>
        </w:rPr>
        <w:t>一是在资金安排和使用上仍有不可预见性：如在预算执行中，有时会因临时新增重要的工作任务或者人员增加发生新的费用，而年初预算时很难精确测算相关支出，导致预算执行中需要追加经费；二是因为个别专项工作需按照上级部门安排部署开展，本年度无法完成，导致项目资金结转下年</w:t>
      </w:r>
      <w:r>
        <w:rPr>
          <w:rFonts w:hint="eastAsia"/>
          <w:szCs w:val="32"/>
          <w:lang w:val="en-US" w:eastAsia="zh-CN"/>
        </w:rPr>
        <w:t>。</w:t>
      </w:r>
    </w:p>
    <w:p w14:paraId="59FBEDB4">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rFonts w:hint="eastAsia" w:eastAsia="楷体_GB2312"/>
          <w:kern w:val="0"/>
          <w:szCs w:val="32"/>
          <w:lang w:val="en" w:eastAsia="zh-CN"/>
        </w:rPr>
      </w:pPr>
      <w:r>
        <w:rPr>
          <w:rFonts w:eastAsia="楷体_GB2312"/>
          <w:b/>
          <w:bCs/>
          <w:color w:val="000000"/>
          <w:kern w:val="0"/>
          <w:szCs w:val="32"/>
          <w:shd w:val="clear" w:color="auto" w:fill="FFFFFF"/>
          <w:lang w:val="zh-CN"/>
        </w:rPr>
        <w:t>（三）改进建议。</w:t>
      </w:r>
      <w:bookmarkStart w:id="0" w:name="_Hlk110546638"/>
    </w:p>
    <w:bookmarkEnd w:id="0"/>
    <w:p w14:paraId="40F53EF8">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szCs w:val="32"/>
          <w:lang w:val="en-US" w:eastAsia="zh-CN"/>
        </w:rPr>
      </w:pPr>
      <w:r>
        <w:rPr>
          <w:rFonts w:hint="eastAsia"/>
          <w:szCs w:val="32"/>
          <w:lang w:val="en-US" w:eastAsia="zh-CN"/>
        </w:rPr>
        <w:t>进一步完善和加强单位内部财务管理制度，加强预算编制的精准性及预算项目的可实施性，加强资金使用动态管理，确保资金使用效益最大化。</w:t>
      </w:r>
    </w:p>
    <w:p w14:paraId="621B44F3">
      <w:pPr>
        <w:keepNext w:val="0"/>
        <w:keepLines w:val="0"/>
        <w:pageBreakBefore w:val="0"/>
        <w:kinsoku/>
        <w:wordWrap/>
        <w:overflowPunct/>
        <w:topLinePunct w:val="0"/>
        <w:autoSpaceDE/>
        <w:autoSpaceDN/>
        <w:bidi w:val="0"/>
        <w:spacing w:line="360" w:lineRule="auto"/>
        <w:ind w:firstLine="640" w:firstLineChars="200"/>
        <w:textAlignment w:val="auto"/>
        <w:rPr>
          <w:color w:val="000000"/>
          <w:kern w:val="0"/>
          <w:szCs w:val="32"/>
          <w:shd w:val="clear" w:color="auto" w:fill="FFFFFF"/>
        </w:rPr>
      </w:pPr>
    </w:p>
    <w:p w14:paraId="15D9CC24">
      <w:pPr>
        <w:keepNext w:val="0"/>
        <w:keepLines w:val="0"/>
        <w:pageBreakBefore w:val="0"/>
        <w:kinsoku/>
        <w:wordWrap/>
        <w:overflowPunct/>
        <w:topLinePunct w:val="0"/>
        <w:autoSpaceDE/>
        <w:autoSpaceDN/>
        <w:bidi w:val="0"/>
        <w:spacing w:line="360" w:lineRule="auto"/>
        <w:ind w:firstLine="640" w:firstLineChars="200"/>
        <w:textAlignment w:val="auto"/>
        <w:rPr>
          <w:szCs w:val="32"/>
          <w:lang w:bidi="ar"/>
        </w:rPr>
      </w:pPr>
      <w:r>
        <w:rPr>
          <w:color w:val="000000"/>
          <w:kern w:val="0"/>
          <w:szCs w:val="32"/>
          <w:shd w:val="clear" w:color="auto" w:fill="FFFFFF"/>
        </w:rPr>
        <w:t>附表：</w:t>
      </w:r>
      <w:r>
        <w:rPr>
          <w:rFonts w:hint="eastAsia"/>
          <w:color w:val="000000"/>
          <w:kern w:val="0"/>
          <w:szCs w:val="32"/>
          <w:shd w:val="clear" w:color="auto" w:fill="FFFFFF"/>
        </w:rPr>
        <w:t>1.</w:t>
      </w:r>
      <w:r>
        <w:rPr>
          <w:rFonts w:hint="eastAsia"/>
          <w:szCs w:val="32"/>
          <w:lang w:bidi="ar"/>
        </w:rPr>
        <w:t>部门预算绩效自评打分表</w:t>
      </w:r>
    </w:p>
    <w:p w14:paraId="2E79B0B5">
      <w:pPr>
        <w:keepNext w:val="0"/>
        <w:keepLines w:val="0"/>
        <w:pageBreakBefore w:val="0"/>
        <w:kinsoku/>
        <w:wordWrap/>
        <w:overflowPunct/>
        <w:topLinePunct w:val="0"/>
        <w:autoSpaceDE/>
        <w:autoSpaceDN/>
        <w:bidi w:val="0"/>
        <w:spacing w:line="360" w:lineRule="auto"/>
        <w:ind w:firstLine="640" w:firstLineChars="200"/>
        <w:textAlignment w:val="auto"/>
        <w:rPr>
          <w:rFonts w:eastAsia="黑体"/>
        </w:rPr>
      </w:pPr>
      <w:r>
        <w:rPr>
          <w:rFonts w:hint="eastAsia"/>
          <w:szCs w:val="32"/>
          <w:lang w:bidi="ar"/>
        </w:rPr>
        <w:t>2.</w:t>
      </w:r>
      <w:r>
        <w:rPr>
          <w:color w:val="000000"/>
          <w:kern w:val="0"/>
          <w:szCs w:val="32"/>
          <w:shd w:val="clear" w:color="auto" w:fill="FFFFFF"/>
        </w:rPr>
        <w:t>部门整体绩效目标完成情况自评表</w:t>
      </w:r>
      <w:r>
        <w:rPr>
          <w:color w:val="000000"/>
          <w:kern w:val="0"/>
          <w:szCs w:val="32"/>
          <w:shd w:val="clear" w:color="auto" w:fill="FFFFFF"/>
        </w:rPr>
        <w:br w:type="page"/>
      </w:r>
      <w:r>
        <w:rPr>
          <w:rFonts w:eastAsia="黑体"/>
        </w:rPr>
        <w:t>附表</w:t>
      </w:r>
      <w:r>
        <w:rPr>
          <w:rFonts w:hint="eastAsia" w:eastAsia="黑体"/>
        </w:rPr>
        <w:t>1</w:t>
      </w:r>
    </w:p>
    <w:p w14:paraId="0E5345FF">
      <w:pPr>
        <w:widowControl/>
        <w:spacing w:line="600" w:lineRule="exact"/>
        <w:jc w:val="center"/>
        <w:textAlignment w:val="center"/>
        <w:rPr>
          <w:rFonts w:eastAsia="方正小标宋简体"/>
          <w:color w:val="000000"/>
          <w:kern w:val="0"/>
          <w:sz w:val="44"/>
          <w:szCs w:val="44"/>
          <w:lang w:bidi="ar"/>
        </w:rPr>
      </w:pPr>
      <w:r>
        <w:rPr>
          <w:rFonts w:hint="eastAsia" w:eastAsia="方正小标宋简体"/>
          <w:color w:val="000000"/>
          <w:kern w:val="0"/>
          <w:sz w:val="44"/>
          <w:szCs w:val="44"/>
          <w:lang w:bidi="ar"/>
        </w:rPr>
        <w:t>部门预算绩效自评打分表</w:t>
      </w:r>
    </w:p>
    <w:tbl>
      <w:tblPr>
        <w:tblStyle w:val="16"/>
        <w:tblW w:w="10819" w:type="dxa"/>
        <w:jc w:val="center"/>
        <w:tblLayout w:type="fixed"/>
        <w:tblCellMar>
          <w:top w:w="0" w:type="dxa"/>
          <w:left w:w="108" w:type="dxa"/>
          <w:bottom w:w="0" w:type="dxa"/>
          <w:right w:w="108" w:type="dxa"/>
        </w:tblCellMar>
      </w:tblPr>
      <w:tblGrid>
        <w:gridCol w:w="1004"/>
        <w:gridCol w:w="1462"/>
        <w:gridCol w:w="1665"/>
        <w:gridCol w:w="720"/>
        <w:gridCol w:w="4734"/>
        <w:gridCol w:w="756"/>
        <w:gridCol w:w="478"/>
      </w:tblGrid>
      <w:tr w14:paraId="77A3D374">
        <w:tblPrEx>
          <w:tblCellMar>
            <w:top w:w="0" w:type="dxa"/>
            <w:left w:w="108" w:type="dxa"/>
            <w:bottom w:w="0" w:type="dxa"/>
            <w:right w:w="108" w:type="dxa"/>
          </w:tblCellMar>
        </w:tblPrEx>
        <w:trPr>
          <w:trHeight w:val="23" w:hRule="atLeast"/>
          <w:jc w:val="center"/>
        </w:trPr>
        <w:tc>
          <w:tcPr>
            <w:tcW w:w="4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C03FFF">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绩效评价</w:t>
            </w:r>
            <w:r>
              <w:rPr>
                <w:rFonts w:hint="eastAsia" w:ascii="黑体" w:hAnsi="宋体" w:eastAsia="黑体" w:cs="黑体"/>
                <w:color w:val="000000"/>
                <w:kern w:val="0"/>
                <w:sz w:val="24"/>
                <w:lang w:eastAsia="zh-CN" w:bidi="ar"/>
              </w:rPr>
              <w:t>指标</w:t>
            </w:r>
            <w:r>
              <w:rPr>
                <w:rFonts w:hint="eastAsia" w:ascii="黑体" w:hAnsi="宋体" w:eastAsia="黑体" w:cs="黑体"/>
                <w:color w:val="000000"/>
                <w:kern w:val="0"/>
                <w:sz w:val="24"/>
                <w:lang w:bidi="ar"/>
              </w:rPr>
              <w:t>分值</w:t>
            </w:r>
          </w:p>
        </w:tc>
        <w:tc>
          <w:tcPr>
            <w:tcW w:w="4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C5D24">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指标解释</w:t>
            </w:r>
          </w:p>
        </w:tc>
        <w:tc>
          <w:tcPr>
            <w:tcW w:w="756" w:type="dxa"/>
            <w:vMerge w:val="restart"/>
            <w:tcBorders>
              <w:top w:val="single" w:color="000000" w:sz="4" w:space="0"/>
              <w:left w:val="single" w:color="000000" w:sz="4" w:space="0"/>
              <w:right w:val="single" w:color="000000" w:sz="4" w:space="0"/>
            </w:tcBorders>
            <w:shd w:val="clear" w:color="auto" w:fill="auto"/>
            <w:vAlign w:val="center"/>
          </w:tcPr>
          <w:p w14:paraId="5349E079">
            <w:pPr>
              <w:widowControl/>
              <w:spacing w:line="240" w:lineRule="exact"/>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自评得分</w:t>
            </w:r>
          </w:p>
        </w:tc>
        <w:tc>
          <w:tcPr>
            <w:tcW w:w="478" w:type="dxa"/>
            <w:vMerge w:val="restart"/>
            <w:tcBorders>
              <w:top w:val="single" w:color="000000" w:sz="4" w:space="0"/>
              <w:left w:val="single" w:color="000000" w:sz="4" w:space="0"/>
              <w:right w:val="single" w:color="000000" w:sz="4" w:space="0"/>
            </w:tcBorders>
            <w:shd w:val="clear" w:color="auto" w:fill="auto"/>
            <w:vAlign w:val="center"/>
          </w:tcPr>
          <w:p w14:paraId="3BEA2F4D">
            <w:pPr>
              <w:widowControl/>
              <w:spacing w:line="240" w:lineRule="exact"/>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备注</w:t>
            </w:r>
          </w:p>
        </w:tc>
      </w:tr>
      <w:tr w14:paraId="29E391B0">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nil"/>
            </w:tcBorders>
            <w:shd w:val="clear" w:color="auto" w:fill="auto"/>
            <w:vAlign w:val="center"/>
          </w:tcPr>
          <w:p w14:paraId="09987C83">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一级指标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061D">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二级指标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382B">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EDCC">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指标</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分值</w:t>
            </w:r>
          </w:p>
        </w:tc>
        <w:tc>
          <w:tcPr>
            <w:tcW w:w="4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372EA">
            <w:pPr>
              <w:widowControl/>
              <w:spacing w:line="240" w:lineRule="exact"/>
              <w:jc w:val="center"/>
              <w:rPr>
                <w:rFonts w:ascii="黑体" w:hAnsi="宋体" w:eastAsia="黑体" w:cs="黑体"/>
                <w:color w:val="000000"/>
                <w:sz w:val="24"/>
              </w:rPr>
            </w:pPr>
          </w:p>
        </w:tc>
        <w:tc>
          <w:tcPr>
            <w:tcW w:w="756" w:type="dxa"/>
            <w:vMerge w:val="continue"/>
            <w:tcBorders>
              <w:left w:val="single" w:color="000000" w:sz="4" w:space="0"/>
              <w:bottom w:val="single" w:color="000000" w:sz="4" w:space="0"/>
              <w:right w:val="single" w:color="000000" w:sz="4" w:space="0"/>
            </w:tcBorders>
            <w:shd w:val="clear" w:color="auto" w:fill="auto"/>
            <w:vAlign w:val="center"/>
          </w:tcPr>
          <w:p w14:paraId="067E1498">
            <w:pPr>
              <w:widowControl/>
              <w:spacing w:line="240" w:lineRule="exact"/>
              <w:jc w:val="center"/>
              <w:rPr>
                <w:rFonts w:ascii="黑体" w:hAnsi="宋体" w:eastAsia="黑体" w:cs="黑体"/>
                <w:color w:val="000000"/>
                <w:sz w:val="24"/>
              </w:rPr>
            </w:pPr>
          </w:p>
        </w:tc>
        <w:tc>
          <w:tcPr>
            <w:tcW w:w="478" w:type="dxa"/>
            <w:vMerge w:val="continue"/>
            <w:tcBorders>
              <w:left w:val="single" w:color="000000" w:sz="4" w:space="0"/>
              <w:bottom w:val="single" w:color="000000" w:sz="4" w:space="0"/>
              <w:right w:val="single" w:color="000000" w:sz="4" w:space="0"/>
            </w:tcBorders>
            <w:shd w:val="clear" w:color="auto" w:fill="auto"/>
            <w:vAlign w:val="center"/>
          </w:tcPr>
          <w:p w14:paraId="07517FA5">
            <w:pPr>
              <w:widowControl/>
              <w:spacing w:line="240" w:lineRule="exact"/>
              <w:jc w:val="center"/>
              <w:rPr>
                <w:rFonts w:ascii="黑体" w:hAnsi="宋体" w:eastAsia="黑体" w:cs="黑体"/>
                <w:color w:val="000000"/>
                <w:sz w:val="24"/>
              </w:rPr>
            </w:pPr>
          </w:p>
        </w:tc>
      </w:tr>
      <w:tr w14:paraId="3324ECA8">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right w:val="single" w:color="000000" w:sz="4" w:space="0"/>
            </w:tcBorders>
            <w:shd w:val="clear" w:color="auto" w:fill="auto"/>
            <w:vAlign w:val="center"/>
          </w:tcPr>
          <w:p w14:paraId="35DBDB29">
            <w:pPr>
              <w:widowControl/>
              <w:spacing w:line="240" w:lineRule="exact"/>
              <w:jc w:val="center"/>
              <w:textAlignment w:val="center"/>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总体绩效</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（65分）</w:t>
            </w:r>
          </w:p>
          <w:p w14:paraId="60028B97">
            <w:pPr>
              <w:widowControl/>
              <w:spacing w:line="240" w:lineRule="exact"/>
              <w:jc w:val="center"/>
              <w:textAlignment w:val="center"/>
              <w:rPr>
                <w:rFonts w:ascii="宋体" w:hAnsi="宋体" w:eastAsia="宋体" w:cs="宋体"/>
                <w:b/>
                <w:color w:val="000000"/>
                <w:sz w:val="24"/>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9765">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履职效能</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（15分）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FC0B">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eastAsia="zh-CN" w:bidi="ar"/>
              </w:rPr>
              <w:t>单位职责</w:t>
            </w:r>
          </w:p>
        </w:tc>
        <w:tc>
          <w:tcPr>
            <w:tcW w:w="720" w:type="dxa"/>
            <w:tcBorders>
              <w:top w:val="nil"/>
              <w:left w:val="single" w:color="000000" w:sz="4" w:space="0"/>
              <w:bottom w:val="single" w:color="000000" w:sz="4" w:space="0"/>
              <w:right w:val="single" w:color="000000" w:sz="4" w:space="0"/>
            </w:tcBorders>
            <w:shd w:val="clear" w:color="auto" w:fill="auto"/>
            <w:vAlign w:val="center"/>
          </w:tcPr>
          <w:p w14:paraId="61C4D4C5">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66EB">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部门整体绩效目标中选定3</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5个核心职能目标，反映该项职能目标完成效果情况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1CC6">
            <w:pPr>
              <w:widowControl/>
              <w:spacing w:line="240" w:lineRule="exact"/>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B6EC">
            <w:pPr>
              <w:widowControl/>
              <w:spacing w:line="240" w:lineRule="exact"/>
              <w:jc w:val="left"/>
              <w:textAlignment w:val="center"/>
              <w:rPr>
                <w:rFonts w:ascii="宋体" w:hAnsi="宋体" w:eastAsia="宋体" w:cs="宋体"/>
                <w:color w:val="000000"/>
                <w:kern w:val="0"/>
                <w:sz w:val="24"/>
                <w:lang w:bidi="ar"/>
              </w:rPr>
            </w:pPr>
          </w:p>
        </w:tc>
      </w:tr>
      <w:tr w14:paraId="7885D69A">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3A828299">
            <w:pPr>
              <w:widowControl/>
              <w:spacing w:line="240" w:lineRule="exact"/>
              <w:jc w:val="center"/>
              <w:rPr>
                <w:rFonts w:ascii="宋体" w:hAnsi="宋体" w:eastAsia="宋体" w:cs="宋体"/>
                <w:b/>
                <w:color w:val="000000"/>
                <w:sz w:val="24"/>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AB9E0">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预算管理</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（25分）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764D">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预算编制质量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337E">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3956">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部门是否严格按要求编制年初部门预算，年初预算编制的科学性和准确性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E52C">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4FAC">
            <w:pPr>
              <w:widowControl/>
              <w:spacing w:line="240" w:lineRule="exact"/>
              <w:jc w:val="left"/>
              <w:textAlignment w:val="center"/>
              <w:rPr>
                <w:rFonts w:ascii="宋体" w:hAnsi="宋体" w:eastAsia="宋体" w:cs="宋体"/>
                <w:color w:val="000000"/>
                <w:kern w:val="0"/>
                <w:sz w:val="24"/>
                <w:lang w:bidi="ar"/>
              </w:rPr>
            </w:pPr>
          </w:p>
        </w:tc>
      </w:tr>
      <w:tr w14:paraId="6458C0EA">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7E39AE55">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6D5A7">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3D35">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单位收入统筹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A1C6">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B070">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部门统筹自有收入程度</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B97B">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2E15">
            <w:pPr>
              <w:widowControl/>
              <w:spacing w:line="240" w:lineRule="exact"/>
              <w:jc w:val="left"/>
              <w:textAlignment w:val="center"/>
              <w:rPr>
                <w:rFonts w:ascii="宋体" w:hAnsi="宋体" w:eastAsia="宋体" w:cs="宋体"/>
                <w:color w:val="000000"/>
                <w:kern w:val="0"/>
                <w:sz w:val="24"/>
                <w:lang w:bidi="ar"/>
              </w:rPr>
            </w:pPr>
          </w:p>
        </w:tc>
      </w:tr>
      <w:tr w14:paraId="3508F77B">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6745FA4B">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63DED">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989">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支出执行进度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85A7">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081E">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部门1至6月、1至10月预算执行情况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D8FD">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E37A">
            <w:pPr>
              <w:widowControl/>
              <w:spacing w:line="240" w:lineRule="exact"/>
              <w:jc w:val="left"/>
              <w:textAlignment w:val="center"/>
              <w:rPr>
                <w:rFonts w:ascii="宋体" w:hAnsi="宋体" w:eastAsia="宋体" w:cs="宋体"/>
                <w:color w:val="000000"/>
                <w:kern w:val="0"/>
                <w:sz w:val="24"/>
                <w:lang w:bidi="ar"/>
              </w:rPr>
            </w:pPr>
          </w:p>
        </w:tc>
      </w:tr>
      <w:tr w14:paraId="6CEA888E">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2E37D0FD">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7EE56">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7C39">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预算年终结余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EBDE">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B0D">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部门整体年终预算结余情况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8CAC">
            <w:pPr>
              <w:widowControl/>
              <w:spacing w:line="240" w:lineRule="exact"/>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BC37">
            <w:pPr>
              <w:widowControl/>
              <w:spacing w:line="240" w:lineRule="exact"/>
              <w:jc w:val="left"/>
              <w:textAlignment w:val="center"/>
              <w:rPr>
                <w:rFonts w:ascii="宋体" w:hAnsi="宋体" w:eastAsia="宋体" w:cs="宋体"/>
                <w:color w:val="000000"/>
                <w:kern w:val="0"/>
                <w:sz w:val="24"/>
                <w:lang w:bidi="ar"/>
              </w:rPr>
            </w:pPr>
          </w:p>
        </w:tc>
      </w:tr>
      <w:tr w14:paraId="56F4FCE8">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262B2C49">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7FCF">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B274">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严控一般性支出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ED00">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89E5">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部门严控“三公”经费、会议、培训、差旅、办节办展、办公设备购置、信息网络及软件购置更新、课题经费等8项一般性支出情况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938E">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47C3">
            <w:pPr>
              <w:widowControl/>
              <w:spacing w:line="240" w:lineRule="exact"/>
              <w:jc w:val="left"/>
              <w:textAlignment w:val="center"/>
              <w:rPr>
                <w:rFonts w:ascii="宋体" w:hAnsi="宋体" w:eastAsia="宋体" w:cs="宋体"/>
                <w:color w:val="000000"/>
                <w:kern w:val="0"/>
                <w:sz w:val="24"/>
                <w:lang w:bidi="ar"/>
              </w:rPr>
            </w:pPr>
          </w:p>
        </w:tc>
      </w:tr>
      <w:tr w14:paraId="76058BE5">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3EDC49AB">
            <w:pPr>
              <w:widowControl/>
              <w:spacing w:line="240" w:lineRule="exact"/>
              <w:jc w:val="center"/>
              <w:rPr>
                <w:rFonts w:ascii="宋体" w:hAnsi="宋体" w:eastAsia="宋体" w:cs="宋体"/>
                <w:b/>
                <w:color w:val="000000"/>
                <w:sz w:val="24"/>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988AB">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财务管理</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（10分）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D0A4">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财务管理制度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8926">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F6FB">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部门财务管理制度建立情况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4DA6">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17CE">
            <w:pPr>
              <w:widowControl/>
              <w:spacing w:line="240" w:lineRule="exact"/>
              <w:jc w:val="left"/>
              <w:textAlignment w:val="center"/>
              <w:rPr>
                <w:rFonts w:ascii="宋体" w:hAnsi="宋体" w:eastAsia="宋体" w:cs="宋体"/>
                <w:color w:val="000000"/>
                <w:kern w:val="0"/>
                <w:sz w:val="24"/>
                <w:lang w:bidi="ar"/>
              </w:rPr>
            </w:pPr>
          </w:p>
        </w:tc>
      </w:tr>
      <w:tr w14:paraId="799761F2">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19E1EE01">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C2124">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9B41">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财务岗位设置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5A36">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EBD2">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部门财务岗位设置是否符合相关财务管理制度要求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C55">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9257">
            <w:pPr>
              <w:widowControl/>
              <w:spacing w:line="240" w:lineRule="exact"/>
              <w:jc w:val="left"/>
              <w:textAlignment w:val="center"/>
              <w:rPr>
                <w:rFonts w:ascii="宋体" w:hAnsi="宋体" w:eastAsia="宋体" w:cs="宋体"/>
                <w:color w:val="000000"/>
                <w:kern w:val="0"/>
                <w:sz w:val="24"/>
                <w:lang w:bidi="ar"/>
              </w:rPr>
            </w:pPr>
          </w:p>
        </w:tc>
      </w:tr>
      <w:tr w14:paraId="7EC02D56">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317C22E0">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918E">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D7B0">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资金使用规范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ED9B">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60FF">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部门资金使用是否符合相关财务管理制度规定</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633A">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2742">
            <w:pPr>
              <w:widowControl/>
              <w:spacing w:line="240" w:lineRule="exact"/>
              <w:jc w:val="left"/>
              <w:textAlignment w:val="center"/>
              <w:rPr>
                <w:rFonts w:ascii="宋体" w:hAnsi="宋体" w:eastAsia="宋体" w:cs="宋体"/>
                <w:color w:val="000000"/>
                <w:kern w:val="0"/>
                <w:sz w:val="24"/>
                <w:lang w:bidi="ar"/>
              </w:rPr>
            </w:pPr>
          </w:p>
        </w:tc>
      </w:tr>
      <w:tr w14:paraId="42EB3A87">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60E1595E">
            <w:pPr>
              <w:widowControl/>
              <w:spacing w:line="240" w:lineRule="exact"/>
              <w:jc w:val="center"/>
              <w:rPr>
                <w:rFonts w:ascii="宋体" w:hAnsi="宋体" w:eastAsia="宋体" w:cs="宋体"/>
                <w:b/>
                <w:color w:val="000000"/>
                <w:sz w:val="24"/>
              </w:rPr>
            </w:pPr>
          </w:p>
        </w:tc>
        <w:tc>
          <w:tcPr>
            <w:tcW w:w="1462" w:type="dxa"/>
            <w:vMerge w:val="restart"/>
            <w:tcBorders>
              <w:top w:val="single" w:color="000000" w:sz="4" w:space="0"/>
              <w:left w:val="single" w:color="000000" w:sz="4" w:space="0"/>
              <w:right w:val="single" w:color="000000" w:sz="4" w:space="0"/>
            </w:tcBorders>
            <w:shd w:val="clear" w:color="auto" w:fill="auto"/>
            <w:vAlign w:val="center"/>
          </w:tcPr>
          <w:p w14:paraId="09C26E45">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资产管理</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（9分）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60E3">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人均资产变化率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1FC9">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04F">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部门人均资产变化情况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762C">
            <w:pPr>
              <w:widowControl/>
              <w:spacing w:line="240" w:lineRule="exact"/>
              <w:jc w:val="left"/>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10BD">
            <w:pPr>
              <w:widowControl/>
              <w:spacing w:line="240" w:lineRule="exact"/>
              <w:jc w:val="left"/>
              <w:textAlignment w:val="center"/>
              <w:rPr>
                <w:rFonts w:ascii="宋体" w:hAnsi="宋体" w:eastAsia="宋体" w:cs="宋体"/>
                <w:color w:val="000000"/>
                <w:kern w:val="0"/>
                <w:sz w:val="24"/>
                <w:lang w:bidi="ar"/>
              </w:rPr>
            </w:pPr>
          </w:p>
        </w:tc>
      </w:tr>
      <w:tr w14:paraId="7B4A3563">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3AC0A734">
            <w:pPr>
              <w:widowControl/>
              <w:spacing w:line="240" w:lineRule="exact"/>
              <w:jc w:val="center"/>
              <w:rPr>
                <w:rFonts w:ascii="宋体" w:hAnsi="宋体" w:eastAsia="宋体" w:cs="宋体"/>
                <w:b/>
                <w:color w:val="000000"/>
                <w:sz w:val="24"/>
              </w:rPr>
            </w:pPr>
          </w:p>
        </w:tc>
        <w:tc>
          <w:tcPr>
            <w:tcW w:w="1462" w:type="dxa"/>
            <w:vMerge w:val="continue"/>
            <w:tcBorders>
              <w:left w:val="single" w:color="000000" w:sz="4" w:space="0"/>
              <w:right w:val="single" w:color="000000" w:sz="4" w:space="0"/>
            </w:tcBorders>
            <w:shd w:val="clear" w:color="auto" w:fill="auto"/>
            <w:vAlign w:val="center"/>
          </w:tcPr>
          <w:p w14:paraId="0C23869D">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98F7">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资产利用率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D133">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0C14">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部门资产超最低使用年限情况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5D33">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0A31">
            <w:pPr>
              <w:widowControl/>
              <w:spacing w:line="240" w:lineRule="exact"/>
              <w:jc w:val="left"/>
              <w:textAlignment w:val="center"/>
              <w:rPr>
                <w:rFonts w:ascii="宋体" w:hAnsi="宋体" w:eastAsia="宋体" w:cs="宋体"/>
                <w:color w:val="000000"/>
                <w:kern w:val="0"/>
                <w:sz w:val="24"/>
                <w:lang w:bidi="ar"/>
              </w:rPr>
            </w:pPr>
          </w:p>
        </w:tc>
      </w:tr>
      <w:tr w14:paraId="36806308">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2F19162B">
            <w:pPr>
              <w:widowControl/>
              <w:spacing w:line="240" w:lineRule="exact"/>
              <w:jc w:val="center"/>
              <w:textAlignment w:val="center"/>
              <w:rPr>
                <w:rFonts w:ascii="宋体" w:hAnsi="宋体" w:eastAsia="宋体" w:cs="宋体"/>
                <w:b/>
                <w:color w:val="000000"/>
                <w:sz w:val="24"/>
              </w:rPr>
            </w:pPr>
          </w:p>
        </w:tc>
        <w:tc>
          <w:tcPr>
            <w:tcW w:w="1462" w:type="dxa"/>
            <w:vMerge w:val="continue"/>
            <w:tcBorders>
              <w:left w:val="single" w:color="000000" w:sz="4" w:space="0"/>
              <w:bottom w:val="single" w:color="000000" w:sz="4" w:space="0"/>
              <w:right w:val="single" w:color="000000" w:sz="4" w:space="0"/>
            </w:tcBorders>
            <w:shd w:val="clear" w:color="auto" w:fill="auto"/>
            <w:vAlign w:val="center"/>
          </w:tcPr>
          <w:p w14:paraId="7BBAD748">
            <w:pPr>
              <w:widowControl/>
              <w:spacing w:line="240" w:lineRule="exact"/>
              <w:jc w:val="center"/>
              <w:textAlignment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1124">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资产盘活率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6183">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1BD0">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部门闲置一年以上的资产盘活情况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8C5D">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6B3">
            <w:pPr>
              <w:widowControl/>
              <w:spacing w:line="240" w:lineRule="exact"/>
              <w:jc w:val="left"/>
              <w:textAlignment w:val="center"/>
              <w:rPr>
                <w:rFonts w:ascii="宋体" w:hAnsi="宋体" w:eastAsia="宋体" w:cs="宋体"/>
                <w:color w:val="000000"/>
                <w:kern w:val="0"/>
                <w:sz w:val="24"/>
                <w:lang w:bidi="ar"/>
              </w:rPr>
            </w:pPr>
          </w:p>
        </w:tc>
      </w:tr>
      <w:tr w14:paraId="1A852187">
        <w:tblPrEx>
          <w:tblCellMar>
            <w:top w:w="0" w:type="dxa"/>
            <w:left w:w="108" w:type="dxa"/>
            <w:bottom w:w="0" w:type="dxa"/>
            <w:right w:w="108" w:type="dxa"/>
          </w:tblCellMar>
        </w:tblPrEx>
        <w:trPr>
          <w:trHeight w:val="23" w:hRule="atLeast"/>
          <w:jc w:val="center"/>
        </w:trPr>
        <w:tc>
          <w:tcPr>
            <w:tcW w:w="1004" w:type="dxa"/>
            <w:vMerge w:val="continue"/>
            <w:tcBorders>
              <w:left w:val="single" w:color="000000" w:sz="4" w:space="0"/>
              <w:right w:val="single" w:color="000000" w:sz="4" w:space="0"/>
            </w:tcBorders>
            <w:shd w:val="clear" w:color="auto" w:fill="auto"/>
            <w:vAlign w:val="center"/>
          </w:tcPr>
          <w:p w14:paraId="6FB31889">
            <w:pPr>
              <w:widowControl/>
              <w:spacing w:line="240" w:lineRule="exact"/>
              <w:jc w:val="center"/>
              <w:rPr>
                <w:rFonts w:ascii="宋体" w:hAnsi="宋体" w:eastAsia="宋体" w:cs="宋体"/>
                <w:b/>
                <w:color w:val="000000"/>
                <w:sz w:val="24"/>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725A2">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采购管理</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（6分）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F499">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支持中小企业发展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5B05">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2462">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部门是否严格执行政府采购促进中小企业发展相关管理办法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A0E1">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B1B1">
            <w:pPr>
              <w:widowControl/>
              <w:spacing w:line="240" w:lineRule="exact"/>
              <w:jc w:val="left"/>
              <w:textAlignment w:val="center"/>
              <w:rPr>
                <w:rFonts w:ascii="宋体" w:hAnsi="宋体" w:eastAsia="宋体" w:cs="宋体"/>
                <w:color w:val="000000"/>
                <w:kern w:val="0"/>
                <w:sz w:val="24"/>
                <w:lang w:bidi="ar"/>
              </w:rPr>
            </w:pPr>
          </w:p>
        </w:tc>
      </w:tr>
      <w:tr w14:paraId="1145AE4E">
        <w:tblPrEx>
          <w:tblCellMar>
            <w:top w:w="0" w:type="dxa"/>
            <w:left w:w="108" w:type="dxa"/>
            <w:bottom w:w="0" w:type="dxa"/>
            <w:right w:w="108" w:type="dxa"/>
          </w:tblCellMar>
        </w:tblPrEx>
        <w:trPr>
          <w:trHeight w:val="225" w:hRule="atLeast"/>
          <w:jc w:val="center"/>
        </w:trPr>
        <w:tc>
          <w:tcPr>
            <w:tcW w:w="1004" w:type="dxa"/>
            <w:vMerge w:val="continue"/>
            <w:tcBorders>
              <w:left w:val="single" w:color="000000" w:sz="4" w:space="0"/>
              <w:bottom w:val="single" w:color="000000" w:sz="4" w:space="0"/>
              <w:right w:val="single" w:color="000000" w:sz="4" w:space="0"/>
            </w:tcBorders>
            <w:shd w:val="clear" w:color="auto" w:fill="auto"/>
            <w:vAlign w:val="center"/>
          </w:tcPr>
          <w:p w14:paraId="1F4539EB">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A9861">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4284">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采购执行率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67EA">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78C9">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部门政府采购项目资金支付比例情况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7571">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3769">
            <w:pPr>
              <w:widowControl/>
              <w:spacing w:line="240" w:lineRule="exact"/>
              <w:jc w:val="left"/>
              <w:textAlignment w:val="center"/>
              <w:rPr>
                <w:rFonts w:ascii="宋体" w:hAnsi="宋体" w:eastAsia="宋体" w:cs="宋体"/>
                <w:color w:val="000000"/>
                <w:kern w:val="0"/>
                <w:sz w:val="24"/>
                <w:lang w:bidi="ar"/>
              </w:rPr>
            </w:pPr>
          </w:p>
        </w:tc>
      </w:tr>
      <w:tr w14:paraId="4EC48FE0">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24FF0">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项目绩效</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（35分）</w:t>
            </w:r>
          </w:p>
        </w:tc>
        <w:tc>
          <w:tcPr>
            <w:tcW w:w="1462" w:type="dxa"/>
            <w:vMerge w:val="restart"/>
            <w:tcBorders>
              <w:top w:val="single" w:color="000000" w:sz="4" w:space="0"/>
              <w:left w:val="single" w:color="000000" w:sz="4" w:space="0"/>
              <w:bottom w:val="nil"/>
              <w:right w:val="single" w:color="000000" w:sz="4" w:space="0"/>
            </w:tcBorders>
            <w:shd w:val="clear" w:color="auto" w:fill="auto"/>
            <w:vAlign w:val="center"/>
          </w:tcPr>
          <w:p w14:paraId="60EA37A3">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项目决策</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（12分）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ED2">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决策程序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63FB">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8890">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部门预算项目设立是否按规定履行评估论证、申报程序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18CA">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5F2F">
            <w:pPr>
              <w:widowControl/>
              <w:spacing w:line="240" w:lineRule="exact"/>
              <w:jc w:val="left"/>
              <w:textAlignment w:val="center"/>
              <w:rPr>
                <w:rFonts w:ascii="宋体" w:hAnsi="宋体" w:eastAsia="宋体" w:cs="宋体"/>
                <w:color w:val="000000"/>
                <w:kern w:val="0"/>
                <w:sz w:val="24"/>
                <w:lang w:bidi="ar"/>
              </w:rPr>
            </w:pPr>
          </w:p>
        </w:tc>
      </w:tr>
      <w:tr w14:paraId="50CBA3C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A9990">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nil"/>
              <w:right w:val="single" w:color="000000" w:sz="4" w:space="0"/>
            </w:tcBorders>
            <w:shd w:val="clear" w:color="auto" w:fill="auto"/>
            <w:vAlign w:val="center"/>
          </w:tcPr>
          <w:p w14:paraId="6D859ABB">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6622">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目标设置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C4A9">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53DE">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部门预算项目绩效目标与计划期内的任务量、预算安排的资金量匹配情况，绩效目标设置是否科学合理、规范完整、量化细化、预算匹配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50A0">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CE1E">
            <w:pPr>
              <w:widowControl/>
              <w:spacing w:line="240" w:lineRule="exact"/>
              <w:jc w:val="left"/>
              <w:textAlignment w:val="center"/>
              <w:rPr>
                <w:rFonts w:ascii="宋体" w:hAnsi="宋体" w:eastAsia="宋体" w:cs="宋体"/>
                <w:color w:val="000000"/>
                <w:kern w:val="0"/>
                <w:sz w:val="24"/>
                <w:lang w:bidi="ar"/>
              </w:rPr>
            </w:pPr>
          </w:p>
        </w:tc>
      </w:tr>
      <w:tr w14:paraId="5E3DA0D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5D8E">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nil"/>
              <w:right w:val="single" w:color="000000" w:sz="4" w:space="0"/>
            </w:tcBorders>
            <w:shd w:val="clear" w:color="auto" w:fill="auto"/>
            <w:vAlign w:val="center"/>
          </w:tcPr>
          <w:p w14:paraId="34C32B4C">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C0FF">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项目入库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3697">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F51F">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部门预算项目是否在规定时间完成项目入库</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CCC5">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96FC">
            <w:pPr>
              <w:widowControl/>
              <w:spacing w:line="240" w:lineRule="exact"/>
              <w:jc w:val="left"/>
              <w:textAlignment w:val="center"/>
              <w:rPr>
                <w:rFonts w:ascii="宋体" w:hAnsi="宋体" w:eastAsia="宋体" w:cs="宋体"/>
                <w:color w:val="000000"/>
                <w:kern w:val="0"/>
                <w:sz w:val="24"/>
                <w:lang w:bidi="ar"/>
              </w:rPr>
            </w:pPr>
          </w:p>
        </w:tc>
      </w:tr>
      <w:tr w14:paraId="4A3EED04">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36CB">
            <w:pPr>
              <w:widowControl/>
              <w:spacing w:line="240" w:lineRule="exact"/>
              <w:jc w:val="center"/>
              <w:rPr>
                <w:rFonts w:ascii="宋体" w:hAnsi="宋体" w:eastAsia="宋体" w:cs="宋体"/>
                <w:b/>
                <w:color w:val="000000"/>
                <w:sz w:val="24"/>
              </w:rPr>
            </w:pPr>
          </w:p>
        </w:tc>
        <w:tc>
          <w:tcPr>
            <w:tcW w:w="1462" w:type="dxa"/>
            <w:vMerge w:val="restart"/>
            <w:tcBorders>
              <w:top w:val="single" w:color="000000" w:sz="4" w:space="0"/>
              <w:left w:val="single" w:color="000000" w:sz="4" w:space="0"/>
              <w:bottom w:val="nil"/>
              <w:right w:val="single" w:color="000000" w:sz="4" w:space="0"/>
            </w:tcBorders>
            <w:shd w:val="clear" w:color="auto" w:fill="auto"/>
            <w:vAlign w:val="center"/>
          </w:tcPr>
          <w:p w14:paraId="341BF0EB">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项目执行</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（12分）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E1DC">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执行同向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1BE1">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804E">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部门预算项目实际列支内容是否与绩效目标设置方向相符</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7D1A">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D850">
            <w:pPr>
              <w:widowControl/>
              <w:spacing w:line="240" w:lineRule="exact"/>
              <w:jc w:val="left"/>
              <w:textAlignment w:val="center"/>
              <w:rPr>
                <w:rFonts w:ascii="宋体" w:hAnsi="宋体" w:eastAsia="宋体" w:cs="宋体"/>
                <w:color w:val="000000"/>
                <w:kern w:val="0"/>
                <w:sz w:val="24"/>
                <w:lang w:bidi="ar"/>
              </w:rPr>
            </w:pPr>
          </w:p>
        </w:tc>
      </w:tr>
      <w:tr w14:paraId="3B1C5992">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3BF65">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nil"/>
              <w:right w:val="single" w:color="000000" w:sz="4" w:space="0"/>
            </w:tcBorders>
            <w:shd w:val="clear" w:color="auto" w:fill="auto"/>
            <w:vAlign w:val="center"/>
          </w:tcPr>
          <w:p w14:paraId="4E4E0B3A">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nil"/>
              <w:right w:val="single" w:color="000000" w:sz="4" w:space="0"/>
            </w:tcBorders>
            <w:shd w:val="clear" w:color="auto" w:fill="auto"/>
            <w:vAlign w:val="center"/>
          </w:tcPr>
          <w:p w14:paraId="4E999B54">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项目调整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DE63">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B23C">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部门预算项目是否采取对应调整措施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7FBB">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0570">
            <w:pPr>
              <w:widowControl/>
              <w:spacing w:line="240" w:lineRule="exact"/>
              <w:jc w:val="left"/>
              <w:textAlignment w:val="center"/>
              <w:rPr>
                <w:rFonts w:ascii="宋体" w:hAnsi="宋体" w:eastAsia="宋体" w:cs="宋体"/>
                <w:color w:val="000000"/>
                <w:kern w:val="0"/>
                <w:sz w:val="24"/>
                <w:lang w:bidi="ar"/>
              </w:rPr>
            </w:pPr>
          </w:p>
        </w:tc>
      </w:tr>
      <w:tr w14:paraId="494FF218">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C4AD">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nil"/>
              <w:right w:val="single" w:color="000000" w:sz="4" w:space="0"/>
            </w:tcBorders>
            <w:shd w:val="clear" w:color="auto" w:fill="auto"/>
            <w:vAlign w:val="center"/>
          </w:tcPr>
          <w:p w14:paraId="551EC085">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697A">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执行结果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0C3F">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BE00">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部门预算项目预算执行情况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DA4A">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8200">
            <w:pPr>
              <w:widowControl/>
              <w:spacing w:line="240" w:lineRule="exact"/>
              <w:jc w:val="left"/>
              <w:textAlignment w:val="center"/>
              <w:rPr>
                <w:rFonts w:ascii="宋体" w:hAnsi="宋体" w:eastAsia="宋体" w:cs="宋体"/>
                <w:color w:val="000000"/>
                <w:kern w:val="0"/>
                <w:sz w:val="24"/>
                <w:lang w:bidi="ar"/>
              </w:rPr>
            </w:pPr>
          </w:p>
        </w:tc>
      </w:tr>
      <w:tr w14:paraId="213150D4">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C8E93">
            <w:pPr>
              <w:widowControl/>
              <w:spacing w:line="240" w:lineRule="exact"/>
              <w:jc w:val="center"/>
              <w:rPr>
                <w:rFonts w:ascii="宋体" w:hAnsi="宋体" w:eastAsia="宋体" w:cs="宋体"/>
                <w:b/>
                <w:color w:val="000000"/>
                <w:sz w:val="24"/>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1BD5B">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目标实现</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（11分）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C623">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目标完成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DF57">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0B8F">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部门预算项目绩效目标数量指标完成情况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9396">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54B1">
            <w:pPr>
              <w:widowControl/>
              <w:spacing w:line="240" w:lineRule="exact"/>
              <w:jc w:val="left"/>
              <w:textAlignment w:val="center"/>
              <w:rPr>
                <w:rFonts w:ascii="宋体" w:hAnsi="宋体" w:eastAsia="宋体" w:cs="宋体"/>
                <w:color w:val="000000"/>
                <w:kern w:val="0"/>
                <w:sz w:val="24"/>
                <w:lang w:bidi="ar"/>
              </w:rPr>
            </w:pPr>
          </w:p>
        </w:tc>
      </w:tr>
      <w:tr w14:paraId="2F47887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8499">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26C7B">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F74C">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目标偏离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DA7C">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AFAE">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部门预算项目绩效目标数量指标实现程度与预期目标的偏离情况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2A36">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2963">
            <w:pPr>
              <w:widowControl/>
              <w:spacing w:line="240" w:lineRule="exact"/>
              <w:jc w:val="left"/>
              <w:textAlignment w:val="center"/>
              <w:rPr>
                <w:rFonts w:ascii="宋体" w:hAnsi="宋体" w:eastAsia="宋体" w:cs="宋体"/>
                <w:color w:val="000000"/>
                <w:kern w:val="0"/>
                <w:sz w:val="24"/>
                <w:lang w:bidi="ar"/>
              </w:rPr>
            </w:pPr>
          </w:p>
        </w:tc>
      </w:tr>
      <w:tr w14:paraId="3423D05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0621D">
            <w:pPr>
              <w:widowControl/>
              <w:spacing w:line="240" w:lineRule="exact"/>
              <w:jc w:val="center"/>
              <w:rPr>
                <w:rFonts w:ascii="宋体" w:hAnsi="宋体" w:eastAsia="宋体" w:cs="宋体"/>
                <w:b/>
                <w:color w:val="000000"/>
                <w:sz w:val="24"/>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24664">
            <w:pPr>
              <w:widowControl/>
              <w:spacing w:line="240" w:lineRule="exact"/>
              <w:jc w:val="center"/>
              <w:rPr>
                <w:rFonts w:ascii="宋体" w:hAnsi="宋体" w:eastAsia="宋体" w:cs="宋体"/>
                <w:b/>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3C61">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实现效果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96A1">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F8CB">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部门预算项目绩效目标效益指标实施效果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3166">
            <w:pPr>
              <w:widowControl/>
              <w:spacing w:line="240" w:lineRule="exact"/>
              <w:jc w:val="left"/>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0C15">
            <w:pPr>
              <w:widowControl/>
              <w:spacing w:line="240" w:lineRule="exact"/>
              <w:jc w:val="left"/>
              <w:textAlignment w:val="center"/>
              <w:rPr>
                <w:rFonts w:ascii="宋体" w:hAnsi="宋体" w:eastAsia="宋体" w:cs="宋体"/>
                <w:color w:val="000000"/>
                <w:kern w:val="0"/>
                <w:sz w:val="24"/>
                <w:lang w:bidi="ar"/>
              </w:rPr>
            </w:pPr>
          </w:p>
        </w:tc>
      </w:tr>
      <w:tr w14:paraId="110CEBFE">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AD28">
            <w:pPr>
              <w:widowControl/>
              <w:spacing w:line="240" w:lineRule="exact"/>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扣分项</w:t>
            </w:r>
            <w:r>
              <w:rPr>
                <w:rFonts w:hint="eastAsia" w:ascii="宋体" w:hAnsi="宋体" w:eastAsia="宋体" w:cs="宋体"/>
                <w:b/>
                <w:color w:val="000000"/>
                <w:kern w:val="0"/>
                <w:sz w:val="24"/>
                <w:lang w:bidi="ar"/>
              </w:rPr>
              <w:br w:type="textWrapping"/>
            </w:r>
            <w:r>
              <w:rPr>
                <w:rFonts w:hint="eastAsia" w:ascii="宋体" w:hAnsi="宋体" w:eastAsia="宋体" w:cs="宋体"/>
                <w:b/>
                <w:color w:val="000000"/>
                <w:kern w:val="0"/>
                <w:sz w:val="24"/>
                <w:lang w:bidi="ar"/>
              </w:rPr>
              <w:t>（10分）</w:t>
            </w:r>
          </w:p>
        </w:tc>
        <w:tc>
          <w:tcPr>
            <w:tcW w:w="3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F1A56">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被评价部门配合度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3DF7">
            <w:pPr>
              <w:widowControl/>
              <w:spacing w:line="240" w:lineRule="exac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p>
        </w:tc>
        <w:tc>
          <w:tcPr>
            <w:tcW w:w="4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24A9">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被评价对象工作配合情况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7B69">
            <w:pPr>
              <w:widowControl/>
              <w:spacing w:line="240" w:lineRule="exact"/>
              <w:jc w:val="left"/>
              <w:textAlignment w:val="center"/>
              <w:rPr>
                <w:rFonts w:ascii="宋体" w:hAnsi="宋体" w:eastAsia="宋体" w:cs="宋体"/>
                <w:color w:val="000000"/>
                <w:kern w:val="0"/>
                <w:sz w:val="24"/>
                <w:lang w:bidi="ar"/>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AA9">
            <w:pPr>
              <w:widowControl/>
              <w:spacing w:line="240" w:lineRule="exact"/>
              <w:jc w:val="left"/>
              <w:textAlignment w:val="center"/>
              <w:rPr>
                <w:rFonts w:ascii="宋体" w:hAnsi="宋体" w:eastAsia="宋体" w:cs="宋体"/>
                <w:color w:val="000000"/>
                <w:kern w:val="0"/>
                <w:sz w:val="24"/>
                <w:lang w:bidi="ar"/>
              </w:rPr>
            </w:pPr>
          </w:p>
        </w:tc>
      </w:tr>
    </w:tbl>
    <w:p w14:paraId="64B1817D">
      <w:pPr>
        <w:pStyle w:val="20"/>
        <w:spacing w:line="20" w:lineRule="exact"/>
      </w:pPr>
    </w:p>
    <w:p w14:paraId="2C8E1AD0">
      <w:pPr>
        <w:spacing w:line="578" w:lineRule="exact"/>
        <w:jc w:val="left"/>
        <w:rPr>
          <w:rFonts w:eastAsia="黑体"/>
        </w:rPr>
      </w:pPr>
      <w:r>
        <w:rPr>
          <w:rFonts w:eastAsia="黑体"/>
        </w:rPr>
        <w:t>附表</w:t>
      </w:r>
      <w:r>
        <w:rPr>
          <w:rFonts w:hint="eastAsia" w:eastAsia="黑体"/>
        </w:rPr>
        <w:t>2</w:t>
      </w:r>
    </w:p>
    <w:tbl>
      <w:tblPr>
        <w:tblStyle w:val="16"/>
        <w:tblW w:w="10893" w:type="dxa"/>
        <w:jc w:val="center"/>
        <w:tblLayout w:type="fixed"/>
        <w:tblCellMar>
          <w:top w:w="15" w:type="dxa"/>
          <w:left w:w="15" w:type="dxa"/>
          <w:bottom w:w="15" w:type="dxa"/>
          <w:right w:w="15" w:type="dxa"/>
        </w:tblCellMar>
      </w:tblPr>
      <w:tblGrid>
        <w:gridCol w:w="1485"/>
        <w:gridCol w:w="883"/>
        <w:gridCol w:w="1020"/>
        <w:gridCol w:w="1973"/>
        <w:gridCol w:w="1145"/>
        <w:gridCol w:w="1022"/>
        <w:gridCol w:w="1005"/>
        <w:gridCol w:w="2360"/>
      </w:tblGrid>
      <w:tr w14:paraId="411FDB8C">
        <w:tblPrEx>
          <w:tblCellMar>
            <w:top w:w="15" w:type="dxa"/>
            <w:left w:w="15" w:type="dxa"/>
            <w:bottom w:w="15" w:type="dxa"/>
            <w:right w:w="15" w:type="dxa"/>
          </w:tblCellMar>
        </w:tblPrEx>
        <w:trPr>
          <w:trHeight w:val="762" w:hRule="exact"/>
          <w:jc w:val="center"/>
        </w:trPr>
        <w:tc>
          <w:tcPr>
            <w:tcW w:w="10893" w:type="dxa"/>
            <w:gridSpan w:val="8"/>
            <w:shd w:val="clear" w:color="auto" w:fill="auto"/>
            <w:vAlign w:val="center"/>
          </w:tcPr>
          <w:p w14:paraId="19805861">
            <w:pPr>
              <w:widowControl/>
              <w:spacing w:line="600" w:lineRule="exact"/>
              <w:jc w:val="center"/>
              <w:textAlignment w:val="center"/>
              <w:rPr>
                <w:rFonts w:eastAsia="黑体"/>
                <w:color w:val="000000"/>
                <w:sz w:val="28"/>
                <w:szCs w:val="28"/>
              </w:rPr>
            </w:pPr>
            <w:bookmarkStart w:id="1" w:name="OLE_LINK3"/>
            <w:r>
              <w:rPr>
                <w:rFonts w:eastAsia="方正小标宋简体"/>
                <w:color w:val="000000"/>
                <w:kern w:val="0"/>
                <w:sz w:val="44"/>
                <w:szCs w:val="44"/>
                <w:lang w:bidi="ar"/>
              </w:rPr>
              <w:t>部门整体绩效目标完成情况自评表</w:t>
            </w:r>
            <w:bookmarkEnd w:id="1"/>
          </w:p>
        </w:tc>
      </w:tr>
      <w:tr w14:paraId="1FC83E06">
        <w:tblPrEx>
          <w:tblCellMar>
            <w:top w:w="15" w:type="dxa"/>
            <w:left w:w="15" w:type="dxa"/>
            <w:bottom w:w="15" w:type="dxa"/>
            <w:right w:w="15" w:type="dxa"/>
          </w:tblCellMar>
        </w:tblPrEx>
        <w:trPr>
          <w:trHeight w:val="23" w:hRule="atLeast"/>
          <w:jc w:val="center"/>
        </w:trPr>
        <w:tc>
          <w:tcPr>
            <w:tcW w:w="10893" w:type="dxa"/>
            <w:gridSpan w:val="8"/>
            <w:shd w:val="clear" w:color="auto" w:fill="auto"/>
            <w:vAlign w:val="center"/>
          </w:tcPr>
          <w:p w14:paraId="17A26989">
            <w:pPr>
              <w:widowControl/>
              <w:spacing w:line="300" w:lineRule="exact"/>
              <w:jc w:val="center"/>
              <w:textAlignment w:val="center"/>
              <w:rPr>
                <w:rFonts w:eastAsia="宋体"/>
                <w:color w:val="000000"/>
                <w:sz w:val="28"/>
                <w:szCs w:val="28"/>
              </w:rPr>
            </w:pPr>
            <w:r>
              <w:rPr>
                <w:rFonts w:eastAsia="宋体"/>
                <w:color w:val="000000"/>
                <w:kern w:val="0"/>
                <w:sz w:val="28"/>
                <w:szCs w:val="28"/>
                <w:lang w:bidi="ar"/>
              </w:rPr>
              <w:t>（202</w:t>
            </w:r>
            <w:r>
              <w:rPr>
                <w:rFonts w:hint="eastAsia" w:eastAsia="宋体"/>
                <w:color w:val="000000"/>
                <w:kern w:val="0"/>
                <w:sz w:val="28"/>
                <w:szCs w:val="28"/>
                <w:lang w:bidi="ar"/>
              </w:rPr>
              <w:t>4</w:t>
            </w:r>
            <w:r>
              <w:rPr>
                <w:rFonts w:eastAsia="宋体"/>
                <w:color w:val="000000"/>
                <w:kern w:val="0"/>
                <w:sz w:val="28"/>
                <w:szCs w:val="28"/>
                <w:lang w:bidi="ar"/>
              </w:rPr>
              <w:t>年度）</w:t>
            </w:r>
          </w:p>
        </w:tc>
      </w:tr>
      <w:tr w14:paraId="1B9BAC74">
        <w:tblPrEx>
          <w:tblCellMar>
            <w:top w:w="15" w:type="dxa"/>
            <w:left w:w="15" w:type="dxa"/>
            <w:bottom w:w="15" w:type="dxa"/>
            <w:right w:w="15" w:type="dxa"/>
          </w:tblCellMar>
        </w:tblPrEx>
        <w:trPr>
          <w:trHeight w:val="90" w:hRule="atLeast"/>
          <w:jc w:val="center"/>
        </w:trPr>
        <w:tc>
          <w:tcPr>
            <w:tcW w:w="10893" w:type="dxa"/>
            <w:gridSpan w:val="8"/>
            <w:tcBorders>
              <w:bottom w:val="single" w:color="000000" w:sz="4" w:space="0"/>
            </w:tcBorders>
            <w:shd w:val="clear" w:color="auto" w:fill="auto"/>
            <w:vAlign w:val="center"/>
          </w:tcPr>
          <w:p w14:paraId="73FBC00B">
            <w:pPr>
              <w:widowControl/>
              <w:spacing w:line="300" w:lineRule="exact"/>
              <w:jc w:val="right"/>
              <w:textAlignment w:val="center"/>
              <w:rPr>
                <w:rFonts w:eastAsia="宋体"/>
                <w:color w:val="000000"/>
                <w:sz w:val="21"/>
                <w:szCs w:val="21"/>
              </w:rPr>
            </w:pPr>
            <w:r>
              <w:rPr>
                <w:rFonts w:eastAsia="宋体"/>
                <w:color w:val="000000"/>
                <w:kern w:val="0"/>
                <w:sz w:val="21"/>
                <w:szCs w:val="21"/>
                <w:lang w:bidi="ar"/>
              </w:rPr>
              <w:t>单位：万元</w:t>
            </w:r>
          </w:p>
        </w:tc>
      </w:tr>
      <w:tr w14:paraId="00242531">
        <w:tblPrEx>
          <w:tblCellMar>
            <w:top w:w="15" w:type="dxa"/>
            <w:left w:w="15" w:type="dxa"/>
            <w:bottom w:w="15" w:type="dxa"/>
            <w:right w:w="15" w:type="dxa"/>
          </w:tblCellMar>
        </w:tblPrEx>
        <w:trPr>
          <w:trHeight w:val="23" w:hRule="atLeast"/>
          <w:jc w:val="center"/>
        </w:trPr>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2CCBD">
            <w:pPr>
              <w:widowControl/>
              <w:spacing w:line="300" w:lineRule="exact"/>
              <w:jc w:val="center"/>
              <w:textAlignment w:val="center"/>
              <w:rPr>
                <w:rFonts w:eastAsia="宋体"/>
                <w:color w:val="000000"/>
                <w:sz w:val="24"/>
              </w:rPr>
            </w:pPr>
            <w:r>
              <w:rPr>
                <w:rFonts w:eastAsia="宋体"/>
                <w:color w:val="000000"/>
                <w:kern w:val="0"/>
                <w:sz w:val="24"/>
                <w:lang w:bidi="ar"/>
              </w:rPr>
              <w:t>部门名称</w:t>
            </w:r>
          </w:p>
        </w:tc>
        <w:tc>
          <w:tcPr>
            <w:tcW w:w="7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6D8743">
            <w:pPr>
              <w:widowControl/>
              <w:spacing w:line="300" w:lineRule="exact"/>
              <w:jc w:val="center"/>
              <w:textAlignment w:val="center"/>
              <w:rPr>
                <w:rFonts w:hint="eastAsia" w:eastAsia="宋体"/>
                <w:color w:val="000000"/>
                <w:sz w:val="24"/>
                <w:lang w:eastAsia="zh-CN"/>
              </w:rPr>
            </w:pPr>
            <w:r>
              <w:rPr>
                <w:rFonts w:hint="eastAsia" w:eastAsia="宋体"/>
                <w:color w:val="000000"/>
                <w:kern w:val="0"/>
                <w:sz w:val="24"/>
                <w:lang w:eastAsia="zh-CN" w:bidi="ar"/>
              </w:rPr>
              <w:t>区委宣传部</w:t>
            </w:r>
          </w:p>
        </w:tc>
      </w:tr>
      <w:tr w14:paraId="103E3B5D">
        <w:tblPrEx>
          <w:tblCellMar>
            <w:top w:w="15" w:type="dxa"/>
            <w:left w:w="15" w:type="dxa"/>
            <w:bottom w:w="15" w:type="dxa"/>
            <w:right w:w="15" w:type="dxa"/>
          </w:tblCellMar>
        </w:tblPrEx>
        <w:trPr>
          <w:trHeight w:val="23" w:hRule="atLeast"/>
          <w:jc w:val="center"/>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8E1F0">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年度部门整体支出预算</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B4CA4">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资金总额</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0E83">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财政拨款</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B42E5">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其他资金</w:t>
            </w:r>
          </w:p>
        </w:tc>
      </w:tr>
      <w:tr w14:paraId="338E264C">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08787">
            <w:pPr>
              <w:widowControl/>
              <w:spacing w:line="300" w:lineRule="exact"/>
              <w:jc w:val="center"/>
              <w:rPr>
                <w:rFonts w:eastAsia="宋体"/>
                <w:color w:val="000000"/>
                <w:sz w:val="21"/>
                <w:szCs w:val="21"/>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C7D7C">
            <w:pPr>
              <w:widowControl/>
              <w:spacing w:line="300" w:lineRule="exact"/>
              <w:jc w:val="center"/>
              <w:textAlignment w:val="center"/>
              <w:rPr>
                <w:rFonts w:hint="default" w:eastAsia="宋体"/>
                <w:color w:val="000000"/>
                <w:sz w:val="21"/>
                <w:szCs w:val="21"/>
                <w:lang w:val="en-US" w:eastAsia="zh-CN"/>
              </w:rPr>
            </w:pPr>
            <w:r>
              <w:rPr>
                <w:rFonts w:hint="eastAsia" w:eastAsia="宋体"/>
                <w:color w:val="000000"/>
                <w:kern w:val="0"/>
                <w:sz w:val="21"/>
                <w:szCs w:val="21"/>
                <w:lang w:val="en-US" w:eastAsia="zh-CN" w:bidi="ar"/>
              </w:rPr>
              <w:t>1010.76</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AA6FC">
            <w:pPr>
              <w:widowControl/>
              <w:spacing w:line="300" w:lineRule="exact"/>
              <w:jc w:val="center"/>
              <w:textAlignment w:val="center"/>
              <w:rPr>
                <w:rFonts w:hint="default" w:eastAsia="宋体"/>
                <w:color w:val="000000"/>
                <w:sz w:val="21"/>
                <w:szCs w:val="21"/>
                <w:lang w:val="en-US" w:eastAsia="zh-CN"/>
              </w:rPr>
            </w:pPr>
            <w:r>
              <w:rPr>
                <w:rFonts w:hint="eastAsia" w:eastAsia="宋体"/>
                <w:color w:val="000000"/>
                <w:kern w:val="0"/>
                <w:sz w:val="21"/>
                <w:szCs w:val="21"/>
                <w:lang w:val="en-US" w:eastAsia="zh-CN" w:bidi="ar"/>
              </w:rPr>
              <w:t>1010.76</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6533B">
            <w:pPr>
              <w:widowControl/>
              <w:spacing w:line="300" w:lineRule="exact"/>
              <w:jc w:val="center"/>
              <w:textAlignment w:val="center"/>
              <w:rPr>
                <w:rFonts w:hint="eastAsia" w:eastAsia="宋体"/>
                <w:color w:val="000000"/>
                <w:sz w:val="21"/>
                <w:szCs w:val="21"/>
                <w:lang w:eastAsia="zh-CN"/>
              </w:rPr>
            </w:pPr>
            <w:r>
              <w:rPr>
                <w:rFonts w:hint="eastAsia" w:eastAsia="宋体"/>
                <w:color w:val="000000"/>
                <w:kern w:val="0"/>
                <w:sz w:val="21"/>
                <w:szCs w:val="21"/>
                <w:lang w:val="en-US" w:eastAsia="zh-CN" w:bidi="ar"/>
              </w:rPr>
              <w:t>0</w:t>
            </w:r>
          </w:p>
        </w:tc>
      </w:tr>
      <w:tr w14:paraId="5086AFD2">
        <w:tblPrEx>
          <w:tblCellMar>
            <w:top w:w="15" w:type="dxa"/>
            <w:left w:w="15" w:type="dxa"/>
            <w:bottom w:w="15" w:type="dxa"/>
            <w:right w:w="15" w:type="dxa"/>
          </w:tblCellMar>
        </w:tblPrEx>
        <w:trPr>
          <w:trHeight w:val="440"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EDFC">
            <w:pPr>
              <w:widowControl/>
              <w:spacing w:line="300" w:lineRule="exact"/>
              <w:jc w:val="center"/>
              <w:textAlignment w:val="center"/>
              <w:rPr>
                <w:rFonts w:eastAsia="宋体"/>
                <w:color w:val="000000"/>
                <w:kern w:val="0"/>
                <w:sz w:val="21"/>
                <w:szCs w:val="21"/>
                <w:lang w:bidi="ar"/>
              </w:rPr>
            </w:pPr>
            <w:r>
              <w:rPr>
                <w:rFonts w:eastAsia="宋体"/>
                <w:color w:val="000000"/>
                <w:kern w:val="0"/>
                <w:sz w:val="21"/>
                <w:szCs w:val="21"/>
                <w:lang w:bidi="ar"/>
              </w:rPr>
              <w:t>年度总体</w:t>
            </w:r>
          </w:p>
          <w:p w14:paraId="71C6DFB5">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目标</w:t>
            </w:r>
          </w:p>
        </w:tc>
        <w:tc>
          <w:tcPr>
            <w:tcW w:w="94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9FD593">
            <w:pPr>
              <w:widowControl/>
              <w:spacing w:line="300" w:lineRule="exact"/>
              <w:jc w:val="left"/>
              <w:textAlignment w:val="center"/>
              <w:rPr>
                <w:rFonts w:eastAsia="宋体"/>
                <w:color w:val="000000"/>
                <w:sz w:val="21"/>
                <w:szCs w:val="21"/>
              </w:rPr>
            </w:pPr>
            <w:r>
              <w:rPr>
                <w:rFonts w:hint="eastAsia" w:eastAsia="宋体"/>
                <w:color w:val="000000"/>
                <w:kern w:val="0"/>
                <w:sz w:val="21"/>
                <w:szCs w:val="21"/>
                <w:lang w:bidi="ar"/>
              </w:rPr>
              <w:t>开创宣传思想工作新局面，为建设“一区一城”提供坚强思想保证、强大精神动力和有力文化支撑。</w:t>
            </w:r>
          </w:p>
        </w:tc>
      </w:tr>
      <w:tr w14:paraId="75F6A5E1">
        <w:tblPrEx>
          <w:tblCellMar>
            <w:top w:w="15" w:type="dxa"/>
            <w:left w:w="15" w:type="dxa"/>
            <w:bottom w:w="15" w:type="dxa"/>
            <w:right w:w="15" w:type="dxa"/>
          </w:tblCellMar>
        </w:tblPrEx>
        <w:trPr>
          <w:trHeight w:val="23" w:hRule="atLeast"/>
          <w:jc w:val="center"/>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2E902">
            <w:pPr>
              <w:widowControl/>
              <w:spacing w:line="300" w:lineRule="exact"/>
              <w:jc w:val="center"/>
              <w:textAlignment w:val="center"/>
              <w:rPr>
                <w:rFonts w:eastAsia="宋体"/>
                <w:color w:val="000000"/>
                <w:kern w:val="0"/>
                <w:sz w:val="18"/>
                <w:szCs w:val="18"/>
                <w:lang w:bidi="ar"/>
              </w:rPr>
            </w:pPr>
            <w:r>
              <w:rPr>
                <w:rFonts w:eastAsia="宋体"/>
                <w:color w:val="000000"/>
                <w:kern w:val="0"/>
                <w:sz w:val="18"/>
                <w:szCs w:val="18"/>
                <w:lang w:bidi="ar"/>
              </w:rPr>
              <w:t>年度主要</w:t>
            </w:r>
          </w:p>
          <w:p w14:paraId="57D97A0B">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任务</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17720">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任务名称</w:t>
            </w:r>
          </w:p>
        </w:tc>
        <w:tc>
          <w:tcPr>
            <w:tcW w:w="7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ECD566">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主要内容</w:t>
            </w:r>
          </w:p>
        </w:tc>
      </w:tr>
      <w:tr w14:paraId="131B9BF9">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DF3BD">
            <w:pPr>
              <w:widowControl/>
              <w:spacing w:line="300" w:lineRule="exact"/>
              <w:jc w:val="center"/>
              <w:rPr>
                <w:rFonts w:eastAsia="宋体"/>
                <w:color w:val="000000"/>
                <w:sz w:val="18"/>
                <w:szCs w:val="18"/>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F5E9B">
            <w:pPr>
              <w:widowControl/>
              <w:spacing w:line="300" w:lineRule="exact"/>
              <w:jc w:val="left"/>
              <w:textAlignment w:val="center"/>
              <w:rPr>
                <w:rFonts w:hint="eastAsia" w:eastAsia="宋体"/>
                <w:color w:val="000000"/>
                <w:sz w:val="18"/>
                <w:szCs w:val="18"/>
                <w:lang w:eastAsia="zh-CN"/>
              </w:rPr>
            </w:pPr>
            <w:r>
              <w:rPr>
                <w:rFonts w:hint="eastAsia" w:eastAsia="宋体"/>
                <w:color w:val="000000"/>
                <w:sz w:val="18"/>
                <w:szCs w:val="18"/>
                <w:lang w:eastAsia="zh-CN"/>
              </w:rPr>
              <w:t>整体目标</w:t>
            </w:r>
          </w:p>
        </w:tc>
        <w:tc>
          <w:tcPr>
            <w:tcW w:w="7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8113C">
            <w:pPr>
              <w:widowControl/>
              <w:spacing w:line="300" w:lineRule="exact"/>
              <w:jc w:val="left"/>
              <w:textAlignment w:val="center"/>
              <w:rPr>
                <w:rFonts w:eastAsia="宋体"/>
                <w:color w:val="000000"/>
                <w:sz w:val="18"/>
                <w:szCs w:val="18"/>
              </w:rPr>
            </w:pPr>
            <w:r>
              <w:rPr>
                <w:rFonts w:hint="eastAsia" w:eastAsia="宋体"/>
                <w:color w:val="000000"/>
                <w:kern w:val="0"/>
                <w:sz w:val="18"/>
                <w:szCs w:val="18"/>
                <w:lang w:bidi="ar"/>
              </w:rPr>
              <w:t>一是按时足额发放职工工资、津补贴；及时缴纳职工社保和公积金等；及时支付日常办公开支，确保了单位财务的正常运转。二是围绕宣传部中心工作，坚持高起点、高标准、高品位的服务理念，强化服务意识，提升服务层次，与时俱进、开拓进取，全面做好了办文办会、文化服务、新闻宣传报道、公益电影放映、创文宣传等各项工作。三是有序推进保密机要、电子政务建设、目标督查等专项业务工作，圆满完成了各项工作任务。</w:t>
            </w:r>
          </w:p>
        </w:tc>
      </w:tr>
      <w:tr w14:paraId="759A20E0">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BEF70">
            <w:pPr>
              <w:widowControl/>
              <w:spacing w:line="300" w:lineRule="exact"/>
              <w:jc w:val="center"/>
              <w:rPr>
                <w:rFonts w:eastAsia="宋体"/>
                <w:color w:val="000000"/>
                <w:sz w:val="18"/>
                <w:szCs w:val="18"/>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3B99B">
            <w:pPr>
              <w:widowControl/>
              <w:spacing w:line="300" w:lineRule="exact"/>
              <w:jc w:val="left"/>
              <w:rPr>
                <w:rFonts w:eastAsia="宋体"/>
                <w:color w:val="000000"/>
                <w:sz w:val="18"/>
                <w:szCs w:val="18"/>
              </w:rPr>
            </w:pPr>
          </w:p>
        </w:tc>
        <w:tc>
          <w:tcPr>
            <w:tcW w:w="7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881ABC">
            <w:pPr>
              <w:widowControl/>
              <w:spacing w:line="300" w:lineRule="exact"/>
              <w:jc w:val="left"/>
              <w:rPr>
                <w:rFonts w:eastAsia="宋体"/>
                <w:color w:val="000000"/>
                <w:sz w:val="18"/>
                <w:szCs w:val="18"/>
              </w:rPr>
            </w:pPr>
          </w:p>
        </w:tc>
      </w:tr>
      <w:tr w14:paraId="32142888">
        <w:tblPrEx>
          <w:tblCellMar>
            <w:top w:w="15" w:type="dxa"/>
            <w:left w:w="15" w:type="dxa"/>
            <w:bottom w:w="15" w:type="dxa"/>
            <w:right w:w="15" w:type="dxa"/>
          </w:tblCellMar>
        </w:tblPrEx>
        <w:trPr>
          <w:trHeight w:val="23" w:hRule="atLeast"/>
          <w:jc w:val="center"/>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DA1E6">
            <w:pPr>
              <w:widowControl/>
              <w:spacing w:line="300" w:lineRule="exact"/>
              <w:jc w:val="center"/>
              <w:textAlignment w:val="center"/>
              <w:rPr>
                <w:rFonts w:eastAsia="宋体"/>
                <w:color w:val="000000"/>
                <w:kern w:val="0"/>
                <w:sz w:val="18"/>
                <w:szCs w:val="18"/>
                <w:lang w:bidi="ar"/>
              </w:rPr>
            </w:pPr>
            <w:r>
              <w:rPr>
                <w:rFonts w:eastAsia="宋体"/>
                <w:color w:val="000000"/>
                <w:kern w:val="0"/>
                <w:sz w:val="18"/>
                <w:szCs w:val="18"/>
                <w:lang w:bidi="ar"/>
              </w:rPr>
              <w:t>年度绩效</w:t>
            </w:r>
          </w:p>
          <w:p w14:paraId="28C54C51">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指标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5957">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一级指标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5672">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二级指标</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BF53">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AA97">
            <w:pPr>
              <w:widowControl/>
              <w:spacing w:line="300" w:lineRule="exact"/>
              <w:jc w:val="center"/>
              <w:textAlignment w:val="center"/>
              <w:rPr>
                <w:rFonts w:eastAsia="宋体"/>
                <w:color w:val="000000"/>
                <w:kern w:val="0"/>
                <w:sz w:val="18"/>
                <w:szCs w:val="18"/>
                <w:lang w:bidi="ar"/>
              </w:rPr>
            </w:pPr>
            <w:r>
              <w:rPr>
                <w:rFonts w:eastAsia="宋体"/>
                <w:color w:val="000000"/>
                <w:kern w:val="0"/>
                <w:sz w:val="18"/>
                <w:szCs w:val="18"/>
                <w:lang w:bidi="ar"/>
              </w:rPr>
              <w:t>绩效指标</w:t>
            </w:r>
          </w:p>
          <w:p w14:paraId="77A257B2">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性质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99E">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绩效指标值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183">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绩效度量单位</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CD62">
            <w:pPr>
              <w:widowControl/>
              <w:spacing w:line="300" w:lineRule="exact"/>
              <w:jc w:val="center"/>
              <w:textAlignment w:val="center"/>
              <w:rPr>
                <w:rFonts w:eastAsia="宋体"/>
                <w:color w:val="000000"/>
                <w:kern w:val="0"/>
                <w:sz w:val="18"/>
                <w:szCs w:val="18"/>
                <w:lang w:bidi="ar"/>
              </w:rPr>
            </w:pPr>
            <w:r>
              <w:rPr>
                <w:rFonts w:eastAsia="宋体"/>
                <w:color w:val="000000"/>
                <w:kern w:val="0"/>
                <w:sz w:val="18"/>
                <w:szCs w:val="18"/>
                <w:lang w:bidi="ar"/>
              </w:rPr>
              <w:t>实际完成</w:t>
            </w:r>
          </w:p>
          <w:p w14:paraId="6AF36438">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指标值</w:t>
            </w:r>
          </w:p>
        </w:tc>
      </w:tr>
      <w:tr w14:paraId="3464BBB1">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B67E">
            <w:pPr>
              <w:widowControl/>
              <w:spacing w:line="300" w:lineRule="exact"/>
              <w:jc w:val="center"/>
              <w:rPr>
                <w:rFonts w:eastAsia="宋体"/>
                <w:color w:val="000000"/>
                <w:sz w:val="18"/>
                <w:szCs w:val="18"/>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CD97D">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产出指标</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716C0">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数量指标</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ED62">
            <w:pPr>
              <w:widowControl/>
              <w:spacing w:line="300" w:lineRule="exact"/>
              <w:jc w:val="left"/>
              <w:textAlignment w:val="center"/>
              <w:rPr>
                <w:rFonts w:hint="eastAsia" w:eastAsia="宋体"/>
                <w:color w:val="000000"/>
                <w:sz w:val="18"/>
                <w:szCs w:val="18"/>
                <w:lang w:eastAsia="zh-CN"/>
              </w:rPr>
            </w:pPr>
            <w:r>
              <w:rPr>
                <w:rFonts w:hint="eastAsia" w:eastAsia="宋体"/>
                <w:color w:val="000000"/>
                <w:kern w:val="0"/>
                <w:sz w:val="18"/>
                <w:szCs w:val="18"/>
                <w:lang w:eastAsia="zh-CN" w:bidi="ar"/>
              </w:rPr>
              <w:t>基本支出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C875">
            <w:pPr>
              <w:widowControl/>
              <w:spacing w:line="300" w:lineRule="exact"/>
              <w:jc w:val="left"/>
              <w:textAlignment w:val="center"/>
              <w:rPr>
                <w:rFonts w:hint="eastAsia" w:eastAsia="宋体"/>
                <w:color w:val="000000"/>
                <w:sz w:val="18"/>
                <w:szCs w:val="18"/>
                <w:lang w:eastAsia="zh-CN"/>
              </w:rPr>
            </w:pPr>
            <w:r>
              <w:rPr>
                <w:rFonts w:hint="eastAsia" w:eastAsia="宋体"/>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A45B">
            <w:pPr>
              <w:widowControl/>
              <w:spacing w:line="300" w:lineRule="exact"/>
              <w:jc w:val="both"/>
              <w:textAlignment w:val="center"/>
              <w:rPr>
                <w:rFonts w:hint="eastAsia" w:eastAsia="宋体"/>
                <w:color w:val="000000"/>
                <w:sz w:val="18"/>
                <w:szCs w:val="18"/>
                <w:lang w:eastAsia="zh-CN"/>
              </w:rPr>
            </w:pPr>
            <w:r>
              <w:rPr>
                <w:rFonts w:hint="eastAsia" w:eastAsia="宋体"/>
                <w:color w:val="000000"/>
                <w:kern w:val="0"/>
                <w:sz w:val="18"/>
                <w:szCs w:val="18"/>
                <w:lang w:eastAsia="zh-CN" w:bidi="ar"/>
              </w:rPr>
              <w:t>完成</w:t>
            </w:r>
            <w:r>
              <w:rPr>
                <w:rFonts w:hint="eastAsia" w:eastAsia="宋体"/>
                <w:color w:val="000000"/>
                <w:kern w:val="0"/>
                <w:sz w:val="18"/>
                <w:szCs w:val="18"/>
                <w:lang w:val="en-US" w:eastAsia="zh-CN" w:bidi="ar"/>
              </w:rPr>
              <w:t>27</w:t>
            </w:r>
            <w:r>
              <w:rPr>
                <w:rFonts w:hint="eastAsia" w:eastAsia="宋体"/>
                <w:color w:val="000000"/>
                <w:kern w:val="0"/>
                <w:sz w:val="18"/>
                <w:szCs w:val="18"/>
                <w:lang w:eastAsia="zh-CN" w:bidi="ar"/>
              </w:rPr>
              <w:t>名在 职人员、</w:t>
            </w:r>
            <w:r>
              <w:rPr>
                <w:rFonts w:hint="eastAsia" w:eastAsia="宋体"/>
                <w:color w:val="000000"/>
                <w:kern w:val="0"/>
                <w:sz w:val="18"/>
                <w:szCs w:val="18"/>
                <w:lang w:val="en-US" w:eastAsia="zh-CN" w:bidi="ar"/>
              </w:rPr>
              <w:t>4</w:t>
            </w:r>
            <w:r>
              <w:rPr>
                <w:rFonts w:hint="eastAsia" w:eastAsia="宋体"/>
                <w:color w:val="000000"/>
                <w:kern w:val="0"/>
                <w:sz w:val="18"/>
                <w:szCs w:val="18"/>
                <w:lang w:eastAsia="zh-CN" w:bidi="ar"/>
              </w:rPr>
              <w:t xml:space="preserve"> 名退休人员和1名聘用人员工资福利待遇、</w:t>
            </w:r>
            <w:r>
              <w:rPr>
                <w:rFonts w:hint="eastAsia" w:eastAsia="宋体"/>
                <w:color w:val="000000"/>
                <w:kern w:val="0"/>
                <w:sz w:val="18"/>
                <w:szCs w:val="18"/>
                <w:lang w:val="en-US" w:eastAsia="zh-CN" w:bidi="ar"/>
              </w:rPr>
              <w:t>1辆业务用车及区委宣传部、区文联、区融媒体中心、区舆情信息中心</w:t>
            </w:r>
            <w:r>
              <w:rPr>
                <w:rFonts w:hint="eastAsia" w:eastAsia="宋体"/>
                <w:color w:val="000000"/>
                <w:kern w:val="0"/>
                <w:sz w:val="18"/>
                <w:szCs w:val="18"/>
                <w:lang w:eastAsia="zh-CN" w:bidi="ar"/>
              </w:rPr>
              <w:t>办公经费支出。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10F">
            <w:pPr>
              <w:widowControl/>
              <w:spacing w:line="300" w:lineRule="exact"/>
              <w:jc w:val="left"/>
              <w:textAlignment w:val="center"/>
              <w:rPr>
                <w:rFonts w:hint="eastAsia" w:eastAsia="宋体"/>
                <w:color w:val="000000"/>
                <w:sz w:val="18"/>
                <w:szCs w:val="18"/>
                <w:lang w:eastAsia="zh-CN"/>
              </w:rPr>
            </w:pPr>
            <w:r>
              <w:rPr>
                <w:rFonts w:hint="eastAsia" w:eastAsia="宋体"/>
                <w:color w:val="000000"/>
                <w:kern w:val="0"/>
                <w:sz w:val="18"/>
                <w:szCs w:val="18"/>
                <w:lang w:eastAsia="zh-CN" w:bidi="ar"/>
              </w:rPr>
              <w:t>人</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7D81">
            <w:pPr>
              <w:widowControl/>
              <w:spacing w:line="300" w:lineRule="exact"/>
              <w:jc w:val="center"/>
              <w:textAlignment w:val="center"/>
              <w:rPr>
                <w:rFonts w:hint="eastAsia" w:eastAsia="宋体"/>
                <w:color w:val="000000"/>
                <w:sz w:val="18"/>
                <w:szCs w:val="18"/>
                <w:lang w:eastAsia="zh-CN"/>
              </w:rPr>
            </w:pPr>
            <w:r>
              <w:rPr>
                <w:rFonts w:hint="eastAsia" w:eastAsia="宋体"/>
                <w:color w:val="000000"/>
                <w:kern w:val="0"/>
                <w:sz w:val="18"/>
                <w:szCs w:val="18"/>
                <w:lang w:eastAsia="zh-CN" w:bidi="ar"/>
              </w:rPr>
              <w:t>人员、公用</w:t>
            </w:r>
          </w:p>
        </w:tc>
      </w:tr>
      <w:tr w14:paraId="39961EF6">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59B2F">
            <w:pPr>
              <w:widowControl/>
              <w:spacing w:line="300" w:lineRule="exact"/>
              <w:jc w:val="center"/>
              <w:rPr>
                <w:rFonts w:eastAsia="宋体"/>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ADA2">
            <w:pPr>
              <w:widowControl/>
              <w:spacing w:line="300" w:lineRule="exact"/>
              <w:jc w:val="center"/>
              <w:rPr>
                <w:rFonts w:eastAsia="宋体"/>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CFDAE">
            <w:pPr>
              <w:widowControl/>
              <w:spacing w:line="300" w:lineRule="exact"/>
              <w:jc w:val="center"/>
              <w:rPr>
                <w:rFonts w:eastAsia="宋体"/>
                <w:color w:val="000000"/>
                <w:sz w:val="18"/>
                <w:szCs w:val="18"/>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6837">
            <w:pPr>
              <w:widowControl/>
              <w:spacing w:line="300" w:lineRule="exact"/>
              <w:jc w:val="left"/>
              <w:rPr>
                <w:rFonts w:eastAsia="宋体"/>
                <w:color w:val="000000"/>
                <w:sz w:val="18"/>
                <w:szCs w:val="18"/>
              </w:rPr>
            </w:pPr>
            <w:r>
              <w:rPr>
                <w:rFonts w:hint="eastAsia" w:eastAsia="宋体"/>
                <w:color w:val="000000"/>
                <w:sz w:val="18"/>
                <w:szCs w:val="18"/>
              </w:rPr>
              <w:t>项目支出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CBA3">
            <w:pPr>
              <w:widowControl/>
              <w:spacing w:line="300" w:lineRule="exact"/>
              <w:jc w:val="left"/>
              <w:rPr>
                <w:rFonts w:eastAsia="宋体"/>
                <w:color w:val="000000"/>
                <w:sz w:val="18"/>
                <w:szCs w:val="18"/>
              </w:rPr>
            </w:pPr>
            <w:r>
              <w:rPr>
                <w:rFonts w:hint="eastAsia" w:eastAsia="宋体"/>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86A">
            <w:pPr>
              <w:widowControl/>
              <w:spacing w:line="300" w:lineRule="exact"/>
              <w:jc w:val="left"/>
              <w:rPr>
                <w:rFonts w:hint="eastAsia" w:eastAsia="宋体"/>
                <w:color w:val="000000"/>
                <w:kern w:val="0"/>
                <w:sz w:val="18"/>
                <w:szCs w:val="18"/>
                <w:lang w:val="en-US" w:eastAsia="zh-CN" w:bidi="ar"/>
              </w:rPr>
            </w:pPr>
            <w:r>
              <w:rPr>
                <w:rFonts w:hint="eastAsia" w:eastAsia="宋体"/>
                <w:color w:val="000000"/>
                <w:kern w:val="0"/>
                <w:sz w:val="18"/>
                <w:szCs w:val="18"/>
                <w:lang w:val="en-US" w:eastAsia="zh-CN" w:bidi="ar"/>
              </w:rPr>
              <w:t>完成创建文明城市工作经费、文联工作经费、融媒体中心运行维护费、精神文明建设及文化发展服务费、媒体合作费、新时代文明实践中心建设、运维费、意识形态工作经费、中央支持地方公共文化服务体系建设补助资金（新时代文明）、四川省宣传文化事业发展专项资金、中央级国家电影事业发展专项资金、创建共同富裕试验区专项、争取资金工作经费、中央支持地方公共文化服务体系建设补助资金、四川省文化产业发展专项资金、重大公共卫生服务等16项项目经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C525">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项</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BE7F">
            <w:pPr>
              <w:widowControl/>
              <w:spacing w:line="300" w:lineRule="exact"/>
              <w:jc w:val="both"/>
              <w:rPr>
                <w:rFonts w:hint="eastAsia" w:eastAsia="宋体"/>
                <w:color w:val="000000"/>
                <w:sz w:val="18"/>
                <w:szCs w:val="18"/>
                <w:lang w:eastAsia="zh-CN"/>
              </w:rPr>
            </w:pPr>
            <w:r>
              <w:rPr>
                <w:rFonts w:hint="eastAsia" w:eastAsia="宋体"/>
                <w:color w:val="000000"/>
                <w:kern w:val="0"/>
                <w:sz w:val="18"/>
                <w:szCs w:val="18"/>
                <w:lang w:bidi="ar"/>
              </w:rPr>
              <w:t>全面做好办文办会、文化服务、新闻宣传报道、公益电影放映、创文宣传等各项工作</w:t>
            </w:r>
          </w:p>
        </w:tc>
      </w:tr>
      <w:tr w14:paraId="416BFF6E">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F7FD8">
            <w:pPr>
              <w:widowControl/>
              <w:spacing w:line="300" w:lineRule="exact"/>
              <w:jc w:val="center"/>
              <w:rPr>
                <w:rFonts w:eastAsia="宋体"/>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FAC59">
            <w:pPr>
              <w:widowControl/>
              <w:spacing w:line="300" w:lineRule="exact"/>
              <w:jc w:val="center"/>
              <w:rPr>
                <w:rFonts w:eastAsia="宋体"/>
                <w:color w:val="000000"/>
                <w:sz w:val="18"/>
                <w:szCs w:val="18"/>
              </w:rPr>
            </w:pPr>
          </w:p>
        </w:tc>
        <w:tc>
          <w:tcPr>
            <w:tcW w:w="1020" w:type="dxa"/>
            <w:vMerge w:val="restart"/>
            <w:tcBorders>
              <w:top w:val="single" w:color="000000" w:sz="4" w:space="0"/>
              <w:left w:val="single" w:color="000000" w:sz="4" w:space="0"/>
              <w:right w:val="single" w:color="000000" w:sz="4" w:space="0"/>
            </w:tcBorders>
            <w:shd w:val="clear" w:color="auto" w:fill="auto"/>
            <w:vAlign w:val="center"/>
          </w:tcPr>
          <w:p w14:paraId="15DA8D5E">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质量指标</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B3E0">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基本支出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BFE8">
            <w:pPr>
              <w:widowControl/>
              <w:spacing w:line="300" w:lineRule="exact"/>
              <w:jc w:val="left"/>
              <w:rPr>
                <w:rFonts w:hint="default" w:eastAsia="宋体"/>
                <w:color w:val="000000"/>
                <w:kern w:val="0"/>
                <w:sz w:val="18"/>
                <w:szCs w:val="18"/>
                <w:lang w:val="en-US" w:eastAsia="zh-CN" w:bidi="ar"/>
              </w:rPr>
            </w:pPr>
            <w:r>
              <w:rPr>
                <w:rFonts w:hint="eastAsia" w:eastAsia="宋体"/>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F0C2">
            <w:pPr>
              <w:widowControl/>
              <w:spacing w:line="300" w:lineRule="exact"/>
              <w:jc w:val="both"/>
              <w:rPr>
                <w:rFonts w:hint="eastAsia" w:eastAsia="宋体"/>
                <w:color w:val="000000"/>
                <w:kern w:val="0"/>
                <w:sz w:val="18"/>
                <w:szCs w:val="18"/>
                <w:lang w:val="en-US" w:eastAsia="zh-CN" w:bidi="ar"/>
              </w:rPr>
            </w:pPr>
            <w:r>
              <w:rPr>
                <w:rFonts w:hint="eastAsia" w:eastAsia="宋体"/>
                <w:color w:val="000000"/>
                <w:kern w:val="0"/>
                <w:sz w:val="18"/>
                <w:szCs w:val="18"/>
                <w:lang w:val="en-US" w:eastAsia="zh-CN" w:bidi="ar"/>
              </w:rPr>
              <w:t>保障区委宣传部、区文联、区融媒体中心、区舆情信息中心的正常运行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F80E">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项</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FBC6">
            <w:pPr>
              <w:widowControl/>
              <w:spacing w:line="300" w:lineRule="exact"/>
              <w:jc w:val="center"/>
              <w:rPr>
                <w:rFonts w:hint="eastAsia" w:eastAsia="宋体"/>
                <w:color w:val="000000"/>
                <w:kern w:val="0"/>
                <w:sz w:val="18"/>
                <w:szCs w:val="18"/>
                <w:lang w:eastAsia="zh-CN" w:bidi="ar"/>
              </w:rPr>
            </w:pPr>
            <w:r>
              <w:rPr>
                <w:rFonts w:hint="eastAsia" w:eastAsia="宋体"/>
                <w:color w:val="000000"/>
                <w:kern w:val="0"/>
                <w:sz w:val="18"/>
                <w:szCs w:val="18"/>
                <w:lang w:eastAsia="zh-CN" w:bidi="ar"/>
              </w:rPr>
              <w:t>保障单位正常运行</w:t>
            </w:r>
          </w:p>
        </w:tc>
      </w:tr>
      <w:tr w14:paraId="14A8ABB8">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8159">
            <w:pPr>
              <w:widowControl/>
              <w:spacing w:line="300" w:lineRule="exact"/>
              <w:jc w:val="center"/>
              <w:rPr>
                <w:rFonts w:eastAsia="宋体"/>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1B315">
            <w:pPr>
              <w:widowControl/>
              <w:spacing w:line="300" w:lineRule="exact"/>
              <w:jc w:val="center"/>
              <w:rPr>
                <w:rFonts w:eastAsia="宋体"/>
                <w:color w:val="000000"/>
                <w:sz w:val="18"/>
                <w:szCs w:val="18"/>
              </w:rPr>
            </w:pPr>
          </w:p>
        </w:tc>
        <w:tc>
          <w:tcPr>
            <w:tcW w:w="1020" w:type="dxa"/>
            <w:vMerge w:val="continue"/>
            <w:tcBorders>
              <w:left w:val="single" w:color="000000" w:sz="4" w:space="0"/>
              <w:right w:val="single" w:color="000000" w:sz="4" w:space="0"/>
            </w:tcBorders>
            <w:shd w:val="clear" w:color="auto" w:fill="auto"/>
            <w:vAlign w:val="center"/>
          </w:tcPr>
          <w:p w14:paraId="767B4D9F">
            <w:pPr>
              <w:widowControl/>
              <w:spacing w:line="300" w:lineRule="exact"/>
              <w:jc w:val="center"/>
              <w:textAlignment w:val="center"/>
              <w:rPr>
                <w:rFonts w:eastAsia="宋体"/>
                <w:color w:val="000000"/>
                <w:sz w:val="18"/>
                <w:szCs w:val="18"/>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C0B">
            <w:pPr>
              <w:widowControl/>
              <w:spacing w:line="300" w:lineRule="exact"/>
              <w:jc w:val="left"/>
              <w:rPr>
                <w:rFonts w:eastAsia="宋体"/>
                <w:color w:val="000000"/>
                <w:sz w:val="18"/>
                <w:szCs w:val="18"/>
              </w:rPr>
            </w:pPr>
            <w:r>
              <w:rPr>
                <w:rFonts w:hint="eastAsia" w:eastAsia="宋体"/>
                <w:color w:val="000000"/>
                <w:sz w:val="18"/>
                <w:szCs w:val="18"/>
              </w:rPr>
              <w:t>按工作进度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3CA0">
            <w:pPr>
              <w:widowControl/>
              <w:spacing w:line="300" w:lineRule="exact"/>
              <w:jc w:val="left"/>
              <w:rPr>
                <w:rFonts w:eastAsia="宋体"/>
                <w:color w:val="000000"/>
                <w:sz w:val="18"/>
                <w:szCs w:val="18"/>
              </w:rPr>
            </w:pPr>
            <w:r>
              <w:rPr>
                <w:rFonts w:hint="eastAsia" w:ascii="微软雅黑" w:hAnsi="微软雅黑" w:eastAsia="微软雅黑" w:cs="微软雅黑"/>
                <w:color w:val="000000"/>
                <w:kern w:val="0"/>
                <w:sz w:val="18"/>
                <w:szCs w:val="18"/>
                <w:lang w:val="en-US" w:eastAsia="zh-CN" w:bidi="ar"/>
              </w:rPr>
              <w:t>&gt;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5E65">
            <w:pPr>
              <w:widowControl/>
              <w:spacing w:line="300" w:lineRule="exact"/>
              <w:jc w:val="left"/>
              <w:rPr>
                <w:rFonts w:hint="default" w:eastAsia="宋体"/>
                <w:color w:val="000000"/>
                <w:sz w:val="18"/>
                <w:szCs w:val="18"/>
                <w:lang w:val="en-US"/>
              </w:rPr>
            </w:pPr>
            <w:r>
              <w:rPr>
                <w:rFonts w:hint="eastAsia" w:eastAsia="宋体"/>
                <w:color w:val="000000"/>
                <w:kern w:val="0"/>
                <w:sz w:val="18"/>
                <w:szCs w:val="18"/>
                <w:lang w:val="en-US" w:eastAsia="zh-CN" w:bidi="ar"/>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92DF">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次</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DB20">
            <w:pPr>
              <w:widowControl/>
              <w:spacing w:line="300" w:lineRule="exact"/>
              <w:jc w:val="center"/>
              <w:rPr>
                <w:rFonts w:eastAsia="宋体"/>
                <w:color w:val="000000"/>
                <w:sz w:val="18"/>
                <w:szCs w:val="18"/>
              </w:rPr>
            </w:pPr>
            <w:r>
              <w:rPr>
                <w:rFonts w:hint="eastAsia" w:eastAsia="宋体"/>
                <w:color w:val="000000"/>
                <w:kern w:val="0"/>
                <w:sz w:val="18"/>
                <w:szCs w:val="18"/>
                <w:lang w:bidi="ar"/>
              </w:rPr>
              <w:t>围绕宣传部中心工作，坚持高起点、高标准、高品位的服务理念，强化服务意识，提升服务层次，与时俱进、开拓进取，全面做好了办文办会、文化服务、新闻宣传报道、公益电影放映、创文宣传等各项工作</w:t>
            </w:r>
          </w:p>
        </w:tc>
      </w:tr>
      <w:tr w14:paraId="6393CB00">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E69D">
            <w:pPr>
              <w:widowControl/>
              <w:spacing w:line="300" w:lineRule="exact"/>
              <w:jc w:val="center"/>
              <w:rPr>
                <w:rFonts w:eastAsia="宋体"/>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E5CE1">
            <w:pPr>
              <w:widowControl/>
              <w:spacing w:line="300" w:lineRule="exact"/>
              <w:jc w:val="center"/>
              <w:rPr>
                <w:rFonts w:eastAsia="宋体"/>
                <w:color w:val="000000"/>
                <w:sz w:val="18"/>
                <w:szCs w:val="18"/>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14:paraId="1964330C">
            <w:pPr>
              <w:widowControl/>
              <w:spacing w:line="300" w:lineRule="exact"/>
              <w:jc w:val="center"/>
              <w:textAlignment w:val="center"/>
              <w:rPr>
                <w:rFonts w:eastAsia="宋体"/>
                <w:color w:val="000000"/>
                <w:kern w:val="0"/>
                <w:sz w:val="18"/>
                <w:szCs w:val="18"/>
                <w:lang w:bidi="ar"/>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311A">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项目完成率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6653">
            <w:pPr>
              <w:widowControl/>
              <w:spacing w:line="300" w:lineRule="exact"/>
              <w:jc w:val="left"/>
              <w:rPr>
                <w:rFonts w:hint="default" w:eastAsia="宋体"/>
                <w:color w:val="000000"/>
                <w:kern w:val="0"/>
                <w:sz w:val="18"/>
                <w:szCs w:val="18"/>
                <w:lang w:val="en-US" w:eastAsia="zh-CN" w:bidi="ar"/>
              </w:rPr>
            </w:pPr>
            <w:r>
              <w:rPr>
                <w:rFonts w:hint="eastAsia" w:eastAsia="宋体"/>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43F7">
            <w:pPr>
              <w:widowControl/>
              <w:spacing w:line="300" w:lineRule="exact"/>
              <w:jc w:val="left"/>
              <w:rPr>
                <w:rFonts w:hint="default" w:eastAsia="宋体"/>
                <w:color w:val="000000"/>
                <w:kern w:val="0"/>
                <w:sz w:val="18"/>
                <w:szCs w:val="18"/>
                <w:lang w:val="en-US" w:eastAsia="zh-CN" w:bidi="ar"/>
              </w:rPr>
            </w:pPr>
            <w:r>
              <w:rPr>
                <w:rFonts w:hint="eastAsia" w:eastAsia="宋体"/>
                <w:color w:val="000000"/>
                <w:kern w:val="0"/>
                <w:sz w:val="18"/>
                <w:szCs w:val="18"/>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E03D">
            <w:pPr>
              <w:widowControl/>
              <w:spacing w:line="300" w:lineRule="exact"/>
              <w:jc w:val="left"/>
              <w:rPr>
                <w:rFonts w:hint="eastAsia" w:eastAsia="宋体"/>
                <w:color w:val="000000"/>
                <w:sz w:val="18"/>
                <w:szCs w:val="18"/>
                <w:lang w:eastAsia="zh-CN"/>
              </w:rPr>
            </w:pPr>
            <w:r>
              <w:rPr>
                <w:rFonts w:hint="eastAsia" w:eastAsia="宋体"/>
                <w:color w:val="000000"/>
                <w:sz w:val="18"/>
                <w:szCs w:val="18"/>
                <w:lang w:val="en-US" w:eastAsia="zh-CN"/>
              </w:rPr>
              <w:t>%</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FC48">
            <w:pPr>
              <w:widowControl/>
              <w:spacing w:line="300" w:lineRule="exact"/>
              <w:jc w:val="both"/>
              <w:rPr>
                <w:rFonts w:hint="eastAsia" w:eastAsia="宋体"/>
                <w:color w:val="000000"/>
                <w:kern w:val="0"/>
                <w:sz w:val="18"/>
                <w:szCs w:val="18"/>
                <w:lang w:eastAsia="zh-CN" w:bidi="ar"/>
              </w:rPr>
            </w:pPr>
            <w:r>
              <w:rPr>
                <w:rFonts w:hint="eastAsia" w:eastAsia="宋体"/>
                <w:color w:val="000000"/>
                <w:kern w:val="0"/>
                <w:sz w:val="18"/>
                <w:szCs w:val="18"/>
                <w:lang w:eastAsia="zh-CN" w:bidi="ar"/>
              </w:rPr>
              <w:t>按正常工作推进，并完成当年基本项目目标</w:t>
            </w:r>
          </w:p>
        </w:tc>
      </w:tr>
      <w:tr w14:paraId="03894E45">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C8726">
            <w:pPr>
              <w:widowControl/>
              <w:spacing w:line="300" w:lineRule="exact"/>
              <w:jc w:val="center"/>
              <w:rPr>
                <w:rFonts w:eastAsia="宋体"/>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933FC">
            <w:pPr>
              <w:widowControl/>
              <w:spacing w:line="300" w:lineRule="exact"/>
              <w:jc w:val="center"/>
              <w:rPr>
                <w:rFonts w:eastAsia="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7AF">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时效指标</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3948">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按目标任务推进</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D87E">
            <w:pPr>
              <w:widowControl/>
              <w:spacing w:line="300" w:lineRule="exact"/>
              <w:jc w:val="left"/>
              <w:rPr>
                <w:rFonts w:eastAsia="宋体"/>
                <w:color w:val="000000"/>
                <w:sz w:val="18"/>
                <w:szCs w:val="18"/>
              </w:rPr>
            </w:pPr>
            <w:r>
              <w:rPr>
                <w:rFonts w:hint="eastAsia" w:eastAsia="宋体"/>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AD9B">
            <w:pPr>
              <w:widowControl/>
              <w:spacing w:line="300" w:lineRule="exact"/>
              <w:jc w:val="left"/>
              <w:rPr>
                <w:rFonts w:hint="default" w:eastAsia="宋体"/>
                <w:color w:val="000000"/>
                <w:sz w:val="18"/>
                <w:szCs w:val="18"/>
                <w:lang w:val="en-US" w:eastAsia="zh-CN"/>
              </w:rPr>
            </w:pPr>
            <w:r>
              <w:rPr>
                <w:rFonts w:hint="eastAsia" w:eastAsia="宋体"/>
                <w:color w:val="000000"/>
                <w:sz w:val="18"/>
                <w:szCs w:val="18"/>
                <w:lang w:val="en-US" w:eastAsia="zh-CN"/>
              </w:rPr>
              <w:t>2024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7F48">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年</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E8F8">
            <w:pPr>
              <w:widowControl/>
              <w:spacing w:line="300" w:lineRule="exact"/>
              <w:jc w:val="center"/>
              <w:rPr>
                <w:rFonts w:eastAsia="宋体"/>
                <w:color w:val="000000"/>
                <w:sz w:val="18"/>
                <w:szCs w:val="18"/>
              </w:rPr>
            </w:pPr>
            <w:r>
              <w:rPr>
                <w:rFonts w:hint="eastAsia" w:eastAsia="宋体"/>
                <w:color w:val="000000"/>
                <w:sz w:val="18"/>
                <w:szCs w:val="18"/>
              </w:rPr>
              <w:t>1-12月</w:t>
            </w:r>
          </w:p>
        </w:tc>
      </w:tr>
      <w:tr w14:paraId="125A379C">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AD2B2">
            <w:pPr>
              <w:widowControl/>
              <w:spacing w:line="300" w:lineRule="exact"/>
              <w:jc w:val="center"/>
              <w:rPr>
                <w:rFonts w:eastAsia="宋体"/>
                <w:color w:val="000000"/>
                <w:sz w:val="18"/>
                <w:szCs w:val="18"/>
              </w:rPr>
            </w:pPr>
            <w:bookmarkStart w:id="2" w:name="OLE_LINK1" w:colFirst="2" w:colLast="7"/>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E3C4A">
            <w:pPr>
              <w:widowControl/>
              <w:spacing w:line="300" w:lineRule="exact"/>
              <w:jc w:val="center"/>
              <w:rPr>
                <w:rFonts w:eastAsia="宋体"/>
                <w:color w:val="000000"/>
                <w:sz w:val="18"/>
                <w:szCs w:val="18"/>
              </w:rPr>
            </w:pPr>
          </w:p>
        </w:tc>
        <w:tc>
          <w:tcPr>
            <w:tcW w:w="1020" w:type="dxa"/>
            <w:vMerge w:val="restart"/>
            <w:tcBorders>
              <w:top w:val="single" w:color="000000" w:sz="4" w:space="0"/>
              <w:left w:val="single" w:color="000000" w:sz="4" w:space="0"/>
              <w:right w:val="single" w:color="000000" w:sz="4" w:space="0"/>
            </w:tcBorders>
            <w:shd w:val="clear" w:color="auto" w:fill="auto"/>
            <w:vAlign w:val="center"/>
          </w:tcPr>
          <w:p w14:paraId="3EA15D3D">
            <w:pPr>
              <w:widowControl/>
              <w:spacing w:line="300" w:lineRule="exact"/>
              <w:jc w:val="center"/>
              <w:textAlignment w:val="center"/>
              <w:rPr>
                <w:rFonts w:eastAsia="宋体"/>
                <w:color w:val="000000"/>
                <w:sz w:val="18"/>
                <w:szCs w:val="18"/>
              </w:rPr>
            </w:pPr>
            <w:r>
              <w:rPr>
                <w:rFonts w:hint="eastAsia" w:eastAsia="宋体"/>
                <w:color w:val="000000"/>
                <w:kern w:val="0"/>
                <w:sz w:val="18"/>
                <w:szCs w:val="18"/>
                <w:lang w:val="en-US" w:eastAsia="zh-CN" w:bidi="ar"/>
              </w:rPr>
              <w:t>成本指标</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F667">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基本支出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A878">
            <w:pPr>
              <w:widowControl/>
              <w:spacing w:line="300" w:lineRule="exact"/>
              <w:jc w:val="left"/>
              <w:rPr>
                <w:rFonts w:hint="default" w:eastAsia="宋体"/>
                <w:color w:val="000000"/>
                <w:kern w:val="0"/>
                <w:sz w:val="18"/>
                <w:szCs w:val="18"/>
                <w:lang w:val="en-US" w:eastAsia="zh-CN" w:bidi="ar"/>
              </w:rPr>
            </w:pPr>
            <w:r>
              <w:rPr>
                <w:rFonts w:hint="eastAsia" w:eastAsia="宋体"/>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541D">
            <w:pPr>
              <w:widowControl/>
              <w:spacing w:line="300" w:lineRule="exact"/>
              <w:jc w:val="left"/>
              <w:rPr>
                <w:rFonts w:hint="default" w:eastAsia="宋体"/>
                <w:color w:val="000000"/>
                <w:kern w:val="0"/>
                <w:sz w:val="18"/>
                <w:szCs w:val="18"/>
                <w:lang w:val="en-US" w:eastAsia="zh-CN" w:bidi="ar"/>
              </w:rPr>
            </w:pPr>
            <w:r>
              <w:rPr>
                <w:rFonts w:hint="eastAsia" w:eastAsia="宋体"/>
                <w:color w:val="000000"/>
                <w:kern w:val="0"/>
                <w:sz w:val="18"/>
                <w:szCs w:val="18"/>
                <w:lang w:val="en-US" w:eastAsia="zh-CN" w:bidi="ar"/>
              </w:rPr>
              <w:t>541.24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D01A">
            <w:pPr>
              <w:widowControl/>
              <w:spacing w:line="300" w:lineRule="exact"/>
              <w:jc w:val="left"/>
              <w:rPr>
                <w:rFonts w:hint="eastAsia" w:eastAsia="宋体"/>
                <w:color w:val="000000"/>
                <w:kern w:val="0"/>
                <w:sz w:val="18"/>
                <w:szCs w:val="18"/>
                <w:lang w:eastAsia="zh-CN" w:bidi="ar"/>
              </w:rPr>
            </w:pPr>
            <w:r>
              <w:rPr>
                <w:rFonts w:hint="eastAsia" w:eastAsia="宋体"/>
                <w:color w:val="000000"/>
                <w:kern w:val="0"/>
                <w:sz w:val="18"/>
                <w:szCs w:val="18"/>
                <w:lang w:eastAsia="zh-CN" w:bidi="ar"/>
              </w:rPr>
              <w:t>万元</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D81D">
            <w:pPr>
              <w:widowControl/>
              <w:spacing w:line="300" w:lineRule="exact"/>
              <w:jc w:val="center"/>
              <w:rPr>
                <w:rFonts w:hint="default" w:eastAsia="宋体"/>
                <w:color w:val="000000"/>
                <w:sz w:val="18"/>
                <w:szCs w:val="18"/>
                <w:lang w:val="en-US" w:eastAsia="zh-CN"/>
              </w:rPr>
            </w:pPr>
            <w:r>
              <w:rPr>
                <w:rFonts w:hint="eastAsia" w:eastAsia="宋体"/>
                <w:color w:val="000000"/>
                <w:sz w:val="18"/>
                <w:szCs w:val="18"/>
                <w:lang w:val="en-US" w:eastAsia="zh-CN"/>
              </w:rPr>
              <w:t>541.24</w:t>
            </w:r>
          </w:p>
        </w:tc>
      </w:tr>
      <w:tr w14:paraId="63CC9B5C">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2064B">
            <w:pPr>
              <w:widowControl/>
              <w:spacing w:line="300" w:lineRule="exact"/>
              <w:jc w:val="center"/>
              <w:rPr>
                <w:rFonts w:eastAsia="宋体"/>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F1786">
            <w:pPr>
              <w:widowControl/>
              <w:spacing w:line="300" w:lineRule="exact"/>
              <w:jc w:val="center"/>
              <w:rPr>
                <w:rFonts w:eastAsia="宋体"/>
                <w:color w:val="000000"/>
                <w:sz w:val="18"/>
                <w:szCs w:val="18"/>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14:paraId="394FC5F3">
            <w:pPr>
              <w:widowControl/>
              <w:spacing w:line="300" w:lineRule="exact"/>
              <w:jc w:val="center"/>
              <w:textAlignment w:val="center"/>
              <w:rPr>
                <w:rFonts w:eastAsia="宋体"/>
                <w:color w:val="000000"/>
                <w:sz w:val="18"/>
                <w:szCs w:val="18"/>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640B">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项目支出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EDDA">
            <w:pPr>
              <w:widowControl/>
              <w:spacing w:line="300" w:lineRule="exact"/>
              <w:jc w:val="left"/>
              <w:rPr>
                <w:rFonts w:hint="eastAsia" w:eastAsia="宋体"/>
                <w:color w:val="000000"/>
                <w:sz w:val="18"/>
                <w:szCs w:val="18"/>
                <w:lang w:val="en-US" w:eastAsia="zh-CN"/>
              </w:rPr>
            </w:pPr>
            <w:r>
              <w:rPr>
                <w:rFonts w:hint="eastAsia" w:eastAsia="宋体"/>
                <w:color w:val="000000"/>
                <w:sz w:val="18"/>
                <w:szCs w:val="18"/>
                <w:lang w:val="en-US" w:eastAsia="zh-CN"/>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7773">
            <w:pPr>
              <w:widowControl/>
              <w:spacing w:line="300" w:lineRule="exact"/>
              <w:jc w:val="left"/>
              <w:rPr>
                <w:rFonts w:hint="default" w:eastAsia="宋体"/>
                <w:color w:val="000000"/>
                <w:sz w:val="18"/>
                <w:szCs w:val="18"/>
                <w:lang w:val="en-US" w:eastAsia="zh-CN"/>
              </w:rPr>
            </w:pPr>
            <w:r>
              <w:rPr>
                <w:rFonts w:hint="eastAsia" w:eastAsia="宋体"/>
                <w:color w:val="000000"/>
                <w:sz w:val="18"/>
                <w:szCs w:val="18"/>
                <w:lang w:val="en-US" w:eastAsia="zh-CN"/>
              </w:rPr>
              <w:t>185.88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81C0">
            <w:pPr>
              <w:widowControl/>
              <w:spacing w:line="300" w:lineRule="exact"/>
              <w:jc w:val="left"/>
              <w:rPr>
                <w:rFonts w:eastAsia="宋体"/>
                <w:color w:val="000000"/>
                <w:sz w:val="18"/>
                <w:szCs w:val="18"/>
              </w:rPr>
            </w:pPr>
            <w:r>
              <w:rPr>
                <w:rFonts w:hint="eastAsia" w:eastAsia="宋体"/>
                <w:color w:val="000000"/>
                <w:kern w:val="0"/>
                <w:sz w:val="18"/>
                <w:szCs w:val="18"/>
                <w:lang w:eastAsia="zh-CN" w:bidi="ar"/>
              </w:rPr>
              <w:t>万元</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0400">
            <w:pPr>
              <w:widowControl/>
              <w:spacing w:line="300" w:lineRule="exact"/>
              <w:jc w:val="center"/>
              <w:rPr>
                <w:rFonts w:hint="default" w:eastAsia="宋体"/>
                <w:color w:val="000000"/>
                <w:sz w:val="18"/>
                <w:szCs w:val="18"/>
                <w:lang w:val="en-US" w:eastAsia="zh-CN"/>
              </w:rPr>
            </w:pPr>
            <w:r>
              <w:rPr>
                <w:rFonts w:hint="eastAsia" w:eastAsia="宋体"/>
                <w:color w:val="000000"/>
                <w:sz w:val="18"/>
                <w:szCs w:val="18"/>
                <w:lang w:val="en-US" w:eastAsia="zh-CN"/>
              </w:rPr>
              <w:t>185.88</w:t>
            </w:r>
          </w:p>
        </w:tc>
      </w:tr>
      <w:bookmarkEnd w:id="2"/>
      <w:tr w14:paraId="1F943C7D">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3DA22">
            <w:pPr>
              <w:widowControl/>
              <w:spacing w:line="300" w:lineRule="exact"/>
              <w:jc w:val="center"/>
              <w:rPr>
                <w:rFonts w:eastAsia="宋体"/>
                <w:color w:val="000000"/>
                <w:sz w:val="18"/>
                <w:szCs w:val="18"/>
              </w:rPr>
            </w:pPr>
          </w:p>
        </w:tc>
        <w:tc>
          <w:tcPr>
            <w:tcW w:w="883" w:type="dxa"/>
            <w:vMerge w:val="restart"/>
            <w:tcBorders>
              <w:top w:val="single" w:color="000000" w:sz="4" w:space="0"/>
              <w:left w:val="single" w:color="000000" w:sz="4" w:space="0"/>
              <w:right w:val="single" w:color="000000" w:sz="4" w:space="0"/>
            </w:tcBorders>
            <w:shd w:val="clear" w:color="auto" w:fill="auto"/>
            <w:vAlign w:val="center"/>
          </w:tcPr>
          <w:p w14:paraId="7835F2DD">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效益指标</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14:paraId="5A9E925F">
            <w:pPr>
              <w:widowControl/>
              <w:spacing w:line="300" w:lineRule="exact"/>
              <w:jc w:val="center"/>
              <w:textAlignment w:val="center"/>
              <w:rPr>
                <w:rFonts w:eastAsia="宋体"/>
                <w:color w:val="000000"/>
                <w:kern w:val="0"/>
                <w:sz w:val="18"/>
                <w:szCs w:val="18"/>
                <w:lang w:bidi="ar"/>
              </w:rPr>
            </w:pPr>
            <w:r>
              <w:rPr>
                <w:rFonts w:eastAsia="宋体"/>
                <w:color w:val="000000"/>
                <w:kern w:val="0"/>
                <w:sz w:val="18"/>
                <w:szCs w:val="18"/>
                <w:lang w:bidi="ar"/>
              </w:rPr>
              <w:t>社会效益</w:t>
            </w:r>
          </w:p>
          <w:p w14:paraId="6B092E27">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指标</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BC5">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基本支出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065">
            <w:pPr>
              <w:widowControl/>
              <w:spacing w:line="300" w:lineRule="exact"/>
              <w:jc w:val="left"/>
              <w:rPr>
                <w:rFonts w:eastAsia="宋体"/>
                <w:color w:val="000000"/>
                <w:sz w:val="18"/>
                <w:szCs w:val="18"/>
              </w:rPr>
            </w:pPr>
            <w:r>
              <w:rPr>
                <w:rFonts w:hint="eastAsia" w:eastAsia="宋体"/>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A300">
            <w:pPr>
              <w:widowControl/>
              <w:spacing w:line="300" w:lineRule="exact"/>
              <w:jc w:val="both"/>
              <w:rPr>
                <w:rFonts w:eastAsia="宋体"/>
                <w:color w:val="000000"/>
                <w:sz w:val="18"/>
                <w:szCs w:val="18"/>
              </w:rPr>
            </w:pPr>
            <w:r>
              <w:rPr>
                <w:rFonts w:hint="eastAsia" w:eastAsia="宋体"/>
                <w:color w:val="000000"/>
                <w:sz w:val="18"/>
                <w:szCs w:val="18"/>
              </w:rPr>
              <w:t>保证</w:t>
            </w:r>
            <w:r>
              <w:rPr>
                <w:rFonts w:hint="eastAsia" w:eastAsia="宋体"/>
                <w:color w:val="000000"/>
                <w:sz w:val="18"/>
                <w:szCs w:val="18"/>
                <w:lang w:eastAsia="zh-CN"/>
              </w:rPr>
              <w:t>单位</w:t>
            </w:r>
            <w:r>
              <w:rPr>
                <w:rFonts w:hint="eastAsia" w:eastAsia="宋体"/>
                <w:color w:val="000000"/>
                <w:sz w:val="18"/>
                <w:szCs w:val="18"/>
              </w:rPr>
              <w:t>正常运行，确保完成年度职能目标任务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D928">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项</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87CF">
            <w:pPr>
              <w:widowControl/>
              <w:spacing w:line="300" w:lineRule="exact"/>
              <w:jc w:val="both"/>
              <w:rPr>
                <w:rFonts w:eastAsia="宋体"/>
                <w:color w:val="000000"/>
                <w:sz w:val="18"/>
                <w:szCs w:val="18"/>
              </w:rPr>
            </w:pPr>
            <w:r>
              <w:rPr>
                <w:rFonts w:hint="eastAsia" w:eastAsia="宋体"/>
                <w:color w:val="000000"/>
                <w:sz w:val="18"/>
                <w:szCs w:val="18"/>
              </w:rPr>
              <w:t>保证</w:t>
            </w:r>
            <w:r>
              <w:rPr>
                <w:rFonts w:hint="eastAsia" w:eastAsia="宋体"/>
                <w:color w:val="000000"/>
                <w:sz w:val="18"/>
                <w:szCs w:val="18"/>
                <w:lang w:eastAsia="zh-CN"/>
              </w:rPr>
              <w:t>单位</w:t>
            </w:r>
            <w:r>
              <w:rPr>
                <w:rFonts w:hint="eastAsia" w:eastAsia="宋体"/>
                <w:color w:val="000000"/>
                <w:sz w:val="18"/>
                <w:szCs w:val="18"/>
              </w:rPr>
              <w:t>正常运行，确保完成年度职能目标任务</w:t>
            </w:r>
          </w:p>
        </w:tc>
      </w:tr>
      <w:tr w14:paraId="52EDCCA5">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D8DA">
            <w:pPr>
              <w:widowControl/>
              <w:spacing w:line="300" w:lineRule="exact"/>
              <w:jc w:val="center"/>
              <w:rPr>
                <w:rFonts w:eastAsia="宋体"/>
                <w:color w:val="000000"/>
                <w:sz w:val="18"/>
                <w:szCs w:val="18"/>
              </w:rPr>
            </w:pPr>
          </w:p>
        </w:tc>
        <w:tc>
          <w:tcPr>
            <w:tcW w:w="883" w:type="dxa"/>
            <w:vMerge w:val="continue"/>
            <w:tcBorders>
              <w:left w:val="single" w:color="000000" w:sz="4" w:space="0"/>
              <w:right w:val="single" w:color="000000" w:sz="4" w:space="0"/>
            </w:tcBorders>
            <w:shd w:val="clear" w:color="auto" w:fill="auto"/>
            <w:vAlign w:val="center"/>
          </w:tcPr>
          <w:p w14:paraId="31B06B86">
            <w:pPr>
              <w:widowControl/>
              <w:spacing w:line="300" w:lineRule="exact"/>
              <w:jc w:val="center"/>
              <w:textAlignment w:val="center"/>
              <w:rPr>
                <w:rFonts w:eastAsia="宋体"/>
                <w:color w:val="000000"/>
                <w:kern w:val="0"/>
                <w:sz w:val="18"/>
                <w:szCs w:val="18"/>
                <w:lang w:bidi="ar"/>
              </w:rPr>
            </w:pPr>
          </w:p>
        </w:tc>
        <w:tc>
          <w:tcPr>
            <w:tcW w:w="1020" w:type="dxa"/>
            <w:vMerge w:val="continue"/>
            <w:tcBorders>
              <w:left w:val="single" w:color="000000" w:sz="4" w:space="0"/>
              <w:right w:val="single" w:color="000000" w:sz="4" w:space="0"/>
            </w:tcBorders>
            <w:shd w:val="clear" w:color="auto" w:fill="auto"/>
            <w:vAlign w:val="center"/>
          </w:tcPr>
          <w:p w14:paraId="31AD1725">
            <w:pPr>
              <w:widowControl/>
              <w:spacing w:line="300" w:lineRule="exact"/>
              <w:jc w:val="center"/>
              <w:textAlignment w:val="center"/>
              <w:rPr>
                <w:rFonts w:eastAsia="宋体"/>
                <w:color w:val="000000"/>
                <w:kern w:val="0"/>
                <w:sz w:val="18"/>
                <w:szCs w:val="18"/>
                <w:lang w:bidi="ar"/>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9B3A">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项目支出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EEE6">
            <w:pPr>
              <w:widowControl/>
              <w:spacing w:line="300" w:lineRule="exact"/>
              <w:jc w:val="left"/>
              <w:rPr>
                <w:rFonts w:hint="default" w:eastAsia="宋体"/>
                <w:color w:val="000000"/>
                <w:kern w:val="0"/>
                <w:sz w:val="18"/>
                <w:szCs w:val="18"/>
                <w:lang w:val="en-US" w:eastAsia="zh-CN" w:bidi="ar"/>
              </w:rPr>
            </w:pPr>
            <w:r>
              <w:rPr>
                <w:rFonts w:hint="eastAsia" w:eastAsia="宋体"/>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A1A0">
            <w:pPr>
              <w:widowControl/>
              <w:spacing w:line="300" w:lineRule="exact"/>
              <w:jc w:val="left"/>
              <w:rPr>
                <w:rFonts w:hint="default" w:eastAsia="宋体"/>
                <w:color w:val="000000"/>
                <w:kern w:val="0"/>
                <w:sz w:val="18"/>
                <w:szCs w:val="18"/>
                <w:lang w:val="en-US" w:eastAsia="zh-CN" w:bidi="ar"/>
              </w:rPr>
            </w:pPr>
            <w:r>
              <w:rPr>
                <w:rFonts w:hint="eastAsia" w:eastAsia="宋体"/>
                <w:color w:val="000000"/>
                <w:kern w:val="0"/>
                <w:sz w:val="18"/>
                <w:szCs w:val="18"/>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AB29">
            <w:pPr>
              <w:widowControl/>
              <w:spacing w:line="300" w:lineRule="exact"/>
              <w:jc w:val="left"/>
              <w:rPr>
                <w:rFonts w:hint="eastAsia" w:eastAsia="宋体"/>
                <w:color w:val="000000"/>
                <w:sz w:val="18"/>
                <w:szCs w:val="18"/>
                <w:lang w:eastAsia="zh-CN"/>
              </w:rPr>
            </w:pPr>
            <w:r>
              <w:rPr>
                <w:rFonts w:hint="eastAsia" w:eastAsia="宋体"/>
                <w:color w:val="000000"/>
                <w:sz w:val="18"/>
                <w:szCs w:val="18"/>
                <w:lang w:eastAsia="zh-CN"/>
              </w:rPr>
              <w:t>项</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84F5">
            <w:pPr>
              <w:widowControl/>
              <w:spacing w:line="300" w:lineRule="exact"/>
              <w:jc w:val="both"/>
              <w:rPr>
                <w:rFonts w:hint="eastAsia" w:eastAsia="宋体"/>
                <w:color w:val="000000"/>
                <w:sz w:val="18"/>
                <w:szCs w:val="18"/>
              </w:rPr>
            </w:pPr>
            <w:r>
              <w:rPr>
                <w:rFonts w:hint="eastAsia" w:eastAsia="宋体"/>
                <w:color w:val="000000"/>
                <w:kern w:val="0"/>
                <w:sz w:val="18"/>
                <w:szCs w:val="18"/>
                <w:lang w:bidi="ar"/>
              </w:rPr>
              <w:t>全面做好办文办会、文化服务、新闻宣传报道、公益电影放映、创文宣传等各项工作</w:t>
            </w:r>
          </w:p>
        </w:tc>
      </w:tr>
      <w:tr w14:paraId="1E2A391B">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D3F1">
            <w:pPr>
              <w:widowControl/>
              <w:spacing w:line="300" w:lineRule="exact"/>
              <w:jc w:val="center"/>
              <w:rPr>
                <w:rFonts w:eastAsia="宋体"/>
                <w:color w:val="000000"/>
                <w:sz w:val="18"/>
                <w:szCs w:val="18"/>
              </w:rPr>
            </w:pPr>
          </w:p>
        </w:tc>
        <w:tc>
          <w:tcPr>
            <w:tcW w:w="883" w:type="dxa"/>
            <w:vMerge w:val="restart"/>
            <w:tcBorders>
              <w:top w:val="single" w:color="000000" w:sz="4" w:space="0"/>
              <w:left w:val="single" w:color="000000" w:sz="4" w:space="0"/>
              <w:right w:val="single" w:color="000000" w:sz="4" w:space="0"/>
            </w:tcBorders>
            <w:shd w:val="clear" w:color="auto" w:fill="auto"/>
            <w:vAlign w:val="center"/>
          </w:tcPr>
          <w:p w14:paraId="0B71A06E">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满意度指标</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14:paraId="679CEED5">
            <w:pPr>
              <w:widowControl/>
              <w:spacing w:line="300" w:lineRule="exact"/>
              <w:jc w:val="center"/>
              <w:textAlignment w:val="center"/>
              <w:rPr>
                <w:rFonts w:eastAsia="宋体"/>
                <w:color w:val="000000"/>
                <w:sz w:val="18"/>
                <w:szCs w:val="18"/>
              </w:rPr>
            </w:pPr>
            <w:r>
              <w:rPr>
                <w:rFonts w:eastAsia="宋体"/>
                <w:color w:val="000000"/>
                <w:kern w:val="0"/>
                <w:sz w:val="18"/>
                <w:szCs w:val="18"/>
                <w:lang w:bidi="ar"/>
              </w:rPr>
              <w:t>满意度指标</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top"/>
          </w:tcPr>
          <w:p w14:paraId="55502E99">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服务对象满意度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top"/>
          </w:tcPr>
          <w:p w14:paraId="5768FAAF">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32ADAD9D">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top"/>
          </w:tcPr>
          <w:p w14:paraId="50812102">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14:paraId="0B559AAC">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en-US" w:bidi="ar"/>
              </w:rPr>
            </w:pPr>
            <w:r>
              <w:rPr>
                <w:rFonts w:ascii="Times New Roman" w:hAnsi="Times New Roman" w:eastAsia="宋体" w:cs="Times New Roman"/>
                <w:color w:val="000000"/>
                <w:kern w:val="0"/>
                <w:sz w:val="18"/>
                <w:szCs w:val="18"/>
                <w:lang w:val="en-US" w:eastAsia="zh-CN" w:bidi="ar"/>
              </w:rPr>
              <w:t>95%</w:t>
            </w:r>
          </w:p>
        </w:tc>
      </w:tr>
      <w:tr w14:paraId="5674B274">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D3FE8">
            <w:pPr>
              <w:widowControl/>
              <w:spacing w:line="300" w:lineRule="exact"/>
              <w:jc w:val="center"/>
              <w:rPr>
                <w:rFonts w:eastAsia="宋体"/>
                <w:color w:val="000000"/>
                <w:sz w:val="18"/>
                <w:szCs w:val="18"/>
              </w:rPr>
            </w:pPr>
          </w:p>
        </w:tc>
        <w:tc>
          <w:tcPr>
            <w:tcW w:w="883" w:type="dxa"/>
            <w:vMerge w:val="continue"/>
            <w:tcBorders>
              <w:left w:val="single" w:color="000000" w:sz="4" w:space="0"/>
              <w:right w:val="single" w:color="000000" w:sz="4" w:space="0"/>
            </w:tcBorders>
            <w:shd w:val="clear" w:color="auto" w:fill="auto"/>
            <w:vAlign w:val="center"/>
          </w:tcPr>
          <w:p w14:paraId="5FB4B97E">
            <w:pPr>
              <w:widowControl/>
              <w:spacing w:line="300" w:lineRule="exact"/>
              <w:jc w:val="center"/>
              <w:textAlignment w:val="center"/>
              <w:rPr>
                <w:rFonts w:eastAsia="宋体"/>
                <w:color w:val="000000"/>
                <w:kern w:val="0"/>
                <w:sz w:val="18"/>
                <w:szCs w:val="18"/>
                <w:lang w:bidi="ar"/>
              </w:rPr>
            </w:pPr>
          </w:p>
        </w:tc>
        <w:tc>
          <w:tcPr>
            <w:tcW w:w="1020" w:type="dxa"/>
            <w:vMerge w:val="continue"/>
            <w:tcBorders>
              <w:left w:val="single" w:color="000000" w:sz="4" w:space="0"/>
              <w:right w:val="single" w:color="000000" w:sz="4" w:space="0"/>
            </w:tcBorders>
            <w:shd w:val="clear" w:color="auto" w:fill="auto"/>
            <w:vAlign w:val="center"/>
          </w:tcPr>
          <w:p w14:paraId="3BF72312">
            <w:pPr>
              <w:widowControl/>
              <w:spacing w:line="300" w:lineRule="exact"/>
              <w:jc w:val="center"/>
              <w:textAlignment w:val="center"/>
              <w:rPr>
                <w:rFonts w:eastAsia="宋体"/>
                <w:color w:val="000000"/>
                <w:kern w:val="0"/>
                <w:sz w:val="18"/>
                <w:szCs w:val="18"/>
                <w:lang w:bidi="ar"/>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top"/>
          </w:tcPr>
          <w:p w14:paraId="49FBBBD4">
            <w:pPr>
              <w:pStyle w:val="30"/>
              <w:spacing w:before="54" w:line="219" w:lineRule="auto"/>
              <w:ind w:left="13"/>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区级各部门满意度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top"/>
          </w:tcPr>
          <w:p w14:paraId="476CCFA1">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3C85532">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top"/>
          </w:tcPr>
          <w:p w14:paraId="6965CBC9">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14:paraId="3166661F">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en-US" w:bidi="ar"/>
              </w:rPr>
            </w:pPr>
            <w:r>
              <w:rPr>
                <w:rFonts w:ascii="Times New Roman" w:hAnsi="Times New Roman" w:eastAsia="宋体" w:cs="Times New Roman"/>
                <w:color w:val="000000"/>
                <w:kern w:val="0"/>
                <w:sz w:val="18"/>
                <w:szCs w:val="18"/>
                <w:lang w:val="en-US" w:eastAsia="zh-CN" w:bidi="ar"/>
              </w:rPr>
              <w:t>95%</w:t>
            </w:r>
          </w:p>
        </w:tc>
      </w:tr>
      <w:tr w14:paraId="72FC43B0">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D2F5A">
            <w:pPr>
              <w:widowControl/>
              <w:spacing w:line="300" w:lineRule="exact"/>
              <w:jc w:val="center"/>
              <w:rPr>
                <w:rFonts w:eastAsia="宋体"/>
                <w:color w:val="000000"/>
                <w:sz w:val="18"/>
                <w:szCs w:val="18"/>
              </w:rPr>
            </w:pPr>
          </w:p>
        </w:tc>
        <w:tc>
          <w:tcPr>
            <w:tcW w:w="883" w:type="dxa"/>
            <w:vMerge w:val="continue"/>
            <w:tcBorders>
              <w:left w:val="single" w:color="000000" w:sz="4" w:space="0"/>
              <w:right w:val="single" w:color="000000" w:sz="4" w:space="0"/>
            </w:tcBorders>
            <w:shd w:val="clear" w:color="auto" w:fill="auto"/>
            <w:vAlign w:val="center"/>
          </w:tcPr>
          <w:p w14:paraId="09A32334">
            <w:pPr>
              <w:widowControl/>
              <w:spacing w:line="300" w:lineRule="exact"/>
              <w:jc w:val="center"/>
              <w:textAlignment w:val="center"/>
              <w:rPr>
                <w:rFonts w:eastAsia="宋体"/>
                <w:color w:val="000000"/>
                <w:kern w:val="0"/>
                <w:sz w:val="18"/>
                <w:szCs w:val="18"/>
                <w:lang w:bidi="ar"/>
              </w:rPr>
            </w:pPr>
          </w:p>
        </w:tc>
        <w:tc>
          <w:tcPr>
            <w:tcW w:w="1020" w:type="dxa"/>
            <w:vMerge w:val="continue"/>
            <w:tcBorders>
              <w:left w:val="single" w:color="000000" w:sz="4" w:space="0"/>
              <w:right w:val="single" w:color="000000" w:sz="4" w:space="0"/>
            </w:tcBorders>
            <w:shd w:val="clear" w:color="auto" w:fill="auto"/>
            <w:vAlign w:val="center"/>
          </w:tcPr>
          <w:p w14:paraId="5F869864">
            <w:pPr>
              <w:widowControl/>
              <w:spacing w:line="300" w:lineRule="exact"/>
              <w:jc w:val="center"/>
              <w:textAlignment w:val="center"/>
              <w:rPr>
                <w:rFonts w:eastAsia="宋体"/>
                <w:color w:val="000000"/>
                <w:kern w:val="0"/>
                <w:sz w:val="18"/>
                <w:szCs w:val="18"/>
                <w:lang w:bidi="ar"/>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B9A95">
            <w:pPr>
              <w:pStyle w:val="30"/>
              <w:spacing w:before="53" w:line="205" w:lineRule="auto"/>
              <w:ind w:left="13" w:leftChars="0" w:right="48" w:rightChars="0"/>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工作人员</w:t>
            </w:r>
            <w:r>
              <w:rPr>
                <w:rFonts w:ascii="Times New Roman" w:hAnsi="Times New Roman" w:eastAsia="宋体" w:cs="Times New Roman"/>
                <w:color w:val="000000"/>
                <w:kern w:val="0"/>
                <w:sz w:val="18"/>
                <w:szCs w:val="18"/>
                <w:lang w:val="en-US" w:eastAsia="zh-CN" w:bidi="ar"/>
              </w:rPr>
              <w:t>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top"/>
          </w:tcPr>
          <w:p w14:paraId="60308249">
            <w:pPr>
              <w:pStyle w:val="30"/>
              <w:spacing w:before="52" w:line="209" w:lineRule="auto"/>
              <w:ind w:left="13" w:leftChars="0" w:right="54" w:rightChars="0"/>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0D70D85E">
            <w:pPr>
              <w:pStyle w:val="30"/>
              <w:spacing w:before="52" w:line="209" w:lineRule="auto"/>
              <w:ind w:left="13" w:leftChars="0" w:right="54" w:rightChars="0"/>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top"/>
          </w:tcPr>
          <w:p w14:paraId="511062DB">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14:paraId="6BB6A6B8">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en-US" w:bidi="ar"/>
              </w:rPr>
            </w:pPr>
            <w:r>
              <w:rPr>
                <w:rFonts w:ascii="Times New Roman" w:hAnsi="Times New Roman" w:eastAsia="宋体" w:cs="Times New Roman"/>
                <w:color w:val="000000"/>
                <w:kern w:val="0"/>
                <w:sz w:val="18"/>
                <w:szCs w:val="18"/>
                <w:lang w:val="en-US" w:eastAsia="zh-CN" w:bidi="ar"/>
              </w:rPr>
              <w:t>100%</w:t>
            </w:r>
          </w:p>
        </w:tc>
      </w:tr>
      <w:tr w14:paraId="3FB12F55">
        <w:tblPrEx>
          <w:tblCellMar>
            <w:top w:w="15" w:type="dxa"/>
            <w:left w:w="15" w:type="dxa"/>
            <w:bottom w:w="15" w:type="dxa"/>
            <w:right w:w="15" w:type="dxa"/>
          </w:tblCellMar>
        </w:tblPrEx>
        <w:trPr>
          <w:trHeight w:val="23"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3C36">
            <w:pPr>
              <w:widowControl/>
              <w:spacing w:line="300" w:lineRule="exact"/>
              <w:jc w:val="center"/>
              <w:rPr>
                <w:rFonts w:eastAsia="宋体"/>
                <w:color w:val="000000"/>
                <w:sz w:val="18"/>
                <w:szCs w:val="18"/>
              </w:rPr>
            </w:pPr>
          </w:p>
        </w:tc>
        <w:tc>
          <w:tcPr>
            <w:tcW w:w="883" w:type="dxa"/>
            <w:vMerge w:val="continue"/>
            <w:tcBorders>
              <w:left w:val="single" w:color="000000" w:sz="4" w:space="0"/>
              <w:right w:val="single" w:color="000000" w:sz="4" w:space="0"/>
            </w:tcBorders>
            <w:shd w:val="clear" w:color="auto" w:fill="auto"/>
            <w:vAlign w:val="center"/>
          </w:tcPr>
          <w:p w14:paraId="2089FE2A">
            <w:pPr>
              <w:widowControl/>
              <w:spacing w:line="300" w:lineRule="exact"/>
              <w:jc w:val="center"/>
              <w:textAlignment w:val="center"/>
              <w:rPr>
                <w:rFonts w:eastAsia="宋体"/>
                <w:color w:val="000000"/>
                <w:kern w:val="0"/>
                <w:sz w:val="18"/>
                <w:szCs w:val="18"/>
                <w:lang w:bidi="ar"/>
              </w:rPr>
            </w:pPr>
          </w:p>
        </w:tc>
        <w:tc>
          <w:tcPr>
            <w:tcW w:w="1020" w:type="dxa"/>
            <w:vMerge w:val="continue"/>
            <w:tcBorders>
              <w:left w:val="single" w:color="000000" w:sz="4" w:space="0"/>
              <w:right w:val="single" w:color="000000" w:sz="4" w:space="0"/>
            </w:tcBorders>
            <w:shd w:val="clear" w:color="auto" w:fill="auto"/>
            <w:vAlign w:val="center"/>
          </w:tcPr>
          <w:p w14:paraId="70EF3098">
            <w:pPr>
              <w:widowControl/>
              <w:spacing w:line="300" w:lineRule="exact"/>
              <w:jc w:val="center"/>
              <w:textAlignment w:val="center"/>
              <w:rPr>
                <w:rFonts w:eastAsia="宋体"/>
                <w:color w:val="000000"/>
                <w:kern w:val="0"/>
                <w:sz w:val="18"/>
                <w:szCs w:val="18"/>
                <w:lang w:bidi="ar"/>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top"/>
          </w:tcPr>
          <w:p w14:paraId="372840C9">
            <w:pPr>
              <w:pStyle w:val="30"/>
              <w:spacing w:before="66" w:line="214" w:lineRule="auto"/>
              <w:ind w:left="13"/>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监察单位满意度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top"/>
          </w:tcPr>
          <w:p w14:paraId="3A697406">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4DAE5876">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top"/>
          </w:tcPr>
          <w:p w14:paraId="0D135787">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14:paraId="5BABFB09">
            <w:pPr>
              <w:pStyle w:val="30"/>
              <w:spacing w:before="52" w:line="209" w:lineRule="auto"/>
              <w:ind w:left="13" w:leftChars="0" w:right="54" w:rightChars="0"/>
              <w:rPr>
                <w:rFonts w:hint="eastAsia" w:ascii="Times New Roman" w:hAnsi="Times New Roman" w:eastAsia="宋体" w:cs="Times New Roman"/>
                <w:color w:val="000000"/>
                <w:kern w:val="0"/>
                <w:sz w:val="18"/>
                <w:szCs w:val="18"/>
                <w:lang w:val="en-US" w:eastAsia="en-US" w:bidi="ar"/>
              </w:rPr>
            </w:pPr>
            <w:r>
              <w:rPr>
                <w:rFonts w:ascii="Times New Roman" w:hAnsi="Times New Roman" w:eastAsia="宋体" w:cs="Times New Roman"/>
                <w:color w:val="000000"/>
                <w:kern w:val="0"/>
                <w:sz w:val="18"/>
                <w:szCs w:val="18"/>
                <w:lang w:val="en-US" w:eastAsia="zh-CN" w:bidi="ar"/>
              </w:rPr>
              <w:t>100%</w:t>
            </w:r>
          </w:p>
        </w:tc>
      </w:tr>
      <w:tr w14:paraId="1ECE08EF">
        <w:tblPrEx>
          <w:tblCellMar>
            <w:top w:w="15" w:type="dxa"/>
            <w:left w:w="15" w:type="dxa"/>
            <w:bottom w:w="15" w:type="dxa"/>
            <w:right w:w="15" w:type="dxa"/>
          </w:tblCellMar>
        </w:tblPrEx>
        <w:trPr>
          <w:trHeight w:val="668" w:hRule="atLeast"/>
          <w:jc w:val="center"/>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DE014">
            <w:pPr>
              <w:widowControl/>
              <w:spacing w:line="300" w:lineRule="exact"/>
              <w:jc w:val="center"/>
              <w:rPr>
                <w:rFonts w:eastAsia="宋体"/>
                <w:color w:val="000000"/>
                <w:sz w:val="18"/>
                <w:szCs w:val="18"/>
              </w:rPr>
            </w:pPr>
          </w:p>
        </w:tc>
        <w:tc>
          <w:tcPr>
            <w:tcW w:w="883" w:type="dxa"/>
            <w:vMerge w:val="continue"/>
            <w:tcBorders>
              <w:left w:val="single" w:color="000000" w:sz="4" w:space="0"/>
              <w:bottom w:val="single" w:color="000000" w:sz="4" w:space="0"/>
              <w:right w:val="single" w:color="000000" w:sz="4" w:space="0"/>
            </w:tcBorders>
            <w:shd w:val="clear" w:color="auto" w:fill="auto"/>
            <w:vAlign w:val="center"/>
          </w:tcPr>
          <w:p w14:paraId="6AE7CAF9">
            <w:pPr>
              <w:widowControl/>
              <w:spacing w:line="300" w:lineRule="exact"/>
              <w:jc w:val="center"/>
              <w:textAlignment w:val="center"/>
              <w:rPr>
                <w:rFonts w:eastAsia="宋体"/>
                <w:color w:val="000000"/>
                <w:sz w:val="18"/>
                <w:szCs w:val="18"/>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14:paraId="71C82A9E">
            <w:pPr>
              <w:widowControl/>
              <w:spacing w:line="300" w:lineRule="exact"/>
              <w:jc w:val="center"/>
              <w:textAlignment w:val="center"/>
              <w:rPr>
                <w:rFonts w:eastAsia="宋体"/>
                <w:color w:val="000000"/>
                <w:sz w:val="18"/>
                <w:szCs w:val="18"/>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top"/>
          </w:tcPr>
          <w:p w14:paraId="2696B194">
            <w:pPr>
              <w:pStyle w:val="30"/>
              <w:spacing w:before="57" w:line="219" w:lineRule="auto"/>
              <w:ind w:left="13"/>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退休老干部</w:t>
            </w:r>
            <w:r>
              <w:rPr>
                <w:rFonts w:hint="eastAsia" w:ascii="Times New Roman" w:hAnsi="Times New Roman" w:eastAsia="宋体" w:cs="Times New Roman"/>
                <w:color w:val="000000"/>
                <w:kern w:val="0"/>
                <w:sz w:val="18"/>
                <w:szCs w:val="18"/>
                <w:lang w:val="en-US" w:eastAsia="zh-CN" w:bidi="ar"/>
              </w:rPr>
              <w:t>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top"/>
          </w:tcPr>
          <w:p w14:paraId="14D773F5">
            <w:pPr>
              <w:pStyle w:val="30"/>
              <w:spacing w:before="81" w:line="194" w:lineRule="exact"/>
              <w:rPr>
                <w:rFonts w:hint="default"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top"/>
          </w:tcPr>
          <w:p w14:paraId="1E2E994D">
            <w:pPr>
              <w:pStyle w:val="30"/>
              <w:spacing w:before="81"/>
              <w:rPr>
                <w:rFonts w:hint="default"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top"/>
          </w:tcPr>
          <w:p w14:paraId="1436B7B6">
            <w:pPr>
              <w:pStyle w:val="30"/>
              <w:spacing w:before="81"/>
              <w:rPr>
                <w:rFonts w:hint="eastAsia" w:ascii="Times New Roman" w:hAnsi="Times New Roman" w:eastAsia="宋体" w:cs="Times New Roman"/>
                <w:color w:val="000000"/>
                <w:kern w:val="0"/>
                <w:sz w:val="18"/>
                <w:szCs w:val="18"/>
                <w:lang w:val="en-US" w:eastAsia="zh-CN" w:bidi="ar"/>
              </w:rPr>
            </w:pPr>
            <w:r>
              <w:rPr>
                <w:rFonts w:ascii="Times New Roman" w:hAnsi="Times New Roman" w:eastAsia="宋体" w:cs="Times New Roman"/>
                <w:color w:val="000000"/>
                <w:kern w:val="0"/>
                <w:sz w:val="18"/>
                <w:szCs w:val="18"/>
                <w:lang w:val="en-US" w:eastAsia="zh-CN" w:bidi="ar"/>
              </w:rPr>
              <w:t>%</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top"/>
          </w:tcPr>
          <w:p w14:paraId="23CFF6D7">
            <w:pPr>
              <w:pStyle w:val="30"/>
              <w:spacing w:before="81"/>
              <w:rPr>
                <w:rFonts w:ascii="Times New Roman" w:hAnsi="Times New Roman" w:eastAsia="宋体" w:cs="Times New Roman"/>
                <w:color w:val="000000"/>
                <w:kern w:val="0"/>
                <w:sz w:val="18"/>
                <w:szCs w:val="18"/>
                <w:lang w:val="en-US" w:eastAsia="en-US" w:bidi="ar"/>
              </w:rPr>
            </w:pPr>
            <w:r>
              <w:rPr>
                <w:rFonts w:ascii="Times New Roman" w:hAnsi="Times New Roman" w:eastAsia="宋体" w:cs="Times New Roman"/>
                <w:color w:val="000000"/>
                <w:kern w:val="0"/>
                <w:sz w:val="18"/>
                <w:szCs w:val="18"/>
                <w:lang w:val="en-US" w:eastAsia="zh-CN" w:bidi="ar"/>
              </w:rPr>
              <w:t>100%</w:t>
            </w:r>
          </w:p>
        </w:tc>
      </w:tr>
    </w:tbl>
    <w:p w14:paraId="624A8E5D"/>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2B83">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F4237">
                          <w:pPr>
                            <w:pStyle w:val="11"/>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14:paraId="0E88F34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0F4237">
                    <w:pPr>
                      <w:pStyle w:val="11"/>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14:paraId="0E88F34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72CC">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MzQxYTRlNjk4MDU3ODhkODNhNzlhZWNhNGRmZDI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3F8B"/>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B6928"/>
    <w:rsid w:val="003D10A2"/>
    <w:rsid w:val="003D33B8"/>
    <w:rsid w:val="003D624D"/>
    <w:rsid w:val="003D719A"/>
    <w:rsid w:val="003F1D56"/>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3594D"/>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A741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2476"/>
    <w:rsid w:val="00FB3345"/>
    <w:rsid w:val="00FD0228"/>
    <w:rsid w:val="00FD3BB7"/>
    <w:rsid w:val="00FE0D93"/>
    <w:rsid w:val="00FF2572"/>
    <w:rsid w:val="00FF32AD"/>
    <w:rsid w:val="01A9309D"/>
    <w:rsid w:val="05B87AC5"/>
    <w:rsid w:val="0BE56137"/>
    <w:rsid w:val="0D20238E"/>
    <w:rsid w:val="0DB066B9"/>
    <w:rsid w:val="0DC31556"/>
    <w:rsid w:val="0E8B67DF"/>
    <w:rsid w:val="13000DD8"/>
    <w:rsid w:val="146A5DE1"/>
    <w:rsid w:val="14A40CBC"/>
    <w:rsid w:val="1A3D6143"/>
    <w:rsid w:val="1BDA551F"/>
    <w:rsid w:val="1C013801"/>
    <w:rsid w:val="1DFD8D3B"/>
    <w:rsid w:val="1F403A40"/>
    <w:rsid w:val="1FB79DC9"/>
    <w:rsid w:val="1FBFC3F2"/>
    <w:rsid w:val="1FFFE033"/>
    <w:rsid w:val="2283313C"/>
    <w:rsid w:val="24A31107"/>
    <w:rsid w:val="257B57E1"/>
    <w:rsid w:val="26B2663E"/>
    <w:rsid w:val="27F352A6"/>
    <w:rsid w:val="29560A0A"/>
    <w:rsid w:val="2C685615"/>
    <w:rsid w:val="2D527252"/>
    <w:rsid w:val="2DDC1740"/>
    <w:rsid w:val="2EAE55F2"/>
    <w:rsid w:val="2EDF4302"/>
    <w:rsid w:val="2EFE1A04"/>
    <w:rsid w:val="2FFF3854"/>
    <w:rsid w:val="30CE7103"/>
    <w:rsid w:val="31071507"/>
    <w:rsid w:val="34993154"/>
    <w:rsid w:val="35A74699"/>
    <w:rsid w:val="35BBF80F"/>
    <w:rsid w:val="3B0B3937"/>
    <w:rsid w:val="3B736F08"/>
    <w:rsid w:val="3BE3D531"/>
    <w:rsid w:val="3D431A40"/>
    <w:rsid w:val="3EFF42CA"/>
    <w:rsid w:val="3F5D685E"/>
    <w:rsid w:val="3F6FCA38"/>
    <w:rsid w:val="3FD5AF3D"/>
    <w:rsid w:val="3FFED8BE"/>
    <w:rsid w:val="3FFF43BB"/>
    <w:rsid w:val="3FFFFC14"/>
    <w:rsid w:val="41795125"/>
    <w:rsid w:val="42B752F3"/>
    <w:rsid w:val="430C7F46"/>
    <w:rsid w:val="433DCF8E"/>
    <w:rsid w:val="45FF973D"/>
    <w:rsid w:val="47550EBA"/>
    <w:rsid w:val="4A524C36"/>
    <w:rsid w:val="4AEF2681"/>
    <w:rsid w:val="4BF7E09D"/>
    <w:rsid w:val="50032AE0"/>
    <w:rsid w:val="53BB74FC"/>
    <w:rsid w:val="55FDDF92"/>
    <w:rsid w:val="55FFBC03"/>
    <w:rsid w:val="56CDA72E"/>
    <w:rsid w:val="576F5916"/>
    <w:rsid w:val="577FDAE2"/>
    <w:rsid w:val="57FBE2C7"/>
    <w:rsid w:val="5B335734"/>
    <w:rsid w:val="5B7F322F"/>
    <w:rsid w:val="5BCAB023"/>
    <w:rsid w:val="5BEACB58"/>
    <w:rsid w:val="5D8649C7"/>
    <w:rsid w:val="5DDA9B94"/>
    <w:rsid w:val="5EAB810D"/>
    <w:rsid w:val="5EFA9846"/>
    <w:rsid w:val="5EFF9DA6"/>
    <w:rsid w:val="5F7751B9"/>
    <w:rsid w:val="5F9F7232"/>
    <w:rsid w:val="5F9F9588"/>
    <w:rsid w:val="5FBD32D2"/>
    <w:rsid w:val="5FD450B0"/>
    <w:rsid w:val="5FEF60CD"/>
    <w:rsid w:val="5FFB203D"/>
    <w:rsid w:val="5FFB8CF9"/>
    <w:rsid w:val="63DBAF21"/>
    <w:rsid w:val="6636451A"/>
    <w:rsid w:val="67DE80AA"/>
    <w:rsid w:val="693F6A4B"/>
    <w:rsid w:val="697E3B47"/>
    <w:rsid w:val="69BF132E"/>
    <w:rsid w:val="6B7F84D8"/>
    <w:rsid w:val="6BFEE5F3"/>
    <w:rsid w:val="6CAFF34E"/>
    <w:rsid w:val="6CFFCF4F"/>
    <w:rsid w:val="6DFFF8B6"/>
    <w:rsid w:val="6E491A40"/>
    <w:rsid w:val="6E9FE641"/>
    <w:rsid w:val="6EEDE807"/>
    <w:rsid w:val="6EEE4BE4"/>
    <w:rsid w:val="6EF65E9C"/>
    <w:rsid w:val="6F3D9197"/>
    <w:rsid w:val="6F6F75B6"/>
    <w:rsid w:val="6FAB3EC4"/>
    <w:rsid w:val="6FB6AF41"/>
    <w:rsid w:val="6FD52DA7"/>
    <w:rsid w:val="6FD894C8"/>
    <w:rsid w:val="6FE36A9E"/>
    <w:rsid w:val="6FEFB2D1"/>
    <w:rsid w:val="6FFF97E6"/>
    <w:rsid w:val="71397E03"/>
    <w:rsid w:val="71FB5B08"/>
    <w:rsid w:val="73FB87D9"/>
    <w:rsid w:val="75EF0FBA"/>
    <w:rsid w:val="7607C293"/>
    <w:rsid w:val="76793C4E"/>
    <w:rsid w:val="767B0EE7"/>
    <w:rsid w:val="76DF783A"/>
    <w:rsid w:val="76DFA4E8"/>
    <w:rsid w:val="77461E0F"/>
    <w:rsid w:val="774C1DDA"/>
    <w:rsid w:val="776800BB"/>
    <w:rsid w:val="778720BD"/>
    <w:rsid w:val="77A7D615"/>
    <w:rsid w:val="77FF366A"/>
    <w:rsid w:val="77FF8C96"/>
    <w:rsid w:val="77FFA8F9"/>
    <w:rsid w:val="7976604B"/>
    <w:rsid w:val="79F3BC78"/>
    <w:rsid w:val="7A5B6CAA"/>
    <w:rsid w:val="7A9314AC"/>
    <w:rsid w:val="7B4F6850"/>
    <w:rsid w:val="7BABD5C4"/>
    <w:rsid w:val="7BB12055"/>
    <w:rsid w:val="7BBFADBA"/>
    <w:rsid w:val="7BF7F9C6"/>
    <w:rsid w:val="7BFF492D"/>
    <w:rsid w:val="7C631402"/>
    <w:rsid w:val="7C978C63"/>
    <w:rsid w:val="7CA35AD0"/>
    <w:rsid w:val="7CDF8BC3"/>
    <w:rsid w:val="7CEB72A5"/>
    <w:rsid w:val="7D18750B"/>
    <w:rsid w:val="7DDFDC39"/>
    <w:rsid w:val="7DFDEECD"/>
    <w:rsid w:val="7E140770"/>
    <w:rsid w:val="7E5D92FB"/>
    <w:rsid w:val="7E635AE7"/>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0917"/>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79A608"/>
    <w:rsid w:val="B5F66F24"/>
    <w:rsid w:val="B7F5200A"/>
    <w:rsid w:val="BABDA1AA"/>
    <w:rsid w:val="BB1B4BF1"/>
    <w:rsid w:val="BBE5FE68"/>
    <w:rsid w:val="BBFEB9C1"/>
    <w:rsid w:val="BDF7406A"/>
    <w:rsid w:val="BE6FD8DB"/>
    <w:rsid w:val="BEEF57C2"/>
    <w:rsid w:val="BF6CD6FF"/>
    <w:rsid w:val="BF6D5596"/>
    <w:rsid w:val="BFBEBB2C"/>
    <w:rsid w:val="BFC68935"/>
    <w:rsid w:val="BFDD0F1D"/>
    <w:rsid w:val="BFDDD096"/>
    <w:rsid w:val="C5B3F496"/>
    <w:rsid w:val="C96F3E49"/>
    <w:rsid w:val="CBBF14F3"/>
    <w:rsid w:val="CBE5DCF2"/>
    <w:rsid w:val="CCFCC735"/>
    <w:rsid w:val="CEEB8A74"/>
    <w:rsid w:val="D37FB642"/>
    <w:rsid w:val="D7F99798"/>
    <w:rsid w:val="D7FF400C"/>
    <w:rsid w:val="D9DB2628"/>
    <w:rsid w:val="DBED1CD4"/>
    <w:rsid w:val="DBFBB328"/>
    <w:rsid w:val="DDD7453A"/>
    <w:rsid w:val="DE3E1FD7"/>
    <w:rsid w:val="DEBFCF8E"/>
    <w:rsid w:val="DFBE1B79"/>
    <w:rsid w:val="DFCF1FEC"/>
    <w:rsid w:val="DFE75A3D"/>
    <w:rsid w:val="DFED2117"/>
    <w:rsid w:val="DFEF594B"/>
    <w:rsid w:val="DFF3F960"/>
    <w:rsid w:val="DFFE0D61"/>
    <w:rsid w:val="E35C4B3C"/>
    <w:rsid w:val="E3A781CA"/>
    <w:rsid w:val="E5DFAB50"/>
    <w:rsid w:val="E6FC647F"/>
    <w:rsid w:val="EAE6D6D4"/>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8D9A400"/>
    <w:rsid w:val="FABF64A5"/>
    <w:rsid w:val="FABF7411"/>
    <w:rsid w:val="FBA53981"/>
    <w:rsid w:val="FBE4457E"/>
    <w:rsid w:val="FBFC558A"/>
    <w:rsid w:val="FBFF71AC"/>
    <w:rsid w:val="FBFFEA2B"/>
    <w:rsid w:val="FCCB27AA"/>
    <w:rsid w:val="FCFF8F4B"/>
    <w:rsid w:val="FD9595AD"/>
    <w:rsid w:val="FDDF4F05"/>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75E44"/>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3">
    <w:name w:val="heading 3"/>
    <w:basedOn w:val="1"/>
    <w:next w:val="1"/>
    <w:qFormat/>
    <w:uiPriority w:val="0"/>
    <w:pPr>
      <w:keepNext/>
      <w:keepLines/>
      <w:spacing w:line="560" w:lineRule="exact"/>
      <w:ind w:firstLine="720" w:firstLineChars="200"/>
      <w:outlineLvl w:val="2"/>
    </w:pPr>
    <w:rPr>
      <w:rFonts w:eastAsia="楷体_GB2312"/>
      <w:b/>
      <w:kern w:val="0"/>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5">
    <w:name w:val="Document Map"/>
    <w:basedOn w:val="1"/>
    <w:link w:val="23"/>
    <w:qFormat/>
    <w:uiPriority w:val="0"/>
    <w:rPr>
      <w:rFonts w:ascii="宋体" w:eastAsia="宋体"/>
      <w:sz w:val="18"/>
      <w:szCs w:val="18"/>
    </w:rPr>
  </w:style>
  <w:style w:type="paragraph" w:styleId="6">
    <w:name w:val="Body Text"/>
    <w:basedOn w:val="1"/>
    <w:next w:val="7"/>
    <w:qFormat/>
    <w:uiPriority w:val="0"/>
    <w:pPr>
      <w:spacing w:after="120"/>
    </w:pPr>
  </w:style>
  <w:style w:type="paragraph" w:styleId="7">
    <w:name w:val="Block Text"/>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qFormat/>
    <w:uiPriority w:val="0"/>
    <w:pPr>
      <w:spacing w:after="120"/>
      <w:ind w:left="200" w:leftChars="200"/>
    </w:pPr>
    <w:rPr>
      <w:rFonts w:ascii="仿宋_GB2312"/>
      <w:szCs w:val="32"/>
    </w:rPr>
  </w:style>
  <w:style w:type="paragraph" w:styleId="9">
    <w:name w:val="Plain Text"/>
    <w:basedOn w:val="1"/>
    <w:unhideWhenUsed/>
    <w:qFormat/>
    <w:uiPriority w:val="99"/>
    <w:rPr>
      <w:rFonts w:ascii="宋体" w:hAnsi="Courier New" w:cs="Courier New"/>
    </w:r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rFonts w:eastAsia="宋体"/>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3">
    <w:name w:val="toc 1"/>
    <w:basedOn w:val="1"/>
    <w:next w:val="1"/>
    <w:qFormat/>
    <w:uiPriority w:val="0"/>
  </w:style>
  <w:style w:type="paragraph" w:styleId="14">
    <w:name w:val="Normal (Web)"/>
    <w:basedOn w:val="1"/>
    <w:qFormat/>
    <w:uiPriority w:val="0"/>
    <w:rPr>
      <w:sz w:val="24"/>
    </w:rPr>
  </w:style>
  <w:style w:type="paragraph" w:styleId="15">
    <w:name w:val="Body Text First Indent 2"/>
    <w:basedOn w:val="8"/>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1">
    <w:name w:val="四号正文"/>
    <w:basedOn w:val="1"/>
    <w:link w:val="22"/>
    <w:qFormat/>
    <w:uiPriority w:val="0"/>
    <w:pPr>
      <w:spacing w:line="360" w:lineRule="auto"/>
    </w:pPr>
    <w:rPr>
      <w:rFonts w:ascii="??" w:hAnsi="??" w:eastAsia="宋体" w:cs="宋体"/>
      <w:color w:val="000000"/>
      <w:kern w:val="0"/>
      <w:sz w:val="28"/>
      <w:szCs w:val="21"/>
    </w:rPr>
  </w:style>
  <w:style w:type="character" w:customStyle="1" w:styleId="22">
    <w:name w:val="四号正文 Char"/>
    <w:basedOn w:val="18"/>
    <w:link w:val="21"/>
    <w:qFormat/>
    <w:uiPriority w:val="0"/>
    <w:rPr>
      <w:rFonts w:ascii="??" w:hAnsi="??" w:eastAsia="宋体" w:cs="宋体"/>
      <w:color w:val="000000"/>
      <w:sz w:val="28"/>
      <w:szCs w:val="21"/>
      <w:lang w:val="en-US" w:eastAsia="zh-CN" w:bidi="ar-SA"/>
    </w:rPr>
  </w:style>
  <w:style w:type="character" w:customStyle="1" w:styleId="23">
    <w:name w:val="文档结构图 Char"/>
    <w:basedOn w:val="18"/>
    <w:link w:val="5"/>
    <w:qFormat/>
    <w:uiPriority w:val="0"/>
    <w:rPr>
      <w:rFonts w:ascii="宋体"/>
      <w:kern w:val="2"/>
      <w:sz w:val="18"/>
      <w:szCs w:val="18"/>
    </w:rPr>
  </w:style>
  <w:style w:type="paragraph" w:customStyle="1" w:styleId="2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5">
    <w:name w:val="页脚 Char"/>
    <w:basedOn w:val="18"/>
    <w:link w:val="11"/>
    <w:qFormat/>
    <w:uiPriority w:val="99"/>
    <w:rPr>
      <w:kern w:val="2"/>
      <w:sz w:val="18"/>
      <w:szCs w:val="18"/>
    </w:rPr>
  </w:style>
  <w:style w:type="character" w:customStyle="1" w:styleId="26">
    <w:name w:val="font31"/>
    <w:basedOn w:val="18"/>
    <w:qFormat/>
    <w:uiPriority w:val="0"/>
    <w:rPr>
      <w:rFonts w:hint="eastAsia" w:ascii="宋体" w:hAnsi="宋体" w:eastAsia="宋体" w:cs="宋体"/>
      <w:color w:val="000000"/>
      <w:sz w:val="24"/>
      <w:szCs w:val="24"/>
      <w:u w:val="none"/>
    </w:rPr>
  </w:style>
  <w:style w:type="character" w:customStyle="1" w:styleId="27">
    <w:name w:val="font51"/>
    <w:basedOn w:val="18"/>
    <w:qFormat/>
    <w:uiPriority w:val="0"/>
    <w:rPr>
      <w:rFonts w:hint="default" w:ascii="Wingdings 2" w:hAnsi="Wingdings 2" w:eastAsia="Wingdings 2" w:cs="Wingdings 2"/>
      <w:color w:val="000000"/>
      <w:sz w:val="18"/>
      <w:szCs w:val="18"/>
      <w:u w:val="none"/>
    </w:rPr>
  </w:style>
  <w:style w:type="character" w:customStyle="1" w:styleId="28">
    <w:name w:val="font01"/>
    <w:basedOn w:val="18"/>
    <w:qFormat/>
    <w:uiPriority w:val="0"/>
    <w:rPr>
      <w:rFonts w:ascii="宋体" w:hAnsi="宋体" w:eastAsia="宋体" w:cs="宋体"/>
      <w:color w:val="000000"/>
      <w:sz w:val="18"/>
      <w:szCs w:val="18"/>
      <w:u w:val="none"/>
    </w:rPr>
  </w:style>
  <w:style w:type="character" w:customStyle="1" w:styleId="29">
    <w:name w:val="font41"/>
    <w:basedOn w:val="18"/>
    <w:qFormat/>
    <w:uiPriority w:val="0"/>
    <w:rPr>
      <w:rFonts w:ascii="宋体" w:hAnsi="宋体" w:eastAsia="宋体" w:cs="宋体"/>
      <w:color w:val="000000"/>
      <w:sz w:val="18"/>
      <w:szCs w:val="18"/>
      <w:u w:val="none"/>
    </w:rPr>
  </w:style>
  <w:style w:type="paragraph" w:customStyle="1" w:styleId="30">
    <w:name w:val="Table Text"/>
    <w:basedOn w:val="1"/>
    <w:semiHidden/>
    <w:qFormat/>
    <w:uiPriority w:val="0"/>
    <w:rPr>
      <w:rFonts w:ascii="宋体" w:hAnsi="宋体" w:eastAsia="宋体" w:cs="宋体"/>
      <w:sz w:val="25"/>
      <w:szCs w:val="25"/>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15</Pages>
  <Words>6884</Words>
  <Characters>7186</Characters>
  <Lines>18</Lines>
  <Paragraphs>5</Paragraphs>
  <TotalTime>2</TotalTime>
  <ScaleCrop>false</ScaleCrop>
  <LinksUpToDate>false</LinksUpToDate>
  <CharactersWithSpaces>7190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2025-03-27T08:07:00Z</dcterms:created>
  <dc:creator>陈萍</dc:creator>
  <cp:lastModifiedBy>Administrator</cp:lastModifiedBy>
  <cp:lastPrinted>2025-05-07T02:26:00Z</cp:lastPrinted>
  <dcterms:modified xsi:type="dcterms:W3CDTF">2025-06-10T02:37:44Z</dcterms:modified>
  <dc:title>区域性就业培训基地建设项目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6870ACA9D2CF47759D45E944F0522C3E_13</vt:lpwstr>
  </property>
  <property fmtid="{D5CDD505-2E9C-101B-9397-08002B2CF9AE}" pid="4" name="KSOTemplateDocerSaveRecord">
    <vt:lpwstr>eyJoZGlkIjoiOGM0ODA4MDljY2M4MDVjNGU0YTdiNzI2MjRjODhjMTEiLCJ1c2VySWQiOiI0MjE5MDY1NzMifQ==</vt:lpwstr>
  </property>
</Properties>
</file>