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8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西区工商联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75.51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75.51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发挥区工商联作为政府与企业的桥梁纽带作用，勇于担当、围绕中心、服务大局，当好民营企业“娘家人”，充分激发民营企业干事创业活力，有力地促进非公有制经济健康发展和非公有制经济人士健康成长，奋力推动西区民营经济高质量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 xml:space="preserve">西区工商联根据上一年度工作开展情况，规划制定下一年度的绩效目标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勇于担当、围绕中心、服务大局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D44EA"/>
    <w:rsid w:val="217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0"/>
      <w:ind w:firstLine="100" w:firstLineChars="100"/>
    </w:pPr>
    <w:rPr>
      <w:kern w:val="0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200" w:leftChars="200"/>
    </w:pPr>
    <w:rPr>
      <w:rFonts w:ascii="仿宋_GB2312"/>
      <w:szCs w:val="32"/>
    </w:rPr>
  </w:style>
  <w:style w:type="paragraph" w:styleId="6">
    <w:name w:val="Normal (Web)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2025-05-27T08:55:00Z</dcterms:created>
  <dc:creator>lenovo</dc:creator>
  <cp:lastModifiedBy>lenovo</cp:lastModifiedBy>
  <dcterms:modified xsi:type="dcterms:W3CDTF">2025-05-27T08:55:46Z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F94F176A58B0473EA0C0F06AF50D9436</vt:lpwstr>
  </property>
</Properties>
</file>