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5618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1</w:t>
      </w:r>
    </w:p>
    <w:p w14:paraId="0EFE3BB4">
      <w:pPr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部门预算绩效自评打分表</w:t>
      </w:r>
    </w:p>
    <w:bookmarkEnd w:id="0"/>
    <w:tbl>
      <w:tblPr>
        <w:tblStyle w:val="4"/>
        <w:tblW w:w="10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95"/>
        <w:gridCol w:w="1665"/>
        <w:gridCol w:w="720"/>
        <w:gridCol w:w="4734"/>
        <w:gridCol w:w="756"/>
        <w:gridCol w:w="478"/>
      </w:tblGrid>
      <w:tr w14:paraId="766B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7761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绩效评价指标指标分值</w:t>
            </w:r>
          </w:p>
        </w:tc>
        <w:tc>
          <w:tcPr>
            <w:tcW w:w="4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6C45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指标解释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D78E77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自评得分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994642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备注</w:t>
            </w:r>
          </w:p>
        </w:tc>
      </w:tr>
      <w:tr w14:paraId="3342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E3E7522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44FF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D4D5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3CA2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指标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E641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00FE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6B3A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5939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8ACC77">
            <w:pPr>
              <w:spacing w:line="4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总体绩效</w:t>
            </w:r>
            <w:r>
              <w:rPr>
                <w:rFonts w:eastAsia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宋体"/>
                <w:b/>
                <w:color w:val="000000"/>
                <w:kern w:val="0"/>
                <w:sz w:val="24"/>
              </w:rPr>
              <w:t>（65分）</w:t>
            </w:r>
          </w:p>
          <w:p w14:paraId="070F2DBC">
            <w:pPr>
              <w:spacing w:line="400" w:lineRule="exact"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1DD2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履职效能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（15分）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A0E2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XX履职效果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1AB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5E2F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部门整体绩效目标中选定3-5个核心职能目标，反映该项职能目标完成效果情况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988D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B9C1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12F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9D29EA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D415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预算管理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（25分）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5FE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预算编制质量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E1B2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5733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部门是否严格按要求编制年初部门预算，年初预算编制的科学性和准确性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81AB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0135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2833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CEE174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C6A7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E0C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单位收入统筹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F6A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B229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部门统筹自有收入程度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260F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2235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6105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27D605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497E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9DB6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支出执行进度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C33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34D4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部门1至6月、1至10月预算执行情况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A7B9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F95F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95E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02DE4B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4426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305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预算年终结余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08B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C31F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部门整体年终预算结余情况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EC7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5F83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6A11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F7AF45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6C2F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2991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严控一般性</w:t>
            </w:r>
          </w:p>
          <w:p w14:paraId="7A929B0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D186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E5AF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部门严控“三公”经费、会议、培训、差旅、办节办展、办公设备购置、信息网络及软件购置更新、课题经费等8项一般性支出情况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5348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9F08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4848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578A1E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6101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财务管理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3985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财务管理制度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BB3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E982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部门财务管理制度建立情况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71A0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67CD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7961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ADA610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3411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088B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财务岗位设置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BFB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B74F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部门财务岗位设置是否符合相关财务管理制度要求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0E3A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3E1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0DDA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365D09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516C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4766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资金使用规范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4666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E3DE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部门资金使用是否符合相关财务管理制度规定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D524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D27C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38A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8C014E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41B1A4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资产管理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（9分）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D1F8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人均资产</w:t>
            </w:r>
          </w:p>
          <w:p w14:paraId="23A9B5A3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变化率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7AF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CE60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部门人均资产变化情况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2A29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6FB4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18449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1A7463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F3E79F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6D23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资产利用率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A0B6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8ADA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部门资产超最低使用年限情况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A0E7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6836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1D60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FA3652">
            <w:pPr>
              <w:spacing w:line="400" w:lineRule="exact"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92A3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169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资产盘活率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7B21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13AF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部门闲置一年以上的资产盘活情况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CEE5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A093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2CE6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0986F0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571E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采购管理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（6分）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C9BB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支持中小企业发展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223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1588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部门是否严格执行政府采购促进中小企业发展相关管理办法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BB91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B2EA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67628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271C09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CBF1E8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3DCFD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采购执行率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F44C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3709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部门政府采购项目资金支付比例情况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316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5D6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BC8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E7DF8">
            <w:pPr>
              <w:spacing w:line="400" w:lineRule="exact"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项目绩效</w:t>
            </w:r>
            <w:r>
              <w:rPr>
                <w:rFonts w:eastAsia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宋体"/>
                <w:b/>
                <w:color w:val="000000"/>
                <w:kern w:val="0"/>
                <w:sz w:val="24"/>
              </w:rPr>
              <w:t>（35分）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6257C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项目决策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（12分）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21253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决策程序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5A0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C300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部门预算项目设立是否按规定履行评估论证、申报程序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ABE9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DAA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19B0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272CA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C1527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796D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目标设置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70C5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F23B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E245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F038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386F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DAB2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400BE5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6C88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项目入库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22BF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B8B7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pacing w:val="-6"/>
                <w:kern w:val="0"/>
                <w:sz w:val="24"/>
              </w:rPr>
              <w:t>部门预算项目是否在规定时间完成项目入库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E0AC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9F1A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3B6B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C9B0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FA9366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项目执行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（12分）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930D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执行同向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7D41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9894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部门预算项目实际列支内容是否与绩效目标设置方向相符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917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751E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7AE29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A32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029772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5F207A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项目调整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CC1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4F9E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部门预算项目是否采取对应调整措施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89CB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8031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4090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3135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F7DA22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7237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执行结果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34B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C84A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部门预算项目预算执行情况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904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3133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7512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62D5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0496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</w:rPr>
              <w:t>目标实现</w:t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b/>
                <w:color w:val="000000"/>
                <w:kern w:val="0"/>
                <w:sz w:val="24"/>
              </w:rPr>
              <w:t>（11分）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567C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目标完成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D5A2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5A13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部门预算项目绩效目标数量指标完成情况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1EA7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9836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4F24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4754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B7C5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8B7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目标偏离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A321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7F7B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部门预算项目绩效目标数量指标实现程度与预期目标的偏离情况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5825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CF01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4FEC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91A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5E62">
            <w:pPr>
              <w:spacing w:line="40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36B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实现效果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FA29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3CBF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部门预算项目绩效目标效益指标实施效果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4C6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6F22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1DAD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2A5A">
            <w:pPr>
              <w:spacing w:line="400" w:lineRule="exact"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扣分项</w:t>
            </w:r>
            <w:r>
              <w:rPr>
                <w:rFonts w:eastAsia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宋体"/>
                <w:b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73FF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被评价部门配合度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270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AB98">
            <w:pPr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被评价对象工作配合情况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76C4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25BC">
            <w:pPr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</w:tbl>
    <w:p w14:paraId="4D56586A">
      <w:pPr>
        <w:pStyle w:val="6"/>
        <w:keepLines w:val="0"/>
        <w:spacing w:before="0" w:after="0" w:line="600" w:lineRule="exact"/>
        <w:rPr>
          <w:rFonts w:ascii="Times New Roman" w:hAnsi="Times New Roman"/>
        </w:rPr>
      </w:pPr>
    </w:p>
    <w:p w14:paraId="08D585E8">
      <w:pPr>
        <w:spacing w:line="600" w:lineRule="exact"/>
        <w:jc w:val="left"/>
        <w:rPr>
          <w:rFonts w:eastAsia="黑体"/>
        </w:rPr>
      </w:pPr>
    </w:p>
    <w:p w14:paraId="4260DF0E">
      <w:pPr>
        <w:spacing w:line="600" w:lineRule="exact"/>
        <w:jc w:val="left"/>
        <w:rPr>
          <w:rFonts w:eastAsia="黑体"/>
        </w:rPr>
      </w:pPr>
    </w:p>
    <w:p w14:paraId="48CD5139">
      <w:pPr>
        <w:spacing w:line="600" w:lineRule="exact"/>
        <w:jc w:val="left"/>
        <w:rPr>
          <w:rFonts w:eastAsia="黑体"/>
        </w:rPr>
      </w:pPr>
    </w:p>
    <w:p w14:paraId="5B0BDBBC">
      <w:pPr>
        <w:spacing w:line="600" w:lineRule="exact"/>
        <w:jc w:val="left"/>
        <w:rPr>
          <w:rFonts w:eastAsia="黑体"/>
        </w:rPr>
      </w:pPr>
    </w:p>
    <w:p w14:paraId="63DF654E">
      <w:pPr>
        <w:spacing w:line="600" w:lineRule="exact"/>
        <w:jc w:val="left"/>
        <w:rPr>
          <w:rFonts w:eastAsia="黑体"/>
        </w:rPr>
      </w:pPr>
    </w:p>
    <w:p w14:paraId="38DE29FF">
      <w:pPr>
        <w:spacing w:line="600" w:lineRule="exact"/>
        <w:jc w:val="left"/>
        <w:rPr>
          <w:rFonts w:eastAsia="黑体"/>
        </w:rPr>
      </w:pPr>
    </w:p>
    <w:p w14:paraId="282DA9EF">
      <w:pPr>
        <w:spacing w:line="600" w:lineRule="exact"/>
        <w:jc w:val="left"/>
        <w:rPr>
          <w:rFonts w:eastAsia="黑体"/>
        </w:rPr>
      </w:pPr>
    </w:p>
    <w:p w14:paraId="0B9B43B1">
      <w:pPr>
        <w:spacing w:line="600" w:lineRule="exact"/>
        <w:jc w:val="left"/>
        <w:rPr>
          <w:rFonts w:eastAsia="黑体"/>
        </w:rPr>
      </w:pPr>
    </w:p>
    <w:p w14:paraId="6B93F36E">
      <w:pPr>
        <w:spacing w:line="600" w:lineRule="exact"/>
        <w:jc w:val="left"/>
        <w:rPr>
          <w:rFonts w:eastAsia="黑体"/>
        </w:rPr>
      </w:pPr>
    </w:p>
    <w:p w14:paraId="4DC04302">
      <w:pPr>
        <w:spacing w:line="600" w:lineRule="exact"/>
        <w:jc w:val="left"/>
        <w:rPr>
          <w:rFonts w:eastAsia="黑体"/>
        </w:rPr>
      </w:pPr>
    </w:p>
    <w:p w14:paraId="050443B0"/>
    <w:p w14:paraId="36BA20D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2025-06-06T00:56:22Z</dcterms:created>
  <dc:creator>lenovo</dc:creator>
  <cp:lastModifiedBy>黄佳莹</cp:lastModifiedBy>
  <dcterms:modified xsi:type="dcterms:W3CDTF">2025-06-06T00:56:34Z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eyJoZGlkIjoiMmY2YmUxZjk2NzRmYTg5MDQ2ZDU3YTM2YzM2MGI4ZDIiLCJ1c2VySWQiOiIxNjM3NzE4MDI3In0=</vt:lpwstr>
  </property>
  <property fmtid="{D5CDD505-2E9C-101B-9397-08002B2CF9AE}" pid="4" name="ICV">
    <vt:lpwstr>D7150DB903BC460F86B17510639A8CD0_12</vt:lpwstr>
  </property>
</Properties>
</file>