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8132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tbl>
      <w:tblPr>
        <w:tblStyle w:val="5"/>
        <w:tblW w:w="10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347"/>
        <w:gridCol w:w="1273"/>
        <w:gridCol w:w="1589"/>
        <w:gridCol w:w="1200"/>
        <w:gridCol w:w="1335"/>
        <w:gridCol w:w="990"/>
        <w:gridCol w:w="1518"/>
      </w:tblGrid>
      <w:tr w14:paraId="4B6FE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8"/>
            <w:noWrap/>
            <w:vAlign w:val="center"/>
          </w:tcPr>
          <w:p w14:paraId="39CF82F5">
            <w:pPr>
              <w:spacing w:line="6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</w:rPr>
              <w:t>部门整体绩效目标完成情况自评表</w:t>
            </w:r>
          </w:p>
        </w:tc>
      </w:tr>
      <w:tr w14:paraId="6E054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8"/>
            <w:noWrap/>
            <w:vAlign w:val="center"/>
          </w:tcPr>
          <w:p w14:paraId="2F678EC0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6"/>
                <w:szCs w:val="36"/>
              </w:rPr>
              <w:t>（2024年度）</w:t>
            </w:r>
          </w:p>
        </w:tc>
      </w:tr>
      <w:tr w14:paraId="4A353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8"/>
            <w:tcBorders>
              <w:bottom w:val="single" w:color="000000" w:sz="4" w:space="0"/>
            </w:tcBorders>
            <w:noWrap/>
            <w:vAlign w:val="center"/>
          </w:tcPr>
          <w:p w14:paraId="3715CA2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65055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3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6004E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1E1877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中共攀枝花市西区区委办公室</w:t>
            </w:r>
          </w:p>
        </w:tc>
      </w:tr>
      <w:tr w14:paraId="3AB65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CC7E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820BE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A5224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3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CE5D7">
            <w:pPr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其他资金</w:t>
            </w:r>
          </w:p>
        </w:tc>
      </w:tr>
      <w:tr w14:paraId="1A287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DCB65"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2B0BF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926.12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04FD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926.12</w:t>
            </w:r>
          </w:p>
        </w:tc>
        <w:tc>
          <w:tcPr>
            <w:tcW w:w="3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C951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3FE9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0576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年度总体</w:t>
            </w:r>
          </w:p>
          <w:p w14:paraId="1F753F0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9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A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一是强化综合服务效能，围绕区委工作大局，优化流程、提升协作，保障政务运转高效有序；二是压实机要保密责任，健全制度、强化培训，筑牢党和国家秘密安全防线；三是夯实网络管理基础，升级技术、完善防护，构建安全高效的信息交互平台。</w:t>
            </w:r>
          </w:p>
        </w:tc>
      </w:tr>
      <w:tr w14:paraId="60C9A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8C17C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年度主要</w:t>
            </w:r>
          </w:p>
          <w:p w14:paraId="17462F06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028B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任务名称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5711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主要内容</w:t>
            </w:r>
          </w:p>
        </w:tc>
      </w:tr>
      <w:tr w14:paraId="0D0E3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EB2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9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保障办公室在职、退休人员工资、津补贴等按时发放，社保、公积金足额缴纳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B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保障办公室在职人员、退休人员工资、津补贴等足额发放，社保、公积金等足额缴纳</w:t>
            </w:r>
          </w:p>
        </w:tc>
      </w:tr>
      <w:tr w14:paraId="03D6C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12E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保障办公室日常业务正常有序开展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6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围绕服务区委中心工作，优化办文办会流程，提高文件流转效率，确保会议组织有序；加强综合服务，为区委领导及各部门提供精准调研分析；强化统筹协调，及时解决跨部门协作问题，保障各项工作无缝衔接推进</w:t>
            </w:r>
          </w:p>
        </w:tc>
      </w:tr>
      <w:tr w14:paraId="45B3B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1D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保障办公室各项目有序推进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在牵头全区重大活动方面，制定详细活动方案，做好人员、物资、场地等资源调配，确保活动顺利举行；目标督查工作中，建立科学督查指标体系，定期跟踪反馈目标完成进度，推动工作落实；纪检监察专项业务里，严格监督执纪流程，及时发现问题线索，严肃查处违规违纪行为</w:t>
            </w:r>
          </w:p>
        </w:tc>
      </w:tr>
      <w:tr w14:paraId="692CA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3F62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年度绩效</w:t>
            </w:r>
          </w:p>
          <w:p w14:paraId="211F63C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0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绩效指标</w:t>
            </w:r>
          </w:p>
          <w:p w14:paraId="6988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4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绩效指标值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B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绩效度量单位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实际完成</w:t>
            </w:r>
          </w:p>
          <w:p w14:paraId="248F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72AD3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F72A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89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A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保障办公室在职、退休人员工资、津补贴等按时发放，社保、公积金足额缴纳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71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4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8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1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tr w14:paraId="437E3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DF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9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D5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66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0"/>
                <w:szCs w:val="20"/>
              </w:rPr>
              <w:t>保障办公室日常业务正常有序开展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9E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0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tr w14:paraId="76172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16B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7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保障办公室各项目有序推进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C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7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4C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1D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tr w14:paraId="1F373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A2C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0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7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3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完成率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2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7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016A6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1C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C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5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3"/>
                <w:sz w:val="20"/>
                <w:szCs w:val="20"/>
                <w:lang w:val="en-US" w:eastAsia="zh-CN"/>
              </w:rPr>
              <w:t>2024年12月31日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1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B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tr w14:paraId="19D3D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CB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bookmarkStart w:id="0" w:name="OLE_LINK1" w:colFirst="2" w:colLast="7"/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3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4F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73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926.12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C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1D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bookmarkEnd w:id="0"/>
      <w:tr w14:paraId="5F911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F24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D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社会效益</w:t>
            </w:r>
          </w:p>
          <w:p w14:paraId="7028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3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0"/>
                <w:szCs w:val="20"/>
              </w:rPr>
              <w:t>部门间协作满意度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C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2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ED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</w:tr>
      <w:tr w14:paraId="5D9E6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12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E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7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经济效益</w:t>
            </w:r>
          </w:p>
          <w:p w14:paraId="7120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A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行政成本节约率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8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优良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5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5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100%</w:t>
            </w:r>
          </w:p>
        </w:tc>
      </w:tr>
      <w:tr w14:paraId="0A799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1E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F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6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9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5A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满意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95%</w:t>
            </w:r>
          </w:p>
        </w:tc>
      </w:tr>
    </w:tbl>
    <w:p w14:paraId="4FE8C48E">
      <w:pPr>
        <w:spacing w:line="600" w:lineRule="exact"/>
      </w:pPr>
    </w:p>
    <w:p w14:paraId="258803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793738B8"/>
    <w:p w14:paraId="4259977A"/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474" w:bottom="1984" w:left="1588" w:header="907" w:footer="1644" w:gutter="0"/>
      <w:pgNumType w:fmt="decimal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41F2">
    <w:pPr>
      <w:pStyle w:val="3"/>
      <w:ind w:right="360" w:firstLine="360"/>
      <w:rPr>
        <w:rFonts w:hint="eastAsia" w:ascii="宋体" w:hAnsi="宋体" w:eastAsia="宋体" w:cs="宋体"/>
        <w:b w:val="0"/>
        <w:bCs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E5D80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5D80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2E63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B14DB5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14DB5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B01A">
    <w:pPr>
      <w:pStyle w:val="4"/>
      <w:pBdr>
        <w:bottom w:val="none" w:color="auto" w:sz="0" w:space="0"/>
      </w:pBdr>
    </w:pPr>
  </w:p>
  <w:p w14:paraId="3EFB2F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1EE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2025-06-06T01:03:35Z</dcterms:created>
  <dc:creator>lenovo</dc:creator>
  <cp:lastModifiedBy>黄佳莹</cp:lastModifiedBy>
  <dcterms:modified xsi:type="dcterms:W3CDTF">2025-06-06T01:03:50Z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eyJoZGlkIjoiMmY2YmUxZjk2NzRmYTg5MDQ2ZDU3YTM2YzM2MGI4ZDIiLCJ1c2VySWQiOiIxNjM3NzE4MDI3In0=</vt:lpwstr>
  </property>
  <property fmtid="{D5CDD505-2E9C-101B-9397-08002B2CF9AE}" pid="4" name="ICV">
    <vt:lpwstr>319C81D148274C65B99859589F8ECCF0_12</vt:lpwstr>
  </property>
</Properties>
</file>