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02BD4">
      <w:pPr>
        <w:spacing w:line="578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附表</w:t>
      </w:r>
      <w:r>
        <w:rPr>
          <w:rFonts w:hint="eastAsia" w:eastAsia="黑体"/>
          <w:sz w:val="32"/>
          <w:szCs w:val="32"/>
        </w:rPr>
        <w:t>2</w:t>
      </w:r>
    </w:p>
    <w:tbl>
      <w:tblPr>
        <w:tblStyle w:val="6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225"/>
        <w:gridCol w:w="1148"/>
        <w:gridCol w:w="1145"/>
        <w:gridCol w:w="947"/>
        <w:gridCol w:w="1080"/>
        <w:gridCol w:w="2360"/>
      </w:tblGrid>
      <w:tr w14:paraId="504A5A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 w14:paraId="53F7A509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0"/>
          </w:p>
        </w:tc>
      </w:tr>
      <w:tr w14:paraId="01E70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 w14:paraId="2D8EEA1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450317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3B51BC5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42AC62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380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6AE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攀枝花市西区第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一幼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儿园</w:t>
            </w:r>
          </w:p>
        </w:tc>
      </w:tr>
      <w:tr w14:paraId="61C07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03F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D09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CB5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FA9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 w14:paraId="1FE2C2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73F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01E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szCs w:val="32"/>
                <w:lang w:val="en-US" w:eastAsia="zh-CN"/>
              </w:rPr>
              <w:t>681.47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EC4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szCs w:val="32"/>
                <w:lang w:val="en-US" w:eastAsia="zh-CN"/>
              </w:rPr>
              <w:t>681.47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956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14:paraId="13351B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C01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 w14:paraId="584D614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1523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幼儿园教育教学工作水平继续保持示范性幼儿园标准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继续抓好安全卫生保健教育，杜绝一切安全隐患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继续规范管理骨干教师，提高辐射作用，带动幼儿园教师队伍整体水平的不断提高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建立完整的考勤制度和评价体系，学期末对保教人员和各类人员进行工作质量评价。</w:t>
            </w:r>
          </w:p>
        </w:tc>
      </w:tr>
      <w:tr w14:paraId="677FC8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78F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 w14:paraId="256899C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522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43B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7CAF3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5E5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DB8D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整体目标</w:t>
            </w:r>
          </w:p>
        </w:tc>
        <w:tc>
          <w:tcPr>
            <w:tcW w:w="6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E039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继续抓好安全卫生保健教育，杜绝一切安全隐患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继续规范管理骨干教师，提高辐射作用，带动幼儿园教师队伍整体水平的不断提高</w:t>
            </w:r>
            <w:r>
              <w:rPr>
                <w:rFonts w:hint="eastAsia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建立完整的考勤制度和评价体系，学期末对保教人员和各类人员进行工作质量评价。</w:t>
            </w:r>
          </w:p>
        </w:tc>
      </w:tr>
      <w:tr w14:paraId="2FAD15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469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538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CBEC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14:paraId="70513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54C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 w14:paraId="5509A24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F5E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11C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CE1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6DB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 w14:paraId="1613AFA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008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6B9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9DA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 w14:paraId="246980E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09B4F4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D14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752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18B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07FF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9F97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14E9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148B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ACF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人员、公用</w:t>
            </w:r>
          </w:p>
        </w:tc>
      </w:tr>
      <w:tr w14:paraId="14618B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BE1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C64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8A7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02CD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90C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A4E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B3CB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1BC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支付购买服务人员劳务费、幼儿保教费</w:t>
            </w:r>
          </w:p>
        </w:tc>
      </w:tr>
      <w:tr w14:paraId="59173C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B71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696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FE5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3F06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F2AE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8969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65B2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903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保障了学龄前儿童的保教工作正常开展</w:t>
            </w:r>
          </w:p>
        </w:tc>
      </w:tr>
      <w:tr w14:paraId="40CDC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D76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4B1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03B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2FEA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7999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231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12A2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B9E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 w14:paraId="1FA98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18E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E32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B8B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6FAB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3AAC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0DA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7DDA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285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 w14:paraId="0BB3C8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6DF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355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D60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 w14:paraId="4B2E7FA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0E85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6FB3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F61A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714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237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为学龄前儿童提供保教和教育，实行保育和教育相结合的原则，对儿童实施体、智、德、美诸方面全面发展的教育，促进身心和谐的发展</w:t>
            </w:r>
          </w:p>
        </w:tc>
      </w:tr>
      <w:tr w14:paraId="2A5002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F25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62F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D1FE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经济效益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4E74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购买服务人员工资社保支付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8384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等于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A026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98.29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0202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F506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 w14:paraId="4DF89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F39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BB3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D55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C75E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7918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808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BBB9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6E6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 w14:paraId="68EAE1F9">
      <w:pPr>
        <w:rPr>
          <w:rFonts w:hint="eastAsia" w:ascii="仿宋" w:hAnsi="仿宋" w:eastAsia="仿宋"/>
          <w:sz w:val="32"/>
          <w:szCs w:val="32"/>
        </w:rPr>
      </w:pPr>
      <w:bookmarkStart w:id="2" w:name="_GoBack"/>
      <w:bookmarkEnd w:id="2"/>
    </w:p>
    <w:p w14:paraId="427A3369">
      <w:pPr>
        <w:rPr>
          <w:rFonts w:hint="eastAsia" w:ascii="仿宋" w:hAnsi="仿宋" w:eastAsia="仿宋"/>
          <w:sz w:val="32"/>
          <w:szCs w:val="32"/>
        </w:rPr>
      </w:pPr>
    </w:p>
    <w:p w14:paraId="1144C930">
      <w:pPr>
        <w:rPr>
          <w:rFonts w:hint="eastAsia" w:ascii="仿宋" w:hAnsi="仿宋" w:eastAsia="仿宋"/>
          <w:sz w:val="32"/>
          <w:szCs w:val="32"/>
        </w:rPr>
      </w:pPr>
    </w:p>
    <w:p w14:paraId="01690D38">
      <w:pPr>
        <w:rPr>
          <w:rFonts w:hint="eastAsia" w:ascii="仿宋" w:hAnsi="仿宋" w:eastAsia="仿宋"/>
          <w:sz w:val="32"/>
          <w:szCs w:val="32"/>
        </w:rPr>
      </w:pPr>
    </w:p>
    <w:p w14:paraId="51AEBDDF">
      <w:pPr>
        <w:rPr>
          <w:rFonts w:hint="eastAsia" w:ascii="仿宋" w:hAnsi="仿宋" w:eastAsia="仿宋"/>
          <w:sz w:val="32"/>
          <w:szCs w:val="32"/>
        </w:rPr>
      </w:pPr>
    </w:p>
    <w:p w14:paraId="00237D75">
      <w:pPr>
        <w:rPr>
          <w:rFonts w:hint="eastAsia" w:ascii="仿宋" w:hAnsi="仿宋" w:eastAsia="仿宋"/>
          <w:sz w:val="32"/>
          <w:szCs w:val="32"/>
        </w:rPr>
      </w:pPr>
    </w:p>
    <w:p w14:paraId="54C5EBD3">
      <w:pPr>
        <w:rPr>
          <w:rFonts w:hint="eastAsia" w:ascii="仿宋" w:hAnsi="仿宋" w:eastAsia="仿宋"/>
          <w:sz w:val="32"/>
          <w:szCs w:val="32"/>
        </w:rPr>
      </w:pPr>
    </w:p>
    <w:p w14:paraId="4C878594">
      <w:pPr>
        <w:rPr>
          <w:rFonts w:hint="eastAsia" w:ascii="仿宋" w:hAnsi="仿宋" w:eastAsia="仿宋"/>
          <w:sz w:val="32"/>
          <w:szCs w:val="32"/>
        </w:rPr>
      </w:pPr>
    </w:p>
    <w:p w14:paraId="3A80DD84">
      <w:pPr>
        <w:rPr>
          <w:rFonts w:hint="eastAsia" w:ascii="仿宋" w:hAnsi="仿宋" w:eastAsia="仿宋"/>
          <w:sz w:val="32"/>
          <w:szCs w:val="32"/>
        </w:rPr>
      </w:pPr>
    </w:p>
    <w:p w14:paraId="79B76183">
      <w:pPr>
        <w:rPr>
          <w:rFonts w:hint="eastAsia" w:ascii="仿宋" w:hAnsi="仿宋" w:eastAsia="仿宋"/>
          <w:sz w:val="32"/>
          <w:szCs w:val="32"/>
        </w:rPr>
      </w:pPr>
    </w:p>
    <w:p w14:paraId="64F3D621">
      <w:pPr>
        <w:rPr>
          <w:rFonts w:hint="eastAsia" w:ascii="仿宋" w:hAnsi="仿宋" w:eastAsia="仿宋"/>
          <w:sz w:val="32"/>
          <w:szCs w:val="32"/>
        </w:rPr>
      </w:pPr>
    </w:p>
    <w:p w14:paraId="7E79FB75">
      <w:pPr>
        <w:rPr>
          <w:rFonts w:hint="eastAsia" w:ascii="仿宋" w:hAnsi="仿宋" w:eastAsia="仿宋"/>
          <w:sz w:val="32"/>
          <w:szCs w:val="32"/>
        </w:rPr>
      </w:pPr>
    </w:p>
    <w:p w14:paraId="4D36E88A">
      <w:pPr>
        <w:rPr>
          <w:rFonts w:hint="eastAsia" w:ascii="仿宋" w:hAnsi="仿宋" w:eastAsia="仿宋"/>
          <w:sz w:val="32"/>
          <w:szCs w:val="32"/>
        </w:rPr>
      </w:pPr>
    </w:p>
    <w:p w14:paraId="4C51C7BB">
      <w:pPr>
        <w:rPr>
          <w:rFonts w:hint="eastAsia" w:ascii="仿宋" w:hAnsi="仿宋" w:eastAsia="仿宋"/>
          <w:sz w:val="32"/>
          <w:szCs w:val="32"/>
        </w:rPr>
      </w:pPr>
    </w:p>
    <w:p w14:paraId="54ABF93B">
      <w:pPr>
        <w:rPr>
          <w:rFonts w:hint="eastAsia" w:ascii="仿宋" w:hAnsi="仿宋" w:eastAsia="仿宋"/>
          <w:sz w:val="32"/>
          <w:szCs w:val="32"/>
        </w:rPr>
      </w:pPr>
    </w:p>
    <w:p w14:paraId="1836357A">
      <w:pPr>
        <w:rPr>
          <w:rFonts w:hint="eastAsia" w:ascii="仿宋" w:hAnsi="仿宋" w:eastAsia="仿宋"/>
          <w:sz w:val="32"/>
          <w:szCs w:val="32"/>
        </w:rPr>
      </w:pPr>
    </w:p>
    <w:p w14:paraId="16E78080">
      <w:pPr>
        <w:rPr>
          <w:rFonts w:hint="eastAsia" w:ascii="仿宋" w:hAnsi="仿宋" w:eastAsia="仿宋"/>
          <w:sz w:val="32"/>
          <w:szCs w:val="32"/>
        </w:rPr>
      </w:pPr>
    </w:p>
    <w:p w14:paraId="317D7DFD">
      <w:pPr>
        <w:rPr>
          <w:rFonts w:hint="eastAsia" w:ascii="仿宋" w:hAnsi="仿宋" w:eastAsia="仿宋"/>
          <w:sz w:val="32"/>
          <w:szCs w:val="32"/>
        </w:rPr>
      </w:pPr>
    </w:p>
    <w:p w14:paraId="60BEEAC8">
      <w:pPr>
        <w:ind w:firstLine="312" w:firstLineChars="100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lang w:val="en-US" w:eastAsia="zh-CN"/>
        </w:rPr>
        <w:t>信息公开选项：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4"/>
          <w:sz w:val="32"/>
          <w:szCs w:val="32"/>
          <w:lang w:val="en-US" w:eastAsia="zh-CN"/>
        </w:rPr>
        <w:t>主动公开</w:t>
      </w:r>
    </w:p>
    <w:p w14:paraId="047E0204"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975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0" cy="0"/>
                        </a:xfrm>
                        <a:prstGeom prst="line">
                          <a:avLst/>
                        </a:prstGeom>
                        <a:ln w="9525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25pt;margin-top:0pt;height:0pt;width:425pt;z-index:251659264;mso-width-relative:page;mso-height-relative:page;" filled="f" stroked="t" coordsize="21600,21600" o:gfxdata="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7xEZtAAAAAEAQAADwAAAAAAAAABACAAAAAiAAAAZHJzL2Rvd25yZXYueG1s&#10;UEsBAhQAFAAAAAgAh07iQDmn/ykAAgAA9AMAAA4AAAAAAAAAAQAgAAAAHwEAAGRycy9lMm9Eb2Mu&#10;eG1sUEsFBgAAAAAGAAYAWQEAAJEFAAAAAA==&#10;">
                <v:fill on="f" focussize="0,0"/>
                <v:stroke color="#00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434340</wp:posOffset>
                </wp:positionV>
                <wp:extent cx="53975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0" cy="0"/>
                        </a:xfrm>
                        <a:prstGeom prst="line">
                          <a:avLst/>
                        </a:prstGeom>
                        <a:ln w="9525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4pt;margin-top:34.2pt;height:0pt;width:425pt;z-index:251660288;mso-width-relative:page;mso-height-relative:page;" filled="f" stroked="t" coordsize="21600,21600" o:gfxdata="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bLWLtMAAAAIAQAADwAAAAAAAAABACAAAAAiAAAAZHJzL2Rvd25yZXYu&#10;eG1sUEsBAhQAFAAAAAgAh07iQDmTBxkAAgAA9AMAAA4AAAAAAAAAAQAgAAAAIgEAAGRycy9lMm9E&#10;b2MueG1sUEsFBgAAAAAGAAYAWQEAAJQFAAAAAA==&#10;">
                <v:fill on="f" focussize="0,0"/>
                <v:stroke color="#00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</w:rPr>
        <w:t xml:space="preserve">攀枝花市西区第一幼儿园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仿宋_GB2312"/>
          <w:color w:val="000000"/>
          <w:spacing w:val="-4"/>
          <w:sz w:val="28"/>
          <w:szCs w:val="28"/>
        </w:rPr>
        <w:t>20</w:t>
      </w:r>
      <w:r>
        <w:rPr>
          <w:rFonts w:hint="eastAsia" w:eastAsia="仿宋_GB2312" w:cs="仿宋_GB2312"/>
          <w:color w:val="000000"/>
          <w:spacing w:val="-4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</w:rPr>
        <w:t>年</w:t>
      </w:r>
      <w:r>
        <w:rPr>
          <w:rFonts w:hint="eastAsia" w:eastAsia="仿宋_GB2312" w:cs="仿宋_GB2312"/>
          <w:color w:val="000000"/>
          <w:spacing w:val="-4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</w:rPr>
        <w:t>月</w:t>
      </w:r>
      <w:r>
        <w:rPr>
          <w:rFonts w:hint="eastAsia" w:eastAsia="仿宋_GB2312" w:cs="仿宋_GB2312"/>
          <w:color w:val="000000"/>
          <w:spacing w:val="-4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8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47598">
    <w:pPr>
      <w:pStyle w:val="4"/>
      <w:tabs>
        <w:tab w:val="left" w:pos="1725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B9C1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9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9UrUNQAAAAHAQAADwAAAAAAAAABACAAAAAiAAAAZHJzL2Rvd25yZXYueG1sUEsB&#10;AhQAFAAAAAgAh07iQLqMOCs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AB9C1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37B80"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7EAF0C1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MDJjZGZhNDA1MWZlM2IyODJiYmI5OTQ5YmUyMjcifQ=="/>
  </w:docVars>
  <w:rsids>
    <w:rsidRoot w:val="40DA6626"/>
    <w:rsid w:val="000A002F"/>
    <w:rsid w:val="0320534E"/>
    <w:rsid w:val="05842DD3"/>
    <w:rsid w:val="065564A8"/>
    <w:rsid w:val="07C73DEA"/>
    <w:rsid w:val="080D2DB2"/>
    <w:rsid w:val="085801AE"/>
    <w:rsid w:val="085C39BB"/>
    <w:rsid w:val="08D515A6"/>
    <w:rsid w:val="09911037"/>
    <w:rsid w:val="0C322DE7"/>
    <w:rsid w:val="0C9525D2"/>
    <w:rsid w:val="0CD81BE1"/>
    <w:rsid w:val="0E986DE4"/>
    <w:rsid w:val="0F3A47A3"/>
    <w:rsid w:val="0F7D3608"/>
    <w:rsid w:val="105D7250"/>
    <w:rsid w:val="10B6190C"/>
    <w:rsid w:val="13924DD8"/>
    <w:rsid w:val="17AE3C6A"/>
    <w:rsid w:val="182747CB"/>
    <w:rsid w:val="18B20A2A"/>
    <w:rsid w:val="1B49648A"/>
    <w:rsid w:val="1BE47313"/>
    <w:rsid w:val="1C684514"/>
    <w:rsid w:val="1C684CF0"/>
    <w:rsid w:val="1F0046D0"/>
    <w:rsid w:val="1F287662"/>
    <w:rsid w:val="1F517FD8"/>
    <w:rsid w:val="1FB159F3"/>
    <w:rsid w:val="20C438E2"/>
    <w:rsid w:val="22A16179"/>
    <w:rsid w:val="24BE1264"/>
    <w:rsid w:val="259F4BF2"/>
    <w:rsid w:val="25AB17E9"/>
    <w:rsid w:val="25D240E7"/>
    <w:rsid w:val="266D2F42"/>
    <w:rsid w:val="27A92C4A"/>
    <w:rsid w:val="29AD3010"/>
    <w:rsid w:val="2A1A02F9"/>
    <w:rsid w:val="2AC33E99"/>
    <w:rsid w:val="2C2E03F4"/>
    <w:rsid w:val="2DC336B0"/>
    <w:rsid w:val="2DDD6210"/>
    <w:rsid w:val="2E7633B6"/>
    <w:rsid w:val="2F9849D9"/>
    <w:rsid w:val="30644475"/>
    <w:rsid w:val="31F77B64"/>
    <w:rsid w:val="32D96F57"/>
    <w:rsid w:val="35B352A9"/>
    <w:rsid w:val="35B64E75"/>
    <w:rsid w:val="3BD75D02"/>
    <w:rsid w:val="3E6E552A"/>
    <w:rsid w:val="3FA920AA"/>
    <w:rsid w:val="400C5F2A"/>
    <w:rsid w:val="40DA6626"/>
    <w:rsid w:val="44F34F8D"/>
    <w:rsid w:val="45264590"/>
    <w:rsid w:val="495E5D50"/>
    <w:rsid w:val="4BA277F8"/>
    <w:rsid w:val="4C5C4DFB"/>
    <w:rsid w:val="51F223CA"/>
    <w:rsid w:val="520E6AD8"/>
    <w:rsid w:val="53AF1F84"/>
    <w:rsid w:val="54CD636F"/>
    <w:rsid w:val="5664664B"/>
    <w:rsid w:val="5AE803A5"/>
    <w:rsid w:val="5C1D4C35"/>
    <w:rsid w:val="5D07003B"/>
    <w:rsid w:val="5D8B3796"/>
    <w:rsid w:val="5E7A5AC6"/>
    <w:rsid w:val="60395667"/>
    <w:rsid w:val="62D715C4"/>
    <w:rsid w:val="64354398"/>
    <w:rsid w:val="68335B37"/>
    <w:rsid w:val="6B5B38BA"/>
    <w:rsid w:val="6BDB7C6C"/>
    <w:rsid w:val="6F6873CF"/>
    <w:rsid w:val="6F7C2E7B"/>
    <w:rsid w:val="6FFE1517"/>
    <w:rsid w:val="70E77E95"/>
    <w:rsid w:val="738B7B30"/>
    <w:rsid w:val="74F61BBD"/>
    <w:rsid w:val="7587441C"/>
    <w:rsid w:val="763E0E8A"/>
    <w:rsid w:val="77665F7D"/>
    <w:rsid w:val="7BB101A4"/>
    <w:rsid w:val="7E0B14D0"/>
    <w:rsid w:val="7E233660"/>
    <w:rsid w:val="7EB517E0"/>
    <w:rsid w:val="7F61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3"/>
      <w:szCs w:val="33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style31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paragraph" w:customStyle="1" w:styleId="10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5182</Words>
  <Characters>5445</Characters>
  <Lines>0</Lines>
  <Paragraphs>0</Paragraphs>
  <TotalTime>12</TotalTime>
  <ScaleCrop>false</ScaleCrop>
  <LinksUpToDate>false</LinksUpToDate>
  <CharactersWithSpaces>5463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2024-10-15T00:00:00Z</dcterms:created>
  <dc:creator>Lenovo</dc:creator>
  <cp:lastModifiedBy>Administrator</cp:lastModifiedBy>
  <cp:lastPrinted>2025-05-07T04:19:00Z</cp:lastPrinted>
  <dcterms:modified xsi:type="dcterms:W3CDTF">2025-06-05T02:58:40Z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AE96533C61A74A0495339CD53648563F_13</vt:lpwstr>
  </property>
  <property fmtid="{D5CDD505-2E9C-101B-9397-08002B2CF9AE}" pid="4" name="KSOTemplateDocerSaveRecord">
    <vt:lpwstr>eyJoZGlkIjoiNjljMDQwNWE4MjAyYWNjMjBlYzMzZDhlNjc0YmQ5N2UifQ==</vt:lpwstr>
  </property>
</Properties>
</file>