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default" w:ascii="Times New Roman" w:hAnsi="Times New Roman" w:eastAsia="方正黑体_GBK" w:cs="Times New Roman"/>
        </w:rPr>
      </w:pPr>
      <w:r>
        <w:rPr>
          <w:rFonts w:hint="default" w:ascii="Times New Roman" w:hAnsi="Times New Roman" w:eastAsia="方正黑体_GBK" w:cs="Times New Roman"/>
        </w:rPr>
        <w:t>附表2</w:t>
      </w:r>
    </w:p>
    <w:p>
      <w:pPr>
        <w:adjustRightInd w:val="0"/>
        <w:snapToGrid w:val="0"/>
        <w:spacing w:line="0" w:lineRule="atLeast"/>
        <w:jc w:val="center"/>
        <w:rPr>
          <w:rFonts w:hint="eastAsia" w:ascii="方正小标宋_GBK" w:hAnsi="方正小标宋_GBK" w:eastAsia="方正小标宋_GBK" w:cs="方正小标宋_GBK"/>
          <w:b/>
          <w:bCs/>
          <w:sz w:val="44"/>
          <w:szCs w:val="44"/>
        </w:rPr>
      </w:pPr>
    </w:p>
    <w:tbl>
      <w:tblPr>
        <w:tblStyle w:val="12"/>
        <w:tblW w:w="10560" w:type="dxa"/>
        <w:jc w:val="center"/>
        <w:tblInd w:w="0" w:type="dxa"/>
        <w:tblLayout w:type="fixed"/>
        <w:tblCellMar>
          <w:top w:w="15" w:type="dxa"/>
          <w:left w:w="15" w:type="dxa"/>
          <w:bottom w:w="15" w:type="dxa"/>
          <w:right w:w="15" w:type="dxa"/>
        </w:tblCellMar>
      </w:tblPr>
      <w:tblGrid>
        <w:gridCol w:w="1308"/>
        <w:gridCol w:w="1347"/>
        <w:gridCol w:w="1273"/>
        <w:gridCol w:w="1100"/>
        <w:gridCol w:w="1145"/>
        <w:gridCol w:w="1789"/>
        <w:gridCol w:w="885"/>
        <w:gridCol w:w="1713"/>
      </w:tblGrid>
      <w:tr>
        <w:tblPrEx>
          <w:tblLayout w:type="fixed"/>
          <w:tblCellMar>
            <w:top w:w="15" w:type="dxa"/>
            <w:left w:w="15" w:type="dxa"/>
            <w:bottom w:w="15" w:type="dxa"/>
            <w:right w:w="15" w:type="dxa"/>
          </w:tblCellMar>
        </w:tblPrEx>
        <w:trPr>
          <w:trHeight w:val="759" w:hRule="exact"/>
          <w:jc w:val="center"/>
        </w:trPr>
        <w:tc>
          <w:tcPr>
            <w:tcW w:w="10560" w:type="dxa"/>
            <w:gridSpan w:val="8"/>
            <w:shd w:val="clear" w:color="auto" w:fill="auto"/>
            <w:vAlign w:val="center"/>
          </w:tcPr>
          <w:p>
            <w:pPr>
              <w:widowControl/>
              <w:adjustRightInd w:val="0"/>
              <w:snapToGrid w:val="0"/>
              <w:spacing w:line="0" w:lineRule="atLeast"/>
              <w:jc w:val="center"/>
              <w:textAlignment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kern w:val="0"/>
                <w:sz w:val="44"/>
                <w:szCs w:val="44"/>
                <w:lang w:eastAsia="zh-CN" w:bidi="ar"/>
              </w:rPr>
              <w:t>部门</w:t>
            </w:r>
            <w:bookmarkStart w:id="0" w:name="_GoBack"/>
            <w:bookmarkEnd w:id="0"/>
            <w:r>
              <w:rPr>
                <w:rFonts w:hint="eastAsia" w:ascii="方正小标宋_GBK" w:hAnsi="方正小标宋_GBK" w:eastAsia="方正小标宋_GBK" w:cs="方正小标宋_GBK"/>
                <w:b/>
                <w:bCs/>
                <w:color w:val="000000"/>
                <w:kern w:val="0"/>
                <w:sz w:val="44"/>
                <w:szCs w:val="44"/>
                <w:lang w:bidi="ar"/>
              </w:rPr>
              <w:t>整体绩效目标完成情况自评表</w:t>
            </w:r>
          </w:p>
        </w:tc>
      </w:tr>
      <w:tr>
        <w:tblPrEx>
          <w:tblLayout w:type="fixed"/>
          <w:tblCellMar>
            <w:top w:w="15" w:type="dxa"/>
            <w:left w:w="15" w:type="dxa"/>
            <w:bottom w:w="15" w:type="dxa"/>
            <w:right w:w="15" w:type="dxa"/>
          </w:tblCellMar>
        </w:tblPrEx>
        <w:trPr>
          <w:trHeight w:val="471" w:hRule="atLeast"/>
          <w:jc w:val="center"/>
        </w:trPr>
        <w:tc>
          <w:tcPr>
            <w:tcW w:w="10560" w:type="dxa"/>
            <w:gridSpan w:val="8"/>
            <w:shd w:val="clear" w:color="auto" w:fill="auto"/>
            <w:vAlign w:val="center"/>
          </w:tcPr>
          <w:p>
            <w:pPr>
              <w:widowControl/>
              <w:adjustRightInd w:val="0"/>
              <w:snapToGrid w:val="0"/>
              <w:spacing w:line="0" w:lineRule="atLeast"/>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方正楷体_GBK" w:cs="Times New Roman"/>
                <w:b/>
                <w:bCs/>
                <w:color w:val="000000"/>
                <w:kern w:val="0"/>
                <w:sz w:val="32"/>
                <w:szCs w:val="32"/>
                <w:lang w:bidi="ar"/>
              </w:rPr>
              <w:t>（2024年度）</w:t>
            </w:r>
          </w:p>
        </w:tc>
      </w:tr>
      <w:tr>
        <w:tblPrEx>
          <w:tblLayout w:type="fixed"/>
          <w:tblCellMar>
            <w:top w:w="15" w:type="dxa"/>
            <w:left w:w="15" w:type="dxa"/>
            <w:bottom w:w="15" w:type="dxa"/>
            <w:right w:w="15" w:type="dxa"/>
          </w:tblCellMar>
        </w:tblPrEx>
        <w:trPr>
          <w:trHeight w:val="323" w:hRule="atLeast"/>
          <w:jc w:val="center"/>
        </w:trPr>
        <w:tc>
          <w:tcPr>
            <w:tcW w:w="10560" w:type="dxa"/>
            <w:gridSpan w:val="8"/>
            <w:tcBorders>
              <w:bottom w:val="single" w:color="000000" w:sz="4" w:space="0"/>
            </w:tcBorders>
            <w:shd w:val="clear" w:color="auto" w:fill="auto"/>
            <w:vAlign w:val="center"/>
          </w:tcPr>
          <w:p>
            <w:pPr>
              <w:widowControl/>
              <w:spacing w:line="300" w:lineRule="exact"/>
              <w:jc w:val="righ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单位：万元</w:t>
            </w:r>
          </w:p>
        </w:tc>
      </w:tr>
      <w:tr>
        <w:tblPrEx>
          <w:tblLayout w:type="fixed"/>
          <w:tblCellMar>
            <w:top w:w="15" w:type="dxa"/>
            <w:left w:w="15" w:type="dxa"/>
            <w:bottom w:w="15" w:type="dxa"/>
            <w:right w:w="15" w:type="dxa"/>
          </w:tblCellMar>
        </w:tblPrEx>
        <w:trPr>
          <w:trHeight w:val="332"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部门名称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eastAsia="zh-CN" w:bidi="ar"/>
              </w:rPr>
              <w:t>攀枝花市西区卫生健康局</w:t>
            </w:r>
          </w:p>
        </w:tc>
      </w:tr>
      <w:tr>
        <w:tblPrEx>
          <w:tblLayout w:type="fixed"/>
          <w:tblCellMar>
            <w:top w:w="15" w:type="dxa"/>
            <w:left w:w="15" w:type="dxa"/>
            <w:bottom w:w="15" w:type="dxa"/>
            <w:right w:w="15" w:type="dxa"/>
          </w:tblCellMar>
        </w:tblPrEx>
        <w:trPr>
          <w:trHeight w:val="332"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资金总额</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财政拨款</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其他资金</w:t>
            </w:r>
          </w:p>
        </w:tc>
      </w:tr>
      <w:tr>
        <w:tblPrEx>
          <w:tblLayout w:type="fixed"/>
          <w:tblCellMar>
            <w:top w:w="15" w:type="dxa"/>
            <w:left w:w="15" w:type="dxa"/>
            <w:bottom w:w="15" w:type="dxa"/>
            <w:right w:w="15" w:type="dxa"/>
          </w:tblCellMar>
        </w:tblPrEx>
        <w:trPr>
          <w:trHeight w:val="367"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eastAsia="宋体" w:cs="Times New Roman"/>
                <w:color w:val="000000"/>
                <w:sz w:val="18"/>
                <w:szCs w:val="18"/>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kern w:val="0"/>
                <w:sz w:val="18"/>
                <w:szCs w:val="18"/>
                <w:lang w:val="en-US" w:eastAsia="zh-CN" w:bidi="ar"/>
              </w:rPr>
              <w:t>1622.46</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kern w:val="0"/>
                <w:sz w:val="18"/>
                <w:szCs w:val="18"/>
                <w:lang w:val="en-US" w:eastAsia="zh-CN" w:bidi="ar"/>
              </w:rPr>
              <w:t>1622.46</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宋体" w:cs="Times New Roman"/>
                <w:color w:val="000000"/>
                <w:sz w:val="18"/>
                <w:szCs w:val="18"/>
              </w:rPr>
            </w:pPr>
          </w:p>
        </w:tc>
      </w:tr>
      <w:tr>
        <w:tblPrEx>
          <w:tblLayout w:type="fixed"/>
          <w:tblCellMar>
            <w:top w:w="15" w:type="dxa"/>
            <w:left w:w="15" w:type="dxa"/>
            <w:bottom w:w="15" w:type="dxa"/>
            <w:right w:w="15" w:type="dxa"/>
          </w:tblCellMar>
        </w:tblPrEx>
        <w:trPr>
          <w:trHeight w:val="4012"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年度总体</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目标</w:t>
            </w:r>
          </w:p>
        </w:tc>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spacing w:line="300" w:lineRule="exact"/>
              <w:jc w:val="left"/>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color w:val="000000"/>
                <w:kern w:val="0"/>
                <w:sz w:val="18"/>
                <w:szCs w:val="18"/>
                <w:lang w:val="en-US" w:eastAsia="zh-CN" w:bidi="ar"/>
              </w:rPr>
              <w:t>1.</w:t>
            </w:r>
            <w:r>
              <w:rPr>
                <w:rFonts w:hint="default" w:ascii="Times New Roman" w:hAnsi="Times New Roman" w:eastAsia="宋体" w:cs="Times New Roman"/>
                <w:color w:val="000000"/>
                <w:kern w:val="0"/>
                <w:sz w:val="18"/>
                <w:szCs w:val="18"/>
                <w:lang w:bidi="ar"/>
              </w:rPr>
              <w:t>基本支出：保障</w:t>
            </w:r>
            <w:r>
              <w:rPr>
                <w:rFonts w:hint="default" w:ascii="Times New Roman" w:hAnsi="Times New Roman" w:eastAsia="宋体" w:cs="Times New Roman"/>
                <w:color w:val="000000"/>
                <w:kern w:val="0"/>
                <w:sz w:val="18"/>
                <w:szCs w:val="18"/>
                <w:lang w:eastAsia="zh-CN" w:bidi="ar"/>
              </w:rPr>
              <w:t>单位职工</w:t>
            </w:r>
            <w:r>
              <w:rPr>
                <w:rFonts w:hint="default" w:ascii="Times New Roman" w:hAnsi="Times New Roman" w:eastAsia="宋体" w:cs="Times New Roman"/>
                <w:color w:val="000000"/>
                <w:kern w:val="0"/>
                <w:sz w:val="18"/>
                <w:szCs w:val="18"/>
                <w:lang w:bidi="ar"/>
              </w:rPr>
              <w:t>员工每月工资、福利等发放及</w:t>
            </w:r>
            <w:r>
              <w:rPr>
                <w:rFonts w:hint="default" w:ascii="Times New Roman" w:hAnsi="Times New Roman" w:eastAsia="宋体" w:cs="Times New Roman"/>
                <w:color w:val="000000"/>
                <w:kern w:val="0"/>
                <w:sz w:val="18"/>
                <w:szCs w:val="18"/>
                <w:lang w:eastAsia="zh-CN" w:bidi="ar"/>
              </w:rPr>
              <w:t>机构</w:t>
            </w:r>
            <w:r>
              <w:rPr>
                <w:rFonts w:hint="default" w:ascii="Times New Roman" w:hAnsi="Times New Roman" w:eastAsia="宋体" w:cs="Times New Roman"/>
                <w:color w:val="000000"/>
                <w:kern w:val="0"/>
                <w:sz w:val="18"/>
                <w:szCs w:val="18"/>
                <w:lang w:bidi="ar"/>
              </w:rPr>
              <w:t xml:space="preserve">公用经费的合理支出。 </w:t>
            </w:r>
          </w:p>
          <w:p>
            <w:pPr>
              <w:widowControl/>
              <w:numPr>
                <w:ilvl w:val="-1"/>
                <w:numId w:val="0"/>
              </w:numPr>
              <w:spacing w:line="300" w:lineRule="exact"/>
              <w:jc w:val="left"/>
              <w:textAlignment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落实育儿补贴政策，为辖区范围内符合条件并按政策生育二孩、三孩的攀枝花户籍家庭发放补贴，有效缓解辖区内育儿家庭抚养压力，提高家庭生育意愿，强化计划生育利益导向机制，引导群众按政策生育，促进人口长期均衡发展。</w:t>
            </w:r>
          </w:p>
          <w:p>
            <w:pPr>
              <w:widowControl/>
              <w:numPr>
                <w:ilvl w:val="-1"/>
                <w:numId w:val="0"/>
              </w:numPr>
              <w:spacing w:line="300" w:lineRule="exact"/>
              <w:jc w:val="left"/>
              <w:textAlignment w:val="center"/>
              <w:rPr>
                <w:rFonts w:hint="default" w:ascii="Times New Roman" w:hAnsi="Times New Roman" w:cs="Times New Roman"/>
                <w:sz w:val="18"/>
                <w:szCs w:val="18"/>
                <w:lang w:val="en-US" w:eastAsia="zh-CN"/>
              </w:rPr>
            </w:pPr>
            <w:r>
              <w:rPr>
                <w:rFonts w:hint="default" w:ascii="Times New Roman" w:hAnsi="Times New Roman" w:cs="Times New Roman" w:eastAsiaTheme="minorEastAsia"/>
                <w:sz w:val="18"/>
                <w:szCs w:val="18"/>
                <w:lang w:val="en-US" w:eastAsia="zh-CN"/>
              </w:rPr>
              <w:t>3.</w:t>
            </w:r>
            <w:r>
              <w:rPr>
                <w:rFonts w:hint="default" w:ascii="Times New Roman" w:hAnsi="Times New Roman" w:cs="Times New Roman" w:eastAsiaTheme="minorEastAsia"/>
                <w:sz w:val="18"/>
                <w:szCs w:val="18"/>
              </w:rPr>
              <w:t>落实计划生育利益导向政策，加大对计划生育特殊困难家庭的帮扶力度，强化户籍人口和流动人口信息的登记网络，提升对人口信息的登记管理，使基层对辖区居民的分布和数量得到及时登记和准确录入。充分调动群众按政策生育的积极性，促进人口长期均衡发展，为建设现代化区域中心城市提供人口支撑。</w:t>
            </w:r>
            <w:r>
              <w:rPr>
                <w:rFonts w:hint="default" w:ascii="Times New Roman" w:hAnsi="Times New Roman" w:cs="Times New Roman" w:eastAsiaTheme="minorEastAsia"/>
                <w:sz w:val="18"/>
                <w:szCs w:val="18"/>
                <w:lang w:val="en-US" w:eastAsia="zh-CN"/>
              </w:rPr>
              <w:t xml:space="preserve">                                                                                         4.加强对各单位传染病管理工作人员进行培训，提升综合防治能力。进行传染病网络直报信息系统软硬件的升级、维护等提升工作效率，提高法定传染病报告管理质量，促进传染病信息报告管理的科学、规范、及时、准确。                                                                                            5.落实“政府组织领导、部门各负其责、全社会共同参与”的防治机制，完成艾滋病各项目标任务；及时发现和规范治疗管理结核病患者，持续降低结核病的感染、发病与死亡，确保结核病疫情稳步下降，提高群众健康水平。                                                                                        6.规范严重精神障碍患者随访、分类管理，开展患者健康体检，开展精神卫生宣传教育等工作，提高群众心理健康水平，构建和谐社会环境。 </w:t>
            </w:r>
          </w:p>
          <w:p>
            <w:pPr>
              <w:widowControl/>
              <w:numPr>
                <w:ilvl w:val="-1"/>
                <w:numId w:val="0"/>
              </w:numPr>
              <w:spacing w:line="300" w:lineRule="exact"/>
              <w:jc w:val="left"/>
              <w:textAlignment w:val="center"/>
              <w:rPr>
                <w:rFonts w:hint="default" w:ascii="Times New Roman" w:hAnsi="Times New Roman" w:cs="Times New Roman"/>
                <w:sz w:val="18"/>
                <w:szCs w:val="18"/>
                <w:lang w:val="en-US" w:eastAsia="zh-CN"/>
              </w:rPr>
            </w:pPr>
            <w:r>
              <w:rPr>
                <w:rFonts w:hint="default" w:ascii="Times New Roman" w:hAnsi="Times New Roman" w:cs="Times New Roman" w:eastAsiaTheme="minorEastAsia"/>
                <w:sz w:val="18"/>
                <w:szCs w:val="18"/>
                <w:lang w:val="en-US" w:eastAsia="zh-CN"/>
              </w:rPr>
              <w:t>7.通过对公共区域病媒生物集中消杀，有效控制病媒生物密度，确保通过2024年春、秋季病媒生物防制考核评估</w:t>
            </w:r>
          </w:p>
        </w:tc>
      </w:tr>
      <w:tr>
        <w:tblPrEx>
          <w:tblLayout w:type="fixed"/>
          <w:tblCellMar>
            <w:top w:w="15" w:type="dxa"/>
            <w:left w:w="15" w:type="dxa"/>
            <w:bottom w:w="15" w:type="dxa"/>
            <w:right w:w="15" w:type="dxa"/>
          </w:tblCellMar>
        </w:tblPrEx>
        <w:trPr>
          <w:trHeight w:val="332"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年度主要</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任务名称</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主要内容</w:t>
            </w:r>
          </w:p>
        </w:tc>
      </w:tr>
      <w:tr>
        <w:tblPrEx>
          <w:tblLayout w:type="fixed"/>
          <w:tblCellMar>
            <w:top w:w="15" w:type="dxa"/>
            <w:left w:w="15" w:type="dxa"/>
            <w:bottom w:w="15" w:type="dxa"/>
            <w:right w:w="15" w:type="dxa"/>
          </w:tblCellMar>
        </w:tblPrEx>
        <w:trPr>
          <w:trHeight w:val="489"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eastAsia="宋体" w:cs="Times New Roman"/>
                <w:color w:val="000000"/>
                <w:kern w:val="0"/>
                <w:sz w:val="18"/>
                <w:szCs w:val="18"/>
                <w:lang w:val="en-US" w:eastAsia="zh-CN" w:bidi="ar"/>
              </w:rPr>
              <w:t>基本支出</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eastAsia="宋体" w:cs="Times New Roman"/>
                <w:color w:val="000000"/>
                <w:kern w:val="0"/>
                <w:sz w:val="18"/>
                <w:szCs w:val="18"/>
                <w:lang w:bidi="ar"/>
              </w:rPr>
              <w:t>保障员工每月工资、福利等发放及公用经费的合理支出</w:t>
            </w:r>
          </w:p>
        </w:tc>
      </w:tr>
      <w:tr>
        <w:tblPrEx>
          <w:tblLayout w:type="fixed"/>
          <w:tblCellMar>
            <w:top w:w="15" w:type="dxa"/>
            <w:left w:w="15" w:type="dxa"/>
            <w:bottom w:w="15" w:type="dxa"/>
            <w:right w:w="15" w:type="dxa"/>
          </w:tblCellMar>
        </w:tblPrEx>
        <w:trPr>
          <w:trHeight w:val="1211"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eastAsia="zh-CN" w:bidi="ar"/>
              </w:rPr>
              <w:t>育儿补贴金</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全面落实育儿补贴政策，指导格里坪镇、各街道按照《攀枝花市发放育儿补贴金实施细则》标准完成2023年度育儿补贴年审，发放2023年度育儿补贴123户共计60.05万元。通过落实育儿补贴政策，充分调动群众按政策生育的积极性，促进人口长期均衡发展，为建设现代化区域中心城市提供人口支撑，完成结果达到预期。</w:t>
            </w:r>
          </w:p>
        </w:tc>
      </w:tr>
      <w:tr>
        <w:tblPrEx>
          <w:tblLayout w:type="fixed"/>
          <w:tblCellMar>
            <w:top w:w="15" w:type="dxa"/>
            <w:left w:w="15" w:type="dxa"/>
            <w:bottom w:w="15" w:type="dxa"/>
            <w:right w:w="15" w:type="dxa"/>
          </w:tblCellMar>
        </w:tblPrEx>
        <w:trPr>
          <w:trHeight w:val="1211"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计划生育服务</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通过计划生育利益导向专项资金服务项目的实施，以利益补偿方式补偿独生子女伤残死亡家庭、计划生育手术并发症人员等人群进行奖励扶持，促进计划生育特殊家庭的稳定。有效地促进了基层计划生育工作的开展，提高了计划生育家庭对国家计生政策的满意度，融洽了干群关系，有力地促进了贯彻国家计划生育政策的执行。</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公共区域病媒生物防制</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通过对公共区域病媒生物集中消杀，有效控制病媒生物密度，确保通过2024年春、秋季病媒生物防制考核评估。</w:t>
            </w:r>
          </w:p>
        </w:tc>
      </w:tr>
      <w:tr>
        <w:tblPrEx>
          <w:tblLayout w:type="fixed"/>
          <w:tblCellMar>
            <w:top w:w="15" w:type="dxa"/>
            <w:left w:w="15" w:type="dxa"/>
            <w:bottom w:w="15" w:type="dxa"/>
            <w:right w:w="15" w:type="dxa"/>
          </w:tblCellMar>
        </w:tblPrEx>
        <w:trPr>
          <w:trHeight w:val="332"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普惠托育服务</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建设1个普惠托育服务机构，新增托位30个。</w:t>
            </w:r>
          </w:p>
        </w:tc>
      </w:tr>
      <w:tr>
        <w:tblPrEx>
          <w:tblLayout w:type="fixed"/>
          <w:tblCellMar>
            <w:top w:w="15" w:type="dxa"/>
            <w:left w:w="15" w:type="dxa"/>
            <w:bottom w:w="15" w:type="dxa"/>
            <w:right w:w="15" w:type="dxa"/>
          </w:tblCellMar>
        </w:tblPrEx>
        <w:trPr>
          <w:trHeight w:val="10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重大传染病预防控制工作</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落实各项艾滋病和性病预防控制措施，提高发现率，扩大治疗覆盖面，提高治疗成功率，降低死亡率，降低新发感染，提高感染者和病人的生活质量。</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红十字专项</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进一步加强基层红十字会及赈济救援队建设，开展“三献”宣传、全民应急救护培训、人道主义救助、志愿者服务等。</w:t>
            </w:r>
          </w:p>
        </w:tc>
      </w:tr>
      <w:tr>
        <w:tblPrEx>
          <w:tblLayout w:type="fixed"/>
          <w:tblCellMar>
            <w:top w:w="15" w:type="dxa"/>
            <w:left w:w="15" w:type="dxa"/>
            <w:bottom w:w="15" w:type="dxa"/>
            <w:right w:w="15" w:type="dxa"/>
          </w:tblCellMar>
        </w:tblPrEx>
        <w:trPr>
          <w:trHeight w:val="918"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无偿献血</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根据《攀枝花市无偿献血工作局际联席会议办公室关于做好2023年无偿献血工作的通知》要求预算2024年目标任务所需经费。开展无偿献血团体宣传招募、培训，完成1600人次团体无偿献血任务，购买无偿献血纪念品。</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传染病信息报告管理工作</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加强传染病报告管理，全面开展传染病疫情监测，突发急性传染病有效处置率100％，有效预防、控制和消除传染病的发生和流行，保障群众身体健康。</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精神卫生及社会心理服务体系建设工作</w:t>
            </w:r>
          </w:p>
        </w:tc>
        <w:tc>
          <w:tcPr>
            <w:tcW w:w="6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依法开展全区严重精神障碍患者管理服务工作，开展严重精神障碍重点人群综合干预工作，包括严重精神障碍患者精神卫生公益宣传、培训等。</w:t>
            </w:r>
          </w:p>
        </w:tc>
      </w:tr>
      <w:tr>
        <w:tblPrEx>
          <w:tblLayout w:type="fixed"/>
          <w:tblCellMar>
            <w:top w:w="15" w:type="dxa"/>
            <w:left w:w="15" w:type="dxa"/>
            <w:bottom w:w="15" w:type="dxa"/>
            <w:right w:w="15" w:type="dxa"/>
          </w:tblCellMar>
        </w:tblPrEx>
        <w:trPr>
          <w:trHeight w:val="625"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年度绩效</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绩效指标</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性质</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绩效指标值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绩效度量单位</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实际完成</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指标值</w:t>
            </w:r>
          </w:p>
        </w:tc>
      </w:tr>
      <w:tr>
        <w:tblPrEx>
          <w:tblLayout w:type="fixed"/>
          <w:tblCellMar>
            <w:top w:w="15" w:type="dxa"/>
            <w:left w:w="15" w:type="dxa"/>
            <w:bottom w:w="15" w:type="dxa"/>
            <w:right w:w="15" w:type="dxa"/>
          </w:tblCellMar>
        </w:tblPrEx>
        <w:trPr>
          <w:trHeight w:val="918"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定量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足额保障2024年</w:t>
            </w:r>
            <w:r>
              <w:rPr>
                <w:rFonts w:hint="default" w:ascii="Times New Roman" w:hAnsi="Times New Roman" w:cs="Times New Roman" w:eastAsiaTheme="minorEastAsia"/>
                <w:color w:val="000000"/>
                <w:kern w:val="0"/>
                <w:sz w:val="18"/>
                <w:szCs w:val="18"/>
                <w:lang w:bidi="ar"/>
              </w:rPr>
              <w:t>人员经费及公用经</w:t>
            </w:r>
            <w:r>
              <w:rPr>
                <w:rFonts w:hint="default" w:ascii="Times New Roman" w:hAnsi="Times New Roman" w:cs="Times New Roman" w:eastAsiaTheme="minorEastAsia"/>
                <w:color w:val="000000"/>
                <w:kern w:val="0"/>
                <w:sz w:val="18"/>
                <w:szCs w:val="18"/>
                <w:lang w:val="en-US" w:eastAsia="zh-CN" w:bidi="ar"/>
              </w:rPr>
              <w:t>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37人：其中</w:t>
            </w:r>
            <w:r>
              <w:rPr>
                <w:rFonts w:hint="default" w:ascii="Times New Roman" w:hAnsi="Times New Roman" w:cs="Times New Roman" w:eastAsiaTheme="minorEastAsia"/>
                <w:color w:val="000000"/>
                <w:kern w:val="0"/>
                <w:sz w:val="18"/>
                <w:szCs w:val="18"/>
                <w:lang w:eastAsia="zh-CN" w:bidi="ar"/>
              </w:rPr>
              <w:t>在职</w:t>
            </w:r>
            <w:r>
              <w:rPr>
                <w:rFonts w:hint="default" w:ascii="Times New Roman" w:hAnsi="Times New Roman" w:cs="Times New Roman" w:eastAsiaTheme="minorEastAsia"/>
                <w:color w:val="000000"/>
                <w:kern w:val="0"/>
                <w:sz w:val="18"/>
                <w:szCs w:val="18"/>
                <w:lang w:bidi="ar"/>
              </w:rPr>
              <w:t>职工1</w:t>
            </w:r>
            <w:r>
              <w:rPr>
                <w:rFonts w:hint="default" w:ascii="Times New Roman" w:hAnsi="Times New Roman" w:cs="Times New Roman" w:eastAsiaTheme="minorEastAsia"/>
                <w:color w:val="000000"/>
                <w:kern w:val="0"/>
                <w:sz w:val="18"/>
                <w:szCs w:val="18"/>
                <w:lang w:val="en-US" w:eastAsia="zh-CN" w:bidi="ar"/>
              </w:rPr>
              <w:t>5</w:t>
            </w:r>
            <w:r>
              <w:rPr>
                <w:rFonts w:hint="default" w:ascii="Times New Roman" w:hAnsi="Times New Roman" w:cs="Times New Roman" w:eastAsiaTheme="minorEastAsia"/>
                <w:color w:val="000000"/>
                <w:kern w:val="0"/>
                <w:sz w:val="18"/>
                <w:szCs w:val="18"/>
                <w:lang w:bidi="ar"/>
              </w:rPr>
              <w:t>人，卫生特别服务岗聘用2</w:t>
            </w:r>
            <w:r>
              <w:rPr>
                <w:rFonts w:hint="default" w:ascii="Times New Roman" w:hAnsi="Times New Roman" w:cs="Times New Roman" w:eastAsiaTheme="minorEastAsia"/>
                <w:color w:val="000000"/>
                <w:kern w:val="0"/>
                <w:sz w:val="18"/>
                <w:szCs w:val="18"/>
                <w:lang w:val="en-US" w:eastAsia="zh-CN" w:bidi="ar"/>
              </w:rPr>
              <w:t>2</w:t>
            </w:r>
            <w:r>
              <w:rPr>
                <w:rFonts w:hint="default" w:ascii="Times New Roman" w:hAnsi="Times New Roman" w:cs="Times New Roman" w:eastAsiaTheme="minorEastAsia"/>
                <w:color w:val="000000"/>
                <w:kern w:val="0"/>
                <w:sz w:val="18"/>
                <w:szCs w:val="18"/>
                <w:lang w:bidi="ar"/>
              </w:rPr>
              <w:t>人。</w:t>
            </w:r>
          </w:p>
        </w:tc>
      </w:tr>
      <w:tr>
        <w:tblPrEx>
          <w:tblLayout w:type="fixed"/>
          <w:tblCellMar>
            <w:top w:w="15" w:type="dxa"/>
            <w:left w:w="15" w:type="dxa"/>
            <w:bottom w:w="15" w:type="dxa"/>
            <w:right w:w="15" w:type="dxa"/>
          </w:tblCellMar>
        </w:tblPrEx>
        <w:trPr>
          <w:trHeight w:val="1797"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各类特定目标类项目支出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eastAsia="zh-CN" w:bidi="ar"/>
              </w:rPr>
              <w:t>定量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eastAsia="zh-CN" w:bidi="ar"/>
              </w:rPr>
              <w:t>完成</w:t>
            </w:r>
            <w:r>
              <w:rPr>
                <w:rFonts w:hint="default" w:ascii="Times New Roman" w:hAnsi="Times New Roman" w:cs="Times New Roman" w:eastAsiaTheme="minorEastAsia"/>
                <w:color w:val="000000"/>
                <w:kern w:val="0"/>
                <w:sz w:val="18"/>
                <w:szCs w:val="18"/>
                <w:lang w:bidi="ar"/>
              </w:rPr>
              <w:t>计划生育、公共区域病媒生物防治、红十字专项、重大传染病（艾滋病、结核病）防治项目、等等</w:t>
            </w:r>
            <w:r>
              <w:rPr>
                <w:rFonts w:hint="default" w:ascii="Times New Roman" w:hAnsi="Times New Roman" w:cs="Times New Roman" w:eastAsiaTheme="minorEastAsia"/>
                <w:color w:val="000000"/>
                <w:kern w:val="0"/>
                <w:sz w:val="18"/>
                <w:szCs w:val="18"/>
                <w:lang w:val="en-US" w:eastAsia="zh-CN" w:bidi="ar"/>
              </w:rPr>
              <w:t>项目目标完成率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100%</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保障日常工作运行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eastAsia="zh-CN" w:bidi="ar"/>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正常运行日常事务</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val="en-US" w:eastAsia="zh-CN" w:bidi="ar"/>
              </w:rPr>
              <w:t>完成单位正常运转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已完成</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职能职责</w:t>
            </w:r>
            <w:r>
              <w:rPr>
                <w:rFonts w:hint="default" w:ascii="Times New Roman" w:hAnsi="Times New Roman" w:cs="Times New Roman" w:eastAsiaTheme="minorEastAsia"/>
                <w:color w:val="000000"/>
                <w:kern w:val="0"/>
                <w:sz w:val="18"/>
                <w:szCs w:val="18"/>
                <w:lang w:val="en-US" w:eastAsia="zh-CN" w:bidi="ar"/>
              </w:rPr>
              <w:t xml:space="preserve"> </w:t>
            </w:r>
            <w:r>
              <w:rPr>
                <w:rFonts w:hint="default" w:ascii="Times New Roman" w:hAnsi="Times New Roman" w:cs="Times New Roman" w:eastAsiaTheme="minorEastAsia"/>
                <w:color w:val="000000"/>
                <w:kern w:val="0"/>
                <w:sz w:val="18"/>
                <w:szCs w:val="18"/>
                <w:lang w:bidi="ar"/>
              </w:rPr>
              <w:t>项目</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eastAsia="zh-CN" w:bidi="ar"/>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做好总体目标要求，完成目标任务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较上年提高</w:t>
            </w:r>
          </w:p>
        </w:tc>
      </w:tr>
      <w:tr>
        <w:tblPrEx>
          <w:tblLayout w:type="fixed"/>
          <w:tblCellMar>
            <w:top w:w="15" w:type="dxa"/>
            <w:left w:w="15" w:type="dxa"/>
            <w:bottom w:w="15" w:type="dxa"/>
            <w:right w:w="15" w:type="dxa"/>
          </w:tblCellMar>
        </w:tblPrEx>
        <w:trPr>
          <w:trHeight w:val="332"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时效指标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rPr>
              <w:t>全年开展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rPr>
              <w:t>全年开展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已完成</w:t>
            </w:r>
          </w:p>
        </w:tc>
      </w:tr>
      <w:tr>
        <w:tblPrEx>
          <w:tblLayout w:type="fixed"/>
          <w:tblCellMar>
            <w:top w:w="15" w:type="dxa"/>
            <w:left w:w="15" w:type="dxa"/>
            <w:bottom w:w="15" w:type="dxa"/>
            <w:right w:w="15" w:type="dxa"/>
          </w:tblCellMar>
        </w:tblPrEx>
        <w:trPr>
          <w:trHeight w:val="332"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val="en-US" w:eastAsia="zh-CN" w:bidi="ar"/>
              </w:rPr>
              <w:t>成本指标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定量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rPr>
              <w:t>人员经费、公用经费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万元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b w:val="0"/>
                <w:bCs w:val="0"/>
                <w:color w:val="auto"/>
                <w:sz w:val="18"/>
                <w:szCs w:val="18"/>
                <w:lang w:val="en-US" w:eastAsia="zh-CN"/>
              </w:rPr>
              <w:t>387.99</w:t>
            </w:r>
            <w:r>
              <w:rPr>
                <w:rFonts w:hint="default" w:ascii="Times New Roman" w:hAnsi="Times New Roman" w:cs="Times New Roman" w:eastAsiaTheme="minorEastAsia"/>
                <w:color w:val="000000"/>
                <w:kern w:val="0"/>
                <w:sz w:val="18"/>
                <w:szCs w:val="18"/>
                <w:lang w:eastAsia="zh-CN" w:bidi="ar"/>
              </w:rPr>
              <w:t>万元</w:t>
            </w:r>
          </w:p>
        </w:tc>
      </w:tr>
      <w:tr>
        <w:tblPrEx>
          <w:tblLayout w:type="fixed"/>
          <w:tblCellMar>
            <w:top w:w="15" w:type="dxa"/>
            <w:left w:w="15" w:type="dxa"/>
            <w:bottom w:w="15" w:type="dxa"/>
            <w:right w:w="15" w:type="dxa"/>
          </w:tblCellMar>
        </w:tblPrEx>
        <w:trPr>
          <w:trHeight w:val="2089"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eastAsia="zh-CN" w:bidi="ar"/>
              </w:rPr>
              <w:t>项目支出</w:t>
            </w:r>
            <w:r>
              <w:rPr>
                <w:rFonts w:hint="default" w:ascii="Times New Roman" w:hAnsi="Times New Roman" w:cs="Times New Roman" w:eastAsiaTheme="minorEastAsia"/>
                <w:color w:val="000000"/>
                <w:kern w:val="0"/>
                <w:sz w:val="18"/>
                <w:szCs w:val="18"/>
                <w:lang w:val="en-US" w:eastAsia="zh-CN" w:bidi="ar"/>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定量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eastAsia="zh-CN" w:bidi="ar"/>
              </w:rPr>
              <w:t>完成计划生育服务、</w:t>
            </w:r>
            <w:r>
              <w:rPr>
                <w:rFonts w:hint="default" w:ascii="Times New Roman" w:hAnsi="Times New Roman" w:cs="Times New Roman" w:eastAsiaTheme="minorEastAsia"/>
                <w:color w:val="000000"/>
                <w:kern w:val="0"/>
                <w:sz w:val="18"/>
                <w:szCs w:val="18"/>
                <w:lang w:bidi="ar"/>
              </w:rPr>
              <w:t>公共区域病媒生物防制</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bidi="ar"/>
              </w:rPr>
              <w:t>普惠托育服务</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bidi="ar"/>
              </w:rPr>
              <w:t>红十字专项</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bidi="ar"/>
              </w:rPr>
              <w:t>重大传染病预防控制工作</w:t>
            </w:r>
            <w:r>
              <w:rPr>
                <w:rFonts w:hint="default" w:ascii="Times New Roman" w:hAnsi="Times New Roman" w:cs="Times New Roman" w:eastAsiaTheme="minorEastAsia"/>
                <w:color w:val="000000"/>
                <w:kern w:val="0"/>
                <w:sz w:val="18"/>
                <w:szCs w:val="18"/>
                <w:lang w:eastAsia="zh-CN" w:bidi="ar"/>
              </w:rPr>
              <w:t>、</w:t>
            </w:r>
            <w:r>
              <w:rPr>
                <w:rFonts w:hint="default" w:ascii="Times New Roman" w:hAnsi="Times New Roman" w:cs="Times New Roman" w:eastAsiaTheme="minorEastAsia"/>
                <w:color w:val="000000"/>
                <w:kern w:val="0"/>
                <w:sz w:val="18"/>
                <w:szCs w:val="18"/>
                <w:lang w:bidi="ar"/>
              </w:rPr>
              <w:t>精神卫生及社会心理服务体系建设工作</w:t>
            </w:r>
            <w:r>
              <w:rPr>
                <w:rFonts w:hint="default" w:ascii="Times New Roman" w:hAnsi="Times New Roman" w:cs="Times New Roman" w:eastAsiaTheme="minorEastAsia"/>
                <w:color w:val="000000"/>
                <w:kern w:val="0"/>
                <w:sz w:val="18"/>
                <w:szCs w:val="18"/>
                <w:lang w:eastAsia="zh-CN" w:bidi="ar"/>
              </w:rPr>
              <w:t>等项目资金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eastAsia="zh-CN" w:bidi="ar"/>
              </w:rPr>
              <w:t>万元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b w:val="0"/>
                <w:bCs w:val="0"/>
                <w:color w:val="auto"/>
                <w:sz w:val="18"/>
                <w:szCs w:val="18"/>
                <w:lang w:val="en-US" w:eastAsia="zh-CN"/>
              </w:rPr>
              <w:t>1234.47万元</w:t>
            </w:r>
          </w:p>
        </w:tc>
      </w:tr>
      <w:tr>
        <w:tblPrEx>
          <w:tblLayout w:type="fixed"/>
          <w:tblCellMar>
            <w:top w:w="15" w:type="dxa"/>
            <w:left w:w="15" w:type="dxa"/>
            <w:bottom w:w="15" w:type="dxa"/>
            <w:right w:w="15" w:type="dxa"/>
          </w:tblCellMar>
        </w:tblPrEx>
        <w:trPr>
          <w:trHeight w:val="1211"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效益指标</w:t>
            </w:r>
          </w:p>
        </w:tc>
        <w:tc>
          <w:tcPr>
            <w:tcW w:w="1273"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社会效益</w:t>
            </w:r>
          </w:p>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指标</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全部街道达到国家病媒生物密度控制水平</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病媒生物密度指标达C级标准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eastAsia="zh-CN" w:bidi="ar"/>
              </w:rPr>
              <w:t>达标</w:t>
            </w:r>
          </w:p>
        </w:tc>
      </w:tr>
      <w:tr>
        <w:tblPrEx>
          <w:tblLayout w:type="fixed"/>
          <w:tblCellMar>
            <w:top w:w="15" w:type="dxa"/>
            <w:left w:w="15" w:type="dxa"/>
            <w:bottom w:w="15" w:type="dxa"/>
            <w:right w:w="15" w:type="dxa"/>
          </w:tblCellMar>
        </w:tblPrEx>
        <w:trPr>
          <w:trHeight w:val="1953"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维护社会稳定，有效促进计生事业发展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提高了计划生育家庭对国家计生政策的满意度，融洽了干群关系，有力地促进了贯彻国家计划生育政策的执行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val="en-US" w:eastAsia="zh-CN" w:bidi="ar"/>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eastAsia="zh-CN" w:bidi="ar"/>
              </w:rPr>
            </w:pPr>
            <w:r>
              <w:rPr>
                <w:rFonts w:hint="default" w:ascii="Times New Roman" w:hAnsi="Times New Roman" w:cs="Times New Roman" w:eastAsiaTheme="minorEastAsia"/>
                <w:color w:val="000000"/>
                <w:kern w:val="0"/>
                <w:sz w:val="18"/>
                <w:szCs w:val="18"/>
                <w:lang w:val="en-US" w:eastAsia="zh-CN" w:bidi="ar"/>
              </w:rPr>
              <w:t>较上年提高</w:t>
            </w:r>
          </w:p>
        </w:tc>
      </w:tr>
      <w:tr>
        <w:tblPrEx>
          <w:tblLayout w:type="fixed"/>
          <w:tblCellMar>
            <w:top w:w="15" w:type="dxa"/>
            <w:left w:w="15" w:type="dxa"/>
            <w:bottom w:w="15" w:type="dxa"/>
            <w:right w:w="15" w:type="dxa"/>
          </w:tblCellMar>
        </w:tblPrEx>
        <w:trPr>
          <w:trHeight w:val="1211"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组织无偿献血活动，传递救死扶伤正能量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保障临床用血全部来自无偿献血，传递救死扶伤正能量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val="en-US" w:eastAsia="zh-CN" w:bidi="ar"/>
              </w:rPr>
            </w:pPr>
            <w:r>
              <w:rPr>
                <w:rFonts w:hint="default" w:ascii="Times New Roman" w:hAnsi="Times New Roman" w:cs="Times New Roman" w:eastAsiaTheme="minorEastAsia"/>
                <w:color w:val="000000"/>
                <w:kern w:val="0"/>
                <w:sz w:val="18"/>
                <w:szCs w:val="18"/>
                <w:lang w:val="en-US" w:eastAsia="zh-CN" w:bidi="ar"/>
              </w:rPr>
              <w:t>完成</w:t>
            </w:r>
          </w:p>
        </w:tc>
      </w:tr>
      <w:tr>
        <w:tblPrEx>
          <w:tblLayout w:type="fixed"/>
          <w:tblCellMar>
            <w:top w:w="15" w:type="dxa"/>
            <w:left w:w="15" w:type="dxa"/>
            <w:bottom w:w="15" w:type="dxa"/>
            <w:right w:w="15" w:type="dxa"/>
          </w:tblCellMar>
        </w:tblPrEx>
        <w:trPr>
          <w:trHeight w:val="625"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减轻毒品危害</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减轻吸毒人群对毒品的依赖和经济负担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i w:val="0"/>
                <w:color w:val="000000"/>
                <w:kern w:val="0"/>
                <w:sz w:val="18"/>
                <w:szCs w:val="18"/>
                <w:u w:val="none"/>
                <w:lang w:val="en-US" w:eastAsia="zh-CN" w:bidi="ar"/>
              </w:rPr>
              <w:t>100%</w:t>
            </w:r>
          </w:p>
        </w:tc>
      </w:tr>
      <w:tr>
        <w:tblPrEx>
          <w:tblLayout w:type="fixed"/>
          <w:tblCellMar>
            <w:top w:w="15" w:type="dxa"/>
            <w:left w:w="15" w:type="dxa"/>
            <w:bottom w:w="15" w:type="dxa"/>
            <w:right w:w="15" w:type="dxa"/>
          </w:tblCellMar>
        </w:tblPrEx>
        <w:trPr>
          <w:trHeight w:val="3554"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273" w:type="dxa"/>
            <w:vMerge w:val="continue"/>
            <w:tcBorders>
              <w:left w:val="single" w:color="auto" w:sz="4" w:space="0"/>
              <w:right w:val="single" w:color="auto"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社会心理服务体系</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eastAsia="zh-CN"/>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建立健全党政领导、部门协同、社会参与的工作机制，搭建社会心理服务平台，作为推动基层平安建设的重要内容，基本形成自尊自信、理性平和、积极向上的社会心态，预防和减少因矛盾突出、生活失意、心态失衡、行为失常等导致的极端案(事)件发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val="en-US" w:bidi="ar"/>
              </w:rPr>
            </w:pPr>
            <w:r>
              <w:rPr>
                <w:rFonts w:hint="default" w:ascii="Times New Roman" w:hAnsi="Times New Roman" w:cs="Times New Roman" w:eastAsiaTheme="minorEastAsia"/>
                <w:color w:val="000000"/>
                <w:kern w:val="0"/>
                <w:sz w:val="18"/>
                <w:szCs w:val="18"/>
                <w:lang w:val="en-US" w:eastAsia="zh-CN" w:bidi="ar"/>
              </w:rPr>
              <w:t>≥95%</w:t>
            </w:r>
          </w:p>
        </w:tc>
      </w:tr>
      <w:tr>
        <w:tblPrEx>
          <w:tblLayout w:type="fixed"/>
          <w:tblCellMar>
            <w:top w:w="15" w:type="dxa"/>
            <w:left w:w="15" w:type="dxa"/>
            <w:bottom w:w="15" w:type="dxa"/>
            <w:right w:w="15" w:type="dxa"/>
          </w:tblCellMar>
        </w:tblPrEx>
        <w:trPr>
          <w:trHeight w:val="63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0"/>
                <w:sz w:val="18"/>
                <w:szCs w:val="18"/>
                <w:lang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rPr>
              <w:t>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kern w:val="2"/>
                <w:sz w:val="18"/>
                <w:szCs w:val="18"/>
                <w:lang w:val="en-US" w:eastAsia="zh-CN" w:bidi="ar-SA"/>
              </w:rPr>
              <w:t>定性</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辖区居民满意度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其他</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default" w:ascii="Times New Roman" w:hAnsi="Times New Roman" w:cs="Times New Roman" w:eastAsiaTheme="minorEastAsia"/>
                <w:color w:val="000000"/>
                <w:kern w:val="0"/>
                <w:sz w:val="18"/>
                <w:szCs w:val="18"/>
                <w:lang w:bidi="ar"/>
              </w:rPr>
            </w:pPr>
            <w:r>
              <w:rPr>
                <w:rFonts w:hint="default" w:ascii="Times New Roman" w:hAnsi="Times New Roman" w:cs="Times New Roman" w:eastAsiaTheme="minorEastAsia"/>
                <w:color w:val="000000"/>
                <w:sz w:val="18"/>
                <w:szCs w:val="18"/>
                <w:lang w:val="en-US" w:eastAsia="zh-CN"/>
              </w:rPr>
              <w:t>基本满意</w:t>
            </w:r>
          </w:p>
        </w:tc>
      </w:tr>
    </w:tbl>
    <w:p>
      <w:pPr>
        <w:widowControl/>
        <w:spacing w:line="300" w:lineRule="exact"/>
        <w:jc w:val="both"/>
        <w:textAlignment w:val="center"/>
        <w:rPr>
          <w:rFonts w:hint="default" w:ascii="Times New Roman" w:hAnsi="Times New Roman" w:cs="Times New Roman" w:eastAsiaTheme="minorEastAsia"/>
          <w:sz w:val="18"/>
          <w:szCs w:val="18"/>
        </w:rPr>
      </w:pPr>
    </w:p>
    <w:p>
      <w:pPr>
        <w:widowControl/>
        <w:spacing w:line="300" w:lineRule="exact"/>
        <w:jc w:val="both"/>
        <w:textAlignment w:val="center"/>
        <w:rPr>
          <w:rFonts w:hint="default" w:ascii="Times New Roman" w:hAnsi="Times New Roman" w:cs="Times New Roman" w:eastAsiaTheme="minorEastAsia"/>
          <w:sz w:val="18"/>
          <w:szCs w:val="18"/>
        </w:rPr>
      </w:pPr>
    </w:p>
    <w:p>
      <w:pPr>
        <w:widowControl/>
        <w:spacing w:line="300" w:lineRule="exact"/>
        <w:jc w:val="both"/>
        <w:textAlignment w:val="center"/>
        <w:rPr>
          <w:rFonts w:hint="default" w:ascii="Times New Roman" w:hAnsi="Times New Roman" w:cs="Times New Roman" w:eastAsiaTheme="minorEastAsia"/>
          <w:sz w:val="18"/>
          <w:szCs w:val="18"/>
        </w:rPr>
      </w:pPr>
    </w:p>
    <w:sectPr>
      <w:footerReference r:id="rId3" w:type="default"/>
      <w:pgSz w:w="11906" w:h="16838"/>
      <w:pgMar w:top="2098" w:right="1474" w:bottom="1984" w:left="1587" w:header="907" w:footer="1644"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MzQxYTRlNjk4MDU3ODhkODNhNzlhZWNhNGRmZDIifQ=="/>
    <w:docVar w:name="KGWebUrl" w:val="http://10.3.1.25:80/seeyon/officeservlet"/>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3F8B"/>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B6928"/>
    <w:rsid w:val="003D10A2"/>
    <w:rsid w:val="003D33B8"/>
    <w:rsid w:val="003D624D"/>
    <w:rsid w:val="003D719A"/>
    <w:rsid w:val="003F1D56"/>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3594D"/>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A741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2476"/>
    <w:rsid w:val="00FB3345"/>
    <w:rsid w:val="00FD0228"/>
    <w:rsid w:val="00FD3BB7"/>
    <w:rsid w:val="00FE0D93"/>
    <w:rsid w:val="00FF2572"/>
    <w:rsid w:val="00FF32AD"/>
    <w:rsid w:val="06041F97"/>
    <w:rsid w:val="08144790"/>
    <w:rsid w:val="0AC959D7"/>
    <w:rsid w:val="0B055058"/>
    <w:rsid w:val="0B684647"/>
    <w:rsid w:val="0C7542DD"/>
    <w:rsid w:val="0DC31556"/>
    <w:rsid w:val="0DDC666E"/>
    <w:rsid w:val="0FF32A9E"/>
    <w:rsid w:val="12EE6356"/>
    <w:rsid w:val="12F86442"/>
    <w:rsid w:val="14AA5F0C"/>
    <w:rsid w:val="14ED0600"/>
    <w:rsid w:val="16AD3DF1"/>
    <w:rsid w:val="175E43D3"/>
    <w:rsid w:val="1A3D6143"/>
    <w:rsid w:val="1B3B29AD"/>
    <w:rsid w:val="1B6127ED"/>
    <w:rsid w:val="1C013801"/>
    <w:rsid w:val="1DFD8D3B"/>
    <w:rsid w:val="1EBC23E6"/>
    <w:rsid w:val="1FA85B6C"/>
    <w:rsid w:val="1FB79DC9"/>
    <w:rsid w:val="1FBFC3F2"/>
    <w:rsid w:val="1FFFE033"/>
    <w:rsid w:val="211267DB"/>
    <w:rsid w:val="22AC37EF"/>
    <w:rsid w:val="230E4CEC"/>
    <w:rsid w:val="247F4BAE"/>
    <w:rsid w:val="24FE6AE2"/>
    <w:rsid w:val="257C63D5"/>
    <w:rsid w:val="259250BF"/>
    <w:rsid w:val="26657A78"/>
    <w:rsid w:val="272F7B96"/>
    <w:rsid w:val="27F352A6"/>
    <w:rsid w:val="28860E34"/>
    <w:rsid w:val="29560A0A"/>
    <w:rsid w:val="29D27F48"/>
    <w:rsid w:val="2B984FA8"/>
    <w:rsid w:val="2D527252"/>
    <w:rsid w:val="2D84403B"/>
    <w:rsid w:val="2DAB6C10"/>
    <w:rsid w:val="2DDC1740"/>
    <w:rsid w:val="2E412081"/>
    <w:rsid w:val="2E787804"/>
    <w:rsid w:val="2EAE55F2"/>
    <w:rsid w:val="2EDF4302"/>
    <w:rsid w:val="2EFE1A04"/>
    <w:rsid w:val="2F316265"/>
    <w:rsid w:val="2F33128D"/>
    <w:rsid w:val="2FFF3854"/>
    <w:rsid w:val="30F05369"/>
    <w:rsid w:val="319D2B9D"/>
    <w:rsid w:val="321067FB"/>
    <w:rsid w:val="327F5475"/>
    <w:rsid w:val="32C21624"/>
    <w:rsid w:val="34093BEC"/>
    <w:rsid w:val="341E2768"/>
    <w:rsid w:val="357F1600"/>
    <w:rsid w:val="35BBF80F"/>
    <w:rsid w:val="35E50D7D"/>
    <w:rsid w:val="3B0B3937"/>
    <w:rsid w:val="3B736F08"/>
    <w:rsid w:val="3BE3D531"/>
    <w:rsid w:val="3D431A40"/>
    <w:rsid w:val="3DCE396C"/>
    <w:rsid w:val="3E385887"/>
    <w:rsid w:val="3EFF42CA"/>
    <w:rsid w:val="3F6FCA38"/>
    <w:rsid w:val="3FD5AF3D"/>
    <w:rsid w:val="3FFED8BE"/>
    <w:rsid w:val="3FFF43BB"/>
    <w:rsid w:val="3FFFFC14"/>
    <w:rsid w:val="433DCF8E"/>
    <w:rsid w:val="439D6CCB"/>
    <w:rsid w:val="45C17776"/>
    <w:rsid w:val="45FF973D"/>
    <w:rsid w:val="47550EBA"/>
    <w:rsid w:val="4A743D04"/>
    <w:rsid w:val="4BC5601A"/>
    <w:rsid w:val="4BF7E09D"/>
    <w:rsid w:val="4CC5608C"/>
    <w:rsid w:val="4CF617A0"/>
    <w:rsid w:val="4F123780"/>
    <w:rsid w:val="507C2A18"/>
    <w:rsid w:val="51B337A3"/>
    <w:rsid w:val="51E66232"/>
    <w:rsid w:val="53BB74FC"/>
    <w:rsid w:val="54D471E9"/>
    <w:rsid w:val="54F76D17"/>
    <w:rsid w:val="55FDDF92"/>
    <w:rsid w:val="55FFBC03"/>
    <w:rsid w:val="56CDA72E"/>
    <w:rsid w:val="576F5916"/>
    <w:rsid w:val="577FDAE2"/>
    <w:rsid w:val="57FBE2C7"/>
    <w:rsid w:val="599E4A48"/>
    <w:rsid w:val="5B335734"/>
    <w:rsid w:val="5B7F322F"/>
    <w:rsid w:val="5BCAB023"/>
    <w:rsid w:val="5BEACB58"/>
    <w:rsid w:val="5D8649C7"/>
    <w:rsid w:val="5DDA9B94"/>
    <w:rsid w:val="5EAB810D"/>
    <w:rsid w:val="5EFA9846"/>
    <w:rsid w:val="5EFF9DA6"/>
    <w:rsid w:val="5F7751B9"/>
    <w:rsid w:val="5F9F7232"/>
    <w:rsid w:val="5F9F9588"/>
    <w:rsid w:val="5FB534B7"/>
    <w:rsid w:val="5FBD32D2"/>
    <w:rsid w:val="5FD450B0"/>
    <w:rsid w:val="5FEF60CD"/>
    <w:rsid w:val="5FFB203D"/>
    <w:rsid w:val="5FFB8CF9"/>
    <w:rsid w:val="6220213F"/>
    <w:rsid w:val="623D38DA"/>
    <w:rsid w:val="62A40365"/>
    <w:rsid w:val="63DBAF21"/>
    <w:rsid w:val="64491D15"/>
    <w:rsid w:val="645C76B6"/>
    <w:rsid w:val="64C33766"/>
    <w:rsid w:val="6636451A"/>
    <w:rsid w:val="67DE80AA"/>
    <w:rsid w:val="697E3B47"/>
    <w:rsid w:val="69BF132E"/>
    <w:rsid w:val="6A4130A4"/>
    <w:rsid w:val="6B7F84D8"/>
    <w:rsid w:val="6BD6446A"/>
    <w:rsid w:val="6BFEE5F3"/>
    <w:rsid w:val="6CA21B03"/>
    <w:rsid w:val="6CAFF34E"/>
    <w:rsid w:val="6CFFCF4F"/>
    <w:rsid w:val="6DFFF8B6"/>
    <w:rsid w:val="6E9FE641"/>
    <w:rsid w:val="6EEDE807"/>
    <w:rsid w:val="6EEE4BE4"/>
    <w:rsid w:val="6EF65E9C"/>
    <w:rsid w:val="6F3D9197"/>
    <w:rsid w:val="6F6F75B6"/>
    <w:rsid w:val="6FAB3EC4"/>
    <w:rsid w:val="6FB6AF41"/>
    <w:rsid w:val="6FD52DA7"/>
    <w:rsid w:val="6FD894C8"/>
    <w:rsid w:val="6FE36A9E"/>
    <w:rsid w:val="6FEFB2D1"/>
    <w:rsid w:val="6FFF97E6"/>
    <w:rsid w:val="706F5F82"/>
    <w:rsid w:val="70D2761D"/>
    <w:rsid w:val="71397E03"/>
    <w:rsid w:val="71D13BC7"/>
    <w:rsid w:val="71FB5B08"/>
    <w:rsid w:val="73542CB5"/>
    <w:rsid w:val="73FB87D9"/>
    <w:rsid w:val="748B016B"/>
    <w:rsid w:val="74C908AF"/>
    <w:rsid w:val="75EF0FBA"/>
    <w:rsid w:val="7607C293"/>
    <w:rsid w:val="76793C4E"/>
    <w:rsid w:val="767B0EE7"/>
    <w:rsid w:val="76DF783A"/>
    <w:rsid w:val="76DFA4E8"/>
    <w:rsid w:val="7753565C"/>
    <w:rsid w:val="778720BD"/>
    <w:rsid w:val="77A7D615"/>
    <w:rsid w:val="77FF366A"/>
    <w:rsid w:val="77FF8C96"/>
    <w:rsid w:val="77FFA8F9"/>
    <w:rsid w:val="7976604B"/>
    <w:rsid w:val="798F4029"/>
    <w:rsid w:val="79D158A9"/>
    <w:rsid w:val="79F3BC78"/>
    <w:rsid w:val="7A5B6CAA"/>
    <w:rsid w:val="7A9314AC"/>
    <w:rsid w:val="7B4F6850"/>
    <w:rsid w:val="7BABD5C4"/>
    <w:rsid w:val="7BB12055"/>
    <w:rsid w:val="7BBFADBA"/>
    <w:rsid w:val="7BF7F9C6"/>
    <w:rsid w:val="7BFF492D"/>
    <w:rsid w:val="7C631402"/>
    <w:rsid w:val="7C978C63"/>
    <w:rsid w:val="7CA35AD0"/>
    <w:rsid w:val="7CDF8BC3"/>
    <w:rsid w:val="7CEB72A5"/>
    <w:rsid w:val="7D18750B"/>
    <w:rsid w:val="7DDFDC39"/>
    <w:rsid w:val="7DFDEECD"/>
    <w:rsid w:val="7E140770"/>
    <w:rsid w:val="7E5D92FB"/>
    <w:rsid w:val="7E635AE7"/>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0917"/>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79A608"/>
    <w:rsid w:val="B5F66F24"/>
    <w:rsid w:val="B7F5200A"/>
    <w:rsid w:val="BABDA1AA"/>
    <w:rsid w:val="BB1B4BF1"/>
    <w:rsid w:val="BBE5FE68"/>
    <w:rsid w:val="BBFEB9C1"/>
    <w:rsid w:val="BDF7406A"/>
    <w:rsid w:val="BE6FD8DB"/>
    <w:rsid w:val="BEEF57C2"/>
    <w:rsid w:val="BF6CD6FF"/>
    <w:rsid w:val="BF6D5596"/>
    <w:rsid w:val="BFBEBB2C"/>
    <w:rsid w:val="BFC68935"/>
    <w:rsid w:val="BFDD0F1D"/>
    <w:rsid w:val="BFDDD096"/>
    <w:rsid w:val="C5B3F496"/>
    <w:rsid w:val="C96F3E49"/>
    <w:rsid w:val="CBBF14F3"/>
    <w:rsid w:val="CBE5DCF2"/>
    <w:rsid w:val="CCFCC735"/>
    <w:rsid w:val="CEEB8A74"/>
    <w:rsid w:val="D37FB642"/>
    <w:rsid w:val="D7F99798"/>
    <w:rsid w:val="D7FF400C"/>
    <w:rsid w:val="D9DB2628"/>
    <w:rsid w:val="DBED1CD4"/>
    <w:rsid w:val="DBFBB328"/>
    <w:rsid w:val="DDD7453A"/>
    <w:rsid w:val="DE3E1FD7"/>
    <w:rsid w:val="DEBFCF8E"/>
    <w:rsid w:val="DFBE1B79"/>
    <w:rsid w:val="DFCF1FEC"/>
    <w:rsid w:val="DFE75A3D"/>
    <w:rsid w:val="DFED2117"/>
    <w:rsid w:val="DFEF594B"/>
    <w:rsid w:val="DFF3F960"/>
    <w:rsid w:val="DFFE0D61"/>
    <w:rsid w:val="E35C4B3C"/>
    <w:rsid w:val="E3A781CA"/>
    <w:rsid w:val="E5DFAB50"/>
    <w:rsid w:val="E6FC647F"/>
    <w:rsid w:val="EAE6D6D4"/>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8D9A400"/>
    <w:rsid w:val="FABF64A5"/>
    <w:rsid w:val="FABF7411"/>
    <w:rsid w:val="FBA53981"/>
    <w:rsid w:val="FBE4457E"/>
    <w:rsid w:val="FBFC558A"/>
    <w:rsid w:val="FBFF71AC"/>
    <w:rsid w:val="FBFFEA2B"/>
    <w:rsid w:val="FCCB27AA"/>
    <w:rsid w:val="FCFF8F4B"/>
    <w:rsid w:val="FD9595AD"/>
    <w:rsid w:val="FDDF4F05"/>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75E44"/>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3">
    <w:name w:val="Document Map"/>
    <w:basedOn w:val="1"/>
    <w:link w:val="23"/>
    <w:qFormat/>
    <w:uiPriority w:val="0"/>
    <w:rPr>
      <w:rFonts w:ascii="宋体" w:eastAsia="宋体"/>
      <w:sz w:val="18"/>
      <w:szCs w:val="18"/>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200" w:leftChars="200"/>
    </w:pPr>
    <w:rPr>
      <w:rFonts w:ascii="仿宋_GB2312"/>
      <w:szCs w:val="32"/>
    </w:rPr>
  </w:style>
  <w:style w:type="paragraph" w:styleId="6">
    <w:name w:val="Balloon Text"/>
    <w:basedOn w:val="1"/>
    <w:semiHidden/>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标题 5（有编号）（绿盟科技）"/>
    <w:next w:val="17"/>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8">
    <w:name w:val="UserStyle_0"/>
    <w:qFormat/>
    <w:uiPriority w:val="0"/>
    <w:pPr>
      <w:textAlignment w:val="baseline"/>
    </w:pPr>
    <w:rPr>
      <w:rFonts w:ascii="仿宋_GB2312" w:hAnsi="Times New Roman" w:eastAsia="仿宋_GB2312" w:cs="Times New Roman"/>
      <w:color w:val="000000"/>
      <w:sz w:val="24"/>
      <w:szCs w:val="24"/>
      <w:lang w:val="en-US" w:eastAsia="zh-CN" w:bidi="ar-SA"/>
    </w:rPr>
  </w:style>
  <w:style w:type="paragraph" w:customStyle="1" w:styleId="19">
    <w:name w:val="_Style 5"/>
    <w:qFormat/>
    <w:uiPriority w:val="99"/>
    <w:pPr>
      <w:widowControl w:val="0"/>
      <w:ind w:firstLine="200" w:firstLineChars="200"/>
      <w:jc w:val="both"/>
    </w:pPr>
    <w:rPr>
      <w:rFonts w:hint="eastAsia" w:ascii="Times New Roman" w:hAnsi="Times New Roman" w:eastAsia="宋体" w:cs="Times New Roman"/>
      <w:kern w:val="2"/>
      <w:sz w:val="24"/>
      <w:lang w:val="en-US" w:eastAsia="zh-CN" w:bidi="ar-SA"/>
    </w:rPr>
  </w:style>
  <w:style w:type="paragraph" w:customStyle="1" w:styleId="20">
    <w:name w:val="BodyText"/>
    <w:next w:val="1"/>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customStyle="1" w:styleId="21">
    <w:name w:val="四号正文"/>
    <w:basedOn w:val="1"/>
    <w:link w:val="22"/>
    <w:qFormat/>
    <w:uiPriority w:val="0"/>
    <w:pPr>
      <w:spacing w:line="360" w:lineRule="auto"/>
    </w:pPr>
    <w:rPr>
      <w:rFonts w:ascii="??" w:hAnsi="??" w:eastAsia="宋体" w:cs="宋体"/>
      <w:color w:val="000000"/>
      <w:kern w:val="0"/>
      <w:sz w:val="28"/>
      <w:szCs w:val="21"/>
    </w:rPr>
  </w:style>
  <w:style w:type="character" w:customStyle="1" w:styleId="22">
    <w:name w:val="四号正文 Char"/>
    <w:basedOn w:val="14"/>
    <w:link w:val="21"/>
    <w:qFormat/>
    <w:uiPriority w:val="0"/>
    <w:rPr>
      <w:rFonts w:ascii="??" w:hAnsi="??" w:eastAsia="宋体" w:cs="宋体"/>
      <w:color w:val="000000"/>
      <w:sz w:val="28"/>
      <w:szCs w:val="21"/>
      <w:lang w:val="en-US" w:eastAsia="zh-CN" w:bidi="ar-SA"/>
    </w:rPr>
  </w:style>
  <w:style w:type="character" w:customStyle="1" w:styleId="23">
    <w:name w:val="文档结构图 Char"/>
    <w:basedOn w:val="14"/>
    <w:link w:val="3"/>
    <w:qFormat/>
    <w:uiPriority w:val="0"/>
    <w:rPr>
      <w:rFonts w:ascii="宋体"/>
      <w:kern w:val="2"/>
      <w:sz w:val="18"/>
      <w:szCs w:val="18"/>
    </w:rPr>
  </w:style>
  <w:style w:type="paragraph" w:customStyle="1" w:styleId="2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5">
    <w:name w:val="页脚 Char"/>
    <w:basedOn w:val="14"/>
    <w:link w:val="7"/>
    <w:qFormat/>
    <w:uiPriority w:val="99"/>
    <w:rPr>
      <w:kern w:val="2"/>
      <w:sz w:val="18"/>
      <w:szCs w:val="18"/>
    </w:rPr>
  </w:style>
  <w:style w:type="character" w:customStyle="1" w:styleId="26">
    <w:name w:val="font31"/>
    <w:basedOn w:val="14"/>
    <w:qFormat/>
    <w:uiPriority w:val="0"/>
    <w:rPr>
      <w:rFonts w:hint="eastAsia" w:ascii="宋体" w:hAnsi="宋体" w:eastAsia="宋体" w:cs="宋体"/>
      <w:color w:val="000000"/>
      <w:sz w:val="24"/>
      <w:szCs w:val="24"/>
      <w:u w:val="none"/>
    </w:rPr>
  </w:style>
  <w:style w:type="character" w:customStyle="1" w:styleId="27">
    <w:name w:val="font51"/>
    <w:basedOn w:val="14"/>
    <w:qFormat/>
    <w:uiPriority w:val="0"/>
    <w:rPr>
      <w:rFonts w:hint="default" w:ascii="Wingdings 2" w:hAnsi="Wingdings 2" w:eastAsia="Wingdings 2" w:cs="Wingdings 2"/>
      <w:color w:val="000000"/>
      <w:sz w:val="18"/>
      <w:szCs w:val="18"/>
      <w:u w:val="none"/>
    </w:rPr>
  </w:style>
  <w:style w:type="character" w:customStyle="1" w:styleId="28">
    <w:name w:val="font01"/>
    <w:basedOn w:val="14"/>
    <w:qFormat/>
    <w:uiPriority w:val="0"/>
    <w:rPr>
      <w:rFonts w:ascii="宋体" w:hAnsi="宋体" w:eastAsia="宋体" w:cs="宋体"/>
      <w:color w:val="000000"/>
      <w:sz w:val="18"/>
      <w:szCs w:val="18"/>
      <w:u w:val="none"/>
    </w:rPr>
  </w:style>
  <w:style w:type="character" w:customStyle="1" w:styleId="29">
    <w:name w:val="font41"/>
    <w:basedOn w:val="14"/>
    <w:qFormat/>
    <w:uiPriority w:val="0"/>
    <w:rPr>
      <w:rFonts w:ascii="宋体" w:hAnsi="宋体" w:eastAsia="宋体" w:cs="宋体"/>
      <w:color w:val="000000"/>
      <w:sz w:val="18"/>
      <w:szCs w:val="18"/>
      <w:u w:val="none"/>
    </w:rPr>
  </w:style>
  <w:style w:type="paragraph" w:customStyle="1" w:styleId="30">
    <w:name w:val="正文-公1"/>
    <w:basedOn w:val="31"/>
    <w:next w:val="1"/>
    <w:qFormat/>
    <w:uiPriority w:val="0"/>
    <w:pPr>
      <w:ind w:firstLine="200" w:firstLineChars="200"/>
    </w:p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Times New Roman" w:hAnsi="Times New Roman" w:eastAsia="宋体" w:cs="Times New Roman"/>
      <w:kern w:val="2"/>
      <w:sz w:val="21"/>
      <w:lang w:val="en-US" w:eastAsia="zh-CN"/>
    </w:rPr>
  </w:style>
  <w:style w:type="paragraph" w:customStyle="1" w:styleId="32">
    <w:name w:val="BodyText1I"/>
    <w:basedOn w:val="20"/>
    <w:next w:val="33"/>
    <w:qFormat/>
    <w:uiPriority w:val="0"/>
    <w:pPr>
      <w:ind w:firstLine="420" w:firstLineChars="100"/>
    </w:pPr>
    <w:rPr>
      <w:rFonts w:ascii="Times New Roman" w:hAnsi="Times New Roman" w:eastAsia="仿宋_GB2312"/>
    </w:rPr>
  </w:style>
  <w:style w:type="paragraph" w:customStyle="1" w:styleId="33">
    <w:name w:val="BodyText1I2"/>
    <w:basedOn w:val="34"/>
    <w:qFormat/>
    <w:uiPriority w:val="0"/>
    <w:pPr>
      <w:ind w:firstLine="420"/>
    </w:pPr>
  </w:style>
  <w:style w:type="paragraph" w:customStyle="1" w:styleId="34">
    <w:name w:val="BodyTextIndent"/>
    <w:basedOn w:val="1"/>
    <w:qFormat/>
    <w:uiPriority w:val="0"/>
    <w:pPr>
      <w:spacing w:after="120"/>
      <w:ind w:left="420" w:leftChars="200"/>
    </w:pPr>
    <w:rPr>
      <w:rFonts w:ascii="Times New Roman" w:hAnsi="Times New Roman"/>
    </w:rPr>
  </w:style>
  <w:style w:type="paragraph" w:customStyle="1" w:styleId="35">
    <w:name w:val="发问编号"/>
    <w:basedOn w:val="1"/>
    <w:qFormat/>
    <w:uiPriority w:val="0"/>
    <w:pPr>
      <w:spacing w:line="600" w:lineRule="exact"/>
      <w:jc w:val="center"/>
    </w:pPr>
    <w:rPr>
      <w:rFonts w:eastAsia="仿宋_GB2312" w:cs="宋体"/>
      <w:sz w:val="32"/>
      <w:szCs w:val="20"/>
    </w:rPr>
  </w:style>
  <w:style w:type="paragraph" w:customStyle="1" w:styleId="36">
    <w:name w:val="公文抄送"/>
    <w:basedOn w:val="1"/>
    <w:qFormat/>
    <w:uiPriority w:val="99"/>
    <w:pPr>
      <w:widowControl w:val="0"/>
      <w:kinsoku/>
      <w:autoSpaceDE/>
      <w:autoSpaceDN/>
      <w:adjustRightInd/>
      <w:snapToGrid/>
      <w:spacing w:line="600" w:lineRule="exact"/>
      <w:jc w:val="both"/>
      <w:textAlignment w:val="auto"/>
    </w:pPr>
    <w:rPr>
      <w:rFonts w:ascii="Times New Roman" w:hAnsi="Times New Roman" w:eastAsia="仿宋_GB2312" w:cs="Times New Roman"/>
      <w:snapToGrid/>
      <w:color w:val="auto"/>
      <w:kern w:val="2"/>
      <w:sz w:val="32"/>
      <w:szCs w:val="32"/>
    </w:rPr>
  </w:style>
  <w:style w:type="paragraph" w:customStyle="1" w:styleId="37">
    <w:name w:val="发文时间和印发时间"/>
    <w:basedOn w:val="1"/>
    <w:qFormat/>
    <w:uiPriority w:val="99"/>
    <w:pPr>
      <w:widowControl w:val="0"/>
      <w:kinsoku/>
      <w:autoSpaceDE/>
      <w:autoSpaceDN/>
      <w:adjustRightInd/>
      <w:snapToGrid/>
      <w:spacing w:line="600" w:lineRule="exact"/>
      <w:jc w:val="right"/>
      <w:textAlignment w:val="auto"/>
    </w:pPr>
    <w:rPr>
      <w:rFonts w:ascii="Times New Roman" w:hAnsi="Times New Roman" w:eastAsia="仿宋_GB2312" w:cs="Times New Roman"/>
      <w:snapToGrid/>
      <w:color w:val="auto"/>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12</Pages>
  <Words>6315</Words>
  <Characters>6685</Characters>
  <Lines>18</Lines>
  <Paragraphs>5</Paragraphs>
  <TotalTime>26</TotalTime>
  <ScaleCrop>false</ScaleCrop>
  <LinksUpToDate>false</LinksUpToDate>
  <CharactersWithSpaces>7022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2025-03-27T08:07:00Z</dcterms:created>
  <dc:creator>陈萍</dc:creator>
  <cp:lastModifiedBy>汪治萍</cp:lastModifiedBy>
  <cp:lastPrinted>2025-05-12T07:34:00Z</cp:lastPrinted>
  <dcterms:modified xsi:type="dcterms:W3CDTF">2025-06-03T08:41:50Z</dcterms:modified>
  <dc:title>区域性就业培训基地建设项目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F5194FAB99AD45CCAE892CD86457B4EC_13</vt:lpwstr>
  </property>
  <property fmtid="{D5CDD505-2E9C-101B-9397-08002B2CF9AE}" pid="4" name="KSOTemplateDocerSaveRecord">
    <vt:lpwstr>eyJoZGlkIjoiNTMwNzU0YjA5MzAwNzg0NDkwODJiNGYzMWU0YzFkMDEiLCJ1c2VySWQiOiIxNjM2NTQwNzI3In0=</vt:lpwstr>
  </property>
</Properties>
</file>