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863E">
      <w:pPr>
        <w:spacing w:line="0" w:lineRule="atLeas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</w:p>
    <w:p w14:paraId="55F51399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eastAsia="方正小标宋_GBK"/>
          <w:sz w:val="44"/>
          <w:szCs w:val="44"/>
        </w:rPr>
        <w:t>年预算绩效管理工作开展情况说明</w:t>
      </w:r>
    </w:p>
    <w:p w14:paraId="0F678C29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</w:p>
    <w:p w14:paraId="2A01F7DF"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西区贯彻落实《中共四川省委 四川省人民政府关于全面实施预算绩效管理的实施意见》（川委发〔2019〕8号），积极推进预算绩效管理工作，牢固树立绩效管理理念，进一步削减低效、无效支出，不断优化财政支出结构，促进绩效管理与预算编制、执行、监督的有机融合，健全全过程的预算绩效管理机制。</w:t>
      </w:r>
    </w:p>
    <w:p w14:paraId="37C57797">
      <w:pPr>
        <w:numPr>
          <w:ilvl w:val="0"/>
          <w:numId w:val="1"/>
        </w:num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加强预算编审</w:t>
      </w:r>
    </w:p>
    <w:p w14:paraId="0DE8D8E1"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区财政局高度重视预算绩效管理工作，对全区预算单位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</w:rPr>
        <w:t>绩效目标填报培训，详细讲解绩效目标的意义、填报流程和注意事项，提高填报人员的填报水平和重视程度。加强预算编审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对单位申报的预算项目进行全面梳理，结合上级部署、行业发展规划等要求，对政策和项目支出设立的必要性、投入经济性、绩效目标合理性等进行评估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为后续的执行、监督、评价工作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打下坚实基础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11AEA51E">
      <w:pPr>
        <w:numPr>
          <w:ilvl w:val="0"/>
          <w:numId w:val="1"/>
        </w:num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开展</w:t>
      </w:r>
      <w:r>
        <w:rPr>
          <w:rFonts w:ascii="黑体" w:hAnsi="黑体" w:eastAsia="黑体" w:cs="黑体"/>
          <w:sz w:val="32"/>
          <w:szCs w:val="32"/>
        </w:rPr>
        <w:t>绩效监控</w:t>
      </w:r>
    </w:p>
    <w:p w14:paraId="7408D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sz w:val="32"/>
          <w:szCs w:val="32"/>
        </w:rPr>
        <w:t>年9月，对全区各预算单位1—8月已拨付预算资金的项目开展绩效运行监控管理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涉及监控资金258,674.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62万元，其中：基本经费52,940.85万元，项目经费205,733.77万元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部门预算绩效目标总体完成较好。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通过绩效</w:t>
      </w:r>
      <w:r>
        <w:rPr>
          <w:rFonts w:ascii="Times New Roman" w:hAnsi="Times New Roman" w:eastAsia="仿宋_GB2312" w:cs="Times New Roman"/>
          <w:sz w:val="32"/>
          <w:szCs w:val="32"/>
        </w:rPr>
        <w:t>监控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，对</w:t>
      </w:r>
      <w:r>
        <w:rPr>
          <w:rFonts w:ascii="Times New Roman" w:hAnsi="Times New Roman" w:eastAsia="仿宋_GB2312" w:cs="Times New Roman"/>
          <w:sz w:val="32"/>
          <w:szCs w:val="32"/>
        </w:rPr>
        <w:t>发现的管理漏洞和绩效目标偏差，及时采取有针对性的措施予以纠正，对发现存在的问题，督促预算部门（单位）及时采取措施进行整改。</w:t>
      </w:r>
    </w:p>
    <w:p w14:paraId="0131F3D0">
      <w:pPr>
        <w:numPr>
          <w:ilvl w:val="0"/>
          <w:numId w:val="1"/>
        </w:num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加强</w:t>
      </w:r>
      <w:r>
        <w:rPr>
          <w:rFonts w:ascii="黑体" w:hAnsi="黑体" w:eastAsia="黑体" w:cs="黑体"/>
          <w:sz w:val="32"/>
          <w:szCs w:val="32"/>
        </w:rPr>
        <w:t>绩效评价</w:t>
      </w:r>
    </w:p>
    <w:p w14:paraId="16071B10"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年度预算执行结束，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区级各预算单位（除涉密单位外）均开展了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部门整体支出绩效自评工作，自评参与率为100%。</w:t>
      </w:r>
      <w:r>
        <w:rPr>
          <w:rFonts w:ascii="Times New Roman" w:hAnsi="Times New Roman" w:eastAsia="仿宋_GB2312" w:cs="Times New Roman"/>
          <w:sz w:val="32"/>
          <w:szCs w:val="32"/>
        </w:rPr>
        <w:t>区财政局在各单位自评基础上，选择了10家重点单位及15个重点项目开展重点评价，涉及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12,957.06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万元，</w:t>
      </w:r>
      <w:r>
        <w:rPr>
          <w:rFonts w:ascii="Times New Roman" w:hAnsi="Times New Roman" w:eastAsia="仿宋_GB2312" w:cs="Times New Roman"/>
          <w:sz w:val="32"/>
          <w:szCs w:val="32"/>
        </w:rPr>
        <w:t>评价内容包括立项的必要性、实施方案的可行性、绩效目标及指标的设定情况、资金管理和使用情况、相关管理制度办法及执行情况、实现的产出情况、取得的效果情况等。</w:t>
      </w:r>
    </w:p>
    <w:p w14:paraId="198A61A0">
      <w:pPr>
        <w:numPr>
          <w:ilvl w:val="0"/>
          <w:numId w:val="1"/>
        </w:num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强化结果应用</w:t>
      </w:r>
    </w:p>
    <w:p w14:paraId="697164CB"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全面实施绩效管理,将绩效管理作为加强现代预算管理制度和现代财政制度建设、推动国家治理体系和治理能力现代化的一项重要举措。</w:t>
      </w:r>
      <w:r>
        <w:rPr>
          <w:rFonts w:ascii="Times New Roman" w:hAnsi="Times New Roman" w:eastAsia="仿宋_GB2312" w:cs="Times New Roman"/>
          <w:sz w:val="32"/>
          <w:szCs w:val="32"/>
        </w:rPr>
        <w:t>区财政局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ascii="Times New Roman" w:hAnsi="Times New Roman" w:eastAsia="仿宋_GB2312" w:cs="Times New Roman"/>
          <w:sz w:val="32"/>
          <w:szCs w:val="32"/>
        </w:rPr>
        <w:t>年度绩效评价结果，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作为下年度安排预算、完善政策、改进管理的重要依据。</w:t>
      </w:r>
      <w:r>
        <w:rPr>
          <w:rFonts w:ascii="Times New Roman" w:hAnsi="Times New Roman" w:eastAsia="仿宋_GB2312" w:cs="Times New Roman"/>
          <w:sz w:val="32"/>
          <w:szCs w:val="32"/>
        </w:rPr>
        <w:t>对于绩效评价结果较差的项目（政策）资金，将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适度</w:t>
      </w:r>
      <w:r>
        <w:rPr>
          <w:rFonts w:ascii="Times New Roman" w:hAnsi="Times New Roman" w:eastAsia="仿宋_GB2312" w:cs="Times New Roman"/>
          <w:sz w:val="32"/>
          <w:szCs w:val="32"/>
        </w:rPr>
        <w:t>调减预算规模，对于政策效果不明显或较差的，将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建议部门</w:t>
      </w:r>
      <w:r>
        <w:rPr>
          <w:rFonts w:ascii="Times New Roman" w:hAnsi="Times New Roman" w:eastAsia="仿宋_GB2312" w:cs="Times New Roman"/>
          <w:sz w:val="32"/>
          <w:szCs w:val="32"/>
        </w:rPr>
        <w:t>修改完善政策或取消支出政策。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46489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91BC2C0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1F902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6977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4E07390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B08DBB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9FE27"/>
    <w:multiLevelType w:val="singleLevel"/>
    <w:tmpl w:val="D229FE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YxNzc4NDYwZmMxNDkyMDFiMzVmZDRlMTYxZmQifQ=="/>
  </w:docVars>
  <w:rsids>
    <w:rsidRoot w:val="004B424F"/>
    <w:rsid w:val="000B7813"/>
    <w:rsid w:val="001259ED"/>
    <w:rsid w:val="001C541B"/>
    <w:rsid w:val="002319C1"/>
    <w:rsid w:val="00251FEF"/>
    <w:rsid w:val="00267E89"/>
    <w:rsid w:val="0047578C"/>
    <w:rsid w:val="004B424F"/>
    <w:rsid w:val="0057616A"/>
    <w:rsid w:val="005A0E14"/>
    <w:rsid w:val="00A443DD"/>
    <w:rsid w:val="00B36CF5"/>
    <w:rsid w:val="00CF114C"/>
    <w:rsid w:val="00E51E18"/>
    <w:rsid w:val="00F46165"/>
    <w:rsid w:val="00F971A4"/>
    <w:rsid w:val="2C3D4920"/>
    <w:rsid w:val="2C494256"/>
    <w:rsid w:val="33DA47BF"/>
    <w:rsid w:val="42B1469C"/>
    <w:rsid w:val="44027B55"/>
    <w:rsid w:val="565A01E4"/>
    <w:rsid w:val="5E983D0A"/>
    <w:rsid w:val="63B50022"/>
    <w:rsid w:val="64E30828"/>
    <w:rsid w:val="6D624E3E"/>
    <w:rsid w:val="71675991"/>
    <w:rsid w:val="735B57E7"/>
    <w:rsid w:val="761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textAlignment w:val="baseline"/>
    </w:pPr>
    <w:rPr>
      <w:rFonts w:ascii="Calibri" w:hAnsi="Calibri" w:eastAsia="宋体" w:cs="Times New Roman"/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0F37-7F3E-4826-B220-A39CD82FDF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813</Words>
  <Characters>848</Characters>
  <Lines>6</Lines>
  <Paragraphs>1</Paragraphs>
  <TotalTime>12</TotalTime>
  <ScaleCrop>false</ScaleCrop>
  <LinksUpToDate>false</LinksUpToDate>
  <CharactersWithSpaces>849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2021-05-26T05:21:00Z</dcterms:created>
  <dc:creator>谢紫秋</dc:creator>
  <cp:lastModifiedBy>杨晶</cp:lastModifiedBy>
  <dcterms:modified xsi:type="dcterms:W3CDTF">2025-03-26T03:23:10Z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045B07EF1A1C4AD28778B857061541C8_13</vt:lpwstr>
  </property>
</Properties>
</file>