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FE064">
      <w:pPr>
        <w:spacing w:line="600" w:lineRule="exact"/>
        <w:jc w:val="center"/>
        <w:outlineLvl w:val="0"/>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攀枝花市西区</w:t>
      </w:r>
    </w:p>
    <w:p w14:paraId="3D5CDA5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44"/>
          <w:szCs w:val="44"/>
        </w:rPr>
        <w:t>202</w:t>
      </w:r>
      <w:r>
        <w:rPr>
          <w:rFonts w:hint="eastAsia" w:ascii="Times New Roman" w:hAnsi="Times New Roman" w:eastAsia="方正小标宋_GBK" w:cs="Times New Roman"/>
          <w:b w:val="0"/>
          <w:bCs/>
          <w:color w:val="000000"/>
          <w:sz w:val="44"/>
          <w:szCs w:val="44"/>
          <w:lang w:val="en-US" w:eastAsia="zh-CN"/>
        </w:rPr>
        <w:t>4</w:t>
      </w:r>
      <w:r>
        <w:rPr>
          <w:rFonts w:hint="default" w:ascii="Times New Roman" w:hAnsi="Times New Roman" w:eastAsia="方正小标宋_GBK" w:cs="Times New Roman"/>
          <w:b w:val="0"/>
          <w:bCs/>
          <w:color w:val="000000"/>
          <w:sz w:val="44"/>
          <w:szCs w:val="44"/>
        </w:rPr>
        <w:t>年</w:t>
      </w:r>
      <w:r>
        <w:rPr>
          <w:rFonts w:hint="eastAsia" w:ascii="Times New Roman" w:hAnsi="Times New Roman" w:eastAsia="方正小标宋_GBK" w:cs="Times New Roman"/>
          <w:b w:val="0"/>
          <w:bCs/>
          <w:color w:val="000000"/>
          <w:sz w:val="44"/>
          <w:szCs w:val="44"/>
          <w:lang w:val="en-US" w:eastAsia="zh-CN"/>
        </w:rPr>
        <w:t>整体</w:t>
      </w:r>
      <w:r>
        <w:rPr>
          <w:rFonts w:hint="default" w:ascii="Times New Roman" w:hAnsi="Times New Roman" w:eastAsia="方正小标宋_GBK" w:cs="Times New Roman"/>
          <w:b w:val="0"/>
          <w:bCs/>
          <w:color w:val="000000"/>
          <w:sz w:val="44"/>
          <w:szCs w:val="44"/>
        </w:rPr>
        <w:t>和项目</w:t>
      </w:r>
      <w:r>
        <w:rPr>
          <w:rFonts w:hint="eastAsia"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政策</w:t>
      </w:r>
      <w:r>
        <w:rPr>
          <w:rFonts w:hint="eastAsia"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绩效评价报告</w:t>
      </w:r>
    </w:p>
    <w:p w14:paraId="2419D6D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60" w:firstLineChars="200"/>
        <w:jc w:val="both"/>
        <w:rPr>
          <w:rFonts w:hint="default" w:ascii="Times New Roman" w:hAnsi="Times New Roman" w:eastAsia="方正小标宋_GBK" w:cs="Times New Roman"/>
          <w:b w:val="0"/>
          <w:bCs/>
          <w:color w:val="000000"/>
          <w:sz w:val="38"/>
          <w:szCs w:val="38"/>
        </w:rPr>
      </w:pPr>
    </w:p>
    <w:p w14:paraId="3A87292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bidi="ar"/>
        </w:rPr>
      </w:pPr>
      <w:r>
        <w:rPr>
          <w:rFonts w:hint="eastAsia" w:ascii="Times New Roman" w:hAnsi="Times New Roman" w:eastAsia="方正仿宋_GBK" w:cs="Times New Roman"/>
          <w:color w:val="auto"/>
          <w:sz w:val="33"/>
          <w:szCs w:val="33"/>
          <w:highlight w:val="none"/>
          <w:shd w:val="clear" w:color="auto" w:fill="auto"/>
          <w:lang w:bidi="ar"/>
        </w:rPr>
        <w:t>为贯彻落实《中共四川省委 四川省人民政府关于全面实施预算绩效管理的实施意见》（川委发〔2019〕8号）和《攀枝花市财政局关于开展2023年度财政重点项目（政策）支出绩效评价和部门整体支出绩效评价工作的通知》（攀财绩〔2023〕7号）精神，区政府高度重视，积极组织开展财政支出绩效评价工作，现将西区</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年度重点财政资金绩效评价工作报告如下。</w:t>
      </w:r>
    </w:p>
    <w:p w14:paraId="4EFA3A5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ascii="Times New Roman" w:hAnsi="Times New Roman" w:eastAsia="方正黑体_GBK" w:cs="Times New Roman"/>
          <w:color w:val="auto"/>
          <w:kern w:val="0"/>
          <w:sz w:val="33"/>
          <w:szCs w:val="33"/>
          <w:highlight w:val="none"/>
          <w:shd w:val="clear" w:color="auto" w:fill="auto"/>
          <w:lang w:val="en-US" w:eastAsia="zh-CN" w:bidi="ar-SA"/>
        </w:rPr>
        <w:t>一、绩效评价基本情况</w:t>
      </w:r>
    </w:p>
    <w:p w14:paraId="7637B002">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hint="eastAsia" w:ascii="Times New Roman" w:hAnsi="Times New Roman" w:eastAsia="方正仿宋_GBK" w:cs="Times New Roman"/>
          <w:color w:val="auto"/>
          <w:sz w:val="33"/>
          <w:szCs w:val="33"/>
          <w:highlight w:val="none"/>
          <w:shd w:val="clear" w:color="auto" w:fill="auto"/>
          <w:lang w:bidi="ar"/>
        </w:rPr>
        <w:t>为加强财政资金支出管理，推进西区财政支出绩效评价工作，按照</w:t>
      </w:r>
      <w:r>
        <w:rPr>
          <w:rFonts w:hint="eastAsia" w:ascii="Times New Roman" w:hAnsi="Times New Roman" w:eastAsia="方正仿宋_GBK" w:cs="Times New Roman"/>
          <w:color w:val="auto"/>
          <w:sz w:val="33"/>
          <w:szCs w:val="33"/>
          <w:highlight w:val="none"/>
          <w:shd w:val="clear" w:color="auto" w:fill="auto"/>
          <w:lang w:eastAsia="zh-CN" w:bidi="ar"/>
        </w:rPr>
        <w:t>有</w:t>
      </w:r>
      <w:r>
        <w:rPr>
          <w:rFonts w:hint="eastAsia" w:ascii="Times New Roman" w:hAnsi="Times New Roman" w:eastAsia="方正仿宋_GBK" w:cs="Times New Roman"/>
          <w:color w:val="auto"/>
          <w:sz w:val="33"/>
          <w:szCs w:val="33"/>
          <w:highlight w:val="none"/>
          <w:shd w:val="clear" w:color="auto" w:fill="auto"/>
          <w:lang w:bidi="ar"/>
        </w:rPr>
        <w:t>关文件要求，</w:t>
      </w:r>
      <w:r>
        <w:rPr>
          <w:rFonts w:hint="eastAsia" w:ascii="Times New Roman" w:hAnsi="Times New Roman" w:eastAsia="方正仿宋_GBK" w:cs="Times New Roman"/>
          <w:color w:val="auto"/>
          <w:sz w:val="33"/>
          <w:szCs w:val="33"/>
          <w:highlight w:val="none"/>
          <w:shd w:val="clear" w:color="auto" w:fill="auto"/>
          <w:lang w:eastAsia="zh-CN" w:bidi="ar"/>
        </w:rPr>
        <w:t>印发</w:t>
      </w:r>
      <w:r>
        <w:rPr>
          <w:rFonts w:hint="eastAsia" w:ascii="Times New Roman" w:hAnsi="Times New Roman" w:eastAsia="方正仿宋_GBK" w:cs="Times New Roman"/>
          <w:color w:val="auto"/>
          <w:sz w:val="33"/>
          <w:szCs w:val="33"/>
          <w:highlight w:val="none"/>
          <w:shd w:val="clear" w:color="auto" w:fill="auto"/>
          <w:lang w:bidi="ar"/>
        </w:rPr>
        <w:t>《关于开展202</w:t>
      </w:r>
      <w:r>
        <w:rPr>
          <w:rFonts w:hint="eastAsia" w:ascii="Times New Roman" w:hAnsi="Times New Roman" w:eastAsia="方正仿宋_GBK" w:cs="Times New Roman"/>
          <w:color w:val="auto"/>
          <w:sz w:val="33"/>
          <w:szCs w:val="33"/>
          <w:highlight w:val="none"/>
          <w:shd w:val="clear" w:color="auto" w:fill="auto"/>
          <w:lang w:val="en-US" w:eastAsia="zh-CN" w:bidi="ar"/>
        </w:rPr>
        <w:t>3</w:t>
      </w:r>
      <w:r>
        <w:rPr>
          <w:rFonts w:hint="eastAsia" w:ascii="Times New Roman" w:hAnsi="Times New Roman" w:eastAsia="方正仿宋_GBK" w:cs="Times New Roman"/>
          <w:color w:val="auto"/>
          <w:sz w:val="33"/>
          <w:szCs w:val="33"/>
          <w:highlight w:val="none"/>
          <w:shd w:val="clear" w:color="auto" w:fill="auto"/>
          <w:lang w:bidi="ar"/>
        </w:rPr>
        <w:t>年度预算绩效自评工作的通知》（攀西财〔202</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37</w:t>
      </w:r>
      <w:r>
        <w:rPr>
          <w:rFonts w:hint="eastAsia" w:ascii="Times New Roman" w:hAnsi="Times New Roman" w:eastAsia="方正仿宋_GBK" w:cs="Times New Roman"/>
          <w:color w:val="auto"/>
          <w:sz w:val="33"/>
          <w:szCs w:val="33"/>
          <w:highlight w:val="none"/>
          <w:shd w:val="clear" w:color="auto" w:fill="auto"/>
          <w:lang w:bidi="ar"/>
        </w:rPr>
        <w:t>号）、《关于开展2023年度财政重点项目（政策）支出绩效评价和部门整体支出绩效评价》（攀西财〔202</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67</w:t>
      </w:r>
      <w:r>
        <w:rPr>
          <w:rFonts w:hint="eastAsia" w:ascii="Times New Roman" w:hAnsi="Times New Roman" w:eastAsia="方正仿宋_GBK" w:cs="Times New Roman"/>
          <w:color w:val="auto"/>
          <w:sz w:val="33"/>
          <w:szCs w:val="33"/>
          <w:highlight w:val="none"/>
          <w:shd w:val="clear" w:color="auto" w:fill="auto"/>
          <w:lang w:bidi="ar"/>
        </w:rPr>
        <w:t>号）通知，对202</w:t>
      </w:r>
      <w:r>
        <w:rPr>
          <w:rFonts w:hint="eastAsia" w:ascii="Times New Roman" w:hAnsi="Times New Roman" w:eastAsia="方正仿宋_GBK" w:cs="Times New Roman"/>
          <w:color w:val="auto"/>
          <w:sz w:val="33"/>
          <w:szCs w:val="33"/>
          <w:highlight w:val="none"/>
          <w:shd w:val="clear" w:color="auto" w:fill="auto"/>
          <w:lang w:val="en-US" w:eastAsia="zh-CN" w:bidi="ar"/>
        </w:rPr>
        <w:t>3</w:t>
      </w:r>
      <w:r>
        <w:rPr>
          <w:rFonts w:hint="eastAsia" w:ascii="Times New Roman" w:hAnsi="Times New Roman" w:eastAsia="方正仿宋_GBK" w:cs="Times New Roman"/>
          <w:color w:val="auto"/>
          <w:sz w:val="33"/>
          <w:szCs w:val="33"/>
          <w:highlight w:val="none"/>
          <w:shd w:val="clear" w:color="auto" w:fill="auto"/>
          <w:lang w:bidi="ar"/>
        </w:rPr>
        <w:t>年度区级财政支出绩效评价工作进行</w:t>
      </w:r>
      <w:r>
        <w:rPr>
          <w:rFonts w:hint="eastAsia" w:ascii="Times New Roman" w:hAnsi="Times New Roman" w:eastAsia="方正仿宋_GBK" w:cs="Times New Roman"/>
          <w:color w:val="auto"/>
          <w:sz w:val="33"/>
          <w:szCs w:val="33"/>
          <w:highlight w:val="none"/>
          <w:shd w:val="clear" w:color="auto" w:fill="auto"/>
          <w:lang w:eastAsia="zh-CN" w:bidi="ar"/>
        </w:rPr>
        <w:t>安排</w:t>
      </w:r>
      <w:r>
        <w:rPr>
          <w:rFonts w:hint="eastAsia" w:ascii="Times New Roman" w:hAnsi="Times New Roman" w:eastAsia="方正仿宋_GBK" w:cs="Times New Roman"/>
          <w:color w:val="auto"/>
          <w:sz w:val="33"/>
          <w:szCs w:val="33"/>
          <w:highlight w:val="none"/>
          <w:shd w:val="clear" w:color="auto" w:fill="auto"/>
          <w:lang w:bidi="ar"/>
        </w:rPr>
        <w:t>，明确具体要求。区级各预算单位（除涉密单位外）均开展了202</w:t>
      </w:r>
      <w:r>
        <w:rPr>
          <w:rFonts w:hint="eastAsia" w:ascii="Times New Roman" w:hAnsi="Times New Roman" w:eastAsia="方正仿宋_GBK" w:cs="Times New Roman"/>
          <w:color w:val="auto"/>
          <w:sz w:val="33"/>
          <w:szCs w:val="33"/>
          <w:highlight w:val="none"/>
          <w:shd w:val="clear" w:color="auto" w:fill="auto"/>
          <w:lang w:val="en-US" w:eastAsia="zh-CN" w:bidi="ar"/>
        </w:rPr>
        <w:t>3年度</w:t>
      </w:r>
      <w:r>
        <w:rPr>
          <w:rFonts w:hint="eastAsia" w:ascii="Times New Roman" w:hAnsi="Times New Roman" w:eastAsia="方正仿宋_GBK" w:cs="Times New Roman"/>
          <w:color w:val="auto"/>
          <w:sz w:val="33"/>
          <w:szCs w:val="33"/>
          <w:highlight w:val="none"/>
          <w:shd w:val="clear" w:color="auto" w:fill="auto"/>
          <w:lang w:bidi="ar"/>
        </w:rPr>
        <w:t>部门整体支出绩效自评工作，自评参与率为100%。重点抽取区政协办公室</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区残联</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区人社局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区司法局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区档案馆</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区矿产资源保护中心</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区林业局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区行政审批局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区统计局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河门口街办共10家单位进行整体绩效评价，对评价中发现的问题，要求部门及时整改、完善，并对下一步工作提出建议，评价结果将作为次年预算编制和资金安排的重要依据。</w:t>
      </w:r>
    </w:p>
    <w:p w14:paraId="1D3FD8B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二、部门资金总体情况</w:t>
      </w:r>
    </w:p>
    <w:p w14:paraId="0B943AD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（一）年度预算安排情况。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2023年，区级部门预算总体安排131,153.58万元，其中，年初预算56,153.15万元、追加预算75,000.43万元。选取10家预算单位开展整体绩效重点评价，涉及财政资金11,055.51万</w:t>
      </w:r>
      <w:bookmarkStart w:id="3" w:name="_GoBack"/>
      <w:bookmarkEnd w:id="3"/>
      <w:r>
        <w:rPr>
          <w:rFonts w:hint="eastAsia" w:ascii="Times New Roman" w:hAnsi="Times New Roman" w:eastAsia="方正仿宋_GBK" w:cs="宋体"/>
          <w:color w:val="auto"/>
          <w:kern w:val="0"/>
          <w:sz w:val="33"/>
          <w:szCs w:val="33"/>
          <w:highlight w:val="none"/>
          <w:shd w:val="clear" w:color="auto" w:fill="auto"/>
          <w:lang w:val="en-US" w:eastAsia="zh-CN" w:bidi="ar"/>
        </w:rPr>
        <w:t>元，其中，年初预算4,931.58万元、追加预算6,123.93万元。选取15个项目开展项目绩效重点评价，涉及财政资金1,901.55万元。</w:t>
      </w:r>
    </w:p>
    <w:p w14:paraId="081A271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（二）年度预算支出情况。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2023年，区级部门总体支出99,176.42万元，其中，年初预算支出38,717.67万元，追加预算支出60,458.75万元。重点绩效评价涉及10个单位，支出8,931.79万元。重点绩效评价涉及15个项目，支出1,777.37万元。</w:t>
      </w:r>
    </w:p>
    <w:p w14:paraId="0B1EDDC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SA"/>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（三）以前年度结转结余使用情况。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2023年，累计结转结余资金16,747.26万元，支出8,174.82万元。重点绩效评价涉及10个单位，累计结转结余资金4,144.09万元，支出2,582.85万元。</w:t>
      </w:r>
    </w:p>
    <w:p w14:paraId="693F2E5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三、财政支出管理情况</w:t>
      </w:r>
    </w:p>
    <w:p w14:paraId="2F018060">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bidi="ar"/>
        </w:rPr>
        <w:t>（一</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bidi="ar"/>
        </w:rPr>
        <w:t>专项资金分配情况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年，上级专款下达</w:t>
      </w:r>
      <w:r>
        <w:rPr>
          <w:rFonts w:hint="eastAsia" w:ascii="Times New Roman" w:hAnsi="Times New Roman" w:eastAsia="方正仿宋_GBK" w:cs="Times New Roman"/>
          <w:color w:val="auto"/>
          <w:sz w:val="33"/>
          <w:szCs w:val="33"/>
          <w:highlight w:val="none"/>
          <w:shd w:val="clear" w:color="auto" w:fill="auto"/>
          <w:lang w:val="en-US" w:eastAsia="zh-CN" w:bidi="ar"/>
        </w:rPr>
        <w:t>40,162.14</w:t>
      </w:r>
      <w:r>
        <w:rPr>
          <w:rFonts w:hint="eastAsia" w:ascii="Times New Roman" w:hAnsi="Times New Roman" w:eastAsia="方正仿宋_GBK" w:cs="Times New Roman"/>
          <w:color w:val="auto"/>
          <w:sz w:val="33"/>
          <w:szCs w:val="33"/>
          <w:highlight w:val="none"/>
          <w:shd w:val="clear" w:color="auto" w:fill="auto"/>
          <w:lang w:bidi="ar"/>
        </w:rPr>
        <w:t>万元，支出</w:t>
      </w:r>
      <w:r>
        <w:rPr>
          <w:rFonts w:hint="eastAsia" w:ascii="Times New Roman" w:hAnsi="Times New Roman" w:eastAsia="方正仿宋_GBK" w:cs="Times New Roman"/>
          <w:color w:val="auto"/>
          <w:sz w:val="33"/>
          <w:szCs w:val="33"/>
          <w:highlight w:val="none"/>
          <w:shd w:val="clear" w:color="auto" w:fill="auto"/>
          <w:lang w:val="en-US" w:eastAsia="zh-CN" w:bidi="ar"/>
        </w:rPr>
        <w:t>18,073.39</w:t>
      </w:r>
      <w:r>
        <w:rPr>
          <w:rFonts w:hint="eastAsia" w:ascii="Times New Roman" w:hAnsi="Times New Roman" w:eastAsia="方正仿宋_GBK" w:cs="Times New Roman"/>
          <w:color w:val="auto"/>
          <w:sz w:val="33"/>
          <w:szCs w:val="33"/>
          <w:highlight w:val="none"/>
          <w:shd w:val="clear" w:color="auto" w:fill="auto"/>
          <w:lang w:bidi="ar"/>
        </w:rPr>
        <w:t>万元。重点绩效评价涉及10个单位，上级专款下达</w:t>
      </w:r>
      <w:r>
        <w:rPr>
          <w:rFonts w:hint="eastAsia" w:ascii="Times New Roman" w:hAnsi="Times New Roman" w:eastAsia="方正仿宋_GBK" w:cs="Times New Roman"/>
          <w:color w:val="auto"/>
          <w:sz w:val="33"/>
          <w:szCs w:val="33"/>
          <w:highlight w:val="none"/>
          <w:shd w:val="clear" w:color="auto" w:fill="auto"/>
          <w:lang w:val="en-US" w:eastAsia="zh-CN" w:bidi="ar"/>
        </w:rPr>
        <w:t>1,844.11</w:t>
      </w:r>
      <w:r>
        <w:rPr>
          <w:rFonts w:hint="eastAsia" w:ascii="Times New Roman" w:hAnsi="Times New Roman" w:eastAsia="方正仿宋_GBK" w:cs="Times New Roman"/>
          <w:color w:val="auto"/>
          <w:sz w:val="33"/>
          <w:szCs w:val="33"/>
          <w:highlight w:val="none"/>
          <w:shd w:val="clear" w:color="auto" w:fill="auto"/>
          <w:lang w:bidi="ar"/>
        </w:rPr>
        <w:t>万元，支出</w:t>
      </w:r>
      <w:r>
        <w:rPr>
          <w:rFonts w:hint="eastAsia" w:ascii="Times New Roman" w:hAnsi="Times New Roman" w:eastAsia="方正仿宋_GBK" w:cs="Times New Roman"/>
          <w:color w:val="auto"/>
          <w:sz w:val="33"/>
          <w:szCs w:val="33"/>
          <w:highlight w:val="none"/>
          <w:shd w:val="clear" w:color="auto" w:fill="auto"/>
          <w:lang w:val="en-US" w:eastAsia="zh-CN" w:bidi="ar"/>
        </w:rPr>
        <w:t>917.22</w:t>
      </w:r>
      <w:r>
        <w:rPr>
          <w:rFonts w:hint="eastAsia" w:ascii="Times New Roman" w:hAnsi="Times New Roman" w:eastAsia="方正仿宋_GBK" w:cs="Times New Roman"/>
          <w:color w:val="auto"/>
          <w:sz w:val="33"/>
          <w:szCs w:val="33"/>
          <w:highlight w:val="none"/>
          <w:shd w:val="clear" w:color="auto" w:fill="auto"/>
          <w:lang w:eastAsia="zh-CN" w:bidi="ar"/>
        </w:rPr>
        <w:t>万</w:t>
      </w:r>
      <w:r>
        <w:rPr>
          <w:rFonts w:hint="eastAsia" w:ascii="Times New Roman" w:hAnsi="Times New Roman" w:eastAsia="方正仿宋_GBK" w:cs="Times New Roman"/>
          <w:color w:val="auto"/>
          <w:sz w:val="33"/>
          <w:szCs w:val="33"/>
          <w:highlight w:val="none"/>
          <w:shd w:val="clear" w:color="auto" w:fill="auto"/>
          <w:lang w:bidi="ar"/>
        </w:rPr>
        <w:t>元。</w:t>
      </w:r>
    </w:p>
    <w:p w14:paraId="04C99A6A">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（二）资产管理</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ascii="Times New Roman" w:hAnsi="Times New Roman" w:eastAsia="方正仿宋_GBK" w:cs="Times New Roman"/>
          <w:color w:val="auto"/>
          <w:sz w:val="33"/>
          <w:szCs w:val="33"/>
          <w:highlight w:val="none"/>
          <w:shd w:val="clear" w:color="auto" w:fill="auto"/>
          <w:lang w:bidi="ar"/>
        </w:rPr>
        <w:t>截至</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ascii="Times New Roman" w:hAnsi="Times New Roman" w:eastAsia="方正仿宋_GBK" w:cs="Times New Roman"/>
          <w:color w:val="auto"/>
          <w:sz w:val="33"/>
          <w:szCs w:val="33"/>
          <w:highlight w:val="none"/>
          <w:shd w:val="clear" w:color="auto" w:fill="auto"/>
          <w:lang w:bidi="ar"/>
        </w:rPr>
        <w:t>年12月31日，西区资产总计（账面净值，下同）</w:t>
      </w:r>
      <w:r>
        <w:rPr>
          <w:rFonts w:hint="eastAsia" w:ascii="Times New Roman" w:hAnsi="Times New Roman" w:eastAsia="方正仿宋_GBK" w:cs="Times New Roman"/>
          <w:color w:val="auto"/>
          <w:sz w:val="33"/>
          <w:szCs w:val="33"/>
          <w:highlight w:val="none"/>
          <w:shd w:val="clear" w:color="auto" w:fill="auto"/>
          <w:lang w:val="en-US" w:eastAsia="zh-CN" w:bidi="ar"/>
        </w:rPr>
        <w:t>186,242.53</w:t>
      </w:r>
      <w:r>
        <w:rPr>
          <w:rFonts w:ascii="Times New Roman" w:hAnsi="Times New Roman" w:eastAsia="方正仿宋_GBK" w:cs="Times New Roman"/>
          <w:color w:val="auto"/>
          <w:sz w:val="33"/>
          <w:szCs w:val="33"/>
          <w:highlight w:val="none"/>
          <w:shd w:val="clear" w:color="auto" w:fill="auto"/>
          <w:lang w:bidi="ar"/>
        </w:rPr>
        <w:t>万元，较上年增长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15.54</w:t>
      </w:r>
      <w:r>
        <w:rPr>
          <w:rFonts w:ascii="Times New Roman" w:hAnsi="Times New Roman" w:eastAsia="方正仿宋_GBK" w:cs="Times New Roman"/>
          <w:color w:val="auto"/>
          <w:sz w:val="33"/>
          <w:szCs w:val="33"/>
          <w:highlight w:val="none"/>
          <w:shd w:val="clear" w:color="auto" w:fill="auto"/>
          <w:lang w:bidi="ar"/>
        </w:rPr>
        <w:t>%；负债总计</w:t>
      </w:r>
      <w:r>
        <w:rPr>
          <w:rFonts w:hint="eastAsia" w:ascii="Times New Roman" w:hAnsi="Times New Roman" w:eastAsia="方正仿宋_GBK" w:cs="Times New Roman"/>
          <w:color w:val="auto"/>
          <w:sz w:val="33"/>
          <w:szCs w:val="33"/>
          <w:highlight w:val="none"/>
          <w:shd w:val="clear" w:color="auto" w:fill="auto"/>
          <w:lang w:val="en-US" w:eastAsia="zh-CN" w:bidi="ar"/>
        </w:rPr>
        <w:t>42,744.01</w:t>
      </w:r>
      <w:r>
        <w:rPr>
          <w:rFonts w:ascii="Times New Roman" w:hAnsi="Times New Roman" w:eastAsia="方正仿宋_GBK" w:cs="Times New Roman"/>
          <w:color w:val="auto"/>
          <w:sz w:val="33"/>
          <w:szCs w:val="33"/>
          <w:highlight w:val="none"/>
          <w:shd w:val="clear" w:color="auto" w:fill="auto"/>
          <w:lang w:bidi="ar"/>
        </w:rPr>
        <w:t>万元</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color w:val="auto"/>
          <w:sz w:val="33"/>
          <w:szCs w:val="33"/>
          <w:highlight w:val="none"/>
          <w:shd w:val="clear" w:color="auto" w:fill="auto"/>
          <w:lang w:bidi="ar"/>
        </w:rPr>
        <w:t>较上年</w:t>
      </w:r>
      <w:r>
        <w:rPr>
          <w:rFonts w:hint="eastAsia" w:ascii="Times New Roman" w:hAnsi="Times New Roman" w:eastAsia="方正仿宋_GBK" w:cs="Times New Roman"/>
          <w:color w:val="auto"/>
          <w:sz w:val="33"/>
          <w:szCs w:val="33"/>
          <w:highlight w:val="none"/>
          <w:shd w:val="clear" w:color="auto" w:fill="auto"/>
          <w:lang w:eastAsia="zh-CN" w:bidi="ar"/>
        </w:rPr>
        <w:t>下降</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ascii="Times New Roman" w:hAnsi="Times New Roman" w:eastAsia="方正仿宋_GBK" w:cs="Times New Roman"/>
          <w:color w:val="auto"/>
          <w:sz w:val="33"/>
          <w:szCs w:val="33"/>
          <w:highlight w:val="none"/>
          <w:shd w:val="clear" w:color="auto" w:fill="auto"/>
          <w:lang w:bidi="ar"/>
        </w:rPr>
        <w:t>.75%。净资产</w:t>
      </w:r>
      <w:r>
        <w:rPr>
          <w:rFonts w:hint="eastAsia" w:ascii="Times New Roman" w:hAnsi="Times New Roman" w:eastAsia="方正仿宋_GBK" w:cs="Times New Roman"/>
          <w:color w:val="auto"/>
          <w:sz w:val="33"/>
          <w:szCs w:val="33"/>
          <w:highlight w:val="none"/>
          <w:shd w:val="clear" w:color="auto" w:fill="auto"/>
          <w:lang w:val="en-US" w:eastAsia="zh-CN" w:bidi="ar"/>
        </w:rPr>
        <w:t>143,498.52</w:t>
      </w:r>
      <w:r>
        <w:rPr>
          <w:rFonts w:ascii="Times New Roman" w:hAnsi="Times New Roman" w:eastAsia="方正仿宋_GBK" w:cs="Times New Roman"/>
          <w:color w:val="auto"/>
          <w:sz w:val="33"/>
          <w:szCs w:val="33"/>
          <w:highlight w:val="none"/>
          <w:shd w:val="clear" w:color="auto" w:fill="auto"/>
          <w:lang w:bidi="ar"/>
        </w:rPr>
        <w:t>万元</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color w:val="auto"/>
          <w:sz w:val="33"/>
          <w:szCs w:val="33"/>
          <w:highlight w:val="none"/>
          <w:shd w:val="clear" w:color="auto" w:fill="auto"/>
          <w:lang w:bidi="ar"/>
        </w:rPr>
        <w:t>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23.37</w:t>
      </w:r>
      <w:r>
        <w:rPr>
          <w:rFonts w:ascii="Times New Roman" w:hAnsi="Times New Roman" w:eastAsia="方正仿宋_GBK" w:cs="Times New Roman"/>
          <w:color w:val="auto"/>
          <w:sz w:val="33"/>
          <w:szCs w:val="33"/>
          <w:highlight w:val="none"/>
          <w:shd w:val="clear" w:color="auto" w:fill="auto"/>
          <w:lang w:bidi="ar"/>
        </w:rPr>
        <w:t>%。</w:t>
      </w:r>
    </w:p>
    <w:p w14:paraId="0F56077B">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ascii="Times New Roman" w:hAnsi="Times New Roman" w:eastAsia="方正仿宋_GBK" w:cs="Times New Roman"/>
          <w:b/>
          <w:bCs/>
          <w:color w:val="auto"/>
          <w:sz w:val="33"/>
          <w:szCs w:val="33"/>
          <w:highlight w:val="none"/>
          <w:shd w:val="clear" w:color="auto" w:fill="auto"/>
          <w:lang w:bidi="ar"/>
        </w:rPr>
        <w:t>1.资产</w:t>
      </w:r>
      <w:r>
        <w:rPr>
          <w:rFonts w:hint="eastAsia" w:ascii="Times New Roman" w:hAnsi="Times New Roman" w:eastAsia="方正仿宋_GBK" w:cs="Times New Roman"/>
          <w:b/>
          <w:bCs/>
          <w:color w:val="auto"/>
          <w:sz w:val="33"/>
          <w:szCs w:val="33"/>
          <w:highlight w:val="none"/>
          <w:shd w:val="clear" w:color="auto" w:fill="auto"/>
          <w:lang w:bidi="ar"/>
        </w:rPr>
        <w:t>分布</w:t>
      </w:r>
      <w:r>
        <w:rPr>
          <w:rFonts w:ascii="Times New Roman" w:hAnsi="Times New Roman" w:eastAsia="方正仿宋_GBK" w:cs="Times New Roman"/>
          <w:b/>
          <w:bCs/>
          <w:color w:val="auto"/>
          <w:sz w:val="33"/>
          <w:szCs w:val="33"/>
          <w:highlight w:val="none"/>
          <w:shd w:val="clear" w:color="auto" w:fill="auto"/>
          <w:lang w:bidi="ar"/>
        </w:rPr>
        <w:t>情况。</w:t>
      </w:r>
      <w:r>
        <w:rPr>
          <w:rFonts w:ascii="Times New Roman" w:hAnsi="Times New Roman" w:eastAsia="方正仿宋_GBK" w:cs="Times New Roman"/>
          <w:color w:val="auto"/>
          <w:sz w:val="33"/>
          <w:szCs w:val="33"/>
          <w:highlight w:val="none"/>
          <w:shd w:val="clear" w:color="auto" w:fill="auto"/>
          <w:lang w:bidi="ar"/>
        </w:rPr>
        <w:t>西区行政单位国有资产</w:t>
      </w:r>
      <w:r>
        <w:rPr>
          <w:rFonts w:hint="eastAsia" w:ascii="Times New Roman" w:hAnsi="Times New Roman" w:eastAsia="方正仿宋_GBK" w:cs="Times New Roman"/>
          <w:color w:val="auto"/>
          <w:sz w:val="33"/>
          <w:szCs w:val="33"/>
          <w:highlight w:val="none"/>
          <w:shd w:val="clear" w:color="auto" w:fill="auto"/>
          <w:lang w:val="en-US" w:eastAsia="zh-CN" w:bidi="ar"/>
        </w:rPr>
        <w:t>115,527.14</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62.03</w:t>
      </w:r>
      <w:r>
        <w:rPr>
          <w:rFonts w:ascii="Times New Roman" w:hAnsi="Times New Roman" w:eastAsia="方正仿宋_GBK" w:cs="Times New Roman"/>
          <w:color w:val="auto"/>
          <w:sz w:val="33"/>
          <w:szCs w:val="33"/>
          <w:highlight w:val="none"/>
          <w:shd w:val="clear" w:color="auto" w:fill="auto"/>
          <w:lang w:bidi="ar"/>
        </w:rPr>
        <w:t>%；事业单位国有资产</w:t>
      </w:r>
      <w:r>
        <w:rPr>
          <w:rFonts w:hint="eastAsia" w:ascii="Times New Roman" w:hAnsi="Times New Roman" w:eastAsia="方正仿宋_GBK" w:cs="Times New Roman"/>
          <w:color w:val="auto"/>
          <w:sz w:val="33"/>
          <w:szCs w:val="33"/>
          <w:highlight w:val="none"/>
          <w:shd w:val="clear" w:color="auto" w:fill="auto"/>
          <w:lang w:val="en-US" w:eastAsia="zh-CN" w:bidi="ar"/>
        </w:rPr>
        <w:t>70,715.39</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37.97</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bidi="ar"/>
        </w:rPr>
        <w:t>。</w:t>
      </w:r>
    </w:p>
    <w:p w14:paraId="464BBE80">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bidi="ar"/>
        </w:rPr>
        <w:t>2.</w:t>
      </w:r>
      <w:r>
        <w:rPr>
          <w:rFonts w:ascii="Times New Roman" w:hAnsi="Times New Roman" w:eastAsia="方正仿宋_GBK" w:cs="Times New Roman"/>
          <w:b/>
          <w:bCs/>
          <w:color w:val="auto"/>
          <w:sz w:val="33"/>
          <w:szCs w:val="33"/>
          <w:highlight w:val="none"/>
          <w:shd w:val="clear" w:color="auto" w:fill="auto"/>
          <w:lang w:bidi="ar"/>
        </w:rPr>
        <w:t>资产构成情况。</w:t>
      </w:r>
      <w:r>
        <w:rPr>
          <w:rFonts w:ascii="Times New Roman" w:hAnsi="Times New Roman" w:eastAsia="方正仿宋_GBK" w:cs="Times New Roman"/>
          <w:color w:val="auto"/>
          <w:sz w:val="33"/>
          <w:szCs w:val="33"/>
          <w:highlight w:val="none"/>
          <w:shd w:val="clear" w:color="auto" w:fill="auto"/>
          <w:lang w:bidi="ar"/>
        </w:rPr>
        <w:t>流动资产</w:t>
      </w:r>
      <w:r>
        <w:rPr>
          <w:rFonts w:hint="eastAsia" w:ascii="Times New Roman" w:hAnsi="Times New Roman" w:eastAsia="方正仿宋_GBK" w:cs="Times New Roman"/>
          <w:color w:val="auto"/>
          <w:sz w:val="33"/>
          <w:szCs w:val="33"/>
          <w:highlight w:val="none"/>
          <w:shd w:val="clear" w:color="auto" w:fill="auto"/>
          <w:lang w:val="en-US" w:eastAsia="zh-CN" w:bidi="ar"/>
        </w:rPr>
        <w:t>43,915.16</w:t>
      </w:r>
      <w:r>
        <w:rPr>
          <w:rFonts w:ascii="Times New Roman" w:hAnsi="Times New Roman" w:eastAsia="方正仿宋_GBK" w:cs="Times New Roman"/>
          <w:color w:val="auto"/>
          <w:sz w:val="33"/>
          <w:szCs w:val="33"/>
          <w:highlight w:val="none"/>
          <w:shd w:val="clear" w:color="auto" w:fill="auto"/>
          <w:lang w:bidi="ar"/>
        </w:rPr>
        <w:t>万元，较上年</w:t>
      </w:r>
      <w:r>
        <w:rPr>
          <w:rFonts w:hint="eastAsia" w:ascii="Times New Roman" w:hAnsi="Times New Roman" w:eastAsia="方正仿宋_GBK" w:cs="Times New Roman"/>
          <w:color w:val="auto"/>
          <w:sz w:val="33"/>
          <w:szCs w:val="33"/>
          <w:highlight w:val="none"/>
          <w:shd w:val="clear" w:color="auto" w:fill="auto"/>
          <w:lang w:eastAsia="zh-CN" w:bidi="ar"/>
        </w:rPr>
        <w:t>下降</w:t>
      </w:r>
      <w:r>
        <w:rPr>
          <w:rFonts w:hint="eastAsia" w:ascii="Times New Roman" w:hAnsi="Times New Roman" w:eastAsia="方正仿宋_GBK" w:cs="Times New Roman"/>
          <w:color w:val="auto"/>
          <w:sz w:val="33"/>
          <w:szCs w:val="33"/>
          <w:highlight w:val="none"/>
          <w:shd w:val="clear" w:color="auto" w:fill="auto"/>
          <w:lang w:val="en-US" w:eastAsia="zh-CN" w:bidi="ar"/>
        </w:rPr>
        <w:t>8.46</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23.58</w:t>
      </w:r>
      <w:r>
        <w:rPr>
          <w:rFonts w:ascii="Times New Roman" w:hAnsi="Times New Roman" w:eastAsia="方正仿宋_GBK" w:cs="Times New Roman"/>
          <w:color w:val="auto"/>
          <w:sz w:val="33"/>
          <w:szCs w:val="33"/>
          <w:highlight w:val="none"/>
          <w:shd w:val="clear" w:color="auto" w:fill="auto"/>
          <w:lang w:bidi="ar"/>
        </w:rPr>
        <w:t>%；固定资产</w:t>
      </w:r>
      <w:r>
        <w:rPr>
          <w:rFonts w:hint="eastAsia" w:ascii="Times New Roman" w:hAnsi="Times New Roman" w:eastAsia="方正仿宋_GBK" w:cs="Times New Roman"/>
          <w:color w:val="auto"/>
          <w:sz w:val="33"/>
          <w:szCs w:val="33"/>
          <w:highlight w:val="none"/>
          <w:shd w:val="clear" w:color="auto" w:fill="auto"/>
          <w:lang w:val="en-US" w:eastAsia="zh-CN" w:bidi="ar"/>
        </w:rPr>
        <w:t>26,019.88</w:t>
      </w:r>
      <w:r>
        <w:rPr>
          <w:rFonts w:ascii="Times New Roman" w:hAnsi="Times New Roman" w:eastAsia="方正仿宋_GBK" w:cs="Times New Roman"/>
          <w:color w:val="auto"/>
          <w:sz w:val="33"/>
          <w:szCs w:val="33"/>
          <w:highlight w:val="none"/>
          <w:shd w:val="clear" w:color="auto" w:fill="auto"/>
          <w:lang w:bidi="ar"/>
        </w:rPr>
        <w:t>万元，较上年增长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31.59</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13.97</w:t>
      </w:r>
      <w:r>
        <w:rPr>
          <w:rFonts w:ascii="Times New Roman" w:hAnsi="Times New Roman" w:eastAsia="方正仿宋_GBK" w:cs="Times New Roman"/>
          <w:color w:val="auto"/>
          <w:sz w:val="33"/>
          <w:szCs w:val="33"/>
          <w:highlight w:val="none"/>
          <w:shd w:val="clear" w:color="auto" w:fill="auto"/>
          <w:lang w:bidi="ar"/>
        </w:rPr>
        <w:t>%；在建工程</w:t>
      </w:r>
      <w:r>
        <w:rPr>
          <w:rFonts w:hint="eastAsia" w:ascii="Times New Roman" w:hAnsi="Times New Roman" w:eastAsia="方正仿宋_GBK" w:cs="Times New Roman"/>
          <w:color w:val="auto"/>
          <w:sz w:val="33"/>
          <w:szCs w:val="33"/>
          <w:highlight w:val="none"/>
          <w:shd w:val="clear" w:color="auto" w:fill="auto"/>
          <w:lang w:val="en-US" w:eastAsia="zh-CN" w:bidi="ar"/>
        </w:rPr>
        <w:t>47,063.77</w:t>
      </w:r>
      <w:r>
        <w:rPr>
          <w:rFonts w:ascii="Times New Roman" w:hAnsi="Times New Roman" w:eastAsia="方正仿宋_GBK" w:cs="Times New Roman"/>
          <w:color w:val="auto"/>
          <w:sz w:val="33"/>
          <w:szCs w:val="33"/>
          <w:highlight w:val="none"/>
          <w:shd w:val="clear" w:color="auto" w:fill="auto"/>
          <w:lang w:bidi="ar"/>
        </w:rPr>
        <w:t>万元，较上年</w:t>
      </w:r>
      <w:r>
        <w:rPr>
          <w:rFonts w:hint="eastAsia" w:ascii="Times New Roman" w:hAnsi="Times New Roman" w:eastAsia="方正仿宋_GBK" w:cs="Times New Roman"/>
          <w:color w:val="auto"/>
          <w:sz w:val="33"/>
          <w:szCs w:val="33"/>
          <w:highlight w:val="none"/>
          <w:shd w:val="clear" w:color="auto" w:fill="auto"/>
          <w:lang w:eastAsia="zh-CN" w:bidi="ar"/>
        </w:rPr>
        <w:t>增长</w:t>
      </w:r>
      <w:r>
        <w:rPr>
          <w:rFonts w:hint="eastAsia" w:ascii="Times New Roman" w:hAnsi="Times New Roman" w:eastAsia="方正仿宋_GBK" w:cs="Times New Roman"/>
          <w:color w:val="auto"/>
          <w:sz w:val="33"/>
          <w:szCs w:val="33"/>
          <w:highlight w:val="none"/>
          <w:shd w:val="clear" w:color="auto" w:fill="auto"/>
          <w:lang w:val="en-US" w:eastAsia="zh-CN" w:bidi="ar"/>
        </w:rPr>
        <w:t>7.7</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25.27</w:t>
      </w:r>
      <w:r>
        <w:rPr>
          <w:rFonts w:ascii="Times New Roman" w:hAnsi="Times New Roman" w:eastAsia="方正仿宋_GBK" w:cs="Times New Roman"/>
          <w:color w:val="auto"/>
          <w:sz w:val="33"/>
          <w:szCs w:val="33"/>
          <w:highlight w:val="none"/>
          <w:shd w:val="clear" w:color="auto" w:fill="auto"/>
          <w:lang w:bidi="ar"/>
        </w:rPr>
        <w:t>%；无形资产</w:t>
      </w:r>
      <w:r>
        <w:rPr>
          <w:rFonts w:hint="eastAsia" w:ascii="Times New Roman" w:hAnsi="Times New Roman" w:eastAsia="方正仿宋_GBK" w:cs="Times New Roman"/>
          <w:color w:val="auto"/>
          <w:sz w:val="33"/>
          <w:szCs w:val="33"/>
          <w:highlight w:val="none"/>
          <w:shd w:val="clear" w:color="auto" w:fill="auto"/>
          <w:lang w:val="en-US" w:eastAsia="zh-CN" w:bidi="ar"/>
        </w:rPr>
        <w:t>698.48</w:t>
      </w:r>
      <w:r>
        <w:rPr>
          <w:rFonts w:ascii="Times New Roman" w:hAnsi="Times New Roman" w:eastAsia="方正仿宋_GBK" w:cs="Times New Roman"/>
          <w:color w:val="auto"/>
          <w:sz w:val="33"/>
          <w:szCs w:val="33"/>
          <w:highlight w:val="none"/>
          <w:shd w:val="clear" w:color="auto" w:fill="auto"/>
          <w:lang w:bidi="ar"/>
        </w:rPr>
        <w:t>万元，较上年增</w:t>
      </w:r>
      <w:r>
        <w:rPr>
          <w:rFonts w:hint="eastAsia" w:ascii="Times New Roman" w:hAnsi="Times New Roman" w:eastAsia="方正仿宋_GBK" w:cs="Times New Roman"/>
          <w:color w:val="auto"/>
          <w:sz w:val="33"/>
          <w:szCs w:val="33"/>
          <w:highlight w:val="none"/>
          <w:shd w:val="clear" w:color="auto" w:fill="auto"/>
          <w:lang w:eastAsia="zh-CN" w:bidi="ar"/>
        </w:rPr>
        <w:t>长</w:t>
      </w:r>
      <w:r>
        <w:rPr>
          <w:rFonts w:hint="eastAsia" w:ascii="Times New Roman" w:hAnsi="Times New Roman" w:eastAsia="方正仿宋_GBK" w:cs="Times New Roman"/>
          <w:color w:val="auto"/>
          <w:sz w:val="33"/>
          <w:szCs w:val="33"/>
          <w:highlight w:val="none"/>
          <w:shd w:val="clear" w:color="auto" w:fill="auto"/>
          <w:lang w:val="en-US" w:eastAsia="zh-CN" w:bidi="ar"/>
        </w:rPr>
        <w:t>1.69</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0.38</w:t>
      </w:r>
      <w:r>
        <w:rPr>
          <w:rFonts w:ascii="Times New Roman" w:hAnsi="Times New Roman" w:eastAsia="方正仿宋_GBK" w:cs="Times New Roman"/>
          <w:color w:val="auto"/>
          <w:sz w:val="33"/>
          <w:szCs w:val="33"/>
          <w:highlight w:val="none"/>
          <w:shd w:val="clear" w:color="auto" w:fill="auto"/>
          <w:lang w:bidi="ar"/>
        </w:rPr>
        <w:t>%；公共基础设施</w:t>
      </w:r>
      <w:r>
        <w:rPr>
          <w:rFonts w:hint="eastAsia" w:ascii="Times New Roman" w:hAnsi="Times New Roman" w:eastAsia="方正仿宋_GBK" w:cs="Times New Roman"/>
          <w:color w:val="auto"/>
          <w:sz w:val="33"/>
          <w:szCs w:val="33"/>
          <w:highlight w:val="none"/>
          <w:shd w:val="clear" w:color="auto" w:fill="auto"/>
          <w:lang w:val="en-US" w:eastAsia="zh-CN" w:bidi="ar"/>
        </w:rPr>
        <w:t>51,611.23</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27.71</w:t>
      </w:r>
      <w:r>
        <w:rPr>
          <w:rFonts w:ascii="Times New Roman" w:hAnsi="Times New Roman" w:eastAsia="方正仿宋_GBK" w:cs="Times New Roman"/>
          <w:color w:val="auto"/>
          <w:sz w:val="33"/>
          <w:szCs w:val="33"/>
          <w:highlight w:val="none"/>
          <w:shd w:val="clear" w:color="auto" w:fill="auto"/>
          <w:lang w:bidi="ar"/>
        </w:rPr>
        <w:t>%；政府储备物资</w:t>
      </w:r>
      <w:r>
        <w:rPr>
          <w:rFonts w:hint="eastAsia" w:ascii="Times New Roman" w:hAnsi="Times New Roman" w:eastAsia="方正仿宋_GBK" w:cs="Times New Roman"/>
          <w:color w:val="auto"/>
          <w:sz w:val="33"/>
          <w:szCs w:val="33"/>
          <w:highlight w:val="none"/>
          <w:shd w:val="clear" w:color="auto" w:fill="auto"/>
          <w:lang w:val="en-US" w:eastAsia="zh-CN" w:bidi="ar"/>
        </w:rPr>
        <w:t>394.73</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0.21</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保障性住房</w:t>
      </w:r>
      <w:r>
        <w:rPr>
          <w:rFonts w:hint="eastAsia" w:ascii="Times New Roman" w:hAnsi="Times New Roman" w:eastAsia="方正仿宋_GBK" w:cs="Times New Roman"/>
          <w:color w:val="auto"/>
          <w:sz w:val="33"/>
          <w:szCs w:val="33"/>
          <w:highlight w:val="none"/>
          <w:shd w:val="clear" w:color="auto" w:fill="auto"/>
          <w:lang w:val="en-US" w:eastAsia="zh-CN" w:bidi="ar"/>
        </w:rPr>
        <w:t>16,161.77万元，</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8.68</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；待处理资产损益</w:t>
      </w:r>
      <w:r>
        <w:rPr>
          <w:rFonts w:hint="eastAsia" w:ascii="Times New Roman" w:hAnsi="Times New Roman" w:eastAsia="方正仿宋_GBK" w:cs="Times New Roman"/>
          <w:color w:val="auto"/>
          <w:sz w:val="33"/>
          <w:szCs w:val="33"/>
          <w:highlight w:val="none"/>
          <w:shd w:val="clear" w:color="auto" w:fill="auto"/>
          <w:lang w:val="en-US" w:eastAsia="zh-CN" w:bidi="ar"/>
        </w:rPr>
        <w:t>120.25万元，</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0.06</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其他资产</w:t>
      </w:r>
      <w:r>
        <w:rPr>
          <w:rFonts w:hint="eastAsia" w:ascii="Times New Roman" w:hAnsi="Times New Roman" w:eastAsia="方正仿宋_GBK" w:cs="Times New Roman"/>
          <w:color w:val="auto"/>
          <w:sz w:val="33"/>
          <w:szCs w:val="33"/>
          <w:highlight w:val="none"/>
          <w:shd w:val="clear" w:color="auto" w:fill="auto"/>
          <w:lang w:val="en-US" w:eastAsia="zh-CN" w:bidi="ar"/>
        </w:rPr>
        <w:t>257.25</w:t>
      </w:r>
      <w:r>
        <w:rPr>
          <w:rFonts w:hint="eastAsia"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0.14</w:t>
      </w:r>
      <w:r>
        <w:rPr>
          <w:rFonts w:hint="eastAsia" w:ascii="Times New Roman" w:hAnsi="Times New Roman" w:eastAsia="方正仿宋_GBK" w:cs="Times New Roman"/>
          <w:color w:val="auto"/>
          <w:sz w:val="33"/>
          <w:szCs w:val="33"/>
          <w:highlight w:val="none"/>
          <w:shd w:val="clear" w:color="auto" w:fill="auto"/>
          <w:lang w:bidi="ar"/>
        </w:rPr>
        <w:t>%。</w:t>
      </w:r>
    </w:p>
    <w:p w14:paraId="6A9E48E0">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yellow"/>
          <w:shd w:val="clear" w:color="auto" w:fill="auto"/>
          <w:lang w:eastAsia="zh-CN" w:bidi="ar"/>
        </w:rPr>
      </w:pPr>
      <w:r>
        <w:rPr>
          <w:rFonts w:hint="eastAsia" w:ascii="Times New Roman" w:hAnsi="Times New Roman" w:eastAsia="方正仿宋_GBK" w:cs="Times New Roman"/>
          <w:b/>
          <w:bCs/>
          <w:color w:val="auto"/>
          <w:sz w:val="33"/>
          <w:szCs w:val="33"/>
          <w:highlight w:val="none"/>
          <w:shd w:val="clear" w:color="auto" w:fill="auto"/>
          <w:lang w:bidi="ar"/>
        </w:rPr>
        <w:t>3.</w:t>
      </w:r>
      <w:r>
        <w:rPr>
          <w:rFonts w:ascii="Times New Roman" w:hAnsi="Times New Roman" w:eastAsia="方正仿宋_GBK" w:cs="Times New Roman"/>
          <w:b/>
          <w:bCs/>
          <w:color w:val="auto"/>
          <w:sz w:val="33"/>
          <w:szCs w:val="33"/>
          <w:highlight w:val="none"/>
          <w:shd w:val="clear" w:color="auto" w:fill="auto"/>
          <w:lang w:bidi="ar"/>
        </w:rPr>
        <w:t>固定资产构成情况。</w:t>
      </w:r>
      <w:r>
        <w:rPr>
          <w:rFonts w:hint="eastAsia" w:ascii="Times New Roman" w:hAnsi="Times New Roman" w:eastAsia="方正仿宋_GBK" w:cs="Times New Roman"/>
          <w:color w:val="auto"/>
          <w:sz w:val="33"/>
          <w:szCs w:val="33"/>
          <w:highlight w:val="none"/>
          <w:shd w:val="clear" w:color="auto" w:fill="auto"/>
          <w:lang w:bidi="ar"/>
        </w:rPr>
        <w:t>土地、房屋及构筑物19</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909.97万元，占固定资产的76.52%（其中，房屋18</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946.71万元，占固定资产的72.82%）；通用设备4</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505.92万元，占固定资产的17.32%（其中，车辆931.67万元，占固定资产的3.58%，单价100万（含）以上（不含车辆）设备209.17万元，占固定资产的0.8%</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；文物、陈列品及图书、档案共计650.83万元，占固定资产的2.5%；家具和用具953.16万元，占固定资产的3.66%。</w:t>
      </w:r>
    </w:p>
    <w:p w14:paraId="4DA9845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仿宋_GB2312" w:cs="Times New Roman"/>
          <w:color w:val="auto"/>
          <w:spacing w:val="0"/>
          <w:sz w:val="32"/>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（三）内控制度管理</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ascii="Times New Roman" w:hAnsi="Times New Roman" w:eastAsia="方正仿宋_GBK" w:cs="Times New Roman"/>
          <w:b/>
          <w:bCs/>
          <w:color w:val="auto"/>
          <w:sz w:val="33"/>
          <w:szCs w:val="33"/>
          <w:highlight w:val="none"/>
          <w:shd w:val="clear" w:color="auto" w:fill="auto"/>
        </w:rPr>
        <w:t>一是</w:t>
      </w:r>
      <w:r>
        <w:rPr>
          <w:rFonts w:hint="eastAsia" w:ascii="Times New Roman" w:hAnsi="Times New Roman" w:eastAsia="方正仿宋_GBK" w:cs="Times New Roman"/>
          <w:b/>
          <w:bCs/>
          <w:color w:val="auto"/>
          <w:sz w:val="33"/>
          <w:szCs w:val="33"/>
          <w:highlight w:val="none"/>
          <w:shd w:val="clear" w:color="auto" w:fill="auto"/>
        </w:rPr>
        <w:t>提高政治站位，加强组织领导。</w:t>
      </w:r>
      <w:r>
        <w:rPr>
          <w:rFonts w:hint="eastAsia" w:ascii="Times New Roman" w:hAnsi="Times New Roman" w:eastAsia="方正仿宋_GBK" w:cs="Times New Roman"/>
          <w:color w:val="auto"/>
          <w:sz w:val="33"/>
          <w:szCs w:val="33"/>
          <w:highlight w:val="none"/>
          <w:shd w:val="clear" w:color="auto" w:fill="auto"/>
          <w:lang w:bidi="ar"/>
        </w:rPr>
        <w:t>始终从讲政治的高度抓牢抓实内控工作，为财政监管保驾护航。持续开展相关政策、制度学习研讨，以学习促提升，使内控工作成为防范风险的</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显微镜</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和</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放大镜</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b/>
          <w:bCs/>
          <w:color w:val="auto"/>
          <w:sz w:val="33"/>
          <w:szCs w:val="33"/>
          <w:highlight w:val="none"/>
          <w:shd w:val="clear" w:color="auto" w:fill="auto"/>
        </w:rPr>
        <w:t>二是</w:t>
      </w:r>
      <w:r>
        <w:rPr>
          <w:rFonts w:hint="eastAsia" w:ascii="Times New Roman" w:hAnsi="Times New Roman" w:eastAsia="方正仿宋_GBK" w:cs="Times New Roman"/>
          <w:b/>
          <w:bCs/>
          <w:color w:val="auto"/>
          <w:sz w:val="33"/>
          <w:szCs w:val="33"/>
          <w:highlight w:val="none"/>
          <w:shd w:val="clear" w:color="auto" w:fill="auto"/>
        </w:rPr>
        <w:t>注重建章立制</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Times New Roman"/>
          <w:b/>
          <w:bCs/>
          <w:color w:val="auto"/>
          <w:sz w:val="33"/>
          <w:szCs w:val="33"/>
          <w:highlight w:val="none"/>
          <w:shd w:val="clear" w:color="auto" w:fill="auto"/>
        </w:rPr>
        <w:t>强化规范执行。</w:t>
      </w:r>
      <w:r>
        <w:rPr>
          <w:rFonts w:hint="eastAsia" w:ascii="Times New Roman" w:hAnsi="Times New Roman" w:eastAsia="方正仿宋_GBK" w:cs="Times New Roman"/>
          <w:color w:val="auto"/>
          <w:sz w:val="33"/>
          <w:szCs w:val="33"/>
          <w:highlight w:val="none"/>
          <w:shd w:val="clear" w:color="auto" w:fill="auto"/>
        </w:rPr>
        <w:t>夯实制度基础，持续推动内控制度体系建设，保持动态调整</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不断提高内控制度的实时性、针对性和有效性，持续加强风险防控能力</w:t>
      </w:r>
      <w:r>
        <w:rPr>
          <w:rFonts w:ascii="Times New Roman" w:hAnsi="Times New Roman" w:eastAsia="方正仿宋_GBK" w:cs="Times New Roman"/>
          <w:color w:val="auto"/>
          <w:sz w:val="33"/>
          <w:szCs w:val="33"/>
          <w:highlight w:val="none"/>
          <w:shd w:val="clear" w:color="auto" w:fill="auto"/>
        </w:rPr>
        <w:t>。</w:t>
      </w:r>
      <w:r>
        <w:rPr>
          <w:rFonts w:ascii="Times New Roman" w:hAnsi="Times New Roman" w:eastAsia="方正仿宋_GBK" w:cs="Times New Roman"/>
          <w:b/>
          <w:bCs/>
          <w:color w:val="auto"/>
          <w:sz w:val="33"/>
          <w:szCs w:val="33"/>
          <w:highlight w:val="none"/>
          <w:shd w:val="clear" w:color="auto" w:fill="auto"/>
        </w:rPr>
        <w:t>三是</w:t>
      </w:r>
      <w:r>
        <w:rPr>
          <w:rFonts w:hint="eastAsia" w:ascii="Times New Roman" w:hAnsi="Times New Roman" w:eastAsia="方正仿宋_GBK" w:cs="Times New Roman"/>
          <w:b/>
          <w:bCs/>
          <w:color w:val="auto"/>
          <w:sz w:val="33"/>
          <w:szCs w:val="33"/>
          <w:highlight w:val="none"/>
          <w:shd w:val="clear" w:color="auto" w:fill="auto"/>
        </w:rPr>
        <w:t>抓好贯彻落实</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Times New Roman"/>
          <w:b/>
          <w:bCs/>
          <w:color w:val="auto"/>
          <w:sz w:val="33"/>
          <w:szCs w:val="33"/>
          <w:highlight w:val="none"/>
          <w:shd w:val="clear" w:color="auto" w:fill="auto"/>
        </w:rPr>
        <w:t>突出务实高效。</w:t>
      </w:r>
      <w:r>
        <w:rPr>
          <w:rFonts w:hint="eastAsia" w:ascii="Times New Roman" w:hAnsi="Times New Roman" w:eastAsia="方正仿宋_GBK" w:cs="Times New Roman"/>
          <w:color w:val="auto"/>
          <w:spacing w:val="-6"/>
          <w:sz w:val="33"/>
          <w:szCs w:val="33"/>
          <w:highlight w:val="none"/>
          <w:shd w:val="clear" w:color="auto" w:fill="auto"/>
        </w:rPr>
        <w:t>不断强化内控执行力度，紧盯财政监管行权用权，健全内控责任追究和成果利用机制，激励干部增强贯彻落实内控制度的思想自觉、政治自觉、行动自觉</w:t>
      </w:r>
      <w:r>
        <w:rPr>
          <w:rFonts w:ascii="Times New Roman" w:hAnsi="Times New Roman" w:eastAsia="方正仿宋_GBK" w:cs="Times New Roman"/>
          <w:color w:val="auto"/>
          <w:spacing w:val="-6"/>
          <w:sz w:val="33"/>
          <w:szCs w:val="33"/>
          <w:highlight w:val="none"/>
          <w:shd w:val="clear" w:color="auto" w:fill="auto"/>
        </w:rPr>
        <w:t>。</w:t>
      </w:r>
      <w:r>
        <w:rPr>
          <w:rFonts w:hint="eastAsia" w:ascii="Times New Roman" w:hAnsi="Times New Roman" w:eastAsia="方正仿宋_GBK" w:cs="Times New Roman"/>
          <w:color w:val="auto"/>
          <w:spacing w:val="-6"/>
          <w:sz w:val="33"/>
          <w:szCs w:val="33"/>
          <w:highlight w:val="none"/>
          <w:shd w:val="clear" w:color="auto" w:fill="auto"/>
          <w:lang w:val="en-US" w:eastAsia="zh-CN"/>
        </w:rPr>
        <w:t>2023</w:t>
      </w:r>
      <w:r>
        <w:rPr>
          <w:rFonts w:ascii="Times New Roman" w:hAnsi="Times New Roman" w:eastAsia="方正仿宋_GBK" w:cs="Times New Roman"/>
          <w:color w:val="auto"/>
          <w:spacing w:val="-6"/>
          <w:sz w:val="33"/>
          <w:szCs w:val="33"/>
          <w:highlight w:val="none"/>
          <w:shd w:val="clear" w:color="auto" w:fill="auto"/>
        </w:rPr>
        <w:t>年，全区</w:t>
      </w:r>
      <w:r>
        <w:rPr>
          <w:rFonts w:hint="eastAsia" w:ascii="Times New Roman" w:hAnsi="Times New Roman" w:eastAsia="方正仿宋_GBK" w:cs="Times New Roman"/>
          <w:color w:val="auto"/>
          <w:spacing w:val="-6"/>
          <w:sz w:val="33"/>
          <w:szCs w:val="33"/>
          <w:highlight w:val="none"/>
          <w:shd w:val="clear" w:color="auto" w:fill="auto"/>
        </w:rPr>
        <w:t>共</w:t>
      </w:r>
      <w:r>
        <w:rPr>
          <w:rFonts w:hint="eastAsia" w:ascii="Times New Roman" w:hAnsi="Times New Roman" w:eastAsia="方正仿宋_GBK" w:cs="Times New Roman"/>
          <w:color w:val="auto"/>
          <w:spacing w:val="-6"/>
          <w:sz w:val="33"/>
          <w:szCs w:val="33"/>
          <w:highlight w:val="none"/>
          <w:shd w:val="clear" w:color="auto" w:fill="auto"/>
          <w:lang w:val="en-US" w:eastAsia="zh-CN"/>
        </w:rPr>
        <w:t>86</w:t>
      </w:r>
      <w:r>
        <w:rPr>
          <w:rFonts w:ascii="Times New Roman" w:hAnsi="Times New Roman" w:eastAsia="方正仿宋_GBK" w:cs="Times New Roman"/>
          <w:color w:val="auto"/>
          <w:spacing w:val="-6"/>
          <w:sz w:val="33"/>
          <w:szCs w:val="33"/>
          <w:highlight w:val="none"/>
          <w:shd w:val="clear" w:color="auto" w:fill="auto"/>
        </w:rPr>
        <w:t>家预算单位</w:t>
      </w:r>
      <w:r>
        <w:rPr>
          <w:rFonts w:hint="eastAsia" w:ascii="Times New Roman" w:hAnsi="Times New Roman" w:eastAsia="方正仿宋_GBK" w:cs="Times New Roman"/>
          <w:color w:val="auto"/>
          <w:spacing w:val="-6"/>
          <w:sz w:val="33"/>
          <w:szCs w:val="33"/>
          <w:highlight w:val="none"/>
          <w:shd w:val="clear" w:color="auto" w:fill="auto"/>
        </w:rPr>
        <w:t>开展</w:t>
      </w:r>
      <w:r>
        <w:rPr>
          <w:rFonts w:ascii="Times New Roman" w:hAnsi="Times New Roman" w:eastAsia="方正仿宋_GBK" w:cs="Times New Roman"/>
          <w:color w:val="auto"/>
          <w:spacing w:val="-6"/>
          <w:sz w:val="33"/>
          <w:szCs w:val="33"/>
          <w:highlight w:val="none"/>
          <w:shd w:val="clear" w:color="auto" w:fill="auto"/>
        </w:rPr>
        <w:t>了内控建设工作，切实</w:t>
      </w:r>
      <w:r>
        <w:rPr>
          <w:rFonts w:hint="eastAsia" w:ascii="Times New Roman" w:hAnsi="Times New Roman" w:eastAsia="方正仿宋_GBK" w:cs="Times New Roman"/>
          <w:color w:val="auto"/>
          <w:spacing w:val="-6"/>
          <w:sz w:val="33"/>
          <w:szCs w:val="33"/>
          <w:highlight w:val="none"/>
          <w:shd w:val="clear" w:color="auto" w:fill="auto"/>
        </w:rPr>
        <w:t>提升</w:t>
      </w:r>
      <w:r>
        <w:rPr>
          <w:rFonts w:ascii="Times New Roman" w:hAnsi="Times New Roman" w:eastAsia="方正仿宋_GBK" w:cs="Times New Roman"/>
          <w:color w:val="auto"/>
          <w:spacing w:val="-6"/>
          <w:sz w:val="33"/>
          <w:szCs w:val="33"/>
          <w:highlight w:val="none"/>
          <w:shd w:val="clear" w:color="auto" w:fill="auto"/>
        </w:rPr>
        <w:t>行政事业单位</w:t>
      </w:r>
      <w:r>
        <w:rPr>
          <w:rFonts w:hint="eastAsia" w:ascii="Times New Roman" w:hAnsi="Times New Roman" w:eastAsia="方正仿宋_GBK" w:cs="Times New Roman"/>
          <w:color w:val="auto"/>
          <w:spacing w:val="-6"/>
          <w:sz w:val="33"/>
          <w:szCs w:val="33"/>
          <w:highlight w:val="none"/>
          <w:shd w:val="clear" w:color="auto" w:fill="auto"/>
        </w:rPr>
        <w:t>内控管理</w:t>
      </w:r>
      <w:r>
        <w:rPr>
          <w:rFonts w:ascii="Times New Roman" w:hAnsi="Times New Roman" w:eastAsia="方正仿宋_GBK" w:cs="Times New Roman"/>
          <w:color w:val="auto"/>
          <w:spacing w:val="-6"/>
          <w:sz w:val="33"/>
          <w:szCs w:val="33"/>
          <w:highlight w:val="none"/>
          <w:shd w:val="clear" w:color="auto" w:fill="auto"/>
        </w:rPr>
        <w:t>成效，有效防范各类风险的发生</w:t>
      </w:r>
      <w:r>
        <w:rPr>
          <w:rFonts w:ascii="Times New Roman" w:hAnsi="Times New Roman" w:eastAsia="方正仿宋_GBK" w:cs="Times New Roman"/>
          <w:color w:val="auto"/>
          <w:spacing w:val="0"/>
          <w:sz w:val="33"/>
          <w:szCs w:val="33"/>
          <w:highlight w:val="none"/>
          <w:shd w:val="clear" w:color="auto" w:fill="auto"/>
        </w:rPr>
        <w:t>。</w:t>
      </w:r>
    </w:p>
    <w:p w14:paraId="562EAD28">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（四）绩效监控</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西区深入推进事中绩效监控，对</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年纳入监控范围内财政资金的支出进度、绩效目标的运行情况、拨付使用情况等进行跟踪，实现监控自评全覆盖。在此基础上，参考单位项目实施进度</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往年资金结转结余</w:t>
      </w:r>
      <w:r>
        <w:rPr>
          <w:rFonts w:hint="eastAsia" w:ascii="Times New Roman" w:hAnsi="Times New Roman" w:eastAsia="方正仿宋_GBK" w:cs="Times New Roman"/>
          <w:color w:val="auto"/>
          <w:sz w:val="33"/>
          <w:szCs w:val="33"/>
          <w:highlight w:val="none"/>
          <w:shd w:val="clear" w:color="auto" w:fill="auto"/>
          <w:lang w:eastAsia="zh-CN" w:bidi="ar"/>
        </w:rPr>
        <w:t>情况</w:t>
      </w:r>
      <w:r>
        <w:rPr>
          <w:rFonts w:hint="eastAsia" w:ascii="Times New Roman" w:hAnsi="Times New Roman" w:eastAsia="方正仿宋_GBK" w:cs="Times New Roman"/>
          <w:color w:val="auto"/>
          <w:sz w:val="33"/>
          <w:szCs w:val="33"/>
          <w:highlight w:val="none"/>
          <w:shd w:val="clear" w:color="auto" w:fill="auto"/>
          <w:lang w:bidi="ar"/>
        </w:rPr>
        <w:t>等因素开展区级重点事中监控，及时查找薄弱环节，纠正执行偏差。</w:t>
      </w:r>
      <w:r>
        <w:rPr>
          <w:rFonts w:hint="eastAsia" w:ascii="Times New Roman" w:hAnsi="Times New Roman" w:eastAsia="方正仿宋_GBK" w:cs="方正仿宋_GBK"/>
          <w:b/>
          <w:bCs/>
          <w:color w:val="auto"/>
          <w:kern w:val="0"/>
          <w:sz w:val="32"/>
          <w:szCs w:val="32"/>
          <w:highlight w:val="none"/>
          <w:shd w:val="clear" w:color="auto" w:fill="auto"/>
          <w:lang w:bidi="ar"/>
        </w:rPr>
        <w:t>一是主管单位自评。</w:t>
      </w:r>
      <w:r>
        <w:rPr>
          <w:rFonts w:hint="eastAsia" w:ascii="Times New Roman" w:hAnsi="Times New Roman" w:eastAsia="方正仿宋_GBK" w:cs="Times New Roman"/>
          <w:color w:val="auto"/>
          <w:sz w:val="33"/>
          <w:szCs w:val="33"/>
          <w:highlight w:val="none"/>
          <w:shd w:val="clear" w:color="auto" w:fill="auto"/>
          <w:lang w:bidi="ar"/>
        </w:rPr>
        <w:t>区级各主管部门（单位）对本部门及下属二级预算单位1—8月预算绩效执行情况实施监控，填报绩效监控表，形成绩效监控自评报告，</w:t>
      </w:r>
      <w:r>
        <w:rPr>
          <w:rFonts w:hint="eastAsia" w:ascii="Times New Roman" w:hAnsi="Times New Roman" w:eastAsia="方正仿宋_GBK" w:cs="Times New Roman"/>
          <w:color w:val="auto"/>
          <w:sz w:val="33"/>
          <w:szCs w:val="33"/>
          <w:highlight w:val="none"/>
          <w:shd w:val="clear" w:color="auto" w:fill="auto"/>
          <w:lang w:eastAsia="zh-CN" w:bidi="ar"/>
        </w:rPr>
        <w:t>事中绩效监控共</w:t>
      </w:r>
      <w:r>
        <w:rPr>
          <w:rFonts w:hint="eastAsia" w:ascii="Times New Roman" w:hAnsi="Times New Roman" w:eastAsia="方正仿宋_GBK" w:cs="Times New Roman"/>
          <w:color w:val="auto"/>
          <w:sz w:val="33"/>
          <w:szCs w:val="33"/>
          <w:highlight w:val="none"/>
          <w:shd w:val="clear" w:color="auto" w:fill="auto"/>
          <w:lang w:bidi="ar"/>
        </w:rPr>
        <w:t>涉及财政资金</w:t>
      </w:r>
      <w:r>
        <w:rPr>
          <w:rFonts w:hint="eastAsia" w:ascii="Times New Roman" w:hAnsi="Times New Roman" w:eastAsia="方正仿宋_GBK" w:cs="Times New Roman"/>
          <w:color w:val="auto"/>
          <w:sz w:val="33"/>
          <w:szCs w:val="33"/>
          <w:highlight w:val="none"/>
          <w:shd w:val="clear" w:color="auto" w:fill="auto"/>
          <w:lang w:val="en-US" w:eastAsia="zh-CN" w:bidi="ar"/>
        </w:rPr>
        <w:t>164,314.45</w:t>
      </w:r>
      <w:r>
        <w:rPr>
          <w:rFonts w:hint="eastAsia" w:ascii="Times New Roman" w:hAnsi="Times New Roman" w:eastAsia="方正仿宋_GBK" w:cs="Times New Roman"/>
          <w:color w:val="auto"/>
          <w:sz w:val="33"/>
          <w:szCs w:val="33"/>
          <w:highlight w:val="none"/>
          <w:shd w:val="clear" w:color="auto" w:fill="auto"/>
          <w:lang w:bidi="ar"/>
        </w:rPr>
        <w:t>万元，自评率100%。</w:t>
      </w:r>
      <w:r>
        <w:rPr>
          <w:rFonts w:hint="eastAsia" w:ascii="Times New Roman" w:hAnsi="Times New Roman" w:eastAsia="方正仿宋_GBK" w:cs="方正仿宋_GBK"/>
          <w:b/>
          <w:bCs/>
          <w:color w:val="auto"/>
          <w:kern w:val="0"/>
          <w:sz w:val="32"/>
          <w:szCs w:val="32"/>
          <w:highlight w:val="none"/>
          <w:shd w:val="clear" w:color="auto" w:fill="auto"/>
          <w:lang w:bidi="ar"/>
        </w:rPr>
        <w:t>二是财政部门监控。</w:t>
      </w:r>
      <w:r>
        <w:rPr>
          <w:rFonts w:hint="eastAsia" w:ascii="Times New Roman" w:hAnsi="Times New Roman" w:eastAsia="方正仿宋_GBK" w:cs="Times New Roman"/>
          <w:color w:val="auto"/>
          <w:sz w:val="33"/>
          <w:szCs w:val="33"/>
          <w:highlight w:val="none"/>
          <w:shd w:val="clear" w:color="auto" w:fill="auto"/>
          <w:lang w:eastAsia="zh-CN" w:bidi="ar"/>
        </w:rPr>
        <w:t>在</w:t>
      </w:r>
      <w:r>
        <w:rPr>
          <w:rFonts w:hint="eastAsia" w:ascii="Times New Roman" w:hAnsi="Times New Roman" w:eastAsia="方正仿宋_GBK" w:cs="Times New Roman"/>
          <w:color w:val="auto"/>
          <w:sz w:val="33"/>
          <w:szCs w:val="33"/>
          <w:highlight w:val="none"/>
          <w:shd w:val="clear" w:color="auto" w:fill="auto"/>
          <w:lang w:bidi="ar"/>
        </w:rPr>
        <w:t>单位自评</w:t>
      </w:r>
      <w:r>
        <w:rPr>
          <w:rFonts w:hint="eastAsia" w:ascii="Times New Roman" w:hAnsi="Times New Roman" w:eastAsia="方正仿宋_GBK" w:cs="Times New Roman"/>
          <w:color w:val="auto"/>
          <w:sz w:val="33"/>
          <w:szCs w:val="33"/>
          <w:highlight w:val="none"/>
          <w:shd w:val="clear" w:color="auto" w:fill="auto"/>
          <w:lang w:eastAsia="zh-CN" w:bidi="ar"/>
        </w:rPr>
        <w:t>基础上，区财政局</w:t>
      </w:r>
      <w:r>
        <w:rPr>
          <w:rFonts w:hint="eastAsia" w:ascii="Times New Roman" w:hAnsi="Times New Roman" w:eastAsia="方正仿宋_GBK" w:cs="Times New Roman"/>
          <w:color w:val="auto"/>
          <w:sz w:val="33"/>
          <w:szCs w:val="33"/>
          <w:highlight w:val="none"/>
          <w:shd w:val="clear" w:color="auto" w:fill="auto"/>
          <w:lang w:bidi="ar"/>
        </w:rPr>
        <w:t>对1—8月财政资金进行重点绩效监控，西区基本经费支出占年度</w:t>
      </w:r>
      <w:r>
        <w:rPr>
          <w:rFonts w:hint="eastAsia" w:ascii="Times New Roman" w:hAnsi="Times New Roman" w:eastAsia="方正仿宋_GBK" w:cs="Times New Roman"/>
          <w:color w:val="auto"/>
          <w:sz w:val="33"/>
          <w:szCs w:val="33"/>
          <w:highlight w:val="none"/>
          <w:shd w:val="clear" w:color="auto" w:fill="auto"/>
          <w:lang w:eastAsia="zh-CN" w:bidi="ar"/>
        </w:rPr>
        <w:t>预算</w:t>
      </w:r>
      <w:r>
        <w:rPr>
          <w:rFonts w:hint="eastAsia" w:ascii="Times New Roman" w:hAnsi="Times New Roman" w:eastAsia="方正仿宋_GBK" w:cs="Times New Roman"/>
          <w:color w:val="auto"/>
          <w:sz w:val="33"/>
          <w:szCs w:val="33"/>
          <w:highlight w:val="none"/>
          <w:shd w:val="clear" w:color="auto" w:fill="auto"/>
          <w:lang w:bidi="ar"/>
        </w:rPr>
        <w:t>安排的</w:t>
      </w:r>
      <w:r>
        <w:rPr>
          <w:rFonts w:hint="eastAsia" w:ascii="Times New Roman" w:hAnsi="Times New Roman" w:eastAsia="方正仿宋_GBK" w:cs="Times New Roman"/>
          <w:color w:val="auto"/>
          <w:sz w:val="33"/>
          <w:szCs w:val="33"/>
          <w:highlight w:val="none"/>
          <w:shd w:val="clear" w:color="auto" w:fill="auto"/>
          <w:lang w:val="en-US" w:eastAsia="zh-CN" w:bidi="ar"/>
        </w:rPr>
        <w:t>79.7</w:t>
      </w:r>
      <w:r>
        <w:rPr>
          <w:rFonts w:hint="eastAsia" w:ascii="Times New Roman" w:hAnsi="Times New Roman" w:eastAsia="方正仿宋_GBK" w:cs="Times New Roman"/>
          <w:color w:val="auto"/>
          <w:sz w:val="33"/>
          <w:szCs w:val="33"/>
          <w:highlight w:val="none"/>
          <w:shd w:val="clear" w:color="auto" w:fill="auto"/>
          <w:lang w:bidi="ar"/>
        </w:rPr>
        <w:t>%，高于目标进度；项目经费支出占年度</w:t>
      </w:r>
      <w:r>
        <w:rPr>
          <w:rFonts w:hint="eastAsia" w:ascii="Times New Roman" w:hAnsi="Times New Roman" w:eastAsia="方正仿宋_GBK" w:cs="Times New Roman"/>
          <w:color w:val="auto"/>
          <w:sz w:val="33"/>
          <w:szCs w:val="33"/>
          <w:highlight w:val="none"/>
          <w:shd w:val="clear" w:color="auto" w:fill="auto"/>
          <w:lang w:eastAsia="zh-CN" w:bidi="ar"/>
        </w:rPr>
        <w:t>预算</w:t>
      </w:r>
      <w:r>
        <w:rPr>
          <w:rFonts w:hint="eastAsia" w:ascii="Times New Roman" w:hAnsi="Times New Roman" w:eastAsia="方正仿宋_GBK" w:cs="Times New Roman"/>
          <w:color w:val="auto"/>
          <w:sz w:val="33"/>
          <w:szCs w:val="33"/>
          <w:highlight w:val="none"/>
          <w:shd w:val="clear" w:color="auto" w:fill="auto"/>
          <w:lang w:bidi="ar"/>
        </w:rPr>
        <w:t>安排的</w:t>
      </w:r>
      <w:r>
        <w:rPr>
          <w:rFonts w:hint="eastAsia" w:ascii="Times New Roman" w:hAnsi="Times New Roman" w:eastAsia="方正仿宋_GBK" w:cs="Times New Roman"/>
          <w:color w:val="auto"/>
          <w:sz w:val="33"/>
          <w:szCs w:val="33"/>
          <w:highlight w:val="none"/>
          <w:shd w:val="clear" w:color="auto" w:fill="auto"/>
          <w:lang w:val="en-US" w:eastAsia="zh-CN" w:bidi="ar"/>
        </w:rPr>
        <w:t>50.9</w:t>
      </w:r>
      <w:r>
        <w:rPr>
          <w:rFonts w:hint="eastAsia" w:ascii="Times New Roman" w:hAnsi="Times New Roman" w:eastAsia="方正仿宋_GBK" w:cs="Times New Roman"/>
          <w:color w:val="auto"/>
          <w:sz w:val="33"/>
          <w:szCs w:val="33"/>
          <w:highlight w:val="none"/>
          <w:shd w:val="clear" w:color="auto" w:fill="auto"/>
          <w:lang w:bidi="ar"/>
        </w:rPr>
        <w:t>%，低于目标进度，主要原因是部分项目为年底统一结算</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bidi="ar"/>
        </w:rPr>
        <w:t>工程类项目</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需审核后拨付资金。</w:t>
      </w:r>
    </w:p>
    <w:p w14:paraId="2119EBB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四、重点绩效评价项目完成情况</w:t>
      </w:r>
    </w:p>
    <w:p w14:paraId="1D157452">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（一）区级项目完成情况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年，重点绩效评价10家单位，涉及区级项目</w:t>
      </w:r>
      <w:r>
        <w:rPr>
          <w:rFonts w:hint="eastAsia" w:ascii="Times New Roman" w:hAnsi="Times New Roman" w:eastAsia="方正仿宋_GBK" w:cs="Times New Roman"/>
          <w:color w:val="auto"/>
          <w:sz w:val="33"/>
          <w:szCs w:val="33"/>
          <w:highlight w:val="none"/>
          <w:shd w:val="clear" w:color="auto" w:fill="auto"/>
          <w:lang w:val="en-US" w:eastAsia="zh-CN" w:bidi="ar"/>
        </w:rPr>
        <w:t>133</w:t>
      </w:r>
      <w:r>
        <w:rPr>
          <w:rFonts w:hint="eastAsia" w:ascii="Times New Roman" w:hAnsi="Times New Roman" w:eastAsia="方正仿宋_GBK" w:cs="Times New Roman"/>
          <w:color w:val="auto"/>
          <w:sz w:val="33"/>
          <w:szCs w:val="33"/>
          <w:highlight w:val="none"/>
          <w:shd w:val="clear" w:color="auto" w:fill="auto"/>
          <w:lang w:bidi="ar"/>
        </w:rPr>
        <w:t>个，涉及资金</w:t>
      </w:r>
      <w:r>
        <w:rPr>
          <w:rFonts w:hint="eastAsia" w:ascii="Times New Roman" w:hAnsi="Times New Roman" w:eastAsia="方正仿宋_GBK" w:cs="Times New Roman"/>
          <w:color w:val="auto"/>
          <w:sz w:val="33"/>
          <w:szCs w:val="33"/>
          <w:highlight w:val="none"/>
          <w:shd w:val="clear" w:color="auto" w:fill="auto"/>
          <w:lang w:val="en-US" w:eastAsia="zh-CN" w:bidi="ar"/>
        </w:rPr>
        <w:t>5,441.63</w:t>
      </w:r>
      <w:r>
        <w:rPr>
          <w:rFonts w:hint="eastAsia" w:ascii="Times New Roman" w:hAnsi="Times New Roman" w:eastAsia="方正仿宋_GBK" w:cs="Times New Roman"/>
          <w:color w:val="auto"/>
          <w:sz w:val="33"/>
          <w:szCs w:val="33"/>
          <w:highlight w:val="none"/>
          <w:shd w:val="clear" w:color="auto" w:fill="auto"/>
          <w:lang w:bidi="ar"/>
        </w:rPr>
        <w:t>万元，完成</w:t>
      </w:r>
      <w:r>
        <w:rPr>
          <w:rFonts w:hint="eastAsia" w:ascii="Times New Roman" w:hAnsi="Times New Roman" w:eastAsia="方正仿宋_GBK" w:cs="Times New Roman"/>
          <w:color w:val="auto"/>
          <w:sz w:val="33"/>
          <w:szCs w:val="33"/>
          <w:highlight w:val="none"/>
          <w:shd w:val="clear" w:color="auto" w:fill="auto"/>
          <w:lang w:val="en-US" w:eastAsia="zh-CN" w:bidi="ar"/>
        </w:rPr>
        <w:t>127</w:t>
      </w:r>
      <w:r>
        <w:rPr>
          <w:rFonts w:hint="eastAsia" w:ascii="Times New Roman" w:hAnsi="Times New Roman" w:eastAsia="方正仿宋_GBK" w:cs="Times New Roman"/>
          <w:color w:val="auto"/>
          <w:sz w:val="33"/>
          <w:szCs w:val="33"/>
          <w:highlight w:val="none"/>
          <w:shd w:val="clear" w:color="auto" w:fill="auto"/>
          <w:lang w:bidi="ar"/>
        </w:rPr>
        <w:t>个，完成率</w:t>
      </w:r>
      <w:r>
        <w:rPr>
          <w:rFonts w:hint="eastAsia" w:ascii="Times New Roman" w:hAnsi="Times New Roman" w:eastAsia="方正仿宋_GBK" w:cs="Times New Roman"/>
          <w:color w:val="auto"/>
          <w:sz w:val="33"/>
          <w:szCs w:val="33"/>
          <w:highlight w:val="none"/>
          <w:shd w:val="clear" w:color="auto" w:fill="auto"/>
          <w:lang w:val="en-US" w:eastAsia="zh-CN" w:bidi="ar"/>
        </w:rPr>
        <w:t>95.5</w:t>
      </w:r>
      <w:r>
        <w:rPr>
          <w:rFonts w:hint="eastAsia" w:ascii="Times New Roman" w:hAnsi="Times New Roman" w:eastAsia="方正仿宋_GBK" w:cs="Times New Roman"/>
          <w:color w:val="auto"/>
          <w:sz w:val="33"/>
          <w:szCs w:val="33"/>
          <w:highlight w:val="none"/>
          <w:shd w:val="clear" w:color="auto" w:fill="auto"/>
          <w:lang w:bidi="ar"/>
        </w:rPr>
        <w:t>%。</w:t>
      </w:r>
    </w:p>
    <w:p w14:paraId="069B4BAB">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（二）上级专项完成情况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kern w:val="0"/>
          <w:sz w:val="33"/>
          <w:szCs w:val="33"/>
          <w:highlight w:val="none"/>
          <w:shd w:val="clear" w:color="auto" w:fill="auto"/>
          <w:lang w:val="en-US" w:eastAsia="zh-CN"/>
        </w:rPr>
        <w:t>2023</w:t>
      </w:r>
      <w:r>
        <w:rPr>
          <w:rFonts w:hint="eastAsia" w:ascii="Times New Roman" w:hAnsi="Times New Roman" w:eastAsia="方正仿宋_GBK" w:cs="Times New Roman"/>
          <w:color w:val="auto"/>
          <w:kern w:val="0"/>
          <w:sz w:val="33"/>
          <w:szCs w:val="33"/>
          <w:highlight w:val="none"/>
          <w:shd w:val="clear" w:color="auto" w:fill="auto"/>
        </w:rPr>
        <w:t>年，重点绩效评价10家单位，涉及中央、省、市级项目共</w:t>
      </w:r>
      <w:r>
        <w:rPr>
          <w:rFonts w:hint="eastAsia" w:ascii="Times New Roman" w:hAnsi="Times New Roman" w:eastAsia="方正仿宋_GBK" w:cs="Times New Roman"/>
          <w:color w:val="auto"/>
          <w:kern w:val="0"/>
          <w:sz w:val="33"/>
          <w:szCs w:val="33"/>
          <w:highlight w:val="none"/>
          <w:shd w:val="clear" w:color="auto" w:fill="auto"/>
          <w:lang w:val="en-US" w:eastAsia="zh-CN"/>
        </w:rPr>
        <w:t>35</w:t>
      </w:r>
      <w:r>
        <w:rPr>
          <w:rFonts w:hint="eastAsia" w:ascii="Times New Roman" w:hAnsi="Times New Roman" w:eastAsia="方正仿宋_GBK" w:cs="Times New Roman"/>
          <w:color w:val="auto"/>
          <w:kern w:val="0"/>
          <w:sz w:val="33"/>
          <w:szCs w:val="33"/>
          <w:highlight w:val="none"/>
          <w:shd w:val="clear" w:color="auto" w:fill="auto"/>
        </w:rPr>
        <w:t>个，涉及资金</w:t>
      </w:r>
      <w:r>
        <w:rPr>
          <w:rFonts w:hint="eastAsia" w:ascii="Times New Roman" w:hAnsi="Times New Roman" w:eastAsia="方正仿宋_GBK" w:cs="Times New Roman"/>
          <w:color w:val="auto"/>
          <w:kern w:val="0"/>
          <w:sz w:val="33"/>
          <w:szCs w:val="33"/>
          <w:highlight w:val="none"/>
          <w:shd w:val="clear" w:color="auto" w:fill="auto"/>
          <w:lang w:val="en-US" w:eastAsia="zh-CN"/>
        </w:rPr>
        <w:t>1,844.11</w:t>
      </w:r>
      <w:r>
        <w:rPr>
          <w:rFonts w:hint="eastAsia" w:ascii="Times New Roman" w:hAnsi="Times New Roman" w:eastAsia="方正仿宋_GBK" w:cs="Times New Roman"/>
          <w:color w:val="auto"/>
          <w:kern w:val="0"/>
          <w:sz w:val="33"/>
          <w:szCs w:val="33"/>
          <w:highlight w:val="none"/>
          <w:shd w:val="clear" w:color="auto" w:fill="auto"/>
        </w:rPr>
        <w:t>万元，完成</w:t>
      </w:r>
      <w:r>
        <w:rPr>
          <w:rFonts w:hint="eastAsia" w:ascii="Times New Roman" w:hAnsi="Times New Roman" w:eastAsia="方正仿宋_GBK" w:cs="Times New Roman"/>
          <w:color w:val="auto"/>
          <w:kern w:val="0"/>
          <w:sz w:val="33"/>
          <w:szCs w:val="33"/>
          <w:highlight w:val="none"/>
          <w:shd w:val="clear" w:color="auto" w:fill="auto"/>
          <w:lang w:val="en-US" w:eastAsia="zh-CN"/>
        </w:rPr>
        <w:t>32</w:t>
      </w:r>
      <w:r>
        <w:rPr>
          <w:rFonts w:hint="eastAsia" w:ascii="Times New Roman" w:hAnsi="Times New Roman" w:eastAsia="方正仿宋_GBK" w:cs="Times New Roman"/>
          <w:color w:val="auto"/>
          <w:kern w:val="0"/>
          <w:sz w:val="33"/>
          <w:szCs w:val="33"/>
          <w:highlight w:val="none"/>
          <w:shd w:val="clear" w:color="auto" w:fill="auto"/>
        </w:rPr>
        <w:t>个，完成率</w:t>
      </w:r>
      <w:r>
        <w:rPr>
          <w:rFonts w:hint="eastAsia" w:ascii="Times New Roman" w:hAnsi="Times New Roman" w:eastAsia="方正仿宋_GBK" w:cs="Times New Roman"/>
          <w:color w:val="auto"/>
          <w:kern w:val="0"/>
          <w:sz w:val="33"/>
          <w:szCs w:val="33"/>
          <w:highlight w:val="none"/>
          <w:shd w:val="clear" w:color="auto" w:fill="auto"/>
          <w:lang w:val="en-US" w:eastAsia="zh-CN"/>
        </w:rPr>
        <w:t>91.4</w:t>
      </w:r>
      <w:r>
        <w:rPr>
          <w:rFonts w:hint="eastAsia" w:ascii="Times New Roman" w:hAnsi="Times New Roman" w:eastAsia="方正仿宋_GBK" w:cs="Times New Roman"/>
          <w:color w:val="auto"/>
          <w:kern w:val="0"/>
          <w:sz w:val="33"/>
          <w:szCs w:val="33"/>
          <w:highlight w:val="none"/>
          <w:shd w:val="clear" w:color="auto" w:fill="auto"/>
        </w:rPr>
        <w:t>%。</w:t>
      </w:r>
    </w:p>
    <w:p w14:paraId="40F515AE">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（三）上年结转项目完成情况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kern w:val="0"/>
          <w:sz w:val="33"/>
          <w:szCs w:val="33"/>
          <w:highlight w:val="none"/>
          <w:shd w:val="clear" w:color="auto" w:fill="auto"/>
          <w:lang w:val="en-US" w:eastAsia="zh-CN"/>
        </w:rPr>
        <w:t>2023</w:t>
      </w:r>
      <w:r>
        <w:rPr>
          <w:rFonts w:hint="eastAsia" w:ascii="Times New Roman" w:hAnsi="Times New Roman" w:eastAsia="方正仿宋_GBK" w:cs="Times New Roman"/>
          <w:color w:val="auto"/>
          <w:kern w:val="0"/>
          <w:sz w:val="33"/>
          <w:szCs w:val="33"/>
          <w:highlight w:val="none"/>
          <w:shd w:val="clear" w:color="auto" w:fill="auto"/>
        </w:rPr>
        <w:t>年，重点绩效评价10家单位，上年结转项目</w:t>
      </w:r>
      <w:r>
        <w:rPr>
          <w:rFonts w:hint="eastAsia" w:ascii="Times New Roman" w:hAnsi="Times New Roman" w:eastAsia="方正仿宋_GBK" w:cs="Times New Roman"/>
          <w:color w:val="auto"/>
          <w:kern w:val="0"/>
          <w:sz w:val="33"/>
          <w:szCs w:val="33"/>
          <w:highlight w:val="none"/>
          <w:shd w:val="clear" w:color="auto" w:fill="auto"/>
          <w:lang w:val="en-US" w:eastAsia="zh-CN"/>
        </w:rPr>
        <w:t>69</w:t>
      </w:r>
      <w:r>
        <w:rPr>
          <w:rFonts w:hint="eastAsia" w:ascii="Times New Roman" w:hAnsi="Times New Roman" w:eastAsia="方正仿宋_GBK" w:cs="Times New Roman"/>
          <w:color w:val="auto"/>
          <w:kern w:val="0"/>
          <w:sz w:val="33"/>
          <w:szCs w:val="33"/>
          <w:highlight w:val="none"/>
          <w:shd w:val="clear" w:color="auto" w:fill="auto"/>
        </w:rPr>
        <w:t>个，涉及资金</w:t>
      </w:r>
      <w:r>
        <w:rPr>
          <w:rFonts w:hint="eastAsia" w:ascii="Times New Roman" w:hAnsi="Times New Roman" w:eastAsia="方正仿宋_GBK" w:cs="Times New Roman"/>
          <w:color w:val="auto"/>
          <w:kern w:val="0"/>
          <w:sz w:val="33"/>
          <w:szCs w:val="33"/>
          <w:highlight w:val="none"/>
          <w:shd w:val="clear" w:color="auto" w:fill="auto"/>
          <w:lang w:val="en-US" w:eastAsia="zh-CN"/>
        </w:rPr>
        <w:t>4,144.09</w:t>
      </w:r>
      <w:r>
        <w:rPr>
          <w:rFonts w:hint="eastAsia" w:ascii="Times New Roman" w:hAnsi="Times New Roman" w:eastAsia="方正仿宋_GBK" w:cs="Times New Roman"/>
          <w:color w:val="auto"/>
          <w:kern w:val="0"/>
          <w:sz w:val="33"/>
          <w:szCs w:val="33"/>
          <w:highlight w:val="none"/>
          <w:shd w:val="clear" w:color="auto" w:fill="auto"/>
        </w:rPr>
        <w:t>万元，完成</w:t>
      </w:r>
      <w:r>
        <w:rPr>
          <w:rFonts w:hint="eastAsia" w:ascii="Times New Roman" w:hAnsi="Times New Roman" w:eastAsia="方正仿宋_GBK" w:cs="Times New Roman"/>
          <w:color w:val="auto"/>
          <w:kern w:val="0"/>
          <w:sz w:val="33"/>
          <w:szCs w:val="33"/>
          <w:highlight w:val="none"/>
          <w:shd w:val="clear" w:color="auto" w:fill="auto"/>
          <w:lang w:val="en-US" w:eastAsia="zh-CN"/>
        </w:rPr>
        <w:t>59</w:t>
      </w:r>
      <w:r>
        <w:rPr>
          <w:rFonts w:hint="eastAsia" w:ascii="Times New Roman" w:hAnsi="Times New Roman" w:eastAsia="方正仿宋_GBK" w:cs="Times New Roman"/>
          <w:color w:val="auto"/>
          <w:kern w:val="0"/>
          <w:sz w:val="33"/>
          <w:szCs w:val="33"/>
          <w:highlight w:val="none"/>
          <w:shd w:val="clear" w:color="auto" w:fill="auto"/>
        </w:rPr>
        <w:t>个，完成率</w:t>
      </w:r>
      <w:r>
        <w:rPr>
          <w:rFonts w:hint="eastAsia" w:ascii="Times New Roman" w:hAnsi="Times New Roman" w:eastAsia="方正仿宋_GBK" w:cs="Times New Roman"/>
          <w:color w:val="auto"/>
          <w:kern w:val="0"/>
          <w:sz w:val="33"/>
          <w:szCs w:val="33"/>
          <w:highlight w:val="none"/>
          <w:shd w:val="clear" w:color="auto" w:fill="auto"/>
          <w:lang w:val="en-US" w:eastAsia="zh-CN"/>
        </w:rPr>
        <w:t>85.5</w:t>
      </w:r>
      <w:r>
        <w:rPr>
          <w:rFonts w:hint="eastAsia" w:ascii="Times New Roman" w:hAnsi="Times New Roman" w:eastAsia="方正仿宋_GBK" w:cs="Times New Roman"/>
          <w:color w:val="auto"/>
          <w:kern w:val="0"/>
          <w:sz w:val="33"/>
          <w:szCs w:val="33"/>
          <w:highlight w:val="none"/>
          <w:shd w:val="clear" w:color="auto" w:fill="auto"/>
        </w:rPr>
        <w:t>%。</w:t>
      </w:r>
    </w:p>
    <w:p w14:paraId="1CEBC43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黑体_GBK" w:cs="Times New Roman"/>
          <w:color w:val="auto"/>
          <w:kern w:val="0"/>
          <w:sz w:val="33"/>
          <w:szCs w:val="33"/>
          <w:highlight w:val="none"/>
          <w:shd w:val="clear" w:color="auto" w:fill="auto"/>
        </w:rPr>
        <w:t>五、评价结论</w:t>
      </w:r>
    </w:p>
    <w:p w14:paraId="48365A3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ascii="Times New Roman" w:hAnsi="Times New Roman" w:eastAsia="方正仿宋_GBK" w:cs="Times New Roman"/>
          <w:color w:val="auto"/>
          <w:sz w:val="33"/>
          <w:szCs w:val="33"/>
          <w:highlight w:val="none"/>
          <w:shd w:val="clear" w:color="auto" w:fill="auto"/>
        </w:rPr>
        <w:t>年重点绩效目标完成情况较好，切实保障各单位人员基本支出及各项工作平稳运行。</w:t>
      </w:r>
      <w:r>
        <w:rPr>
          <w:rFonts w:hint="eastAsia" w:ascii="Times New Roman" w:hAnsi="Times New Roman" w:eastAsia="方正仿宋_GBK" w:cs="Times New Roman"/>
          <w:color w:val="auto"/>
          <w:sz w:val="33"/>
          <w:szCs w:val="33"/>
          <w:highlight w:val="none"/>
          <w:shd w:val="clear" w:color="auto" w:fill="auto"/>
          <w:lang w:val="en-US" w:eastAsia="zh-CN"/>
        </w:rPr>
        <w:t>区政协办公室切实履行政治协商、民主监督、参政议政职能，精心谋划和推进落实2项专题议政性常委会会议协商选题、3项专题（对口）协商和2项监督协商议题，更好地把全过程人民民主落到实处。区司法局统筹推进法治政府建设，积极抓好全面依法治区重大问题的政策研究、区政府规范性文件的解释、报备和实施后评估等工作</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区人社局推动全区就业、失业及社会保障工作，完成城镇居民人均可支配收入增速指标，积极做好根治欠薪、农民工服务保障、劳动和谐关系协调、人才引进等工作，保障全区人力资源和社会保障事业稳步发展</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区统计局建立健全全区国民经济核算体系，核算全区地区生产总值，组织实施人口、经济、农业等普查，确保统计数据真实、准确、完整、及时。区林业局全面履行森林防火职责、开展生态修复职责、执行林政执法与监督职责，全力开展林业有害生物防治工作。区行政审批局积极推进相对集中行政许可权改革，指导、协调并推进全区政务服务体系建设，积极做好职业健康、审批服务便民化等工作。区档案馆收集和接收西区保管范围内对国家和社会有保存价值的档案，对所保存的档案严格按照规定整理和保管，并采取各种形式开发档案资源，为社会利用档案资源提供服务。区矿产资源保护中心加强对矿产资源的监管和巡查，严厉打击私挖滥采矿产资源行为，指导乡镇（街道）对辖区范围内的矿产资源开采活动进行监督和巡查，接受群众举报，组织依法封堵非法矿井。</w:t>
      </w:r>
      <w:r>
        <w:rPr>
          <w:rFonts w:hint="eastAsia" w:ascii="Times New Roman" w:hAnsi="Times New Roman" w:eastAsia="方正仿宋_GBK" w:cs="Times New Roman"/>
          <w:color w:val="auto"/>
          <w:sz w:val="33"/>
          <w:szCs w:val="33"/>
          <w:highlight w:val="none"/>
          <w:shd w:val="clear" w:color="auto" w:fill="auto"/>
        </w:rPr>
        <w:t>区残联组织、协调残疾人康复、教育、劳动就业</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福利、社会服务</w:t>
      </w:r>
      <w:r>
        <w:rPr>
          <w:rFonts w:hint="eastAsia" w:ascii="Times New Roman" w:hAnsi="Times New Roman" w:eastAsia="方正仿宋_GBK" w:cs="Times New Roman"/>
          <w:color w:val="auto"/>
          <w:sz w:val="33"/>
          <w:szCs w:val="33"/>
          <w:highlight w:val="none"/>
          <w:shd w:val="clear" w:color="auto" w:fill="auto"/>
          <w:lang w:val="en-US" w:eastAsia="zh-CN"/>
        </w:rPr>
        <w:t>和</w:t>
      </w:r>
      <w:r>
        <w:rPr>
          <w:rFonts w:hint="eastAsia" w:ascii="Times New Roman" w:hAnsi="Times New Roman" w:eastAsia="方正仿宋_GBK" w:cs="Times New Roman"/>
          <w:color w:val="auto"/>
          <w:sz w:val="33"/>
          <w:szCs w:val="33"/>
          <w:highlight w:val="none"/>
          <w:shd w:val="clear" w:color="auto" w:fill="auto"/>
        </w:rPr>
        <w:t>无障碍设施等工作，创造良好的环境和条件，扶助残疾人平等参与社会生活。</w:t>
      </w:r>
      <w:r>
        <w:rPr>
          <w:rFonts w:hint="eastAsia" w:ascii="Times New Roman" w:hAnsi="Times New Roman" w:eastAsia="方正仿宋_GBK" w:cs="Times New Roman"/>
          <w:color w:val="auto"/>
          <w:sz w:val="33"/>
          <w:szCs w:val="33"/>
          <w:highlight w:val="none"/>
          <w:shd w:val="clear" w:color="auto" w:fill="auto"/>
          <w:lang w:val="en-US" w:eastAsia="zh-CN"/>
        </w:rPr>
        <w:t>河门口</w:t>
      </w:r>
      <w:r>
        <w:rPr>
          <w:rFonts w:hint="eastAsia" w:ascii="Times New Roman" w:hAnsi="Times New Roman" w:eastAsia="方正仿宋_GBK" w:cs="Times New Roman"/>
          <w:color w:val="auto"/>
          <w:sz w:val="33"/>
          <w:szCs w:val="33"/>
          <w:highlight w:val="none"/>
          <w:shd w:val="clear" w:color="auto" w:fill="auto"/>
        </w:rPr>
        <w:t>街办积极构建公共服务均等化体系，促进社会事业发展，建立健全群众办事一次办结机制，优化便民服务质量</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开展</w:t>
      </w:r>
      <w:r>
        <w:rPr>
          <w:rFonts w:hint="eastAsia" w:ascii="Times New Roman" w:hAnsi="Times New Roman" w:eastAsia="方正仿宋_GBK" w:cs="Times New Roman"/>
          <w:color w:val="auto"/>
          <w:sz w:val="33"/>
          <w:szCs w:val="33"/>
          <w:highlight w:val="none"/>
          <w:shd w:val="clear" w:color="auto" w:fill="auto"/>
          <w:lang w:val="en-US" w:eastAsia="zh-CN"/>
        </w:rPr>
        <w:t>创建文明城市工作</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营造良好发展环境</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建立社会矛盾纠纷排查调处机制，维护社会和谐稳定。</w:t>
      </w:r>
    </w:p>
    <w:p w14:paraId="7257A1A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kern w:val="0"/>
          <w:sz w:val="33"/>
          <w:szCs w:val="33"/>
          <w:highlight w:val="none"/>
          <w:shd w:val="clear" w:color="auto" w:fill="auto"/>
          <w:lang w:val="en-US" w:eastAsia="zh-CN" w:bidi="ar-SA"/>
        </w:rPr>
      </w:pPr>
      <w:r>
        <w:rPr>
          <w:rFonts w:ascii="Times New Roman" w:hAnsi="Times New Roman" w:eastAsia="方正仿宋_GBK" w:cs="Times New Roman"/>
          <w:color w:val="auto"/>
          <w:kern w:val="0"/>
          <w:sz w:val="33"/>
          <w:szCs w:val="33"/>
          <w:highlight w:val="none"/>
          <w:shd w:val="clear" w:color="auto" w:fill="auto"/>
          <w:lang w:val="en-US" w:eastAsia="zh-CN" w:bidi="ar-SA"/>
        </w:rPr>
        <w:t>肯定成绩的同时，也存在一些问题：</w:t>
      </w:r>
      <w:r>
        <w:rPr>
          <w:rFonts w:ascii="Times New Roman" w:hAnsi="Times New Roman" w:eastAsia="方正仿宋_GBK" w:cs="Times New Roman"/>
          <w:b/>
          <w:bCs/>
          <w:color w:val="auto"/>
          <w:kern w:val="0"/>
          <w:sz w:val="33"/>
          <w:szCs w:val="33"/>
          <w:highlight w:val="none"/>
          <w:shd w:val="clear" w:color="auto" w:fill="auto"/>
          <w:lang w:val="en-US" w:eastAsia="zh-CN" w:bidi="ar-SA"/>
        </w:rPr>
        <w:t>一是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预算绩效管理意识待增强。</w:t>
      </w:r>
      <w:r>
        <w:rPr>
          <w:rFonts w:hint="eastAsia" w:ascii="Times New Roman" w:hAnsi="Times New Roman" w:eastAsia="方正仿宋_GBK" w:cs="Times New Roman"/>
          <w:b w:val="0"/>
          <w:bCs w:val="0"/>
          <w:color w:val="auto"/>
          <w:kern w:val="0"/>
          <w:sz w:val="33"/>
          <w:szCs w:val="33"/>
          <w:highlight w:val="none"/>
          <w:shd w:val="clear" w:color="auto" w:fill="auto"/>
          <w:lang w:val="en-US" w:eastAsia="zh-CN" w:bidi="ar-SA"/>
        </w:rPr>
        <w:t>虽然全区各部门预算绩效意识逐渐加强，但主体责任意识仍显不足，“重资金争取、轻后续管理，重资金安排、轻项目效益”的思想还没有完全转变，部门在预算绩效管理工作方面仍然处于“要我管理”的被动状态，“我要管理”的主动性还不够。</w:t>
      </w:r>
      <w:r>
        <w:rPr>
          <w:rFonts w:ascii="Times New Roman" w:hAnsi="Times New Roman" w:eastAsia="方正仿宋_GBK" w:cs="Times New Roman"/>
          <w:b/>
          <w:bCs/>
          <w:color w:val="auto"/>
          <w:kern w:val="0"/>
          <w:sz w:val="33"/>
          <w:szCs w:val="33"/>
          <w:highlight w:val="none"/>
          <w:shd w:val="clear" w:color="auto" w:fill="auto"/>
          <w:lang w:val="en-US" w:eastAsia="zh-CN" w:bidi="ar-SA"/>
        </w:rPr>
        <w:t>二是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预算绩效管理水平待提升。</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部门对预算绩效管理相关政策规定了解不够，工作开展不深入，工作质量有待提高。部门开展项目支出自评和部门支出自评时，总结成绩较多，剖析问题较少，对项目绩效目标和分项指标分析不够详细，未进行客观总结归纳，无法反映项目真实运行情况，并缺乏具体有效的后续改进措施。</w:t>
      </w:r>
      <w:r>
        <w:rPr>
          <w:rFonts w:ascii="Times New Roman" w:hAnsi="Times New Roman" w:eastAsia="方正仿宋_GBK" w:cs="Times New Roman"/>
          <w:b/>
          <w:bCs/>
          <w:color w:val="auto"/>
          <w:kern w:val="0"/>
          <w:sz w:val="33"/>
          <w:szCs w:val="33"/>
          <w:highlight w:val="none"/>
          <w:shd w:val="clear" w:color="auto" w:fill="auto"/>
          <w:lang w:val="en-US" w:eastAsia="zh-CN" w:bidi="ar-SA"/>
        </w:rPr>
        <w:t>三是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w:t>
      </w:r>
      <w:r>
        <w:rPr>
          <w:rFonts w:ascii="Times New Roman" w:hAnsi="Times New Roman" w:eastAsia="方正仿宋_GBK" w:cs="Times New Roman"/>
          <w:b/>
          <w:bCs/>
          <w:color w:val="auto"/>
          <w:kern w:val="0"/>
          <w:sz w:val="33"/>
          <w:szCs w:val="33"/>
          <w:highlight w:val="none"/>
          <w:shd w:val="clear" w:color="auto" w:fill="auto"/>
          <w:lang w:val="en-US" w:eastAsia="zh-CN" w:bidi="ar-SA"/>
        </w:rPr>
        <w:t>绩效管理</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人员</w:t>
      </w:r>
      <w:r>
        <w:rPr>
          <w:rFonts w:ascii="Times New Roman" w:hAnsi="Times New Roman" w:eastAsia="方正仿宋_GBK" w:cs="Times New Roman"/>
          <w:b/>
          <w:bCs/>
          <w:color w:val="auto"/>
          <w:kern w:val="0"/>
          <w:sz w:val="33"/>
          <w:szCs w:val="33"/>
          <w:highlight w:val="none"/>
          <w:shd w:val="clear" w:color="auto" w:fill="auto"/>
          <w:lang w:val="en-US" w:eastAsia="zh-CN" w:bidi="ar-SA"/>
        </w:rPr>
        <w:t>专业</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性待强化</w:t>
      </w:r>
      <w:r>
        <w:rPr>
          <w:rFonts w:ascii="Times New Roman" w:hAnsi="Times New Roman" w:eastAsia="方正仿宋_GBK" w:cs="Times New Roman"/>
          <w:b/>
          <w:bCs/>
          <w:color w:val="auto"/>
          <w:kern w:val="0"/>
          <w:sz w:val="33"/>
          <w:szCs w:val="33"/>
          <w:highlight w:val="none"/>
          <w:shd w:val="clear" w:color="auto" w:fill="auto"/>
          <w:lang w:val="en-US" w:eastAsia="zh-CN" w:bidi="ar-SA"/>
        </w:rPr>
        <w:t>。</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预算绩效</w:t>
      </w:r>
      <w:r>
        <w:rPr>
          <w:rFonts w:ascii="Times New Roman" w:hAnsi="Times New Roman" w:eastAsia="方正仿宋_GBK" w:cs="Times New Roman"/>
          <w:color w:val="auto"/>
          <w:kern w:val="0"/>
          <w:sz w:val="33"/>
          <w:szCs w:val="33"/>
          <w:highlight w:val="none"/>
          <w:shd w:val="clear" w:color="auto" w:fill="auto"/>
          <w:lang w:val="en-US" w:eastAsia="zh-CN" w:bidi="ar-SA"/>
        </w:rPr>
        <w:t>管理是一项专业性较强的工作，</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预算</w:t>
      </w:r>
      <w:r>
        <w:rPr>
          <w:rFonts w:ascii="Times New Roman" w:hAnsi="Times New Roman" w:eastAsia="方正仿宋_GBK" w:cs="Times New Roman"/>
          <w:color w:val="auto"/>
          <w:kern w:val="0"/>
          <w:sz w:val="33"/>
          <w:szCs w:val="33"/>
          <w:highlight w:val="none"/>
          <w:shd w:val="clear" w:color="auto" w:fill="auto"/>
          <w:lang w:val="en-US" w:eastAsia="zh-CN" w:bidi="ar-SA"/>
        </w:rPr>
        <w:t>绩效管理工作</w:t>
      </w:r>
      <w:r>
        <w:rPr>
          <w:rFonts w:hint="eastAsia" w:ascii="Times New Roman" w:hAnsi="Times New Roman" w:eastAsia="方正仿宋_GBK" w:cs="Times New Roman"/>
          <w:color w:val="auto"/>
          <w:kern w:val="0"/>
          <w:sz w:val="33"/>
          <w:szCs w:val="33"/>
          <w:highlight w:val="none"/>
          <w:shd w:val="clear" w:color="auto" w:fill="auto"/>
          <w:lang w:val="en-US" w:eastAsia="zh-CN" w:bidi="ar-SA"/>
        </w:rPr>
        <w:t>人员</w:t>
      </w:r>
      <w:r>
        <w:rPr>
          <w:rFonts w:ascii="Times New Roman" w:hAnsi="Times New Roman" w:eastAsia="方正仿宋_GBK" w:cs="Times New Roman"/>
          <w:color w:val="auto"/>
          <w:kern w:val="0"/>
          <w:sz w:val="33"/>
          <w:szCs w:val="33"/>
          <w:highlight w:val="none"/>
          <w:shd w:val="clear" w:color="auto" w:fill="auto"/>
          <w:lang w:val="en-US" w:eastAsia="zh-CN" w:bidi="ar-SA"/>
        </w:rPr>
        <w:t>既需要具备基本的财务知识，</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又必须</w:t>
      </w:r>
      <w:r>
        <w:rPr>
          <w:rFonts w:ascii="Times New Roman" w:hAnsi="Times New Roman" w:eastAsia="方正仿宋_GBK" w:cs="Times New Roman"/>
          <w:color w:val="auto"/>
          <w:kern w:val="0"/>
          <w:sz w:val="33"/>
          <w:szCs w:val="33"/>
          <w:highlight w:val="none"/>
          <w:shd w:val="clear" w:color="auto" w:fill="auto"/>
          <w:lang w:val="en-US" w:eastAsia="zh-CN" w:bidi="ar-SA"/>
        </w:rPr>
        <w:t>对其项目或相关业务非常熟悉</w:t>
      </w:r>
      <w:r>
        <w:rPr>
          <w:rFonts w:hint="eastAsia" w:ascii="Times New Roman" w:hAnsi="Times New Roman" w:eastAsia="方正仿宋_GBK" w:cs="Times New Roman"/>
          <w:color w:val="auto"/>
          <w:kern w:val="0"/>
          <w:sz w:val="33"/>
          <w:szCs w:val="33"/>
          <w:highlight w:val="none"/>
          <w:shd w:val="clear" w:color="auto" w:fill="auto"/>
          <w:lang w:val="en-US" w:eastAsia="zh-CN" w:bidi="ar-SA"/>
        </w:rPr>
        <w:t>，但预算单位</w:t>
      </w:r>
      <w:r>
        <w:rPr>
          <w:rFonts w:ascii="Times New Roman" w:hAnsi="Times New Roman" w:eastAsia="方正仿宋_GBK" w:cs="Times New Roman"/>
          <w:color w:val="auto"/>
          <w:kern w:val="0"/>
          <w:sz w:val="33"/>
          <w:szCs w:val="33"/>
          <w:highlight w:val="none"/>
          <w:shd w:val="clear" w:color="auto" w:fill="auto"/>
          <w:lang w:val="en-US" w:eastAsia="zh-CN" w:bidi="ar-SA"/>
        </w:rPr>
        <w:t>绩效评价工作往往是财务部门负责，</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单靠</w:t>
      </w:r>
      <w:r>
        <w:rPr>
          <w:rFonts w:ascii="Times New Roman" w:hAnsi="Times New Roman" w:eastAsia="方正仿宋_GBK" w:cs="Times New Roman"/>
          <w:color w:val="auto"/>
          <w:kern w:val="0"/>
          <w:sz w:val="33"/>
          <w:szCs w:val="33"/>
          <w:highlight w:val="none"/>
          <w:shd w:val="clear" w:color="auto" w:fill="auto"/>
          <w:lang w:val="en-US" w:eastAsia="zh-CN" w:bidi="ar-SA"/>
        </w:rPr>
        <w:t>财务人员难以对绩效目标等绩效评价的核心内容作出较为合理的判断，与预算绩效管理工作要求存在一定差距。</w:t>
      </w:r>
    </w:p>
    <w:p w14:paraId="5282885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六</w:t>
      </w:r>
      <w:r>
        <w:rPr>
          <w:rFonts w:ascii="Times New Roman" w:hAnsi="Times New Roman" w:eastAsia="方正黑体_GBK" w:cs="Times New Roman"/>
          <w:color w:val="auto"/>
          <w:kern w:val="0"/>
          <w:sz w:val="33"/>
          <w:szCs w:val="33"/>
          <w:highlight w:val="none"/>
          <w:shd w:val="clear" w:color="auto" w:fill="auto"/>
          <w:lang w:val="en-US" w:eastAsia="zh-CN" w:bidi="ar-SA"/>
        </w:rPr>
        <w:t>、下一步工作</w:t>
      </w:r>
    </w:p>
    <w:p w14:paraId="6E77F007">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bidi="ar"/>
        </w:rPr>
        <w:t>（一）持续强化预算绩效管理理念</w:t>
      </w:r>
    </w:p>
    <w:p w14:paraId="1DAC270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各部门作为预算绩效管理的责任主体，对本部门项目预算绩效承担直接责任。区政府将继续按照各级预算绩效管理有关规定，完善相关制度，从政策层面加强宣传，从业务层面加强指导，促使各部门正确认识树立绩效理念在开展社会管理和提供公共服务中的重要性，树立起“花钱必问效、无效必收回”的责任意识。</w:t>
      </w:r>
    </w:p>
    <w:p w14:paraId="50EDB10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二</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bidi="ar"/>
        </w:rPr>
        <w:t>持续强化绩效目标引领作用</w:t>
      </w:r>
    </w:p>
    <w:p w14:paraId="2AD0D49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加强财政预算绩效目标管理，把“目标”作为申请预算的前置条件，把“绩效”作为财政预算安排的落脚点，建立健全“预算编制有目标、预算执行有监控、预算完成有评价”的绩效管理体系，做好上年绩效评价结果与本年度预算安排有机衔接。通过绩效问效，压减或取消低效无效支出，优化财政支出结构，确保财政资金投入与绩效产出结果相匹配。</w:t>
      </w:r>
    </w:p>
    <w:p w14:paraId="3493681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val="en-US" w:eastAsia="zh-CN" w:bidi="ar"/>
        </w:rPr>
      </w:pP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三</w:t>
      </w: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持续强化项目过程监管力度</w:t>
      </w:r>
    </w:p>
    <w:p w14:paraId="6438B7DB">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加强从项目审批、实施、验收的全过程跟踪问效，确保专项资金发挥预期作用，按照“事前评估、事中监控、事后评价”的要求对项目实施开展全过程监督控制，把专项资金审批分配、监督检查与绩效评价结合起来，建立科学、完善的财政专项资金监管制度。加强预算单位项目自评工作，提高自评报告质量。认真分析研究评价结果所反映的问题，努力查找资金的使用和管理中的薄弱环节，制定改进和提高工作的措施。</w:t>
      </w:r>
    </w:p>
    <w:p w14:paraId="75FB454A">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val="en-US" w:eastAsia="zh-CN" w:bidi="ar"/>
        </w:rPr>
      </w:pP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四</w:t>
      </w: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持续强化绩效评价结果运用</w:t>
      </w:r>
    </w:p>
    <w:p w14:paraId="29FEAA0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一是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继续将绩效管理工作纳入目标绩效综合考核，强化单位预算绩效管理工作责任意识。</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二是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建立“全过程”预算绩效结果与预算安排相挂钩机制，优先考虑和重点支持评价结果好的项目，减少评价结果差的项目资金安排，取消无绩效或低绩效项目。</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三是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落实绩效评价结果反馈与整改、激励与问责制度，完善绩效评价结果的反馈和运用机制，继续做好信息公开，将绩效结果面向社会公布，增强单位责任感和紧迫感。</w:t>
      </w:r>
    </w:p>
    <w:p w14:paraId="5823373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9"/>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以上报告</w:t>
      </w:r>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rPr>
        <w:t>提请区人大常委会审议</w:t>
      </w:r>
      <w:r>
        <w:rPr>
          <w:rFonts w:ascii="Times New Roman" w:hAnsi="Times New Roman" w:eastAsia="方正仿宋_GBK" w:cs="Times New Roman"/>
          <w:color w:val="auto"/>
          <w:sz w:val="33"/>
          <w:szCs w:val="33"/>
          <w:highlight w:val="none"/>
          <w:shd w:val="clear" w:color="auto" w:fill="auto"/>
        </w:rPr>
        <w:t>。</w:t>
      </w:r>
    </w:p>
    <w:p w14:paraId="403C6DC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p>
    <w:p w14:paraId="472B893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附件：1.</w:t>
      </w:r>
      <w:r>
        <w:rPr>
          <w:rFonts w:hint="eastAsia" w:ascii="Times New Roman" w:hAnsi="Times New Roman" w:eastAsia="方正仿宋_GBK" w:cs="Times New Roman"/>
          <w:color w:val="auto"/>
          <w:sz w:val="33"/>
          <w:szCs w:val="33"/>
          <w:highlight w:val="none"/>
          <w:shd w:val="clear" w:color="auto" w:fill="auto"/>
        </w:rPr>
        <w:t>2023年校园物业服务费支出绩效评价报告</w:t>
      </w:r>
    </w:p>
    <w:p w14:paraId="4A8B093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2.2023年高龄长寿补贴专项经费绩效评价报告</w:t>
      </w:r>
    </w:p>
    <w:p w14:paraId="37E372B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3</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2023年计划生育服务资金绩效评价报告</w:t>
      </w:r>
    </w:p>
    <w:p w14:paraId="439BF3D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4</w:t>
      </w:r>
      <w:r>
        <w:rPr>
          <w:rFonts w:hint="eastAsia" w:ascii="Times New Roman" w:hAnsi="Times New Roman" w:eastAsia="方正仿宋_GBK" w:cs="Times New Roman"/>
          <w:color w:val="auto"/>
          <w:sz w:val="33"/>
          <w:szCs w:val="33"/>
          <w:highlight w:val="none"/>
          <w:shd w:val="clear" w:color="auto" w:fill="auto"/>
        </w:rPr>
        <w:t>.2023年双拥经费项目经费绩效评价报告</w:t>
      </w:r>
    </w:p>
    <w:p w14:paraId="0916BE4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5</w:t>
      </w:r>
      <w:r>
        <w:rPr>
          <w:rFonts w:hint="eastAsia" w:ascii="Times New Roman" w:hAnsi="Times New Roman" w:eastAsia="方正仿宋_GBK" w:cs="Times New Roman"/>
          <w:color w:val="auto"/>
          <w:sz w:val="33"/>
          <w:szCs w:val="33"/>
          <w:highlight w:val="none"/>
          <w:shd w:val="clear" w:color="auto" w:fill="auto"/>
        </w:rPr>
        <w:t>.2023年一般耕地和永久基本农田整治恢复工作</w:t>
      </w:r>
    </w:p>
    <w:p w14:paraId="1ACCA23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经费绩效评价报告</w:t>
      </w:r>
    </w:p>
    <w:p w14:paraId="5E07CEE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6</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eastAsia" w:ascii="Times New Roman" w:hAnsi="Times New Roman" w:eastAsia="方正仿宋_GBK" w:cs="Times New Roman"/>
          <w:color w:val="auto"/>
          <w:sz w:val="33"/>
          <w:szCs w:val="33"/>
          <w:highlight w:val="none"/>
          <w:shd w:val="clear" w:color="auto" w:fill="auto"/>
        </w:rPr>
        <w:t>宝鼎金沙小区配套道路工程进度款绩效</w:t>
      </w:r>
    </w:p>
    <w:p w14:paraId="51BF28B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评价报告</w:t>
      </w:r>
    </w:p>
    <w:p w14:paraId="469B5EF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99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7</w:t>
      </w:r>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eastAsia" w:ascii="Times New Roman" w:hAnsi="Times New Roman" w:eastAsia="方正仿宋_GBK" w:cs="Times New Roman"/>
          <w:color w:val="auto"/>
          <w:sz w:val="33"/>
          <w:szCs w:val="33"/>
          <w:highlight w:val="none"/>
          <w:shd w:val="clear" w:color="auto" w:fill="auto"/>
        </w:rPr>
        <w:t>西区既有住宅电梯增设有关费用绩效评</w:t>
      </w:r>
    </w:p>
    <w:p w14:paraId="44E803E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价报告</w:t>
      </w:r>
    </w:p>
    <w:p w14:paraId="04BCD2E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990" w:firstLine="660" w:firstLineChars="200"/>
        <w:jc w:val="both"/>
        <w:textAlignment w:val="auto"/>
        <w:rPr>
          <w:rFonts w:hint="eastAsia" w:ascii="Times New Roman" w:hAnsi="Times New Roman" w:eastAsia="方正仿宋_GBK" w:cs="Times New Roman"/>
          <w:color w:val="auto"/>
          <w:spacing w:val="0"/>
          <w:sz w:val="33"/>
          <w:szCs w:val="33"/>
          <w:highlight w:val="none"/>
          <w:shd w:val="clear" w:color="auto" w:fill="auto"/>
          <w:lang w:val="en-US" w:eastAsia="zh-CN"/>
        </w:rPr>
      </w:pPr>
      <w:r>
        <w:rPr>
          <w:rFonts w:hint="eastAsia" w:ascii="Times New Roman" w:hAnsi="Times New Roman" w:eastAsia="方正仿宋_GBK" w:cs="Times New Roman"/>
          <w:color w:val="auto"/>
          <w:spacing w:val="0"/>
          <w:sz w:val="33"/>
          <w:szCs w:val="33"/>
          <w:highlight w:val="none"/>
          <w:shd w:val="clear" w:color="auto" w:fill="auto"/>
          <w:lang w:val="en-US" w:eastAsia="zh-CN"/>
        </w:rPr>
        <w:t>8.2023年区级粮食轮换及储备（含执法）工作经</w:t>
      </w:r>
    </w:p>
    <w:p w14:paraId="19E63B0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费绩效评价报告</w:t>
      </w:r>
    </w:p>
    <w:p w14:paraId="172681F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9.2023年西区生活垃圾填埋场封场管理委托运营</w:t>
      </w:r>
    </w:p>
    <w:p w14:paraId="4A01170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经费绩效评价报告</w:t>
      </w:r>
    </w:p>
    <w:p w14:paraId="74B40A0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10.2023年农业保险</w:t>
      </w:r>
      <w:r>
        <w:rPr>
          <w:rFonts w:hint="eastAsia" w:ascii="Times New Roman" w:hAnsi="Times New Roman" w:eastAsia="方正仿宋_GBK" w:cs="Times New Roman"/>
          <w:b w:val="0"/>
          <w:bCs w:val="0"/>
          <w:color w:val="auto"/>
          <w:sz w:val="33"/>
          <w:szCs w:val="33"/>
          <w:highlight w:val="none"/>
          <w:shd w:val="clear" w:color="auto" w:fill="auto"/>
          <w:lang w:val="en-US" w:eastAsia="zh-CN"/>
        </w:rPr>
        <w:t>政</w:t>
      </w:r>
      <w:r>
        <w:rPr>
          <w:rFonts w:hint="eastAsia" w:ascii="Times New Roman" w:hAnsi="Times New Roman" w:eastAsia="方正仿宋_GBK" w:cs="Times New Roman"/>
          <w:color w:val="auto"/>
          <w:sz w:val="33"/>
          <w:szCs w:val="33"/>
          <w:highlight w:val="none"/>
          <w:shd w:val="clear" w:color="auto" w:fill="auto"/>
          <w:lang w:val="en-US" w:eastAsia="zh-CN"/>
        </w:rPr>
        <w:t>策绩效评价报告</w:t>
      </w:r>
    </w:p>
    <w:p w14:paraId="48CA5529">
      <w:pPr>
        <w:pStyle w:val="8"/>
        <w:keepNext w:val="0"/>
        <w:keepLines w:val="0"/>
        <w:pageBreakBefore w:val="0"/>
        <w:widowControl w:val="0"/>
        <w:kinsoku/>
        <w:wordWrap/>
        <w:overflowPunct/>
        <w:topLinePunct w:val="0"/>
        <w:autoSpaceDE/>
        <w:autoSpaceDN/>
        <w:bidi w:val="0"/>
        <w:spacing w:before="0" w:beforeAutospacing="0" w:after="0" w:afterAutospacing="0" w:line="240" w:lineRule="auto"/>
        <w:ind w:firstLine="1650" w:firstLineChars="500"/>
        <w:jc w:val="both"/>
        <w:rPr>
          <w:rFonts w:hint="default" w:ascii="Times New Roman" w:hAnsi="Times New Roman" w:eastAsia="方正仿宋_GBK" w:cs="Times New Roman"/>
          <w:color w:val="auto"/>
          <w:sz w:val="33"/>
          <w:szCs w:val="33"/>
          <w:highlight w:val="none"/>
          <w:shd w:val="clear" w:color="auto" w:fill="auto"/>
          <w:lang w:val="en-US" w:eastAsia="zh-CN"/>
        </w:rPr>
      </w:pPr>
    </w:p>
    <w:p w14:paraId="2D562CE8">
      <w:pPr>
        <w:pStyle w:val="8"/>
        <w:keepNext w:val="0"/>
        <w:keepLines w:val="0"/>
        <w:pageBreakBefore w:val="0"/>
        <w:widowControl w:val="0"/>
        <w:kinsoku/>
        <w:wordWrap/>
        <w:overflowPunct/>
        <w:topLinePunct w:val="0"/>
        <w:autoSpaceDE/>
        <w:autoSpaceDN/>
        <w:bidi w:val="0"/>
        <w:spacing w:before="0" w:beforeAutospacing="0" w:after="0" w:afterAutospacing="0" w:line="240" w:lineRule="auto"/>
        <w:jc w:val="both"/>
        <w:rPr>
          <w:rFonts w:hint="default" w:ascii="Times New Roman" w:hAnsi="Times New Roman" w:eastAsia="方正仿宋_GBK" w:cs="Times New Roman"/>
          <w:color w:val="auto"/>
          <w:sz w:val="33"/>
          <w:szCs w:val="33"/>
          <w:highlight w:val="none"/>
          <w:shd w:val="clear" w:color="auto" w:fill="auto"/>
          <w:lang w:val="en-US" w:eastAsia="zh-CN"/>
        </w:rPr>
        <w:sectPr>
          <w:footerReference r:id="rId3" w:type="default"/>
          <w:pgSz w:w="11906" w:h="16838"/>
          <w:pgMar w:top="2098" w:right="1474" w:bottom="1984" w:left="1587" w:header="907" w:footer="1644" w:gutter="0"/>
          <w:pgNumType w:fmt="decimal"/>
          <w:cols w:space="425" w:num="1"/>
          <w:docGrid w:type="lines" w:linePitch="312" w:charSpace="0"/>
        </w:sectPr>
      </w:pPr>
    </w:p>
    <w:p w14:paraId="56AE0090">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附件</w:t>
      </w:r>
      <w:r>
        <w:rPr>
          <w:rFonts w:hint="eastAsia" w:ascii="Times New Roman" w:hAnsi="Times New Roman" w:eastAsia="方正黑体_GBK" w:cs="Times New Roman"/>
          <w:color w:val="auto"/>
          <w:sz w:val="33"/>
          <w:szCs w:val="33"/>
          <w:highlight w:val="none"/>
          <w:shd w:val="clear" w:color="auto" w:fill="auto"/>
          <w:lang w:val="en-US" w:eastAsia="zh-CN"/>
        </w:rPr>
        <w:t>1</w:t>
      </w:r>
    </w:p>
    <w:p w14:paraId="339C087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小标宋_GBK" w:cs="方正小标宋_GBK"/>
          <w:b/>
          <w:bCs/>
          <w:color w:val="auto"/>
          <w:kern w:val="2"/>
          <w:sz w:val="38"/>
          <w:szCs w:val="38"/>
          <w:highlight w:val="none"/>
          <w:shd w:val="clear" w:color="auto" w:fill="auto"/>
          <w:lang w:val="en-US" w:eastAsia="zh-CN" w:bidi="ar-SA"/>
        </w:rPr>
        <w:t>2023年校园物业服务费支出</w:t>
      </w:r>
      <w:r>
        <w:rPr>
          <w:rFonts w:hint="eastAsia" w:ascii="Times New Roman" w:hAnsi="Times New Roman" w:eastAsia="方正小标宋_GBK" w:cs="方正小标宋_GBK"/>
          <w:b/>
          <w:bCs/>
          <w:color w:val="auto"/>
          <w:kern w:val="2"/>
          <w:sz w:val="38"/>
          <w:szCs w:val="38"/>
          <w:highlight w:val="none"/>
          <w:shd w:val="clear" w:color="auto" w:fill="auto"/>
          <w:lang w:val="zh-CN" w:eastAsia="zh-CN" w:bidi="ar-SA"/>
        </w:rPr>
        <w:t>绩效</w:t>
      </w:r>
      <w:r>
        <w:rPr>
          <w:rFonts w:hint="eastAsia" w:ascii="Times New Roman" w:hAnsi="Times New Roman" w:eastAsia="方正小标宋_GBK" w:cs="方正小标宋_GBK"/>
          <w:b/>
          <w:bCs/>
          <w:color w:val="auto"/>
          <w:kern w:val="2"/>
          <w:sz w:val="38"/>
          <w:szCs w:val="38"/>
          <w:highlight w:val="none"/>
          <w:shd w:val="clear" w:color="auto" w:fill="auto"/>
          <w:lang w:val="en-US" w:eastAsia="zh-CN" w:bidi="ar-SA"/>
        </w:rPr>
        <w:t>评价报告</w:t>
      </w:r>
    </w:p>
    <w:p w14:paraId="5FDD7416">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baseline"/>
        <w:rPr>
          <w:rFonts w:ascii="Times New Roman" w:hAnsi="Times New Roman" w:eastAsia="仿宋_GB2312" w:cs="Times New Roman"/>
          <w:color w:val="auto"/>
          <w:kern w:val="2"/>
          <w:sz w:val="32"/>
          <w:szCs w:val="32"/>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等要求，于20</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2023年校园物业服务费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548FAD7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0AEA098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2E029FF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outlineLvl w:val="1"/>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，主要用于</w:t>
      </w:r>
      <w:r>
        <w:rPr>
          <w:rFonts w:hint="eastAsia" w:ascii="Times New Roman" w:hAnsi="Times New Roman" w:eastAsia="方正仿宋_GBK" w:cs="Times New Roman"/>
          <w:color w:val="auto"/>
          <w:kern w:val="2"/>
          <w:sz w:val="33"/>
          <w:szCs w:val="33"/>
          <w:highlight w:val="none"/>
          <w:shd w:val="clear" w:color="auto" w:fill="auto"/>
          <w:lang w:val="zh-CN" w:eastAsia="zh-CN" w:bidi="ar-SA"/>
        </w:rPr>
        <w:t>全区</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所中小学、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3</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所幼儿园安全秩序维护服务</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，项目申报与政策和需求相符合</w:t>
      </w:r>
      <w:r>
        <w:rPr>
          <w:rFonts w:hint="eastAsia" w:ascii="Times New Roman" w:hAnsi="Times New Roman" w:eastAsia="方正仿宋_GBK" w:cs="Times New Roman"/>
          <w:color w:val="auto"/>
          <w:kern w:val="2"/>
          <w:sz w:val="33"/>
          <w:szCs w:val="33"/>
          <w:highlight w:val="none"/>
          <w:shd w:val="clear" w:color="auto" w:fill="auto"/>
          <w:lang w:val="zh-CN" w:eastAsia="zh-CN" w:bidi="ar-SA"/>
        </w:rPr>
        <w:t>。</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为179.892</w:t>
      </w:r>
      <w:r>
        <w:rPr>
          <w:rFonts w:hint="eastAsia" w:ascii="Times New Roman" w:hAnsi="Times New Roman" w:eastAsia="方正仿宋_GBK" w:cs="Times New Roman"/>
          <w:color w:val="auto"/>
          <w:kern w:val="2"/>
          <w:sz w:val="33"/>
          <w:szCs w:val="33"/>
          <w:highlight w:val="none"/>
          <w:shd w:val="clear" w:color="auto" w:fill="auto"/>
          <w:lang w:val="zh-CN" w:eastAsia="zh-CN" w:bidi="ar-SA"/>
        </w:rPr>
        <w:t>万元</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，截至2023年12月31日，该项目资金已支付179.892万元，支付率为100%。</w:t>
      </w:r>
    </w:p>
    <w:p w14:paraId="7A4C7CF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687FEC1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zh-CN" w:eastAsia="zh-CN" w:bidi="ar-SA"/>
        </w:rPr>
      </w:pPr>
      <w:r>
        <w:rPr>
          <w:rFonts w:hint="eastAsia" w:ascii="Times New Roman" w:hAnsi="Times New Roman" w:eastAsia="方正仿宋_GBK" w:cs="Times New Roman"/>
          <w:color w:val="auto"/>
          <w:kern w:val="2"/>
          <w:sz w:val="33"/>
          <w:szCs w:val="33"/>
          <w:highlight w:val="none"/>
          <w:shd w:val="clear" w:color="auto" w:fill="auto"/>
          <w:lang w:val="zh-CN" w:eastAsia="zh-CN" w:bidi="ar-SA"/>
        </w:rPr>
        <w:t>根据上级有关部门和区教育和体育局、学校的相关要求，攀枝花市</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恒卫保安</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服务有限公司提供有资质的专业安全秩序维护人员不少于5</w:t>
      </w:r>
      <w:r>
        <w:rPr>
          <w:rFonts w:hint="eastAsia" w:ascii="Times New Roman" w:hAnsi="Times New Roman" w:eastAsia="方正仿宋_GBK" w:cs="Times New Roman"/>
          <w:color w:val="auto"/>
          <w:kern w:val="2"/>
          <w:sz w:val="33"/>
          <w:szCs w:val="33"/>
          <w:highlight w:val="none"/>
          <w:shd w:val="clear" w:color="auto" w:fill="auto"/>
          <w:lang w:val="en-US" w:eastAsia="zh-CN" w:bidi="ar-SA"/>
        </w:rPr>
        <w:t>0</w:t>
      </w:r>
      <w:r>
        <w:rPr>
          <w:rFonts w:hint="eastAsia" w:ascii="Times New Roman" w:hAnsi="Times New Roman" w:eastAsia="方正仿宋_GBK" w:cs="Times New Roman"/>
          <w:color w:val="auto"/>
          <w:kern w:val="2"/>
          <w:sz w:val="33"/>
          <w:szCs w:val="33"/>
          <w:highlight w:val="none"/>
          <w:shd w:val="clear" w:color="auto" w:fill="auto"/>
          <w:lang w:val="zh-CN" w:eastAsia="zh-CN" w:bidi="ar-SA"/>
        </w:rPr>
        <w:t>人，为西区</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所中小学、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3</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所幼儿园提供校园安全秩序维护服务。在校园内和校园大门区域执行安保巡逻守护任务，维护校园内及校园大门区域秩序，确保校园正常教学秩序，保护师生人身安全。</w:t>
      </w:r>
    </w:p>
    <w:p w14:paraId="6525B64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5838740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6C1D9A8D">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从决策、过程、产出、效益、满意度等维度对2023年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项目的管理、审核和目标达成情况进行绩效评价，旨在总结工作成绩，发现实施管理中存在的问题和不足，提出改进意见和建议，强化项目管理，提高财政资金使用效益</w:t>
      </w:r>
      <w:r>
        <w:rPr>
          <w:rFonts w:hint="eastAsia" w:ascii="Times New Roman" w:hAnsi="Times New Roman" w:eastAsia="方正仿宋_GBK" w:cs="Times New Roman"/>
          <w:color w:val="auto"/>
          <w:sz w:val="33"/>
          <w:szCs w:val="33"/>
          <w:highlight w:val="none"/>
          <w:shd w:val="clear" w:color="auto" w:fill="auto"/>
        </w:rPr>
        <w:t>。</w:t>
      </w:r>
    </w:p>
    <w:p w14:paraId="0E29FD4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2166D28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进行全面绩效评价。</w:t>
      </w:r>
    </w:p>
    <w:p w14:paraId="6E26CAA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106E27C2">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区财政局根据财政支出绩效评价指标体系及项目的实际情况设计指标体系进行评价，组织相关人员对该项目进行评价检查。</w:t>
      </w:r>
    </w:p>
    <w:p w14:paraId="5B9CDF8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14:paraId="00732341">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w:t>
      </w:r>
      <w:r>
        <w:rPr>
          <w:rFonts w:hint="eastAsia" w:ascii="Times New Roman" w:hAnsi="Times New Roman" w:eastAsia="方正仿宋_GBK" w:cs="Times New Roman"/>
          <w:color w:val="auto"/>
          <w:sz w:val="33"/>
          <w:szCs w:val="33"/>
          <w:highlight w:val="none"/>
          <w:shd w:val="clear" w:color="auto" w:fill="auto"/>
          <w:lang w:eastAsia="zh-CN"/>
        </w:rPr>
        <w:t>评价</w:t>
      </w:r>
      <w:r>
        <w:rPr>
          <w:rFonts w:hint="eastAsia" w:ascii="Times New Roman" w:hAnsi="Times New Roman" w:eastAsia="方正仿宋_GBK" w:cs="Times New Roman"/>
          <w:color w:val="auto"/>
          <w:sz w:val="33"/>
          <w:szCs w:val="33"/>
          <w:highlight w:val="none"/>
          <w:shd w:val="clear" w:color="auto" w:fill="auto"/>
        </w:rPr>
        <w:t>。</w:t>
      </w:r>
    </w:p>
    <w:p w14:paraId="3B1F9AEE">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14:paraId="5CD215C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447809D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w:t>
      </w:r>
      <w:r>
        <w:rPr>
          <w:rFonts w:hint="eastAsia" w:ascii="Times New Roman" w:hAnsi="Times New Roman" w:eastAsia="方正仿宋_GBK" w:cs="Times New Roman"/>
          <w:color w:val="auto"/>
          <w:sz w:val="33"/>
          <w:szCs w:val="33"/>
          <w:highlight w:val="none"/>
          <w:shd w:val="clear" w:color="auto" w:fill="auto"/>
          <w:lang w:val="en-US" w:eastAsia="zh-CN"/>
        </w:rPr>
        <w:t>23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费</w:t>
      </w:r>
      <w:r>
        <w:rPr>
          <w:rFonts w:hint="eastAsia" w:ascii="Times New Roman" w:hAnsi="Times New Roman" w:eastAsia="方正仿宋_GBK" w:cs="Times New Roman"/>
          <w:color w:val="auto"/>
          <w:sz w:val="33"/>
          <w:szCs w:val="33"/>
          <w:highlight w:val="none"/>
          <w:shd w:val="clear" w:color="auto" w:fill="auto"/>
          <w:lang w:eastAsia="zh-CN"/>
        </w:rPr>
        <w:t>在</w:t>
      </w:r>
      <w:r>
        <w:rPr>
          <w:rFonts w:hint="eastAsia" w:ascii="Times New Roman" w:hAnsi="Times New Roman" w:eastAsia="方正仿宋_GBK" w:cs="Times New Roman"/>
          <w:color w:val="auto"/>
          <w:sz w:val="33"/>
          <w:szCs w:val="33"/>
          <w:highlight w:val="none"/>
          <w:shd w:val="clear" w:color="auto" w:fill="auto"/>
        </w:rPr>
        <w:t>分配方法制定、分配要素设定等方面较为科学合理，财务管理制度</w:t>
      </w:r>
      <w:r>
        <w:rPr>
          <w:rFonts w:hint="eastAsia" w:ascii="Times New Roman" w:hAnsi="Times New Roman" w:eastAsia="方正仿宋_GBK" w:cs="Times New Roman"/>
          <w:color w:val="auto"/>
          <w:sz w:val="33"/>
          <w:szCs w:val="33"/>
          <w:highlight w:val="none"/>
          <w:shd w:val="clear" w:color="auto" w:fill="auto"/>
          <w:lang w:eastAsia="zh-CN"/>
        </w:rPr>
        <w:t>完善，</w:t>
      </w:r>
      <w:r>
        <w:rPr>
          <w:rFonts w:hint="eastAsia" w:ascii="Times New Roman" w:hAnsi="Times New Roman" w:eastAsia="方正仿宋_GBK" w:cs="Times New Roman"/>
          <w:color w:val="auto"/>
          <w:sz w:val="33"/>
          <w:szCs w:val="33"/>
          <w:highlight w:val="none"/>
          <w:shd w:val="clear" w:color="auto" w:fill="auto"/>
        </w:rPr>
        <w:t>分配结果公平合理。项目开展后</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仿宋" w:cs="Times New Roman"/>
          <w:color w:val="auto"/>
          <w:sz w:val="32"/>
          <w:szCs w:val="32"/>
          <w:highlight w:val="none"/>
          <w:shd w:val="clear" w:color="auto" w:fill="auto"/>
          <w:lang w:val="zh-CN"/>
        </w:rPr>
        <w:t>有效防范了各类涉校案件和暴恐袭击事件，师生生命财产安全得到保障，</w:t>
      </w:r>
      <w:r>
        <w:rPr>
          <w:rFonts w:hint="eastAsia" w:ascii="Times New Roman" w:hAnsi="Times New Roman" w:eastAsia="方正仿宋_GBK" w:cs="Times New Roman"/>
          <w:color w:val="auto"/>
          <w:sz w:val="33"/>
          <w:szCs w:val="33"/>
          <w:highlight w:val="none"/>
          <w:shd w:val="clear" w:color="auto" w:fill="auto"/>
        </w:rPr>
        <w:t>工作开展成效明显，资金使用绩效较好。评价得分</w:t>
      </w:r>
      <w:r>
        <w:rPr>
          <w:rFonts w:hint="eastAsia" w:ascii="Times New Roman" w:hAnsi="Times New Roman" w:eastAsia="方正仿宋_GBK" w:cs="Times New Roman"/>
          <w:color w:val="auto"/>
          <w:sz w:val="33"/>
          <w:szCs w:val="33"/>
          <w:highlight w:val="none"/>
          <w:shd w:val="clear" w:color="auto" w:fill="auto"/>
          <w:lang w:val="en-US" w:eastAsia="zh-CN"/>
        </w:rPr>
        <w:t>98</w:t>
      </w:r>
      <w:r>
        <w:rPr>
          <w:rFonts w:hint="eastAsia" w:ascii="Times New Roman" w:hAnsi="Times New Roman" w:eastAsia="方正仿宋_GBK" w:cs="Times New Roman"/>
          <w:color w:val="auto"/>
          <w:sz w:val="33"/>
          <w:szCs w:val="33"/>
          <w:highlight w:val="none"/>
          <w:shd w:val="clear" w:color="auto" w:fill="auto"/>
        </w:rPr>
        <w:t>分。</w:t>
      </w:r>
    </w:p>
    <w:p w14:paraId="6FDDF4D7">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en-US" w:eastAsia="zh-CN"/>
        </w:rPr>
        <w:t>2</w:t>
      </w:r>
      <w:r>
        <w:rPr>
          <w:rFonts w:hint="eastAsia" w:ascii="Times New Roman" w:hAnsi="Times New Roman" w:eastAsia="仿宋_GB2312" w:cs="Times New Roman"/>
          <w:b/>
          <w:color w:val="auto"/>
          <w:sz w:val="24"/>
          <w:szCs w:val="32"/>
          <w:highlight w:val="none"/>
          <w:shd w:val="clear" w:color="auto" w:fill="auto"/>
          <w:lang w:val="zh-CN" w:eastAsia="zh-CN"/>
        </w:rPr>
        <w:t>0</w:t>
      </w:r>
      <w:r>
        <w:rPr>
          <w:rFonts w:hint="eastAsia" w:ascii="Times New Roman" w:hAnsi="Times New Roman" w:eastAsia="仿宋_GB2312" w:cs="Times New Roman"/>
          <w:b/>
          <w:color w:val="auto"/>
          <w:sz w:val="24"/>
          <w:szCs w:val="32"/>
          <w:highlight w:val="none"/>
          <w:shd w:val="clear" w:color="auto" w:fill="auto"/>
          <w:lang w:val="en-US" w:eastAsia="zh-CN"/>
        </w:rPr>
        <w:t>23</w:t>
      </w:r>
      <w:r>
        <w:rPr>
          <w:rFonts w:hint="eastAsia" w:ascii="Times New Roman" w:hAnsi="Times New Roman" w:eastAsia="仿宋_GB2312" w:cs="Times New Roman"/>
          <w:b/>
          <w:color w:val="auto"/>
          <w:sz w:val="24"/>
          <w:szCs w:val="32"/>
          <w:highlight w:val="none"/>
          <w:shd w:val="clear" w:color="auto" w:fill="auto"/>
          <w:lang w:val="zh-CN" w:eastAsia="zh-CN"/>
        </w:rPr>
        <w:t>年校园</w:t>
      </w:r>
      <w:r>
        <w:rPr>
          <w:rFonts w:hint="eastAsia" w:ascii="Times New Roman" w:hAnsi="Times New Roman" w:eastAsia="仿宋_GB2312" w:cs="Times New Roman"/>
          <w:b/>
          <w:color w:val="auto"/>
          <w:sz w:val="24"/>
          <w:szCs w:val="32"/>
          <w:highlight w:val="none"/>
          <w:shd w:val="clear" w:color="auto" w:fill="auto"/>
          <w:lang w:val="en-US" w:eastAsia="zh-CN"/>
        </w:rPr>
        <w:t>物业服务</w:t>
      </w:r>
      <w:r>
        <w:rPr>
          <w:rFonts w:hint="eastAsia" w:ascii="Times New Roman" w:hAnsi="Times New Roman" w:eastAsia="仿宋_GB2312" w:cs="Times New Roman"/>
          <w:b/>
          <w:color w:val="auto"/>
          <w:sz w:val="24"/>
          <w:szCs w:val="32"/>
          <w:highlight w:val="none"/>
          <w:shd w:val="clear" w:color="auto" w:fill="auto"/>
          <w:lang w:val="zh-CN" w:eastAsia="zh-CN"/>
        </w:rPr>
        <w:t>费</w:t>
      </w:r>
      <w:r>
        <w:rPr>
          <w:rFonts w:hint="eastAsia" w:ascii="Times New Roman" w:hAnsi="Times New Roman" w:eastAsia="仿宋_GB2312" w:cs="Times New Roman"/>
          <w:b/>
          <w:color w:val="auto"/>
          <w:sz w:val="24"/>
          <w:szCs w:val="32"/>
          <w:highlight w:val="none"/>
          <w:shd w:val="clear" w:color="auto" w:fill="auto"/>
          <w:lang w:val="zh-CN"/>
        </w:rPr>
        <w:t>项目资金</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14:paraId="1EFC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Align w:val="center"/>
          </w:tcPr>
          <w:p w14:paraId="14CC0FD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028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02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MVkQBj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131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13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233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3" name="直接连接符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23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LRxZ3P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336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4" name="直接连接符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33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v0clFu8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L9HJRbvAQAA5AMAAA4AAAAAAAAAAQAgAAAAJAEAAGRycy9lMm9Eb2MueG1sUEsFBgAAAAAG&#10;AAYAWQEAAIUFAAAAAA==&#10;">
                      <v:fill on="f" focussize="0,0"/>
                      <v:stroke color="#000000" joinstyle="round"/>
                      <v:imagedata o:title=""/>
                      <o:lock v:ext="edit" aspectratio="f"/>
                    </v:line>
                  </w:pict>
                </mc:Fallback>
              </mc:AlternateContent>
            </w:r>
          </w:p>
        </w:tc>
        <w:tc>
          <w:tcPr>
            <w:tcW w:w="1724" w:type="dxa"/>
            <w:vAlign w:val="center"/>
          </w:tcPr>
          <w:p w14:paraId="14DCB35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14:paraId="01D3E96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14:paraId="2FB0959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14:paraId="519A198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14:paraId="2A47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14:paraId="31EE9E4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251EE3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123219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14:paraId="63A80E1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214B87A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D3BE9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33DBA6E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165E77D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14:paraId="6D1B182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14:paraId="04A4916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14:paraId="38C598B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63A6E8C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D06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5F74F8F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FE605D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F7DB07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14:paraId="42C351C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56F35C8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31DE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1CE94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0BE665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5BEE66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14:paraId="7396F15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9DD019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1A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A95B69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12BB3FA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B3A0D9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14:paraId="4E7212F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14:paraId="311972B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1B3C73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14:paraId="2BD469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0636689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AF5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4002E51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1095AF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644C22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14:paraId="1BA47A2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0DEA391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9A8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EADB91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2FF6E05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8C09CD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14:paraId="7BAAABE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70DBB8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958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FE7C99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1AB144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EC7018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14:paraId="2E9DF15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14:paraId="498D660C">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r>
      <w:tr w14:paraId="0398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58ADE3A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4E8AC34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14:paraId="3EECB06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15E4EC8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14:paraId="1930A91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2CB0798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00B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01C27A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F3B581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BB5EA2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14:paraId="08F0F66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A70A77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208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14:paraId="4611A78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B72556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19D213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FEA921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14:paraId="42C95E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14:paraId="7EE4D88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5F08DF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C7414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5479B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14:paraId="456F590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0FC3191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14:paraId="43FFFB7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72656B4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2EE8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592334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9CF0F9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8AAD3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14:paraId="282CD1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21B96D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14:paraId="5FAF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652D8F5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33F3A22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14:paraId="21CD43C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14:paraId="0A533D0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14:paraId="726EF35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4F5BA73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4C7C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270AB9D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EDFB6A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3257FB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14:paraId="76ADE5D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2F040D6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170B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470A80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E521EE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CA93ED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14:paraId="55B8769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31E7921C">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078D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75DC3B7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6CC43FD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14:paraId="5B8671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2339916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14:paraId="492D902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186EA3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B5C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45ED748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15A8C5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0A433A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14:paraId="2824D5D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0D9B1C5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B9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7804FF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C5F984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14:paraId="69B7474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4660EF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14:paraId="4284225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1F967CD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0065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5D7145D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EC9153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027C3D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14:paraId="2BCCDE5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1F99259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281D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07D3B7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919628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8E7EE4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14:paraId="357A92A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502EAFB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166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14:paraId="5885FEA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DE2A8C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F5FDBB4">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2C4BF737">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14:paraId="0714986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14:paraId="06367FB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14:paraId="3FD7872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5123AAE">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24FC83F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45F8D41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88FDE1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14:paraId="766ED3B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591CC69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AE4302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14:paraId="7110C70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33BA8FA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7927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06E6B79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6C066A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FF91B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14:paraId="05B6E5C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607110A5">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14:paraId="1E40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6F1A12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A42C13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41F227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14:paraId="37D3DA1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085A2CC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4C8E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01039EE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C9511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8BB180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14:paraId="6F86D0F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0AC7375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6C0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938" w:type="dxa"/>
            <w:vMerge w:val="continue"/>
            <w:vAlign w:val="center"/>
          </w:tcPr>
          <w:p w14:paraId="7DA95C9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241B6C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0395B3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14:paraId="1FF9C1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22EB750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1E31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72DB2DC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726BE9F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E0CF6F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14:paraId="7C8A1A2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p w14:paraId="471EAF4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CAA2CF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14:paraId="0C47895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0719F78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14:paraId="3F24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7673B62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955453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71C7E0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14:paraId="6DCEA07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77ABFC0C">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7232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10605CE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9FD4A7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8F1FE0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14:paraId="4439351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165D72D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lang w:val="en-US" w:eastAsia="zh-CN"/>
              </w:rPr>
              <w:t>10</w:t>
            </w:r>
          </w:p>
        </w:tc>
      </w:tr>
      <w:tr w14:paraId="1A33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69379E2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C75C73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99CE7B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14:paraId="21A4ADA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74A9F67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1371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14:paraId="7C4304B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14:paraId="1BF0AD0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14:paraId="4CA042E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14:paraId="681BC7E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14:paraId="79E0E49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14:paraId="62501E0D">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14:paraId="75D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122" w:type="dxa"/>
            <w:gridSpan w:val="3"/>
            <w:vAlign w:val="center"/>
          </w:tcPr>
          <w:p w14:paraId="6663D31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14:paraId="4E77C2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14:paraId="31B75EFC">
            <w:pPr>
              <w:keepNext w:val="0"/>
              <w:keepLines w:val="0"/>
              <w:pageBreakBefore w:val="0"/>
              <w:widowControl w:val="0"/>
              <w:kinsoku/>
              <w:wordWrap/>
              <w:overflowPunct/>
              <w:topLinePunct w:val="0"/>
              <w:autoSpaceDE/>
              <w:autoSpaceDN/>
              <w:bidi w:val="0"/>
              <w:spacing w:line="240" w:lineRule="auto"/>
              <w:jc w:val="center"/>
              <w:textAlignment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98</w:t>
            </w:r>
          </w:p>
        </w:tc>
      </w:tr>
    </w:tbl>
    <w:p w14:paraId="27CBE25A">
      <w:pPr>
        <w:keepNext w:val="0"/>
        <w:keepLines w:val="0"/>
        <w:pageBreakBefore w:val="0"/>
        <w:widowControl w:val="0"/>
        <w:kinsoku/>
        <w:wordWrap/>
        <w:overflowPunct/>
        <w:topLinePunct w:val="0"/>
        <w:autoSpaceDE/>
        <w:autoSpaceDN/>
        <w:bidi w:val="0"/>
        <w:adjustRightInd/>
        <w:snapToGrid/>
        <w:spacing w:before="157" w:beforeLines="50" w:line="560" w:lineRule="exact"/>
        <w:ind w:left="0"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00416FB2">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5661F487">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根据</w:t>
      </w:r>
      <w:r>
        <w:rPr>
          <w:rFonts w:hint="eastAsia" w:ascii="Times New Roman" w:hAnsi="Times New Roman" w:eastAsia="方正仿宋_GBK" w:cs="Times New Roman"/>
          <w:color w:val="auto"/>
          <w:sz w:val="33"/>
          <w:szCs w:val="33"/>
          <w:highlight w:val="none"/>
          <w:shd w:val="clear" w:color="auto" w:fill="auto"/>
          <w:lang w:val="zh-CN"/>
        </w:rPr>
        <w:t>《四川省中小学幼儿园安全防范工作规范（试行）》的通知、攀枝花市教育和体育局</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lang w:val="zh-CN"/>
        </w:rPr>
        <w:t>攀枝花市公安局《关于进一步加强中小学校幼儿园安防建设的通知》文件要求，为进一步加强中小学、幼儿园安全管理工作，</w:t>
      </w:r>
      <w:r>
        <w:rPr>
          <w:rFonts w:hint="eastAsia" w:ascii="Times New Roman" w:hAnsi="Times New Roman" w:eastAsia="方正仿宋_GBK" w:cs="Times New Roman"/>
          <w:color w:val="auto"/>
          <w:sz w:val="33"/>
          <w:szCs w:val="33"/>
          <w:highlight w:val="none"/>
          <w:shd w:val="clear" w:color="auto" w:fill="auto"/>
        </w:rPr>
        <w:t>区</w:t>
      </w:r>
      <w:r>
        <w:rPr>
          <w:rFonts w:hint="eastAsia" w:ascii="Times New Roman" w:hAnsi="Times New Roman" w:eastAsia="方正仿宋_GBK" w:cs="Times New Roman"/>
          <w:color w:val="auto"/>
          <w:sz w:val="33"/>
          <w:szCs w:val="33"/>
          <w:highlight w:val="none"/>
          <w:shd w:val="clear" w:color="auto" w:fill="auto"/>
          <w:lang w:eastAsia="zh-CN"/>
        </w:rPr>
        <w:t>教体局</w:t>
      </w:r>
      <w:r>
        <w:rPr>
          <w:rFonts w:hint="eastAsia" w:ascii="Times New Roman" w:hAnsi="Times New Roman" w:eastAsia="方正仿宋_GBK" w:cs="Times New Roman"/>
          <w:color w:val="auto"/>
          <w:sz w:val="33"/>
          <w:szCs w:val="33"/>
          <w:highlight w:val="none"/>
          <w:shd w:val="clear" w:color="auto" w:fill="auto"/>
        </w:rPr>
        <w:t>编制20</w:t>
      </w:r>
      <w:r>
        <w:rPr>
          <w:rFonts w:hint="eastAsia" w:ascii="Times New Roman" w:hAnsi="Times New Roman" w:eastAsia="方正仿宋_GBK" w:cs="Times New Roman"/>
          <w:color w:val="auto"/>
          <w:sz w:val="33"/>
          <w:szCs w:val="33"/>
          <w:highlight w:val="none"/>
          <w:shd w:val="clear" w:color="auto" w:fill="auto"/>
          <w:lang w:val="en-US" w:eastAsia="zh-CN"/>
        </w:rPr>
        <w:t>23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费</w:t>
      </w:r>
      <w:r>
        <w:rPr>
          <w:rFonts w:hint="eastAsia" w:ascii="Times New Roman" w:hAnsi="Times New Roman" w:eastAsia="方正仿宋_GBK" w:cs="Times New Roman"/>
          <w:color w:val="auto"/>
          <w:sz w:val="33"/>
          <w:szCs w:val="33"/>
          <w:highlight w:val="none"/>
          <w:shd w:val="clear" w:color="auto" w:fill="auto"/>
        </w:rPr>
        <w:t>预算报区财政</w:t>
      </w:r>
      <w:r>
        <w:rPr>
          <w:rFonts w:hint="eastAsia" w:ascii="Times New Roman" w:hAnsi="Times New Roman" w:eastAsia="方正仿宋_GBK" w:cs="Times New Roman"/>
          <w:color w:val="auto"/>
          <w:sz w:val="33"/>
          <w:szCs w:val="33"/>
          <w:highlight w:val="none"/>
          <w:shd w:val="clear" w:color="auto" w:fill="auto"/>
          <w:lang w:eastAsia="zh-CN"/>
        </w:rPr>
        <w:t>局</w:t>
      </w:r>
      <w:r>
        <w:rPr>
          <w:rFonts w:hint="eastAsia" w:ascii="Times New Roman" w:hAnsi="Times New Roman" w:eastAsia="方正仿宋_GBK" w:cs="Times New Roman"/>
          <w:color w:val="auto"/>
          <w:sz w:val="33"/>
          <w:szCs w:val="33"/>
          <w:highlight w:val="none"/>
          <w:shd w:val="clear" w:color="auto" w:fill="auto"/>
        </w:rPr>
        <w:t>审批，区财政</w:t>
      </w:r>
      <w:r>
        <w:rPr>
          <w:rFonts w:hint="eastAsia" w:ascii="Times New Roman" w:hAnsi="Times New Roman" w:eastAsia="方正仿宋_GBK" w:cs="Times New Roman"/>
          <w:color w:val="auto"/>
          <w:sz w:val="33"/>
          <w:szCs w:val="33"/>
          <w:highlight w:val="none"/>
          <w:shd w:val="clear" w:color="auto" w:fill="auto"/>
          <w:lang w:eastAsia="zh-CN"/>
        </w:rPr>
        <w:t>局</w:t>
      </w:r>
      <w:r>
        <w:rPr>
          <w:rFonts w:hint="eastAsia" w:ascii="Times New Roman" w:hAnsi="Times New Roman" w:eastAsia="方正仿宋_GBK" w:cs="Times New Roman"/>
          <w:color w:val="auto"/>
          <w:sz w:val="33"/>
          <w:szCs w:val="33"/>
          <w:highlight w:val="none"/>
          <w:shd w:val="clear" w:color="auto" w:fill="auto"/>
        </w:rPr>
        <w:t>于202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年2月</w:t>
      </w:r>
      <w:r>
        <w:rPr>
          <w:rFonts w:hint="eastAsia" w:ascii="Times New Roman" w:hAnsi="Times New Roman" w:eastAsia="方正仿宋_GBK" w:cs="Times New Roman"/>
          <w:color w:val="auto"/>
          <w:sz w:val="33"/>
          <w:szCs w:val="33"/>
          <w:highlight w:val="none"/>
          <w:shd w:val="clear" w:color="auto" w:fill="auto"/>
          <w:lang w:eastAsia="zh-CN"/>
        </w:rPr>
        <w:t>完成</w:t>
      </w:r>
      <w:r>
        <w:rPr>
          <w:rFonts w:hint="eastAsia" w:ascii="Times New Roman" w:hAnsi="Times New Roman" w:eastAsia="方正仿宋_GBK" w:cs="Times New Roman"/>
          <w:color w:val="auto"/>
          <w:sz w:val="33"/>
          <w:szCs w:val="33"/>
          <w:highlight w:val="none"/>
          <w:shd w:val="clear" w:color="auto" w:fill="auto"/>
        </w:rPr>
        <w:t>该项目批复。</w:t>
      </w:r>
    </w:p>
    <w:p w14:paraId="6AA159E6">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34DD7BEB">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202</w:t>
      </w:r>
      <w:r>
        <w:rPr>
          <w:rFonts w:hint="eastAsia" w:ascii="Times New Roman" w:hAnsi="Times New Roman" w:eastAsia="方正仿宋_GBK" w:cs="Times New Roman"/>
          <w:color w:val="auto"/>
          <w:sz w:val="33"/>
          <w:szCs w:val="33"/>
          <w:highlight w:val="none"/>
          <w:shd w:val="clear" w:color="auto" w:fill="auto"/>
          <w:lang w:val="en-US" w:eastAsia="zh-CN"/>
        </w:rPr>
        <w:t>3年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项目</w:t>
      </w:r>
      <w:r>
        <w:rPr>
          <w:rFonts w:hint="eastAsia" w:ascii="Times New Roman" w:hAnsi="Times New Roman" w:eastAsia="方正仿宋_GBK" w:cs="Times New Roman"/>
          <w:color w:val="auto"/>
          <w:sz w:val="33"/>
          <w:szCs w:val="33"/>
          <w:highlight w:val="none"/>
          <w:shd w:val="clear" w:color="auto" w:fill="auto"/>
          <w:lang w:val="en-US" w:eastAsia="zh-CN"/>
        </w:rPr>
        <w:t>主要用于为</w:t>
      </w:r>
      <w:r>
        <w:rPr>
          <w:rFonts w:hint="eastAsia" w:ascii="Times New Roman" w:hAnsi="Times New Roman" w:eastAsia="方正仿宋_GBK" w:cs="Times New Roman"/>
          <w:color w:val="auto"/>
          <w:sz w:val="33"/>
          <w:szCs w:val="33"/>
          <w:highlight w:val="none"/>
          <w:shd w:val="clear" w:color="auto" w:fill="auto"/>
          <w:lang w:val="zh-CN" w:eastAsia="zh-CN"/>
        </w:rPr>
        <w:t>区属所有中小学校、</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所公办幼儿园、1个局机关提供5</w:t>
      </w:r>
      <w:r>
        <w:rPr>
          <w:rFonts w:hint="eastAsia" w:ascii="Times New Roman" w:hAnsi="Times New Roman" w:eastAsia="方正仿宋_GBK" w:cs="Times New Roman"/>
          <w:color w:val="auto"/>
          <w:sz w:val="33"/>
          <w:szCs w:val="33"/>
          <w:highlight w:val="none"/>
          <w:shd w:val="clear" w:color="auto" w:fill="auto"/>
          <w:lang w:val="en-US" w:eastAsia="zh-CN"/>
        </w:rPr>
        <w:t>0</w:t>
      </w:r>
      <w:r>
        <w:rPr>
          <w:rFonts w:hint="eastAsia" w:ascii="Times New Roman" w:hAnsi="Times New Roman" w:eastAsia="方正仿宋_GBK" w:cs="Times New Roman"/>
          <w:color w:val="auto"/>
          <w:sz w:val="33"/>
          <w:szCs w:val="33"/>
          <w:highlight w:val="none"/>
          <w:shd w:val="clear" w:color="auto" w:fill="auto"/>
          <w:lang w:val="zh-CN" w:eastAsia="zh-CN"/>
        </w:rPr>
        <w:t>名安全秩序维护人员，全区公办中小学、幼儿园校园防范能力得以提升，学校秩序保障有力。</w:t>
      </w:r>
    </w:p>
    <w:p w14:paraId="36DD7824">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704A6552">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eastAsia="zh-CN"/>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eastAsia="zh-CN"/>
        </w:rPr>
        <w:t>年，校园物业服务项目完成全年目标任务，共计</w:t>
      </w:r>
      <w:r>
        <w:rPr>
          <w:rFonts w:hint="eastAsia" w:ascii="Times New Roman" w:hAnsi="Times New Roman" w:eastAsia="方正仿宋_GBK" w:cs="Times New Roman"/>
          <w:color w:val="auto"/>
          <w:sz w:val="33"/>
          <w:szCs w:val="33"/>
          <w:highlight w:val="none"/>
          <w:shd w:val="clear" w:color="auto" w:fill="auto"/>
          <w:lang w:val="en-US" w:eastAsia="zh-CN"/>
        </w:rPr>
        <w:t>支付179.892万元，支付率为100%。</w:t>
      </w:r>
    </w:p>
    <w:p w14:paraId="7F491293">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38C48A9A">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zh-CN" w:eastAsia="zh-CN"/>
        </w:rPr>
        <w:t>通过开展</w:t>
      </w:r>
      <w:r>
        <w:rPr>
          <w:rFonts w:hint="eastAsia" w:ascii="Times New Roman" w:hAnsi="Times New Roman" w:eastAsia="方正仿宋_GBK" w:cs="Times New Roman"/>
          <w:color w:val="auto"/>
          <w:sz w:val="33"/>
          <w:szCs w:val="33"/>
          <w:highlight w:val="none"/>
          <w:shd w:val="clear" w:color="auto" w:fill="auto"/>
          <w:lang w:eastAsia="zh-CN"/>
        </w:rPr>
        <w:t>校园物业服务</w:t>
      </w:r>
      <w:r>
        <w:rPr>
          <w:rFonts w:hint="eastAsia" w:ascii="Times New Roman" w:hAnsi="Times New Roman" w:eastAsia="方正仿宋_GBK" w:cs="Times New Roman"/>
          <w:color w:val="auto"/>
          <w:sz w:val="33"/>
          <w:szCs w:val="33"/>
          <w:highlight w:val="none"/>
          <w:shd w:val="clear" w:color="auto" w:fill="auto"/>
          <w:lang w:val="zh-CN" w:eastAsia="zh-CN"/>
        </w:rPr>
        <w:t>，给予区属公办中小学、幼儿园配置安全秩序维护工作人员，全年未发生门卫执勤不力引发的安全事件。全区公办中小学、幼儿园校园治安秩序得到保障，校园防暴恐和周边秩序得以有效维护，校园防范能力得以提升。</w:t>
      </w:r>
    </w:p>
    <w:p w14:paraId="6AE3A70B">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4A8A19EA">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zh-CN" w:eastAsia="zh-CN"/>
        </w:rPr>
      </w:pPr>
      <w:r>
        <w:rPr>
          <w:rFonts w:hint="eastAsia" w:ascii="Times New Roman" w:hAnsi="Times New Roman" w:eastAsia="方正仿宋_GBK" w:cs="Times New Roman"/>
          <w:color w:val="auto"/>
          <w:sz w:val="33"/>
          <w:szCs w:val="33"/>
          <w:highlight w:val="none"/>
          <w:shd w:val="clear" w:color="auto" w:fill="auto"/>
          <w:lang w:val="zh-CN" w:eastAsia="zh-CN"/>
        </w:rPr>
        <w:t>区属公办学校、幼儿园安保人员年龄结构偏大、文化素质较低、导致安保服务的水平有差异；身体素质、处突能力、震慑力等影响安保的质量提升有差异，且人员流动性大，管理难度较大。</w:t>
      </w:r>
    </w:p>
    <w:p w14:paraId="6161D17C">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5D639BD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r>
        <w:rPr>
          <w:rFonts w:hint="eastAsia" w:ascii="Times New Roman" w:hAnsi="Times New Roman" w:eastAsia="方正仿宋_GBK" w:cs="Times New Roman"/>
          <w:color w:val="auto"/>
          <w:sz w:val="33"/>
          <w:szCs w:val="33"/>
          <w:highlight w:val="none"/>
          <w:shd w:val="clear" w:color="auto" w:fill="auto"/>
          <w:lang w:val="en-US" w:eastAsia="zh-CN"/>
        </w:rPr>
        <w:t>加强对学校安保人员业务理论、工作技能、伤害事件应急处置、消防安全工作等方面的指导培训，增强安保人员对学校安全保卫特点的认识和履行学校安全职责的认知，进而增强保安员守纪观念和职业素养，认真履行岗位职责，严格遵守工作纪律，提高学校安保人员应对处置突发案事件的能力水平。</w:t>
      </w:r>
    </w:p>
    <w:p w14:paraId="4854FCEF">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附件2</w:t>
      </w:r>
    </w:p>
    <w:p w14:paraId="067F633E">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rPr>
        <w:t>202</w:t>
      </w:r>
      <w:r>
        <w:rPr>
          <w:rFonts w:hint="eastAsia" w:ascii="Times New Roman" w:hAnsi="Times New Roman" w:eastAsia="方正小标宋_GBK" w:cs="方正小标宋_GBK"/>
          <w:b/>
          <w:bCs/>
          <w:color w:val="auto"/>
          <w:sz w:val="38"/>
          <w:szCs w:val="38"/>
          <w:highlight w:val="none"/>
          <w:shd w:val="clear" w:color="auto" w:fill="auto"/>
          <w:lang w:val="en-US" w:eastAsia="zh-CN"/>
        </w:rPr>
        <w:t>3</w:t>
      </w:r>
      <w:r>
        <w:rPr>
          <w:rFonts w:hint="eastAsia" w:ascii="Times New Roman" w:hAnsi="Times New Roman" w:eastAsia="方正小标宋_GBK" w:cs="方正小标宋_GBK"/>
          <w:b/>
          <w:bCs/>
          <w:color w:val="auto"/>
          <w:sz w:val="38"/>
          <w:szCs w:val="38"/>
          <w:highlight w:val="none"/>
          <w:shd w:val="clear" w:color="auto" w:fill="auto"/>
        </w:rPr>
        <w:t>年高龄长寿补贴专项经费绩效评价报告</w:t>
      </w:r>
    </w:p>
    <w:p w14:paraId="44252BA5">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9月</w:t>
      </w:r>
      <w:r>
        <w:rPr>
          <w:rFonts w:ascii="Times New Roman" w:hAnsi="Times New Roman" w:eastAsia="方正仿宋_GBK" w:cs="Times New Roman"/>
          <w:color w:val="auto"/>
          <w:kern w:val="2"/>
          <w:sz w:val="33"/>
          <w:szCs w:val="33"/>
          <w:highlight w:val="none"/>
          <w:shd w:val="clear" w:color="auto" w:fill="auto"/>
          <w:lang w:val="en-US" w:eastAsia="zh-CN" w:bidi="ar-SA"/>
        </w:rPr>
        <w:t>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2023年高龄长寿补贴专项经费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7EE218D5">
      <w:pPr>
        <w:keepNext w:val="0"/>
        <w:keepLines w:val="0"/>
        <w:pageBreakBefore w:val="0"/>
        <w:widowControl w:val="0"/>
        <w:kinsoku/>
        <w:wordWrap/>
        <w:overflowPunct/>
        <w:topLinePunct w:val="0"/>
        <w:autoSpaceDE/>
        <w:autoSpaceDN/>
        <w:bidi w:val="0"/>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454EF72F">
      <w:pPr>
        <w:keepNext w:val="0"/>
        <w:keepLines w:val="0"/>
        <w:pageBreakBefore w:val="0"/>
        <w:widowControl w:val="0"/>
        <w:kinsoku/>
        <w:wordWrap/>
        <w:overflowPunct/>
        <w:topLinePunct w:val="0"/>
        <w:autoSpaceDE/>
        <w:autoSpaceDN/>
        <w:bidi w:val="0"/>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0307D74D">
      <w:pPr>
        <w:keepNext w:val="0"/>
        <w:keepLines w:val="0"/>
        <w:pageBreakBefore w:val="0"/>
        <w:widowControl w:val="0"/>
        <w:tabs>
          <w:tab w:val="left" w:pos="574"/>
        </w:tabs>
        <w:kinsoku/>
        <w:wordWrap/>
        <w:overflowPunct/>
        <w:topLinePunct w:val="0"/>
        <w:autoSpaceDE/>
        <w:autoSpaceDN/>
        <w:bidi w:val="0"/>
        <w:adjustRightInd w:val="0"/>
        <w:snapToGrid w:val="0"/>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2023年高龄长寿补贴专项经费</w:t>
      </w:r>
      <w:r>
        <w:rPr>
          <w:rFonts w:ascii="Times New Roman" w:hAnsi="Times New Roman" w:eastAsia="方正仿宋_GBK" w:cs="Times New Roman"/>
          <w:color w:val="auto"/>
          <w:kern w:val="2"/>
          <w:sz w:val="33"/>
          <w:szCs w:val="33"/>
          <w:highlight w:val="none"/>
          <w:shd w:val="clear" w:color="auto" w:fill="auto"/>
          <w:lang w:val="en-US" w:eastAsia="zh-CN" w:bidi="ar-SA"/>
        </w:rPr>
        <w:t>，</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是</w:t>
      </w:r>
      <w:r>
        <w:rPr>
          <w:rFonts w:ascii="Times New Roman" w:hAnsi="Times New Roman" w:eastAsia="方正仿宋_GBK" w:cs="Times New Roman"/>
          <w:color w:val="auto"/>
          <w:kern w:val="2"/>
          <w:sz w:val="33"/>
          <w:szCs w:val="33"/>
          <w:highlight w:val="none"/>
          <w:shd w:val="clear" w:color="auto" w:fill="auto"/>
          <w:lang w:val="en-US" w:eastAsia="zh-CN" w:bidi="ar-SA"/>
        </w:rPr>
        <w:t>按政策</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对</w:t>
      </w:r>
      <w:r>
        <w:rPr>
          <w:rFonts w:ascii="Times New Roman" w:hAnsi="Times New Roman" w:eastAsia="方正仿宋_GBK" w:cs="Times New Roman"/>
          <w:color w:val="auto"/>
          <w:kern w:val="2"/>
          <w:sz w:val="33"/>
          <w:szCs w:val="33"/>
          <w:highlight w:val="none"/>
          <w:shd w:val="clear" w:color="auto" w:fill="auto"/>
          <w:lang w:val="en-US" w:eastAsia="zh-CN" w:bidi="ar-SA"/>
        </w:rPr>
        <w:t>符合条件的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高龄老人发放高龄津贴</w:t>
      </w:r>
      <w:r>
        <w:rPr>
          <w:rFonts w:ascii="Times New Roman" w:hAnsi="Times New Roman" w:eastAsia="方正仿宋_GBK" w:cs="Times New Roman"/>
          <w:color w:val="auto"/>
          <w:kern w:val="2"/>
          <w:sz w:val="33"/>
          <w:szCs w:val="33"/>
          <w:highlight w:val="none"/>
          <w:shd w:val="clear" w:color="auto" w:fill="auto"/>
          <w:lang w:val="en-US" w:eastAsia="zh-CN" w:bidi="ar-SA"/>
        </w:rPr>
        <w:t>，解决高龄老人的基本生活问题</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提高高龄老人的生活质量</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为保证此项工作有序运行，需设立高龄长寿补贴项目，项目申报与政策和需求相吻合。2023年共安排高龄长寿补贴专项资金347.32万元，其中：省级73.44万元、市级下达63.88万元、区级资金210万元。截至2023年12月31日，项目资金实际支付341.78万元，支付率为98.4%。</w:t>
      </w:r>
    </w:p>
    <w:p w14:paraId="02DA9B71">
      <w:pPr>
        <w:keepNext w:val="0"/>
        <w:keepLines w:val="0"/>
        <w:pageBreakBefore w:val="0"/>
        <w:widowControl w:val="0"/>
        <w:kinsoku/>
        <w:wordWrap/>
        <w:overflowPunct/>
        <w:topLinePunct w:val="0"/>
        <w:autoSpaceDE/>
        <w:autoSpaceDN/>
        <w:bidi w:val="0"/>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65FBAA0F">
      <w:pPr>
        <w:keepNext w:val="0"/>
        <w:keepLines w:val="0"/>
        <w:pageBreakBefore w:val="0"/>
        <w:widowControl w:val="0"/>
        <w:tabs>
          <w:tab w:val="left" w:pos="574"/>
        </w:tabs>
        <w:kinsoku/>
        <w:wordWrap/>
        <w:overflowPunct/>
        <w:topLinePunct w:val="0"/>
        <w:autoSpaceDE/>
        <w:autoSpaceDN/>
        <w:bidi w:val="0"/>
        <w:adjustRightInd w:val="0"/>
        <w:snapToGrid w:val="0"/>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加快完善西区老年人社会保障体系，切实解决城市高龄及困难老年群众日常生活保障问题，不断提高全</w:t>
      </w:r>
      <w:r>
        <w:rPr>
          <w:rFonts w:hint="eastAsia" w:ascii="Times New Roman" w:hAnsi="Times New Roman" w:eastAsia="方正仿宋_GBK" w:cs="Times New Roman"/>
          <w:color w:val="auto"/>
          <w:sz w:val="33"/>
          <w:szCs w:val="33"/>
          <w:highlight w:val="none"/>
          <w:shd w:val="clear" w:color="auto" w:fill="auto"/>
          <w:lang w:eastAsia="zh-CN"/>
        </w:rPr>
        <w:t>区</w:t>
      </w:r>
      <w:r>
        <w:rPr>
          <w:rFonts w:hint="eastAsia" w:ascii="Times New Roman" w:hAnsi="Times New Roman" w:eastAsia="方正仿宋_GBK" w:cs="Times New Roman"/>
          <w:color w:val="auto"/>
          <w:sz w:val="33"/>
          <w:szCs w:val="33"/>
          <w:highlight w:val="none"/>
          <w:shd w:val="clear" w:color="auto" w:fill="auto"/>
        </w:rPr>
        <w:t>高龄老年人的生活质量。</w:t>
      </w:r>
    </w:p>
    <w:p w14:paraId="0BF2BAB5">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6B889CC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02C9383D">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w:t>
      </w:r>
      <w:r>
        <w:rPr>
          <w:rFonts w:hint="eastAsia" w:ascii="Times New Roman" w:hAnsi="Times New Roman" w:eastAsia="方正仿宋_GBK" w:cs="Times New Roman"/>
          <w:color w:val="auto"/>
          <w:sz w:val="33"/>
          <w:szCs w:val="33"/>
          <w:highlight w:val="none"/>
          <w:shd w:val="clear" w:color="auto" w:fill="auto"/>
          <w:lang w:eastAsia="zh-CN"/>
        </w:rPr>
        <w:t>出发，</w:t>
      </w:r>
      <w:r>
        <w:rPr>
          <w:rFonts w:hint="eastAsia" w:ascii="Times New Roman" w:hAnsi="Times New Roman" w:eastAsia="方正仿宋_GBK" w:cs="Times New Roman"/>
          <w:color w:val="auto"/>
          <w:sz w:val="33"/>
          <w:szCs w:val="33"/>
          <w:highlight w:val="none"/>
          <w:shd w:val="clear" w:color="auto" w:fill="auto"/>
        </w:rPr>
        <w:t>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年高龄长寿补贴项目的管理、审核和目标达成情况，进行绩效评价，旨在总结工作成绩，发现实施管理中存在的问题和不足，提出改进意见和建议，强化项目管理，提高财政资金使用效益。</w:t>
      </w:r>
    </w:p>
    <w:p w14:paraId="0C1452B6">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2EC0268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的通知》（财预〔2020〕10号）要求，参考设定的绩效目标，结合项目的实施内容和特点进行设计，从决策、过程、产出、效益等方面对202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w:t>
      </w:r>
      <w:r>
        <w:rPr>
          <w:rFonts w:ascii="Times New Roman" w:hAnsi="Times New Roman" w:eastAsia="方正仿宋_GBK" w:cs="Times New Roman"/>
          <w:color w:val="auto"/>
          <w:sz w:val="33"/>
          <w:szCs w:val="33"/>
          <w:highlight w:val="none"/>
          <w:shd w:val="clear" w:color="auto" w:fill="auto"/>
        </w:rPr>
        <w:t>项目</w:t>
      </w:r>
      <w:r>
        <w:rPr>
          <w:rFonts w:hint="eastAsia" w:ascii="Times New Roman" w:hAnsi="Times New Roman" w:eastAsia="方正仿宋_GBK" w:cs="Times New Roman"/>
          <w:color w:val="auto"/>
          <w:sz w:val="33"/>
          <w:szCs w:val="33"/>
          <w:highlight w:val="none"/>
          <w:shd w:val="clear" w:color="auto" w:fill="auto"/>
        </w:rPr>
        <w:t>进行综合绩效评价。</w:t>
      </w:r>
    </w:p>
    <w:p w14:paraId="693AB0C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2F8F0645">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14:paraId="12705AB5">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14:paraId="4B5AEAD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w:t>
      </w:r>
      <w:r>
        <w:rPr>
          <w:rFonts w:ascii="Times New Roman" w:hAnsi="Times New Roman" w:eastAsia="方正仿宋_GBK" w:cs="Times New Roman"/>
          <w:color w:val="auto"/>
          <w:sz w:val="33"/>
          <w:szCs w:val="33"/>
          <w:highlight w:val="none"/>
          <w:shd w:val="clear" w:color="auto" w:fill="auto"/>
        </w:rPr>
        <w:t>对项目概况、项目资金使用、管理、实施情况以及项目的绩效情况</w:t>
      </w:r>
      <w:r>
        <w:rPr>
          <w:rFonts w:hint="eastAsia" w:ascii="Times New Roman" w:hAnsi="Times New Roman" w:eastAsia="方正仿宋_GBK" w:cs="Times New Roman"/>
          <w:color w:val="auto"/>
          <w:sz w:val="33"/>
          <w:szCs w:val="33"/>
          <w:highlight w:val="none"/>
          <w:shd w:val="clear" w:color="auto" w:fill="auto"/>
        </w:rPr>
        <w:t>进行分析，对各项考评指标进行评价。</w:t>
      </w:r>
    </w:p>
    <w:p w14:paraId="7AB635F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14:paraId="27853E9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3BFE315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年高龄长寿补贴专</w:t>
      </w:r>
      <w:r>
        <w:rPr>
          <w:rFonts w:ascii="Times New Roman" w:hAnsi="Times New Roman" w:eastAsia="方正仿宋_GBK" w:cs="Times New Roman"/>
          <w:color w:val="auto"/>
          <w:sz w:val="33"/>
          <w:szCs w:val="33"/>
          <w:highlight w:val="none"/>
          <w:shd w:val="clear" w:color="auto" w:fill="auto"/>
        </w:rPr>
        <w:t>项</w:t>
      </w:r>
      <w:r>
        <w:rPr>
          <w:rFonts w:hint="eastAsia" w:ascii="Times New Roman" w:hAnsi="Times New Roman" w:eastAsia="方正仿宋_GBK" w:cs="Times New Roman"/>
          <w:color w:val="auto"/>
          <w:sz w:val="33"/>
          <w:szCs w:val="33"/>
          <w:highlight w:val="none"/>
          <w:shd w:val="clear" w:color="auto" w:fill="auto"/>
        </w:rPr>
        <w:t>经费</w:t>
      </w:r>
      <w:r>
        <w:rPr>
          <w:rFonts w:ascii="Times New Roman" w:hAnsi="Times New Roman" w:eastAsia="方正仿宋_GBK" w:cs="Times New Roman"/>
          <w:color w:val="auto"/>
          <w:sz w:val="33"/>
          <w:szCs w:val="33"/>
          <w:highlight w:val="none"/>
          <w:shd w:val="clear" w:color="auto" w:fill="auto"/>
        </w:rPr>
        <w:t>绩效目标量化具体、合理，管理制度健全，综合效益明显，总体绩效评价良好，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评价得分9</w:t>
      </w:r>
      <w:r>
        <w:rPr>
          <w:rFonts w:hint="eastAsia" w:ascii="Times New Roman" w:hAnsi="Times New Roman" w:eastAsia="方正仿宋_GBK" w:cs="Times New Roman"/>
          <w:color w:val="auto"/>
          <w:sz w:val="33"/>
          <w:szCs w:val="33"/>
          <w:highlight w:val="none"/>
          <w:shd w:val="clear" w:color="auto" w:fill="auto"/>
          <w:lang w:val="en-US" w:eastAsia="zh-CN"/>
        </w:rPr>
        <w:t>9</w:t>
      </w:r>
      <w:r>
        <w:rPr>
          <w:rFonts w:hint="eastAsia" w:ascii="Times New Roman" w:hAnsi="Times New Roman" w:eastAsia="方正仿宋_GBK" w:cs="Times New Roman"/>
          <w:color w:val="auto"/>
          <w:sz w:val="33"/>
          <w:szCs w:val="33"/>
          <w:highlight w:val="none"/>
          <w:shd w:val="clear" w:color="auto" w:fill="auto"/>
        </w:rPr>
        <w:t>分。</w:t>
      </w:r>
      <w:r>
        <w:rPr>
          <w:rFonts w:ascii="Times New Roman" w:hAnsi="Times New Roman" w:eastAsia="方正仿宋_GBK" w:cs="Times New Roman"/>
          <w:color w:val="auto"/>
          <w:sz w:val="33"/>
          <w:szCs w:val="33"/>
          <w:highlight w:val="none"/>
          <w:shd w:val="clear" w:color="auto" w:fill="auto"/>
        </w:rPr>
        <w:t>具体评价情况见下表。</w:t>
      </w:r>
    </w:p>
    <w:p w14:paraId="40B733B1">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rPr>
        <w:t>年高龄长寿补贴专项经费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14:paraId="4621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Align w:val="center"/>
          </w:tcPr>
          <w:p w14:paraId="06AE4D3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438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43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CbfFDM7QEAAOI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540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54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UyJcH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643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64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7C4pcu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hAVnDizd+O3n&#10;H78+fb37+YXW2+/fGEVIpiFgTdlXbhOnHYZNzJz3bbT5T2zYvkh7OEqr9okJcl48P+dM3PurP4dC&#10;xPRaecuy0XCjXWYMNezeYKJClHqfkt3GsaHhL88XGQ5o/Fq6djJtIArounIWvdHyWhuTT2Dstlcm&#10;sh3kEShfpkO4f6XlImvAfswroXE4egXylZMsHQJp4+hN8NyCVZIzo+gJZYsAoU6gzSmZVNq4fECV&#10;AZ14Zn1HRbO19fJQhK7yji6/dDwNap6uh3uyHz7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7C4pc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745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74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TsOGe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BJLEgaUbv/38&#10;49enr3c/v9B6+/0bowjJNASsKfvKbeK0w7CJmfO+jTb/iQ3bF2kPR2nVPjFBzovn55yJe3/151CI&#10;mF4rb1k2Gm60y4yhht0bTFSIUu9Tsts4NjT85fkiwwGNX0vXTqYNRAFdV86iN1pea2PyCYzd9spE&#10;toM8AuXLdAj3r7RcZA3Yj3klNA5Hr0C+cpKlQyBtHL0JnluwSnJmFD2hbBEg1Am0OSWTShuXD6gy&#10;oBPPrO+oaLa2Xh6K0FXe0eWXjqdBzdP1cE/2w8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nTsOGe4BAADkAwAADgAAAAAAAAABACAAAAAkAQAAZHJzL2Uyb0RvYy54bWxQSwUGAAAAAAYA&#10;BgBZAQAAhAUAAAAA&#10;">
                      <v:fill on="f" focussize="0,0"/>
                      <v:stroke color="#000000" joinstyle="round"/>
                      <v:imagedata o:title=""/>
                      <o:lock v:ext="edit" aspectratio="f"/>
                    </v:line>
                  </w:pict>
                </mc:Fallback>
              </mc:AlternateContent>
            </w:r>
          </w:p>
        </w:tc>
        <w:tc>
          <w:tcPr>
            <w:tcW w:w="1724" w:type="dxa"/>
            <w:vAlign w:val="center"/>
          </w:tcPr>
          <w:p w14:paraId="6EA87ED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14:paraId="189B1BF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14:paraId="044D2D9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14:paraId="2A0F17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14:paraId="4D0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14:paraId="78D3E50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53A236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54ED8D4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14:paraId="1425F7C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3A750D1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0342F24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F6FFC3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6F0FFAD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14:paraId="516007E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14:paraId="1705DAE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14:paraId="1FC8A7A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423EFB3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80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249F0F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517E02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3990CE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14:paraId="1462E04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8C0DFB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92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21DD7A7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E1028A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0B61D5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14:paraId="710BEF5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6A4965E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741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5D8352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39A7B7C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2D54CE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14:paraId="03A7A39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14:paraId="4C47C2A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8EBE7D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14:paraId="4EF53F7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3FC489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B49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032B4C7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7A3567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024CC5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14:paraId="63418A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6EE1476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C71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98C2C9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8DCF20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85D57E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14:paraId="14B4E02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906143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084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5BA57DC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043527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4DB680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14:paraId="1929F21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14:paraId="1AECD09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r>
      <w:tr w14:paraId="039D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1FDCE64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48043C3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14:paraId="049585F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48D1160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14:paraId="06BC6EF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6BF7AA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281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634C13B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831874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87A3D8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14:paraId="5E05C26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4D6C71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C6E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14:paraId="5FFE0BD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44FDD2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ECCD26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34C2B2A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14:paraId="10FE18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14:paraId="1FFEBBE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4F1039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34F7B79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14:paraId="43EC534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684B465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14:paraId="4101B32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4C250AC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408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70063B3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A4E21E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01D6A8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14:paraId="78D680A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015548A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45C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F71913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559FD70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14:paraId="325AA0F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14:paraId="2603D50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14:paraId="138BBAA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56F8F7B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7CEC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369BA9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A0A312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5013DE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14:paraId="12CBCA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2B9B72D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0F2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AE639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49FD97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07922C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14:paraId="47197AA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469A64D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7E7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7F62E7B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83776B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14:paraId="5D06A60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647D2BD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14:paraId="72FE8B5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66EF1F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EBE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89561D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247A27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FB3DE2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14:paraId="05C2574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52DD977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67B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5BFBE38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1591B91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14:paraId="017E91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17A5A0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14:paraId="1883AC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4B06A48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4EB6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3D64EC6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62B471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A2EA65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14:paraId="7F3836E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3339E05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5DE2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5858A7E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760227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DD5FFA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14:paraId="445D7CF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4C3C45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14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14:paraId="35BC2C9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7378E3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ADCDB05">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76965DEF">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14:paraId="5F2F877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14:paraId="464A893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14:paraId="335B3CF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3404BA72">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4469BA8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03CC117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FE9963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0304245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14:paraId="01C53C8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3E71D3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D7F806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14:paraId="5150C89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4833615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1054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09CB2C0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636C8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DBAD26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14:paraId="6000035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64DA0D0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14:paraId="4078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6313F96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B9E8A3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E7BF59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14:paraId="3849850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5DD9C09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14:paraId="5419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69164F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1A62D7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5F93B5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14:paraId="34EB4FF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251DF25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056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646D8EF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90CA6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1596E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14:paraId="25222D4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3EE1805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20E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511419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13B4E90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6D88DB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14:paraId="1D1B180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p w14:paraId="1E8BA1A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BD13D3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14:paraId="03BA26C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6EB22FF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14:paraId="5419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21BDE77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8D35E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E7AAE1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14:paraId="118E5A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6483555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75B3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5C54B68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8781C8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9DB72D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14:paraId="60A39B3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22E2D1D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05CF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4A9010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844383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1A52A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14:paraId="193ED07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5BFBA30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7153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14:paraId="0D78E03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14:paraId="0ED3A0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14:paraId="0A11867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14:paraId="04B300B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14:paraId="78EC2B1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14:paraId="6BD21DF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14:paraId="62B1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22" w:type="dxa"/>
            <w:gridSpan w:val="3"/>
            <w:vAlign w:val="center"/>
          </w:tcPr>
          <w:p w14:paraId="21E459F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14:paraId="69BC4B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14:paraId="4D5533C4">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Times New Roman"/>
                <w:color w:val="auto"/>
                <w:sz w:val="20"/>
                <w:szCs w:val="20"/>
                <w:highlight w:val="none"/>
                <w:shd w:val="clear" w:color="auto" w:fill="auto"/>
                <w:lang w:eastAsia="zh-CN"/>
              </w:rPr>
            </w:pPr>
            <w:r>
              <w:rPr>
                <w:rFonts w:ascii="Times New Roman" w:hAnsi="Times New Roman" w:eastAsia="仿宋_GB2312" w:cs="Times New Roman"/>
                <w:color w:val="auto"/>
                <w:sz w:val="20"/>
                <w:szCs w:val="20"/>
                <w:highlight w:val="none"/>
                <w:shd w:val="clear" w:color="auto" w:fill="auto"/>
              </w:rPr>
              <w:t>9</w:t>
            </w:r>
            <w:r>
              <w:rPr>
                <w:rFonts w:hint="eastAsia" w:ascii="Times New Roman" w:hAnsi="Times New Roman" w:eastAsia="仿宋_GB2312" w:cs="Times New Roman"/>
                <w:color w:val="auto"/>
                <w:sz w:val="20"/>
                <w:szCs w:val="20"/>
                <w:highlight w:val="none"/>
                <w:shd w:val="clear" w:color="auto" w:fill="auto"/>
                <w:lang w:val="en-US" w:eastAsia="zh-CN"/>
              </w:rPr>
              <w:t>9</w:t>
            </w:r>
          </w:p>
        </w:tc>
      </w:tr>
    </w:tbl>
    <w:p w14:paraId="4B072B9D">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313A01AB">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1BDE79AA">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w:t>
      </w:r>
      <w:r>
        <w:rPr>
          <w:rFonts w:hint="default" w:ascii="Times New Roman" w:hAnsi="Times New Roman" w:eastAsia="方正仿宋_GBK" w:cs="Times New Roman"/>
          <w:color w:val="auto"/>
          <w:sz w:val="33"/>
          <w:szCs w:val="33"/>
          <w:highlight w:val="none"/>
          <w:shd w:val="clear" w:color="auto" w:fill="auto"/>
          <w:lang w:val="en-US" w:eastAsia="zh-CN"/>
        </w:rPr>
        <w:t>由区民政局根据相关规定纳入</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default" w:ascii="Times New Roman" w:hAnsi="Times New Roman" w:eastAsia="方正仿宋_GBK" w:cs="Times New Roman"/>
          <w:color w:val="auto"/>
          <w:sz w:val="33"/>
          <w:szCs w:val="33"/>
          <w:highlight w:val="none"/>
          <w:shd w:val="clear" w:color="auto" w:fill="auto"/>
          <w:lang w:val="en-US" w:eastAsia="zh-CN"/>
        </w:rPr>
        <w:t>年初部门预算，由区财政局审核后出具正式预算批复。项目批复预算资金</w:t>
      </w:r>
      <w:r>
        <w:rPr>
          <w:rFonts w:hint="eastAsia" w:ascii="Times New Roman" w:hAnsi="Times New Roman" w:eastAsia="方正仿宋_GBK" w:cs="Times New Roman"/>
          <w:color w:val="auto"/>
          <w:sz w:val="33"/>
          <w:szCs w:val="33"/>
          <w:highlight w:val="none"/>
          <w:shd w:val="clear" w:color="auto" w:fill="auto"/>
          <w:lang w:val="en-US" w:eastAsia="zh-CN"/>
        </w:rPr>
        <w:t>210</w:t>
      </w:r>
      <w:r>
        <w:rPr>
          <w:rFonts w:hint="default" w:ascii="Times New Roman" w:hAnsi="Times New Roman" w:eastAsia="方正仿宋_GBK" w:cs="Times New Roman"/>
          <w:color w:val="auto"/>
          <w:sz w:val="33"/>
          <w:szCs w:val="33"/>
          <w:highlight w:val="none"/>
          <w:shd w:val="clear" w:color="auto" w:fill="auto"/>
          <w:lang w:val="en-US" w:eastAsia="zh-CN"/>
        </w:rPr>
        <w:t>万元</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default" w:ascii="Times New Roman" w:hAnsi="Times New Roman" w:eastAsia="方正仿宋_GBK" w:cs="Times New Roman"/>
          <w:color w:val="auto"/>
          <w:sz w:val="33"/>
          <w:szCs w:val="33"/>
          <w:highlight w:val="none"/>
          <w:shd w:val="clear" w:color="auto" w:fill="auto"/>
          <w:lang w:val="en-US" w:eastAsia="zh-CN"/>
        </w:rPr>
        <w:t>年底据实结算</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default" w:ascii="Times New Roman" w:hAnsi="Times New Roman" w:eastAsia="方正仿宋_GBK" w:cs="Times New Roman"/>
          <w:color w:val="auto"/>
          <w:sz w:val="33"/>
          <w:szCs w:val="33"/>
          <w:highlight w:val="none"/>
          <w:shd w:val="clear" w:color="auto" w:fill="auto"/>
          <w:lang w:val="en-US" w:eastAsia="zh-CN"/>
        </w:rPr>
        <w:t>该项目设立依据充分，符合政策文件有关要求，立项程序合规，目标设定切实可行，申报内容与具体实施内容相符，申报目标合理可行。</w:t>
      </w:r>
    </w:p>
    <w:p w14:paraId="6E486F0F">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7DA62BCF">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该项目属于人</w:t>
      </w:r>
      <w:r>
        <w:rPr>
          <w:rFonts w:hint="eastAsia" w:ascii="Times New Roman" w:hAnsi="Times New Roman" w:eastAsia="方正仿宋_GBK" w:cs="Times New Roman"/>
          <w:color w:val="auto"/>
          <w:sz w:val="33"/>
          <w:szCs w:val="33"/>
          <w:highlight w:val="none"/>
          <w:shd w:val="clear" w:color="auto" w:fill="auto"/>
        </w:rPr>
        <w:t>员补贴</w:t>
      </w:r>
      <w:r>
        <w:rPr>
          <w:rFonts w:ascii="Times New Roman" w:hAnsi="Times New Roman" w:eastAsia="方正仿宋_GBK" w:cs="Times New Roman"/>
          <w:color w:val="auto"/>
          <w:sz w:val="33"/>
          <w:szCs w:val="33"/>
          <w:highlight w:val="none"/>
          <w:shd w:val="clear" w:color="auto" w:fill="auto"/>
        </w:rPr>
        <w:t>经费范围，项目组织架构与内控管理组织架构一致，主要责任人为单位主要负责人，分管责任人为财务分管领导和业务分管领导，项目实施责任人为业务股室主要负责人。实施流程由业务股室进行的相关资料收集审核，分管领导复核，单位主要负责人终审。资金支付由业务股室通过天府救助通智慧救助平台推送惠民</w:t>
      </w:r>
      <w:r>
        <w:rPr>
          <w:rFonts w:hint="eastAsia" w:ascii="Times New Roman" w:hAnsi="Times New Roman" w:eastAsia="方正仿宋_GBK" w:cs="Times New Roman"/>
          <w:color w:val="auto"/>
          <w:sz w:val="33"/>
          <w:szCs w:val="33"/>
          <w:highlight w:val="none"/>
          <w:shd w:val="clear" w:color="auto" w:fill="auto"/>
        </w:rPr>
        <w:t>惠农</w:t>
      </w:r>
      <w:r>
        <w:rPr>
          <w:rFonts w:ascii="Times New Roman" w:hAnsi="Times New Roman" w:eastAsia="方正仿宋_GBK" w:cs="Times New Roman"/>
          <w:color w:val="auto"/>
          <w:sz w:val="33"/>
          <w:szCs w:val="33"/>
          <w:highlight w:val="none"/>
          <w:shd w:val="clear" w:color="auto" w:fill="auto"/>
        </w:rPr>
        <w:t>资金一卡通审批系统经办</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业务股室审核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分管领导审核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财政局归口股室审核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财务岗拨付。</w:t>
      </w:r>
    </w:p>
    <w:p w14:paraId="74B63194">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3A551121">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2023年累计发放高龄津贴62</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040人次、341.78万元，按标准足额及时发放，发放率达到100%。</w:t>
      </w:r>
    </w:p>
    <w:p w14:paraId="68A5D63F">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755E237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zh-CN"/>
        </w:rPr>
        <w:t>一是</w:t>
      </w:r>
      <w:r>
        <w:rPr>
          <w:rFonts w:hint="eastAsia" w:ascii="Times New Roman" w:hAnsi="Times New Roman" w:eastAsia="方正仿宋_GBK" w:cs="Times New Roman"/>
          <w:color w:val="auto"/>
          <w:sz w:val="33"/>
          <w:szCs w:val="33"/>
          <w:highlight w:val="none"/>
          <w:shd w:val="clear" w:color="auto" w:fill="auto"/>
          <w:lang w:val="zh-CN"/>
        </w:rPr>
        <w:t>提高老年人生活质量。随着年龄的增长，老年人的身体机能逐渐下降，生活自理能力减弱，医疗、护理等费用相应增加。高龄补贴的增加有助于缓解老年人的经济压力，使他们能够更好地应对生活成本，提高生活质量。</w:t>
      </w:r>
      <w:r>
        <w:rPr>
          <w:rFonts w:hint="eastAsia" w:ascii="Times New Roman" w:hAnsi="Times New Roman" w:eastAsia="方正仿宋_GBK" w:cs="Times New Roman"/>
          <w:b/>
          <w:bCs/>
          <w:color w:val="auto"/>
          <w:sz w:val="33"/>
          <w:szCs w:val="33"/>
          <w:highlight w:val="none"/>
          <w:shd w:val="clear" w:color="auto" w:fill="auto"/>
          <w:lang w:val="zh-CN"/>
        </w:rPr>
        <w:t>二是</w:t>
      </w:r>
      <w:r>
        <w:rPr>
          <w:rFonts w:hint="eastAsia" w:ascii="Times New Roman" w:hAnsi="Times New Roman" w:eastAsia="方正仿宋_GBK" w:cs="Times New Roman"/>
          <w:color w:val="auto"/>
          <w:sz w:val="33"/>
          <w:szCs w:val="33"/>
          <w:highlight w:val="none"/>
          <w:shd w:val="clear" w:color="auto" w:fill="auto"/>
          <w:lang w:val="zh-CN"/>
        </w:rPr>
        <w:t>增强老年人幸福感。高龄补贴的发放不仅在物质层面上给予老年人帮助，更在精神层面上让他们感受到社会的关爱和尊重。这种精神层面的关怀对于提高老年人的幸福感和满足感具有重要意义。</w:t>
      </w:r>
      <w:r>
        <w:rPr>
          <w:rFonts w:hint="eastAsia" w:ascii="Times New Roman" w:hAnsi="Times New Roman" w:eastAsia="方正仿宋_GBK" w:cs="Times New Roman"/>
          <w:b/>
          <w:bCs/>
          <w:color w:val="auto"/>
          <w:sz w:val="33"/>
          <w:szCs w:val="33"/>
          <w:highlight w:val="none"/>
          <w:shd w:val="clear" w:color="auto" w:fill="auto"/>
          <w:lang w:val="zh-CN"/>
        </w:rPr>
        <w:t>三是</w:t>
      </w:r>
      <w:r>
        <w:rPr>
          <w:rFonts w:hint="eastAsia" w:ascii="Times New Roman" w:hAnsi="Times New Roman" w:eastAsia="方正仿宋_GBK" w:cs="Times New Roman"/>
          <w:color w:val="auto"/>
          <w:sz w:val="33"/>
          <w:szCs w:val="33"/>
          <w:highlight w:val="none"/>
          <w:shd w:val="clear" w:color="auto" w:fill="auto"/>
          <w:lang w:val="zh-CN"/>
        </w:rPr>
        <w:t>促进社会和谐稳定。老年人是社会的重要组成部分，他们的生活质量和社会地位直接影响到社会的和谐稳定。高龄补贴的提高有助于增强老年人的社会认同感和归属感，从而促进社会的和谐稳定。</w:t>
      </w:r>
    </w:p>
    <w:p w14:paraId="0684D7EF">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7091D2DB">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仿宋_GB2312" w:cs="Times New Roman"/>
          <w:color w:val="auto"/>
          <w:sz w:val="32"/>
          <w:highlight w:val="none"/>
          <w:shd w:val="clear" w:color="auto" w:fill="auto"/>
          <w:lang w:val="zh-CN"/>
        </w:rPr>
      </w:pPr>
      <w:r>
        <w:rPr>
          <w:rFonts w:hint="eastAsia" w:ascii="Times New Roman" w:hAnsi="Times New Roman" w:eastAsia="方正仿宋_GBK" w:cs="Times New Roman"/>
          <w:color w:val="auto"/>
          <w:sz w:val="33"/>
          <w:szCs w:val="33"/>
          <w:highlight w:val="none"/>
          <w:shd w:val="clear" w:color="auto" w:fill="auto"/>
        </w:rPr>
        <w:t>高龄津贴项目效果明显，申报及监管制度较为完善；资金保障到位、发放及时，群众满意度良好；政策宣传不断推进，群众对政策的知晓率逐步提高。项目实施以来，一定程度上有效解决了高龄及低保老人日常生活保障问题，有效提高老年人的生活质量。</w:t>
      </w:r>
      <w:r>
        <w:rPr>
          <w:rFonts w:hint="eastAsia" w:ascii="Times New Roman" w:hAnsi="Times New Roman" w:eastAsia="方正仿宋_GBK" w:cs="Times New Roman"/>
          <w:color w:val="auto"/>
          <w:sz w:val="33"/>
          <w:szCs w:val="33"/>
          <w:highlight w:val="none"/>
          <w:shd w:val="clear" w:color="auto" w:fill="auto"/>
          <w:lang w:val="en-US" w:eastAsia="zh-CN"/>
        </w:rPr>
        <w:t>但也存在一些问题：</w:t>
      </w: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zh-CN"/>
        </w:rPr>
        <w:t>个别镇（街道）、村（社区）民政、工作人员业务能力不强，对辖区老年人情况变化掌握、上报不及时，导致系统数据不精准、变更不及时。</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zh-CN"/>
        </w:rPr>
        <w:t>部分老人银行卡信息变动后不及时申报，影响资金按时发放。</w:t>
      </w:r>
    </w:p>
    <w:p w14:paraId="43760C23">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六、有关建议</w:t>
      </w:r>
    </w:p>
    <w:p w14:paraId="16A1FA32">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Times New Roman" w:hAnsi="Times New Roman" w:eastAsia="仿宋_GB2312" w:cs="Times New Roman"/>
          <w:color w:val="auto"/>
          <w:sz w:val="32"/>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zh-CN"/>
        </w:rPr>
        <w:t>加强各镇（街道）、村（社区）工作人员的培训，增强责任心和业务能力。</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进一步加强认证工作，建议各镇（街道）加强与属地派出所沟通，及时掌握老年人数据，确保补贴</w:t>
      </w:r>
      <w:r>
        <w:rPr>
          <w:rFonts w:hint="eastAsia" w:ascii="Times New Roman" w:hAnsi="Times New Roman" w:eastAsia="方正仿宋_GBK" w:cs="Times New Roman"/>
          <w:color w:val="auto"/>
          <w:spacing w:val="6"/>
          <w:sz w:val="33"/>
          <w:szCs w:val="33"/>
          <w:highlight w:val="none"/>
          <w:shd w:val="clear" w:color="auto" w:fill="auto"/>
          <w:lang w:val="en-US" w:eastAsia="zh-CN"/>
        </w:rPr>
        <w:t>资金能够及时、准确地发放到老年人手中，防止资金流失和滥用</w:t>
      </w:r>
      <w:r>
        <w:rPr>
          <w:rFonts w:hint="eastAsia" w:ascii="Times New Roman" w:hAnsi="Times New Roman" w:eastAsia="方正仿宋_GBK" w:cs="Times New Roman"/>
          <w:color w:val="auto"/>
          <w:sz w:val="33"/>
          <w:szCs w:val="33"/>
          <w:highlight w:val="none"/>
          <w:shd w:val="clear" w:color="auto" w:fill="auto"/>
          <w:lang w:val="en-US" w:eastAsia="zh-CN"/>
        </w:rPr>
        <w:t>。</w:t>
      </w:r>
    </w:p>
    <w:p w14:paraId="04EFBC61">
      <w:pPr>
        <w:keepNext w:val="0"/>
        <w:keepLines w:val="0"/>
        <w:pageBreakBefore w:val="0"/>
        <w:widowControl w:val="0"/>
        <w:kinsoku/>
        <w:wordWrap/>
        <w:overflowPunct/>
        <w:topLinePunct w:val="0"/>
        <w:autoSpaceDE/>
        <w:autoSpaceDN/>
        <w:bidi w:val="0"/>
        <w:spacing w:line="240" w:lineRule="auto"/>
        <w:jc w:val="both"/>
        <w:rPr>
          <w:rFonts w:hint="default"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附件3</w:t>
      </w:r>
    </w:p>
    <w:p w14:paraId="6E86A456">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2023年计划生育服务资金绩效评价报告</w:t>
      </w:r>
    </w:p>
    <w:p w14:paraId="30922C87">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四川省人民政府关于全面实施预算绩效管理的实施意见》以及市第十届人大常委会第四次会议提出的“进一步完善财政支出绩效评价制度，尤其是对评价结果的运用制度”等要求，于2024年8月至9月对</w:t>
      </w:r>
      <w:r>
        <w:rPr>
          <w:rFonts w:hint="eastAsia" w:ascii="Times New Roman" w:hAnsi="Times New Roman" w:eastAsia="方正仿宋_GBK" w:cs="Times New Roman"/>
          <w:color w:val="auto"/>
          <w:sz w:val="33"/>
          <w:szCs w:val="33"/>
          <w:highlight w:val="none"/>
          <w:shd w:val="clear" w:color="auto" w:fill="auto"/>
          <w:lang w:val="zh-CN" w:eastAsia="zh-CN"/>
        </w:rPr>
        <w:t>2023年计划生育服务资金</w:t>
      </w:r>
      <w:r>
        <w:rPr>
          <w:rFonts w:hint="eastAsia" w:ascii="Times New Roman" w:hAnsi="Times New Roman" w:eastAsia="方正仿宋_GBK" w:cs="Times New Roman"/>
          <w:color w:val="auto"/>
          <w:sz w:val="33"/>
          <w:szCs w:val="33"/>
          <w:highlight w:val="none"/>
          <w:shd w:val="clear" w:color="auto" w:fill="auto"/>
          <w:lang w:val="en-US" w:eastAsia="zh-CN"/>
        </w:rPr>
        <w:t>开展了绩效评价，现将有关情况报告如下。</w:t>
      </w:r>
    </w:p>
    <w:p w14:paraId="41C6C7E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45F11F8A">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（一）项目概况</w:t>
      </w:r>
    </w:p>
    <w:p w14:paraId="30DD235C">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ascii="Times New Roman" w:hAnsi="Times New Roman" w:eastAsia="方正仿宋_GBK" w:cs="Times New Roman"/>
          <w:color w:val="auto"/>
          <w:sz w:val="33"/>
          <w:szCs w:val="33"/>
          <w:highlight w:val="none"/>
          <w:shd w:val="clear" w:color="auto" w:fill="auto"/>
        </w:rPr>
        <w:t>计划生育服务</w:t>
      </w:r>
      <w:r>
        <w:rPr>
          <w:rFonts w:hint="eastAsia" w:ascii="Times New Roman" w:hAnsi="Times New Roman" w:eastAsia="方正仿宋_GBK" w:cs="Times New Roman"/>
          <w:color w:val="auto"/>
          <w:sz w:val="33"/>
          <w:szCs w:val="33"/>
          <w:highlight w:val="none"/>
          <w:shd w:val="clear" w:color="auto" w:fill="auto"/>
        </w:rPr>
        <w:t>资金</w:t>
      </w:r>
      <w:r>
        <w:rPr>
          <w:rFonts w:ascii="Times New Roman" w:hAnsi="Times New Roman" w:eastAsia="方正仿宋_GBK" w:cs="Times New Roman"/>
          <w:color w:val="auto"/>
          <w:sz w:val="33"/>
          <w:szCs w:val="33"/>
          <w:highlight w:val="none"/>
          <w:shd w:val="clear" w:color="auto" w:fill="auto"/>
        </w:rPr>
        <w:t>，主要用于</w:t>
      </w:r>
      <w:r>
        <w:rPr>
          <w:rFonts w:hint="eastAsia" w:ascii="Times New Roman" w:hAnsi="Times New Roman" w:eastAsia="方正仿宋_GBK" w:cs="Times New Roman"/>
          <w:color w:val="auto"/>
          <w:sz w:val="33"/>
          <w:szCs w:val="33"/>
          <w:highlight w:val="none"/>
          <w:shd w:val="clear" w:color="auto" w:fill="auto"/>
        </w:rPr>
        <w:t>兑现</w:t>
      </w:r>
      <w:r>
        <w:rPr>
          <w:rFonts w:ascii="Times New Roman" w:hAnsi="Times New Roman" w:eastAsia="方正仿宋_GBK" w:cs="Times New Roman"/>
          <w:color w:val="auto"/>
          <w:sz w:val="33"/>
          <w:szCs w:val="33"/>
          <w:highlight w:val="none"/>
          <w:shd w:val="clear" w:color="auto" w:fill="auto"/>
        </w:rPr>
        <w:t>特别扶助伤残死亡家庭扶助、特别扶助（其他）家庭扶助、特别扶助伤残死亡家庭交通补贴金、独生子女父母奖励金、西部地</w:t>
      </w:r>
      <w:r>
        <w:rPr>
          <w:rFonts w:hint="eastAsia" w:ascii="方正仿宋_GBK" w:hAnsi="方正仿宋_GBK" w:eastAsia="方正仿宋_GBK" w:cs="方正仿宋_GBK"/>
          <w:color w:val="auto"/>
          <w:sz w:val="33"/>
          <w:szCs w:val="33"/>
          <w:highlight w:val="none"/>
          <w:shd w:val="clear" w:color="auto" w:fill="auto"/>
        </w:rPr>
        <w:t>区“少生快富”</w:t>
      </w:r>
      <w:r>
        <w:rPr>
          <w:rFonts w:ascii="Times New Roman" w:hAnsi="Times New Roman" w:eastAsia="方正仿宋_GBK" w:cs="Times New Roman"/>
          <w:color w:val="auto"/>
          <w:sz w:val="33"/>
          <w:szCs w:val="33"/>
          <w:highlight w:val="none"/>
          <w:shd w:val="clear" w:color="auto" w:fill="auto"/>
        </w:rPr>
        <w:t>项目、特别扶助伤残死亡家庭养老保险。</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rPr>
        <w:t>年</w:t>
      </w:r>
      <w:r>
        <w:rPr>
          <w:rFonts w:ascii="Times New Roman" w:hAnsi="Times New Roman" w:eastAsia="方正仿宋_GBK" w:cs="Times New Roman"/>
          <w:color w:val="auto"/>
          <w:sz w:val="33"/>
          <w:szCs w:val="33"/>
          <w:highlight w:val="none"/>
          <w:shd w:val="clear" w:color="auto" w:fill="auto"/>
        </w:rPr>
        <w:t>计划生育服务</w:t>
      </w:r>
      <w:r>
        <w:rPr>
          <w:rFonts w:hint="eastAsia" w:ascii="Times New Roman" w:hAnsi="Times New Roman" w:eastAsia="方正仿宋_GBK" w:cs="Times New Roman"/>
          <w:color w:val="auto"/>
          <w:sz w:val="33"/>
          <w:szCs w:val="33"/>
          <w:highlight w:val="none"/>
          <w:shd w:val="clear" w:color="auto" w:fill="auto"/>
        </w:rPr>
        <w:t>资金</w:t>
      </w:r>
      <w:r>
        <w:rPr>
          <w:rFonts w:ascii="Times New Roman" w:hAnsi="Times New Roman" w:eastAsia="方正仿宋_GBK" w:cs="Times New Roman"/>
          <w:color w:val="auto"/>
          <w:sz w:val="33"/>
          <w:szCs w:val="33"/>
          <w:highlight w:val="none"/>
          <w:shd w:val="clear" w:color="auto" w:fill="auto"/>
        </w:rPr>
        <w:t>为</w:t>
      </w:r>
      <w:bookmarkStart w:id="0" w:name="OLE_LINK3"/>
      <w:r>
        <w:rPr>
          <w:rFonts w:hint="eastAsia" w:ascii="Times New Roman" w:hAnsi="Times New Roman" w:eastAsia="方正仿宋_GBK" w:cs="Times New Roman"/>
          <w:color w:val="auto"/>
          <w:sz w:val="33"/>
          <w:szCs w:val="33"/>
          <w:highlight w:val="none"/>
          <w:shd w:val="clear" w:color="auto" w:fill="auto"/>
          <w:lang w:val="en-US" w:eastAsia="zh-CN"/>
        </w:rPr>
        <w:t>721.4</w:t>
      </w:r>
      <w:bookmarkEnd w:id="0"/>
      <w:bookmarkStart w:id="1" w:name="OLE_LINK2"/>
      <w:r>
        <w:rPr>
          <w:rFonts w:ascii="Times New Roman" w:hAnsi="Times New Roman" w:eastAsia="方正仿宋_GBK" w:cs="Times New Roman"/>
          <w:color w:val="auto"/>
          <w:sz w:val="33"/>
          <w:szCs w:val="33"/>
          <w:highlight w:val="none"/>
          <w:shd w:val="clear" w:color="auto" w:fill="auto"/>
        </w:rPr>
        <w:t>万元</w:t>
      </w:r>
      <w:bookmarkEnd w:id="1"/>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rPr>
        <w:t>其中：</w:t>
      </w:r>
      <w:r>
        <w:rPr>
          <w:rFonts w:hint="eastAsia" w:ascii="Times New Roman" w:hAnsi="Times New Roman" w:eastAsia="方正仿宋_GBK" w:cs="Times New Roman"/>
          <w:color w:val="auto"/>
          <w:sz w:val="33"/>
          <w:szCs w:val="33"/>
          <w:highlight w:val="none"/>
          <w:shd w:val="clear" w:color="auto" w:fill="auto"/>
          <w:lang w:eastAsia="zh-CN"/>
        </w:rPr>
        <w:t>中央</w:t>
      </w:r>
      <w:r>
        <w:rPr>
          <w:rFonts w:hint="eastAsia" w:ascii="Times New Roman" w:hAnsi="Times New Roman" w:eastAsia="方正仿宋_GBK" w:cs="Times New Roman"/>
          <w:color w:val="auto"/>
          <w:sz w:val="33"/>
          <w:szCs w:val="33"/>
          <w:highlight w:val="none"/>
          <w:shd w:val="clear" w:color="auto" w:fill="auto"/>
          <w:lang w:val="en-US" w:eastAsia="zh-CN"/>
        </w:rPr>
        <w:t>341.1</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lang w:val="en-US" w:eastAsia="zh-CN"/>
        </w:rPr>
        <w:t>、省级133.2</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市级67.1</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区级资金</w:t>
      </w:r>
      <w:r>
        <w:rPr>
          <w:rFonts w:hint="eastAsia" w:ascii="Times New Roman" w:hAnsi="Times New Roman" w:eastAsia="方正仿宋_GBK" w:cs="Times New Roman"/>
          <w:color w:val="auto"/>
          <w:sz w:val="33"/>
          <w:szCs w:val="33"/>
          <w:highlight w:val="none"/>
          <w:shd w:val="clear" w:color="auto" w:fill="auto"/>
          <w:lang w:val="en-US" w:eastAsia="zh-CN"/>
        </w:rPr>
        <w:t>180</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rPr>
        <w:t>。截至202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年12月31日，项目资金实际支付</w:t>
      </w:r>
      <w:r>
        <w:rPr>
          <w:rFonts w:hint="eastAsia" w:ascii="Times New Roman" w:hAnsi="Times New Roman" w:eastAsia="方正仿宋_GBK" w:cs="Times New Roman"/>
          <w:color w:val="auto"/>
          <w:sz w:val="33"/>
          <w:szCs w:val="33"/>
          <w:highlight w:val="none"/>
          <w:shd w:val="clear" w:color="auto" w:fill="auto"/>
          <w:lang w:val="en-US" w:eastAsia="zh-CN"/>
        </w:rPr>
        <w:t>721.4</w:t>
      </w:r>
      <w:r>
        <w:rPr>
          <w:rFonts w:hint="eastAsia" w:ascii="Times New Roman" w:hAnsi="Times New Roman" w:eastAsia="方正仿宋_GBK" w:cs="Times New Roman"/>
          <w:color w:val="auto"/>
          <w:sz w:val="33"/>
          <w:szCs w:val="33"/>
          <w:highlight w:val="none"/>
          <w:shd w:val="clear" w:color="auto" w:fill="auto"/>
        </w:rPr>
        <w:t>万元，支付</w:t>
      </w:r>
      <w:r>
        <w:rPr>
          <w:rFonts w:hint="eastAsia" w:ascii="Times New Roman" w:hAnsi="Times New Roman" w:eastAsia="方正仿宋_GBK" w:cs="Times New Roman"/>
          <w:color w:val="auto"/>
          <w:sz w:val="33"/>
          <w:szCs w:val="33"/>
          <w:highlight w:val="none"/>
          <w:shd w:val="clear" w:color="auto" w:fill="auto"/>
          <w:lang w:eastAsia="zh-CN"/>
        </w:rPr>
        <w:t>率为</w:t>
      </w:r>
      <w:r>
        <w:rPr>
          <w:rFonts w:hint="eastAsia" w:ascii="Times New Roman" w:hAnsi="Times New Roman" w:eastAsia="方正仿宋_GBK" w:cs="Times New Roman"/>
          <w:color w:val="auto"/>
          <w:sz w:val="33"/>
          <w:szCs w:val="33"/>
          <w:highlight w:val="none"/>
          <w:shd w:val="clear" w:color="auto" w:fill="auto"/>
          <w:lang w:val="en-US" w:eastAsia="zh-CN"/>
        </w:rPr>
        <w:t>100</w:t>
      </w:r>
      <w:r>
        <w:rPr>
          <w:rFonts w:hint="eastAsia" w:ascii="Times New Roman" w:hAnsi="Times New Roman" w:eastAsia="方正仿宋_GBK" w:cs="Times New Roman"/>
          <w:color w:val="auto"/>
          <w:sz w:val="33"/>
          <w:szCs w:val="33"/>
          <w:highlight w:val="none"/>
          <w:shd w:val="clear" w:color="auto" w:fill="auto"/>
        </w:rPr>
        <w:t>%。</w:t>
      </w:r>
    </w:p>
    <w:p w14:paraId="2700352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46B3818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lang w:bidi="ar"/>
        </w:rPr>
      </w:pPr>
      <w:r>
        <w:rPr>
          <w:rFonts w:ascii="Times New Roman" w:hAnsi="Times New Roman" w:eastAsia="方正仿宋_GBK" w:cs="Times New Roman"/>
          <w:color w:val="auto"/>
          <w:sz w:val="33"/>
          <w:szCs w:val="33"/>
          <w:highlight w:val="none"/>
          <w:shd w:val="clear" w:color="auto" w:fill="auto"/>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实施西部地</w:t>
      </w:r>
      <w:r>
        <w:rPr>
          <w:rFonts w:hint="eastAsia" w:ascii="方正仿宋_GBK" w:hAnsi="方正仿宋_GBK" w:eastAsia="方正仿宋_GBK" w:cs="方正仿宋_GBK"/>
          <w:color w:val="auto"/>
          <w:sz w:val="33"/>
          <w:szCs w:val="33"/>
          <w:highlight w:val="none"/>
          <w:shd w:val="clear" w:color="auto" w:fill="auto"/>
        </w:rPr>
        <w:t>区“少生快富”工</w:t>
      </w:r>
      <w:r>
        <w:rPr>
          <w:rFonts w:ascii="Times New Roman" w:hAnsi="Times New Roman" w:eastAsia="方正仿宋_GBK" w:cs="Times New Roman"/>
          <w:color w:val="auto"/>
          <w:sz w:val="33"/>
          <w:szCs w:val="33"/>
          <w:highlight w:val="none"/>
          <w:shd w:val="clear" w:color="auto" w:fill="auto"/>
        </w:rPr>
        <w:t>程，改善计划生育家庭生产、生活状况，引导和帮助计划生育家庭发展生产。</w:t>
      </w:r>
    </w:p>
    <w:p w14:paraId="5687792D">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0CFC53F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7BB9123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计划生育服务项目的实施，目的是以利益补偿方式对独生子女伤残死亡家庭、计划生育手术并发症人员等人群进行奖励扶持，有效地促进基层计划生育工作的开展，提高计划生育家庭对国家计生政策的满意度，融洽干群关系，有力贯彻国家计划生育政策的执行。本次绩效评价通过对计划生育服务资金使用单位的管理、审核和目标达成情况，从决策、过程、产出、效益、满意度等维度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年度计划生育服务资金进行绩效评价，旨在总结工作成绩，发现实施管理中存在的问题和不足，提出改进意见和建议，强化项目管理，提高财政资金使用效益。</w:t>
      </w:r>
    </w:p>
    <w:p w14:paraId="55F67E6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50DFEAF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该专项资金绩效评价指标体系按照《财政部关于印发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w:t>
      </w:r>
      <w:r>
        <w:rPr>
          <w:rFonts w:hint="eastAsia" w:ascii="Times New Roman" w:hAnsi="Times New Roman" w:eastAsia="方正仿宋_GBK" w:cs="Times New Roman"/>
          <w:color w:val="auto"/>
          <w:spacing w:val="6"/>
          <w:sz w:val="33"/>
          <w:szCs w:val="33"/>
          <w:highlight w:val="none"/>
          <w:shd w:val="clear" w:color="auto" w:fill="auto"/>
        </w:rPr>
        <w:t>进行设计，从决策、过程、产出、效益等方面进行综合评价</w:t>
      </w:r>
      <w:r>
        <w:rPr>
          <w:rFonts w:hint="eastAsia" w:ascii="Times New Roman" w:hAnsi="Times New Roman" w:eastAsia="方正仿宋_GBK" w:cs="Times New Roman"/>
          <w:color w:val="auto"/>
          <w:sz w:val="33"/>
          <w:szCs w:val="33"/>
          <w:highlight w:val="none"/>
          <w:shd w:val="clear" w:color="auto" w:fill="auto"/>
        </w:rPr>
        <w:t>。</w:t>
      </w:r>
    </w:p>
    <w:p w14:paraId="4E6CAC96">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楷体_GB2312"/>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2933623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公众评判法、标杆管理法等，分别依据计划标准、行业标准、历史标准等评价标准，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年计划生育服务资金进行全面绩效评价。</w:t>
      </w:r>
    </w:p>
    <w:p w14:paraId="311BAF3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5D351ABB">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年度计划生育服务资金</w:t>
      </w:r>
      <w:r>
        <w:rPr>
          <w:rFonts w:ascii="Times New Roman" w:hAnsi="Times New Roman" w:eastAsia="方正仿宋_GBK" w:cs="Times New Roman"/>
          <w:color w:val="auto"/>
          <w:sz w:val="33"/>
          <w:szCs w:val="33"/>
          <w:highlight w:val="none"/>
          <w:shd w:val="clear" w:color="auto" w:fill="auto"/>
        </w:rPr>
        <w:t>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w:t>
      </w:r>
      <w:r>
        <w:rPr>
          <w:rFonts w:ascii="Times New Roman" w:hAnsi="Times New Roman" w:eastAsia="方正仿宋_GBK" w:cs="Times New Roman"/>
          <w:color w:val="auto"/>
          <w:sz w:val="33"/>
          <w:szCs w:val="33"/>
          <w:highlight w:val="none"/>
          <w:shd w:val="clear" w:color="auto" w:fill="auto"/>
        </w:rPr>
        <w:t>得分9</w:t>
      </w:r>
      <w:r>
        <w:rPr>
          <w:rFonts w:hint="eastAsia" w:ascii="Times New Roman" w:hAnsi="Times New Roman" w:eastAsia="方正仿宋_GBK" w:cs="Times New Roman"/>
          <w:color w:val="auto"/>
          <w:sz w:val="33"/>
          <w:szCs w:val="33"/>
          <w:highlight w:val="none"/>
          <w:shd w:val="clear" w:color="auto" w:fill="auto"/>
        </w:rPr>
        <w:t>6</w:t>
      </w:r>
      <w:r>
        <w:rPr>
          <w:rFonts w:ascii="Times New Roman" w:hAnsi="Times New Roman" w:eastAsia="方正仿宋_GBK" w:cs="Times New Roman"/>
          <w:color w:val="auto"/>
          <w:sz w:val="33"/>
          <w:szCs w:val="33"/>
          <w:highlight w:val="none"/>
          <w:shd w:val="clear" w:color="auto" w:fill="auto"/>
        </w:rPr>
        <w:t>分</w:t>
      </w:r>
      <w:r>
        <w:rPr>
          <w:rFonts w:hint="eastAsia" w:ascii="Times New Roman" w:hAnsi="Times New Roman" w:eastAsia="方正仿宋_GBK" w:cs="Times New Roman"/>
          <w:color w:val="auto"/>
          <w:sz w:val="33"/>
          <w:szCs w:val="33"/>
          <w:highlight w:val="none"/>
          <w:shd w:val="clear" w:color="auto" w:fill="auto"/>
        </w:rPr>
        <w:t>。具体评价情况见下表。</w:t>
      </w:r>
    </w:p>
    <w:p w14:paraId="35F5B28D">
      <w:pPr>
        <w:keepNext w:val="0"/>
        <w:keepLines w:val="0"/>
        <w:pageBreakBefore w:val="0"/>
        <w:widowControl w:val="0"/>
        <w:kinsoku/>
        <w:wordWrap/>
        <w:overflowPunct/>
        <w:topLinePunct w:val="0"/>
        <w:autoSpaceDE/>
        <w:autoSpaceDN/>
        <w:bidi w:val="0"/>
        <w:adjustRightInd w:val="0"/>
        <w:snapToGrid w:val="0"/>
        <w:spacing w:before="175" w:beforeLines="30" w:after="175" w:afterLines="30" w:line="240" w:lineRule="auto"/>
        <w:jc w:val="center"/>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rPr>
        <w:t>年度计划生育服务资金</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6C5E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14:paraId="681ECEA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848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84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4bk6O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1pEjhzYOnCb77+&#10;+vPl++3vb7Te/PzBZlmkPmBNsZduHUcPwzpmxvs22vwnLmxfhD0chVX7xARtnr8840zc7Vf/kkLE&#10;9FZ5y7LRcKNd5gs17N5hokIUeheSt41jfcNfn80zHNDwtXTpZNpABNBtSy56o+WVNiZnYNxuLk1k&#10;O8gDUL5Mh3D/C8tFVoDdEFeOhtHoFMg3TrJ0CCSNoxfBcwtWSc6MogeULQKEOoE2p0RSaeNygirj&#10;OfLM+g6KZmvj5aEIXWWPrr50PI5pnq37Ptn3n+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AvhuTo7QEAAOI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950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95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D0pOcI7QEAAOI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052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05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CCuMnh7QEAAOI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155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15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A+eQE+4BAADiAwAADgAAAGRycy9lMm9Eb2MueG1srVPNbhMx&#10;EL4j8Q6W72TT0FZ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aecObB04Xdf&#10;ft5+/vb711da7358Z6dZpD5gTbFXbhVHD8MqZsa7Ntr8Jy5sV4TdH4RVu8QEbZ6/PO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A+eQE+4BAADiAwAADgAAAAAAAAABACAAAAAkAQAAZHJzL2Uyb0RvYy54bWxQSwUGAAAAAAYA&#10;BgBZAQAAhAUAAAAA&#10;">
                      <v:fill on="f" focussize="0,0"/>
                      <v:stroke color="#000000" joinstyle="round"/>
                      <v:imagedata o:title=""/>
                      <o:lock v:ext="edit" aspectratio="f"/>
                    </v:line>
                  </w:pict>
                </mc:Fallback>
              </mc:AlternateContent>
            </w:r>
          </w:p>
        </w:tc>
        <w:tc>
          <w:tcPr>
            <w:tcW w:w="1701" w:type="dxa"/>
            <w:noWrap w:val="0"/>
            <w:vAlign w:val="center"/>
          </w:tcPr>
          <w:p w14:paraId="27A0491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27" w:type="dxa"/>
            <w:noWrap w:val="0"/>
            <w:vAlign w:val="center"/>
          </w:tcPr>
          <w:p w14:paraId="33733D2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43" w:type="dxa"/>
            <w:noWrap w:val="0"/>
            <w:vAlign w:val="center"/>
          </w:tcPr>
          <w:p w14:paraId="38D2061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39" w:type="dxa"/>
            <w:noWrap w:val="0"/>
            <w:vAlign w:val="center"/>
          </w:tcPr>
          <w:p w14:paraId="5454086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14:paraId="0F3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14:paraId="08011F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14:paraId="349B90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1701" w:type="dxa"/>
            <w:vMerge w:val="restart"/>
            <w:noWrap w:val="0"/>
            <w:vAlign w:val="center"/>
          </w:tcPr>
          <w:p w14:paraId="0DF987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14:paraId="7F73CE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27" w:type="dxa"/>
            <w:noWrap w:val="0"/>
            <w:vAlign w:val="center"/>
          </w:tcPr>
          <w:p w14:paraId="47AB31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43" w:type="dxa"/>
            <w:noWrap w:val="0"/>
            <w:vAlign w:val="center"/>
          </w:tcPr>
          <w:p w14:paraId="7D35BB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433CE0D2">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9E8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14:paraId="765558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75A183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C70EC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43" w:type="dxa"/>
            <w:noWrap w:val="0"/>
            <w:vAlign w:val="center"/>
          </w:tcPr>
          <w:p w14:paraId="60600F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2824972F">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2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2552D1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3711D1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7D30E8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43" w:type="dxa"/>
            <w:noWrap w:val="0"/>
            <w:vAlign w:val="center"/>
          </w:tcPr>
          <w:p w14:paraId="3AEB50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1468C70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71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7995F7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14C7EC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14:paraId="1721B2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tc>
        <w:tc>
          <w:tcPr>
            <w:tcW w:w="2427" w:type="dxa"/>
            <w:noWrap w:val="0"/>
            <w:vAlign w:val="center"/>
          </w:tcPr>
          <w:p w14:paraId="341AE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43" w:type="dxa"/>
            <w:noWrap w:val="0"/>
            <w:vAlign w:val="center"/>
          </w:tcPr>
          <w:p w14:paraId="0A66C6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189ED48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A5F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14:paraId="15F42A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2A8BC2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2504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43" w:type="dxa"/>
            <w:noWrap w:val="0"/>
            <w:vAlign w:val="center"/>
          </w:tcPr>
          <w:p w14:paraId="416349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05FDDF68">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504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14:paraId="1FA965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747D70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A36FF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43" w:type="dxa"/>
            <w:noWrap w:val="0"/>
            <w:vAlign w:val="center"/>
          </w:tcPr>
          <w:p w14:paraId="458F9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59D25E8E">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8EA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32F913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E00AF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076D34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43" w:type="dxa"/>
            <w:noWrap w:val="0"/>
            <w:vAlign w:val="center"/>
          </w:tcPr>
          <w:p w14:paraId="4C869C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c>
          <w:tcPr>
            <w:tcW w:w="1139" w:type="dxa"/>
            <w:noWrap w:val="0"/>
            <w:vAlign w:val="center"/>
          </w:tcPr>
          <w:p w14:paraId="412110D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14:paraId="42F3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73476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465D0A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14:paraId="4E87AC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2306AD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43" w:type="dxa"/>
            <w:noWrap w:val="0"/>
            <w:vAlign w:val="center"/>
          </w:tcPr>
          <w:p w14:paraId="6CA5EE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26294A86">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9E5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36C80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DC5B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45901C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43" w:type="dxa"/>
            <w:noWrap w:val="0"/>
            <w:vAlign w:val="center"/>
          </w:tcPr>
          <w:p w14:paraId="790F87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6A1EE04C">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DB0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14:paraId="0B13EF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14:paraId="6A7FFB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tc>
        <w:tc>
          <w:tcPr>
            <w:tcW w:w="1701" w:type="dxa"/>
            <w:vMerge w:val="restart"/>
            <w:noWrap w:val="0"/>
            <w:vAlign w:val="center"/>
          </w:tcPr>
          <w:p w14:paraId="40722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14:paraId="3168B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2F65B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43" w:type="dxa"/>
            <w:noWrap w:val="0"/>
            <w:vAlign w:val="center"/>
          </w:tcPr>
          <w:p w14:paraId="731C8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09189893">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4010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14:paraId="7FF531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60AD9D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0196EA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43" w:type="dxa"/>
            <w:noWrap w:val="0"/>
            <w:vAlign w:val="center"/>
          </w:tcPr>
          <w:p w14:paraId="75CE4C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58E188A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4137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14:paraId="73FE80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623D25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14:paraId="4A11E3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27" w:type="dxa"/>
            <w:noWrap w:val="0"/>
            <w:vAlign w:val="center"/>
          </w:tcPr>
          <w:p w14:paraId="4CEF1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43" w:type="dxa"/>
            <w:noWrap w:val="0"/>
            <w:vAlign w:val="center"/>
          </w:tcPr>
          <w:p w14:paraId="656C55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105FDF6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260B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767916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B34CD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0D94EF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43" w:type="dxa"/>
            <w:noWrap w:val="0"/>
            <w:vAlign w:val="center"/>
          </w:tcPr>
          <w:p w14:paraId="403CE9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05207E83">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1539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7B4EB2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35DF8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23D8D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43" w:type="dxa"/>
            <w:noWrap w:val="0"/>
            <w:vAlign w:val="center"/>
          </w:tcPr>
          <w:p w14:paraId="4F9489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107A6C4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5866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14:paraId="3BE0E3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7E89DB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14:paraId="61875A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1230E0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43" w:type="dxa"/>
            <w:noWrap w:val="0"/>
            <w:vAlign w:val="center"/>
          </w:tcPr>
          <w:p w14:paraId="2340C7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12757967">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5BE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639F71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3BF57D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AF5B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43" w:type="dxa"/>
            <w:noWrap w:val="0"/>
            <w:vAlign w:val="center"/>
          </w:tcPr>
          <w:p w14:paraId="121402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324BBBC5">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38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04590E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7F79F0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14:paraId="5E8FB3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61D906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43" w:type="dxa"/>
            <w:noWrap w:val="0"/>
            <w:vAlign w:val="center"/>
          </w:tcPr>
          <w:p w14:paraId="24E79B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32214494">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109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4A9CE3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37145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7A4AA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43" w:type="dxa"/>
            <w:noWrap w:val="0"/>
            <w:vAlign w:val="center"/>
          </w:tcPr>
          <w:p w14:paraId="660EAD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3537911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4527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74CEA0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3DD29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F76E0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43" w:type="dxa"/>
            <w:noWrap w:val="0"/>
            <w:vAlign w:val="center"/>
          </w:tcPr>
          <w:p w14:paraId="1651C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2449F988">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554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14:paraId="561AEB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14:paraId="187B7C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14:paraId="0CEC9E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14:paraId="710AB3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14:paraId="767885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14:paraId="26A0E1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4F391D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14:paraId="0F4B7E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158F20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75D72F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43" w:type="dxa"/>
            <w:noWrap w:val="0"/>
            <w:vAlign w:val="center"/>
          </w:tcPr>
          <w:p w14:paraId="7F339D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5D5256D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58B6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17F5E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68C25F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76714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43" w:type="dxa"/>
            <w:noWrap w:val="0"/>
            <w:vAlign w:val="center"/>
          </w:tcPr>
          <w:p w14:paraId="472AF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4C3D88BF">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7F55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4BD7D2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21AB4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CD2F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43" w:type="dxa"/>
            <w:noWrap w:val="0"/>
            <w:vAlign w:val="center"/>
          </w:tcPr>
          <w:p w14:paraId="0D4B7D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433EE18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75D4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66BF30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4D6A48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5C832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43" w:type="dxa"/>
            <w:noWrap w:val="0"/>
            <w:vAlign w:val="center"/>
          </w:tcPr>
          <w:p w14:paraId="05AC54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70321917">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5298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5CCC64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E982B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DA4A2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43" w:type="dxa"/>
            <w:noWrap w:val="0"/>
            <w:vAlign w:val="center"/>
          </w:tcPr>
          <w:p w14:paraId="593E5D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0C85DEF2">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4835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59910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56EB1D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14:paraId="45CEF8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14:paraId="58F406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27" w:type="dxa"/>
            <w:noWrap w:val="0"/>
            <w:vAlign w:val="center"/>
          </w:tcPr>
          <w:p w14:paraId="0F886F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43" w:type="dxa"/>
            <w:noWrap w:val="0"/>
            <w:vAlign w:val="center"/>
          </w:tcPr>
          <w:p w14:paraId="1883D4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1D50C6B0">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14:paraId="4C0C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4696DD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AE923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C59AE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43" w:type="dxa"/>
            <w:noWrap w:val="0"/>
            <w:vAlign w:val="center"/>
          </w:tcPr>
          <w:p w14:paraId="7218FE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2436A099">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31C9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30A0AC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61430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E4F85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43" w:type="dxa"/>
            <w:noWrap w:val="0"/>
            <w:vAlign w:val="center"/>
          </w:tcPr>
          <w:p w14:paraId="463BEC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151FF2F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14:paraId="7869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C9CDE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4D0AEC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E994D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43" w:type="dxa"/>
            <w:noWrap w:val="0"/>
            <w:vAlign w:val="center"/>
          </w:tcPr>
          <w:p w14:paraId="541BAA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0DDBB8F3">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14:paraId="153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341C3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noWrap w:val="0"/>
            <w:vAlign w:val="center"/>
          </w:tcPr>
          <w:p w14:paraId="2EC884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14:paraId="36803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27" w:type="dxa"/>
            <w:noWrap w:val="0"/>
            <w:vAlign w:val="center"/>
          </w:tcPr>
          <w:p w14:paraId="41F736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43" w:type="dxa"/>
            <w:noWrap w:val="0"/>
            <w:vAlign w:val="center"/>
          </w:tcPr>
          <w:p w14:paraId="19D90A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noWrap w:val="0"/>
            <w:vAlign w:val="center"/>
          </w:tcPr>
          <w:p w14:paraId="5A9ECAEC">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14:paraId="1D1D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14:paraId="19EBEC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43" w:type="dxa"/>
            <w:noWrap w:val="0"/>
            <w:vAlign w:val="center"/>
          </w:tcPr>
          <w:p w14:paraId="51D804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noWrap w:val="0"/>
            <w:vAlign w:val="center"/>
          </w:tcPr>
          <w:p w14:paraId="180CE545">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kern w:val="0"/>
                <w:sz w:val="20"/>
                <w:szCs w:val="20"/>
                <w:highlight w:val="none"/>
                <w:shd w:val="clear" w:color="auto" w:fill="auto"/>
              </w:rPr>
              <w:t>9</w:t>
            </w:r>
            <w:r>
              <w:rPr>
                <w:rFonts w:hint="eastAsia" w:ascii="Times New Roman" w:hAnsi="Times New Roman" w:eastAsia="仿宋_GB2312" w:cs="Times New Roman"/>
                <w:color w:val="auto"/>
                <w:kern w:val="0"/>
                <w:sz w:val="20"/>
                <w:szCs w:val="20"/>
                <w:highlight w:val="none"/>
                <w:shd w:val="clear" w:color="auto" w:fill="auto"/>
              </w:rPr>
              <w:t>6</w:t>
            </w:r>
          </w:p>
        </w:tc>
      </w:tr>
    </w:tbl>
    <w:p w14:paraId="54C93263">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339D25C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69E4A38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根据《财政厅 省卫生健康委关于提高计划生育家庭特别扶助标准的通知》（川财社〔2020〕32号）、《财政厅 省人口与计划生育委员会关于做好58、59周岁农村计划生育家庭奖励扶助制度资金发放</w:t>
      </w:r>
      <w:r>
        <w:rPr>
          <w:rFonts w:hint="eastAsia" w:ascii="Times New Roman" w:hAnsi="Times New Roman" w:eastAsia="方正仿宋_GBK" w:cs="Times New Roman"/>
          <w:color w:val="auto"/>
          <w:sz w:val="33"/>
          <w:szCs w:val="33"/>
          <w:highlight w:val="none"/>
          <w:shd w:val="clear" w:color="auto" w:fill="auto"/>
          <w:lang w:eastAsia="zh-CN"/>
        </w:rPr>
        <w:t>工作</w:t>
      </w:r>
      <w:r>
        <w:rPr>
          <w:rFonts w:ascii="Times New Roman" w:hAnsi="Times New Roman" w:eastAsia="方正仿宋_GBK" w:cs="Times New Roman"/>
          <w:color w:val="auto"/>
          <w:sz w:val="33"/>
          <w:szCs w:val="33"/>
          <w:highlight w:val="none"/>
          <w:shd w:val="clear" w:color="auto" w:fill="auto"/>
        </w:rPr>
        <w:t>的通知》（川财教〔2008〕262号）、《市卫生健康委 市财政局 市人力资源和社会保障局关于完善农村独生子女死亡伤残家庭扶助办法的通知》（攀卫办〔2020〕165号）、《市财政局 市人口与计划生育委员会关于攀枝花市独生子女父母奖励金提标通知》（攀财教〔2013〕19号）、《攀枝花市发放育儿补贴金实施细则（试行）》（攀卫办〔2021〕84号）</w:t>
      </w:r>
      <w:r>
        <w:rPr>
          <w:rFonts w:hint="eastAsia" w:ascii="Times New Roman" w:hAnsi="Times New Roman" w:eastAsia="方正仿宋_GBK" w:cs="Times New Roman"/>
          <w:color w:val="auto"/>
          <w:sz w:val="33"/>
          <w:szCs w:val="33"/>
          <w:highlight w:val="none"/>
          <w:shd w:val="clear" w:color="auto" w:fill="auto"/>
        </w:rPr>
        <w:t>等文件规定，测算发放有关补助</w:t>
      </w:r>
      <w:r>
        <w:rPr>
          <w:rFonts w:ascii="Times New Roman" w:hAnsi="Times New Roman" w:eastAsia="方正仿宋_GBK" w:cs="Times New Roman"/>
          <w:color w:val="auto"/>
          <w:sz w:val="33"/>
          <w:szCs w:val="33"/>
          <w:highlight w:val="none"/>
          <w:shd w:val="clear" w:color="auto" w:fill="auto"/>
        </w:rPr>
        <w:t>。</w:t>
      </w:r>
    </w:p>
    <w:p w14:paraId="579CF89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553C017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市卫生健康委负责项目监管，区卫生健康局负责项目实施。实施流程：申报—审查资料</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询问</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信息采集</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资料分类</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入户调查</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乡镇级初审</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县级复查审批</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公示</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拨付。通过质量抽查、入户调查、查阅资料等开展监管，确保申报对象资格确认准确率</w:t>
      </w:r>
      <w:r>
        <w:rPr>
          <w:rFonts w:ascii="Times New Roman" w:hAnsi="Times New Roman" w:eastAsia="方正仿宋_GBK" w:cs="Times New Roman"/>
          <w:color w:val="auto"/>
          <w:sz w:val="33"/>
          <w:szCs w:val="33"/>
          <w:highlight w:val="none"/>
          <w:shd w:val="clear" w:color="auto" w:fill="auto"/>
        </w:rPr>
        <w:t>100%</w:t>
      </w:r>
      <w:r>
        <w:rPr>
          <w:rFonts w:hint="eastAsia" w:ascii="Times New Roman" w:hAnsi="Times New Roman" w:eastAsia="方正仿宋_GBK" w:cs="Times New Roman"/>
          <w:color w:val="auto"/>
          <w:sz w:val="33"/>
          <w:szCs w:val="33"/>
          <w:highlight w:val="none"/>
          <w:shd w:val="clear" w:color="auto" w:fill="auto"/>
        </w:rPr>
        <w:t>。</w:t>
      </w:r>
    </w:p>
    <w:p w14:paraId="52437624">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楷体_GB2312"/>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2DFA73CC">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2023年享受计划生育家庭特别扶助制度487人（其中独生子女死亡302人，独生子女伤残185人），农村部分计划生育家庭奖励扶助制度享受230人，独生子女父母奖励金1739人，农村计划生育养老保险1人。</w:t>
      </w:r>
    </w:p>
    <w:p w14:paraId="6EF1E9D2">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19081795">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解决农村独生子女和双女家庭的养老问题，提高家庭发展能力。有效地促进了基层计划生育工作的开展，提高了计划生育家庭对国家计生政策的满意度，融洽了干群关系。</w:t>
      </w:r>
    </w:p>
    <w:p w14:paraId="17A891CF">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56C0CAD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政策宣传与普及不足。生育补贴政策作为一项惠民政策，需要广泛宣传和普及。然而，如果政策宣传不到位，或者宣传方式不恰当，可能导致目标受众对政策内容、申请条件及流程等了解不足，从而影响政策的普及率和受众范围</w:t>
      </w:r>
      <w:r>
        <w:rPr>
          <w:rFonts w:ascii="Times New Roman" w:hAnsi="Times New Roman" w:eastAsia="方正仿宋_GBK" w:cs="Times New Roman"/>
          <w:color w:val="auto"/>
          <w:sz w:val="33"/>
          <w:szCs w:val="33"/>
          <w:highlight w:val="none"/>
          <w:shd w:val="clear" w:color="auto" w:fill="auto"/>
        </w:rPr>
        <w:t>。</w:t>
      </w:r>
    </w:p>
    <w:p w14:paraId="021AB52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7AB90335">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宋体" w:cs="Times New Roman"/>
          <w:color w:val="auto"/>
          <w:kern w:val="2"/>
          <w:sz w:val="32"/>
          <w:szCs w:val="24"/>
          <w:highlight w:val="none"/>
          <w:shd w:val="clear" w:color="auto" w:fill="auto"/>
          <w:lang w:val="en-US" w:eastAsia="zh-CN" w:bidi="ar-SA"/>
        </w:rPr>
      </w:pPr>
      <w:r>
        <w:rPr>
          <w:rFonts w:hint="eastAsia" w:ascii="Times New Roman" w:hAnsi="Times New Roman" w:eastAsia="方正仿宋_GBK" w:cs="Times New Roman"/>
          <w:color w:val="auto"/>
          <w:sz w:val="33"/>
          <w:szCs w:val="33"/>
          <w:highlight w:val="none"/>
          <w:shd w:val="clear" w:color="auto" w:fill="auto"/>
          <w:lang w:val="en-US" w:eastAsia="zh-CN"/>
        </w:rPr>
        <w:t>各有关</w:t>
      </w:r>
      <w:r>
        <w:rPr>
          <w:rFonts w:hint="eastAsia" w:ascii="Times New Roman" w:hAnsi="Times New Roman" w:eastAsia="方正仿宋_GBK" w:cs="Times New Roman"/>
          <w:color w:val="auto"/>
          <w:sz w:val="33"/>
          <w:szCs w:val="33"/>
          <w:highlight w:val="none"/>
          <w:shd w:val="clear" w:color="auto" w:fill="auto"/>
        </w:rPr>
        <w:t>部门</w:t>
      </w:r>
      <w:r>
        <w:rPr>
          <w:rFonts w:hint="eastAsia" w:ascii="Times New Roman" w:hAnsi="Times New Roman" w:eastAsia="方正仿宋_GBK" w:cs="Times New Roman"/>
          <w:color w:val="auto"/>
          <w:sz w:val="33"/>
          <w:szCs w:val="33"/>
          <w:highlight w:val="none"/>
          <w:shd w:val="clear" w:color="auto" w:fill="auto"/>
          <w:lang w:val="en-US" w:eastAsia="zh-CN"/>
        </w:rPr>
        <w:t>应</w:t>
      </w:r>
      <w:r>
        <w:rPr>
          <w:rFonts w:hint="eastAsia" w:ascii="Times New Roman" w:hAnsi="Times New Roman" w:eastAsia="方正仿宋_GBK" w:cs="Times New Roman"/>
          <w:color w:val="auto"/>
          <w:sz w:val="33"/>
          <w:szCs w:val="33"/>
          <w:highlight w:val="none"/>
          <w:shd w:val="clear" w:color="auto" w:fill="auto"/>
        </w:rPr>
        <w:t>加强政策宣传与普及工作，完善资金发放与管理机制，建立科学的政策评估体系，并根据实际情况对政策进行适时调整和优化。同时，也需要广大市民积极配合与参与，共同推动生育补贴政策的顺利实施并发挥其应有的社会效应</w:t>
      </w:r>
      <w:r>
        <w:rPr>
          <w:rFonts w:ascii="Times New Roman" w:hAnsi="Times New Roman" w:eastAsia="方正仿宋_GBK" w:cs="Times New Roman"/>
          <w:color w:val="auto"/>
          <w:sz w:val="33"/>
          <w:szCs w:val="33"/>
          <w:highlight w:val="none"/>
          <w:shd w:val="clear" w:color="auto" w:fill="auto"/>
        </w:rPr>
        <w:t>。</w:t>
      </w:r>
    </w:p>
    <w:p w14:paraId="028E29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highlight w:val="none"/>
          <w:shd w:val="clear" w:color="auto" w:fill="auto"/>
        </w:rPr>
      </w:pPr>
    </w:p>
    <w:p w14:paraId="5F78BAD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0" w:num="1"/>
          <w:rtlGutter w:val="0"/>
          <w:docGrid w:type="lines" w:linePitch="312" w:charSpace="0"/>
        </w:sectPr>
      </w:pPr>
    </w:p>
    <w:p w14:paraId="1162896D">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附件4</w:t>
      </w:r>
    </w:p>
    <w:p w14:paraId="1CA050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2023年双拥经费项目经费绩效评价报告</w:t>
      </w:r>
    </w:p>
    <w:p w14:paraId="19322460">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0"/>
          <w:sz w:val="33"/>
          <w:szCs w:val="33"/>
          <w:highlight w:val="none"/>
          <w:shd w:val="clear" w:color="auto" w:fill="auto"/>
          <w:lang w:val="zh-CN" w:eastAsia="zh-CN" w:bidi="ar-SA"/>
        </w:rPr>
        <w:t>2023年双拥经费项目经费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11CEB91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4A73417B">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2B76E99F">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2023年双拥专项经费</w:t>
      </w:r>
      <w:r>
        <w:rPr>
          <w:rFonts w:ascii="Times New Roman" w:hAnsi="Times New Roman" w:eastAsia="方正仿宋_GBK" w:cs="Times New Roman"/>
          <w:color w:val="auto"/>
          <w:kern w:val="2"/>
          <w:sz w:val="33"/>
          <w:szCs w:val="33"/>
          <w:highlight w:val="none"/>
          <w:shd w:val="clear" w:color="auto" w:fill="auto"/>
          <w:lang w:val="en-US" w:eastAsia="zh-CN" w:bidi="ar-SA"/>
        </w:rPr>
        <w:t>，主要</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用于开展走访慰问优抚对象和双拥活动与氛围营造项目两大项工作。为保证此项工作有序开展，需设立双拥专项经费，项目申报与政策和需求相吻合。2023年下达双拥专项资金110.69万元，截至2023年12月31日，项目资金实际支付84.05万元，支付进度76%。</w:t>
      </w:r>
    </w:p>
    <w:p w14:paraId="0F7BF19E">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7990DE6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highlight w:val="none"/>
          <w:shd w:val="clear" w:color="auto" w:fill="auto"/>
          <w:lang w:val="zh-CN"/>
        </w:rPr>
      </w:pPr>
      <w:r>
        <w:rPr>
          <w:rFonts w:hint="default" w:ascii="Times New Roman" w:hAnsi="Times New Roman" w:eastAsia="方正仿宋_GBK" w:cs="Times New Roman"/>
          <w:color w:val="auto"/>
          <w:kern w:val="2"/>
          <w:sz w:val="33"/>
          <w:szCs w:val="33"/>
          <w:highlight w:val="none"/>
          <w:shd w:val="clear" w:color="auto" w:fill="auto"/>
          <w:lang w:val="en-US" w:eastAsia="zh-CN" w:bidi="ar-SA"/>
        </w:rPr>
        <w:t>通过实施该项目</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hint="default" w:ascii="Times New Roman" w:hAnsi="Times New Roman" w:eastAsia="方正仿宋_GBK" w:cs="Times New Roman"/>
          <w:color w:val="auto"/>
          <w:kern w:val="2"/>
          <w:sz w:val="33"/>
          <w:szCs w:val="33"/>
          <w:highlight w:val="none"/>
          <w:shd w:val="clear" w:color="auto" w:fill="auto"/>
          <w:lang w:val="en-US" w:eastAsia="zh-CN" w:bidi="ar-SA"/>
        </w:rPr>
        <w:t>完成双拥宣传、群众性双拥活动，发扬拥军优属、拥政爱民光荣传统，为争创双拥模范城积极助力，在全社会营造良好双拥范围，扎实推进全</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区</w:t>
      </w:r>
      <w:r>
        <w:rPr>
          <w:rFonts w:hint="default" w:ascii="Times New Roman" w:hAnsi="Times New Roman" w:eastAsia="方正仿宋_GBK" w:cs="Times New Roman"/>
          <w:color w:val="auto"/>
          <w:kern w:val="2"/>
          <w:sz w:val="33"/>
          <w:szCs w:val="33"/>
          <w:highlight w:val="none"/>
          <w:shd w:val="clear" w:color="auto" w:fill="auto"/>
          <w:lang w:val="en-US" w:eastAsia="zh-CN" w:bidi="ar-SA"/>
        </w:rPr>
        <w:t>双拥工作高效</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开展与实施</w:t>
      </w:r>
      <w:r>
        <w:rPr>
          <w:rFonts w:hint="eastAsia" w:ascii="Times New Roman" w:hAnsi="Times New Roman" w:eastAsia="方正仿宋_GBK" w:cs="Times New Roman"/>
          <w:color w:val="auto"/>
          <w:kern w:val="2"/>
          <w:sz w:val="33"/>
          <w:szCs w:val="33"/>
          <w:highlight w:val="none"/>
          <w:shd w:val="clear" w:color="auto" w:fill="auto"/>
          <w:lang w:val="zh-CN" w:eastAsia="zh-CN" w:bidi="ar-SA"/>
        </w:rPr>
        <w:t>。</w:t>
      </w:r>
    </w:p>
    <w:p w14:paraId="34CC5731">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51F3DA76">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16D0C334">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w:t>
      </w:r>
      <w:r>
        <w:rPr>
          <w:rFonts w:hint="eastAsia" w:ascii="Times New Roman" w:hAnsi="Times New Roman" w:eastAsia="方正仿宋_GBK" w:cs="Times New Roman"/>
          <w:color w:val="auto"/>
          <w:sz w:val="33"/>
          <w:szCs w:val="33"/>
          <w:highlight w:val="none"/>
          <w:shd w:val="clear" w:color="auto" w:fill="auto"/>
        </w:rPr>
        <w:t>项目的管理、审核和目标达成情况进行绩效评价，旨在总结工作成绩，发现实施管理中存在的问题和不足，提出改进意见和建议，强化项目管理，提高财政资金使用效益。</w:t>
      </w:r>
    </w:p>
    <w:p w14:paraId="49EBA24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6C8005E5">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的通知》（财预〔2020〕10号）要求，参考设定的绩效目标，结合项目的实施内容和特点进行设计，从决策、过程、产出、效益等方面对202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w:t>
      </w:r>
      <w:r>
        <w:rPr>
          <w:rFonts w:ascii="Times New Roman" w:hAnsi="Times New Roman" w:eastAsia="方正仿宋_GBK" w:cs="Times New Roman"/>
          <w:color w:val="auto"/>
          <w:sz w:val="33"/>
          <w:szCs w:val="33"/>
          <w:highlight w:val="none"/>
          <w:shd w:val="clear" w:color="auto" w:fill="auto"/>
        </w:rPr>
        <w:t>项目</w:t>
      </w:r>
      <w:r>
        <w:rPr>
          <w:rFonts w:hint="eastAsia" w:ascii="Times New Roman" w:hAnsi="Times New Roman" w:eastAsia="方正仿宋_GBK" w:cs="Times New Roman"/>
          <w:color w:val="auto"/>
          <w:sz w:val="33"/>
          <w:szCs w:val="33"/>
          <w:highlight w:val="none"/>
          <w:shd w:val="clear" w:color="auto" w:fill="auto"/>
        </w:rPr>
        <w:t>进行综合绩效评价。</w:t>
      </w:r>
    </w:p>
    <w:p w14:paraId="6F80DB04">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15234133">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14:paraId="05C4CC20">
      <w:pPr>
        <w:keepNext w:val="0"/>
        <w:keepLines w:val="0"/>
        <w:pageBreakBefore w:val="0"/>
        <w:widowControl w:val="0"/>
        <w:kinsoku/>
        <w:wordWrap/>
        <w:overflowPunct/>
        <w:topLinePunct w:val="0"/>
        <w:autoSpaceDE/>
        <w:autoSpaceDN/>
        <w:bidi w:val="0"/>
        <w:adjustRightInd/>
        <w:snapToGrid/>
        <w:spacing w:line="60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14:paraId="6D7C6960">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w:t>
      </w:r>
      <w:r>
        <w:rPr>
          <w:rFonts w:ascii="Times New Roman" w:hAnsi="Times New Roman" w:eastAsia="方正仿宋_GBK" w:cs="Times New Roman"/>
          <w:color w:val="auto"/>
          <w:sz w:val="33"/>
          <w:szCs w:val="33"/>
          <w:highlight w:val="none"/>
          <w:shd w:val="clear" w:color="auto" w:fill="auto"/>
        </w:rPr>
        <w:t>对项目概况、项目资金使用、管理、实施情况以及项目的绩效情况</w:t>
      </w:r>
      <w:r>
        <w:rPr>
          <w:rFonts w:hint="eastAsia" w:ascii="Times New Roman" w:hAnsi="Times New Roman" w:eastAsia="方正仿宋_GBK" w:cs="Times New Roman"/>
          <w:color w:val="auto"/>
          <w:sz w:val="33"/>
          <w:szCs w:val="33"/>
          <w:highlight w:val="none"/>
          <w:shd w:val="clear" w:color="auto" w:fill="auto"/>
        </w:rPr>
        <w:t>进行分析，对各项考评指标进行评价。</w:t>
      </w:r>
    </w:p>
    <w:p w14:paraId="1219AE8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14:paraId="3E7BFF4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4E31E9D8">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w:t>
      </w:r>
      <w:bookmarkStart w:id="2" w:name="OLE_LINK5"/>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双拥经费项目</w:t>
      </w:r>
      <w:bookmarkEnd w:id="2"/>
      <w:r>
        <w:rPr>
          <w:rFonts w:ascii="Times New Roman" w:hAnsi="Times New Roman" w:eastAsia="方正仿宋_GBK" w:cs="Times New Roman"/>
          <w:color w:val="auto"/>
          <w:sz w:val="33"/>
          <w:szCs w:val="33"/>
          <w:highlight w:val="none"/>
          <w:shd w:val="clear" w:color="auto" w:fill="auto"/>
        </w:rPr>
        <w:t>绩效目标量化具体、合理，管理制度健全，综合效益明显，总体绩效评价良好，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评价得分9</w:t>
      </w:r>
      <w:r>
        <w:rPr>
          <w:rFonts w:hint="eastAsia" w:ascii="Times New Roman" w:hAnsi="Times New Roman" w:eastAsia="方正仿宋_GBK" w:cs="Times New Roman"/>
          <w:color w:val="auto"/>
          <w:sz w:val="33"/>
          <w:szCs w:val="33"/>
          <w:highlight w:val="none"/>
          <w:shd w:val="clear" w:color="auto" w:fill="auto"/>
          <w:lang w:val="en-US" w:eastAsia="zh-CN"/>
        </w:rPr>
        <w:t>7</w:t>
      </w:r>
      <w:r>
        <w:rPr>
          <w:rFonts w:hint="eastAsia" w:ascii="Times New Roman" w:hAnsi="Times New Roman" w:eastAsia="方正仿宋_GBK" w:cs="Times New Roman"/>
          <w:color w:val="auto"/>
          <w:sz w:val="33"/>
          <w:szCs w:val="33"/>
          <w:highlight w:val="none"/>
          <w:shd w:val="clear" w:color="auto" w:fill="auto"/>
        </w:rPr>
        <w:t>分。</w:t>
      </w:r>
      <w:r>
        <w:rPr>
          <w:rFonts w:ascii="Times New Roman" w:hAnsi="Times New Roman" w:eastAsia="方正仿宋_GBK" w:cs="Times New Roman"/>
          <w:color w:val="auto"/>
          <w:sz w:val="33"/>
          <w:szCs w:val="33"/>
          <w:highlight w:val="none"/>
          <w:shd w:val="clear" w:color="auto" w:fill="auto"/>
        </w:rPr>
        <w:t>具体评价情况见下表。</w:t>
      </w:r>
    </w:p>
    <w:p w14:paraId="7B7BDBF6">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2023年双拥经费项目经费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14:paraId="3862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38" w:type="dxa"/>
            <w:vAlign w:val="center"/>
          </w:tcPr>
          <w:p w14:paraId="2F6C4E4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257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25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dCcCq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360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36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462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46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5xhrF+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hHPOHFi68dvP&#10;P359+nr38wutt9+/MYqQTEPAmrKv3CZOOwybmDnv22jzn9iwfZH2cJRW7RMT5Lx4TvDi3l/9ORQi&#10;ptfKW5aNhhvtMmOoYfcGExWi1PuU7DaODQ1/eb7IcEDj19K1k2kDUUDXlbPojZbX2ph8AmO3vTKR&#10;7SCPQPkyHcL9Ky0XWQP2Y14JjcPRK5CvnGTpEEgbR2+C5xaskpwZRU8oWwQIdQJtTsmk0sblA6oM&#10;6MQz6zsqmq2tl4cidJV3dPml42lQ83Q93JP98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5xhrF+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564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56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4EZ6TvAQAA5AMAAA4AAAAAAAAAAQAgAAAAJAEAAGRycy9lMm9Eb2MueG1sUEsFBgAAAAAG&#10;AAYAWQEAAIUFAAAAAA==&#10;">
                      <v:fill on="f" focussize="0,0"/>
                      <v:stroke color="#000000" joinstyle="round"/>
                      <v:imagedata o:title=""/>
                      <o:lock v:ext="edit" aspectratio="f"/>
                    </v:line>
                  </w:pict>
                </mc:Fallback>
              </mc:AlternateContent>
            </w:r>
          </w:p>
        </w:tc>
        <w:tc>
          <w:tcPr>
            <w:tcW w:w="1724" w:type="dxa"/>
            <w:vAlign w:val="center"/>
          </w:tcPr>
          <w:p w14:paraId="60E675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14:paraId="709D2E1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14:paraId="13C230F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14:paraId="1CE2871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14:paraId="3FA1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14:paraId="48FE2CB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A5C44B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38714AF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14:paraId="670559D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55561AA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F5D7CA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54F003A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492FDA4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14:paraId="4AC7E46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14:paraId="740A9C9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14:paraId="0CB1E7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7ABE97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08B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752171C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BED187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C0A8F9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14:paraId="54BC6F2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48047E7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5CBA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0B6504B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247D4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C392E0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14:paraId="6D879BD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7C5C99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9F1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26CD26B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386466B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43A0960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14:paraId="7669D7F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14:paraId="1CF45A7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68A1C1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14:paraId="0BD5BA9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2C72456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77D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06D2A03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5B3307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7A107A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14:paraId="7F304CF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25BBBED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709C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3E191AD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2987B2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50464BF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14:paraId="1F45FB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5FAE495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F7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535C084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75741D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A218D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14:paraId="3164ABE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14:paraId="40F425E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14:paraId="3C8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5F7EB91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EDDF09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14:paraId="1627C05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5081B32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14:paraId="78BC7F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6092E97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D45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29A7F44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679EC1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7E58E5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14:paraId="4EFA1F8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1BC6DC4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1ED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14:paraId="32607E3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2FE81C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968902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F56B21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14:paraId="3CF6DE7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14:paraId="585933A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C6572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30037E7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AA1F8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C813DC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14:paraId="01D6EF9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24E610A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14:paraId="125EBAA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27C24CB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14:paraId="1F54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5307B75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EE4C0B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05769A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14:paraId="3D6EA1D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5420BAE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21B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2BE2AE8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0B9CBAA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14:paraId="1B8FDC5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14:paraId="0203F7B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14:paraId="4A5DDAB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25F8049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139F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2E3F5C6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31815AB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0F0F50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14:paraId="783902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158C289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3165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564C435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700832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43E8E62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14:paraId="74317BB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280A1E7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132F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0F127BC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00EF29A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14:paraId="3E0060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3107650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14:paraId="3C480E3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6EA87BCC">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13B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3AF5636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0B660A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447356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14:paraId="46E99AA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278C79D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4702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6B51A7D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42AB980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14:paraId="3F41132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14:paraId="41FDF1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14:paraId="78B60D3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5EAE501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3419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1D76F4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E7A6EB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2B77D7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14:paraId="45DBF18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14:paraId="7ED7406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7BD8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6C6E166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94EC2D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3E843E7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14:paraId="24424AD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14:paraId="396180A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DF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14:paraId="59AD22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FE0336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5481D77B">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1129C490">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14:paraId="6EC6C82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14:paraId="4923457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14:paraId="09F7520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B8C73DF">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14:paraId="37A1BDB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317C224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0B7616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12A6D8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14:paraId="7A6CFF8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14:paraId="26E8666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601A8A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14:paraId="667F561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5274B79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77D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4FAAB71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53906D3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75076B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14:paraId="4DC733C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47C3300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14:paraId="01C7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0AA095E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4EDF0D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5D17E6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14:paraId="1E64E90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7E9EC44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14:paraId="2112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7534F5E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20991B3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74B03C9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14:paraId="0D15EF9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1AF3537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18E0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32DD372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4EEED03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90085C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14:paraId="4325A71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14:paraId="480FB6E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2FC4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11A6A02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14:paraId="2A637D4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14:paraId="3FFE19E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60" w:type="dxa"/>
            <w:vAlign w:val="center"/>
          </w:tcPr>
          <w:p w14:paraId="03E9B3A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14:paraId="403975F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754181E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14:paraId="7058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1521178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1812EB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0D88CD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14:paraId="24EA891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5DB9254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2474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1327285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7D55CC8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14E6641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14:paraId="56D2101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581160E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057E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14:paraId="3F2E2A4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14:paraId="6E4CDF4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14:paraId="28D9C95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14:paraId="31D20F3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14:paraId="720E731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14:paraId="388E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38" w:type="dxa"/>
            <w:vMerge w:val="continue"/>
            <w:vAlign w:val="center"/>
          </w:tcPr>
          <w:p w14:paraId="0372F75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14:paraId="4F4CE7A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14:paraId="33894E9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14:paraId="3EFD16D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14:paraId="4CADBB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14:paraId="51AD0EC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14:paraId="0E02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122" w:type="dxa"/>
            <w:gridSpan w:val="3"/>
            <w:vAlign w:val="center"/>
          </w:tcPr>
          <w:p w14:paraId="0D63FD1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14:paraId="5E0C693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14:paraId="44B1818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Times New Roman"/>
                <w:color w:val="auto"/>
                <w:sz w:val="20"/>
                <w:szCs w:val="20"/>
                <w:highlight w:val="none"/>
                <w:shd w:val="clear" w:color="auto" w:fill="auto"/>
                <w:lang w:eastAsia="zh-CN"/>
              </w:rPr>
            </w:pPr>
            <w:r>
              <w:rPr>
                <w:rFonts w:ascii="Times New Roman" w:hAnsi="Times New Roman" w:eastAsia="仿宋_GB2312" w:cs="Times New Roman"/>
                <w:color w:val="auto"/>
                <w:sz w:val="20"/>
                <w:szCs w:val="20"/>
                <w:highlight w:val="none"/>
                <w:shd w:val="clear" w:color="auto" w:fill="auto"/>
              </w:rPr>
              <w:t>9</w:t>
            </w:r>
            <w:r>
              <w:rPr>
                <w:rFonts w:hint="eastAsia" w:ascii="Times New Roman" w:hAnsi="Times New Roman" w:eastAsia="仿宋_GB2312" w:cs="Times New Roman"/>
                <w:color w:val="auto"/>
                <w:sz w:val="20"/>
                <w:szCs w:val="20"/>
                <w:highlight w:val="none"/>
                <w:shd w:val="clear" w:color="auto" w:fill="auto"/>
                <w:lang w:val="en-US" w:eastAsia="zh-CN"/>
              </w:rPr>
              <w:t>7</w:t>
            </w:r>
          </w:p>
        </w:tc>
      </w:tr>
    </w:tbl>
    <w:p w14:paraId="5AEA70D0">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639D871B">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6506ABF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w:t>
      </w:r>
      <w:r>
        <w:rPr>
          <w:rFonts w:hint="eastAsia" w:ascii="Times New Roman" w:hAnsi="Times New Roman" w:eastAsia="方正仿宋_GBK" w:cs="Times New Roman"/>
          <w:color w:val="auto"/>
          <w:sz w:val="33"/>
          <w:szCs w:val="33"/>
          <w:highlight w:val="none"/>
          <w:shd w:val="clear" w:color="auto" w:fill="auto"/>
          <w:lang w:eastAsia="zh-CN"/>
        </w:rPr>
        <w:t>《攀枝花市西区双拥领导小组办公室关于印发〈西区2023年春节期间双拥走访慰问活动方案〉的通知》《攀枝花市西区拥军优属拥政爱民领导小组办公室关于印发〈攀枝花市西区2023年“八一”建军节期间双拥系列活动方案〉的通知》制定西区方案，组织开展走访慰问与庆祝活动，走访慰问</w:t>
      </w:r>
      <w:r>
        <w:rPr>
          <w:rFonts w:hint="eastAsia" w:ascii="Times New Roman" w:hAnsi="Times New Roman" w:eastAsia="方正仿宋_GBK" w:cs="Times New Roman"/>
          <w:color w:val="auto"/>
          <w:sz w:val="33"/>
          <w:szCs w:val="33"/>
          <w:highlight w:val="none"/>
          <w:shd w:val="clear" w:color="auto" w:fill="auto"/>
          <w:lang w:val="en-US" w:eastAsia="zh-CN"/>
        </w:rPr>
        <w:t>经费由</w:t>
      </w:r>
      <w:r>
        <w:rPr>
          <w:rFonts w:hint="eastAsia" w:ascii="Times New Roman" w:hAnsi="Times New Roman" w:eastAsia="方正仿宋_GBK" w:cs="Times New Roman"/>
          <w:color w:val="auto"/>
          <w:sz w:val="33"/>
          <w:szCs w:val="33"/>
          <w:highlight w:val="none"/>
          <w:shd w:val="clear" w:color="auto" w:fill="auto"/>
          <w:lang w:eastAsia="zh-CN"/>
        </w:rPr>
        <w:t>镇（街道）统计并上报各自辖区人数，区退役军人事务局</w:t>
      </w:r>
      <w:r>
        <w:rPr>
          <w:rFonts w:hint="eastAsia" w:ascii="Times New Roman" w:hAnsi="Times New Roman" w:eastAsia="方正仿宋_GBK" w:cs="Times New Roman"/>
          <w:color w:val="auto"/>
          <w:sz w:val="33"/>
          <w:szCs w:val="33"/>
          <w:highlight w:val="none"/>
          <w:shd w:val="clear" w:color="auto" w:fill="auto"/>
          <w:lang w:val="en-US" w:eastAsia="zh-CN"/>
        </w:rPr>
        <w:t>核实后</w:t>
      </w:r>
      <w:r>
        <w:rPr>
          <w:rFonts w:hint="eastAsia" w:ascii="Times New Roman" w:hAnsi="Times New Roman" w:eastAsia="方正仿宋_GBK" w:cs="Times New Roman"/>
          <w:color w:val="auto"/>
          <w:sz w:val="33"/>
          <w:szCs w:val="33"/>
          <w:highlight w:val="none"/>
          <w:shd w:val="clear" w:color="auto" w:fill="auto"/>
          <w:lang w:eastAsia="zh-CN"/>
        </w:rPr>
        <w:t>划拨指标</w:t>
      </w:r>
      <w:r>
        <w:rPr>
          <w:rFonts w:hint="eastAsia" w:ascii="Times New Roman" w:hAnsi="Times New Roman" w:eastAsia="方正仿宋_GBK" w:cs="Times New Roman"/>
          <w:color w:val="auto"/>
          <w:sz w:val="33"/>
          <w:szCs w:val="33"/>
          <w:highlight w:val="none"/>
          <w:shd w:val="clear" w:color="auto" w:fill="auto"/>
        </w:rPr>
        <w:t>。</w:t>
      </w:r>
    </w:p>
    <w:p w14:paraId="72CF0BFD">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46DEED37">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仿宋_GB2312" w:cs="Times New Roman"/>
          <w:color w:val="auto"/>
          <w:sz w:val="32"/>
          <w:highlight w:val="none"/>
          <w:shd w:val="clear" w:color="auto" w:fill="auto"/>
          <w:lang w:val="zh-CN"/>
        </w:rPr>
      </w:pPr>
      <w:r>
        <w:rPr>
          <w:rFonts w:hint="default" w:ascii="Times New Roman" w:hAnsi="Times New Roman" w:eastAsia="方正仿宋_GBK" w:cs="Times New Roman"/>
          <w:color w:val="auto"/>
          <w:sz w:val="33"/>
          <w:szCs w:val="33"/>
          <w:highlight w:val="none"/>
          <w:shd w:val="clear" w:color="auto" w:fill="auto"/>
          <w:lang w:eastAsia="zh-CN"/>
        </w:rPr>
        <w:t>通过实施该项目</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lang w:eastAsia="zh-CN"/>
        </w:rPr>
        <w:t>完成双拥宣传、群众性双拥活动，发扬拥军优属、拥政爱民光荣传统，为争创双拥模范城积极助力，在全社会营造良好双拥范围，扎实推进全</w:t>
      </w:r>
      <w:r>
        <w:rPr>
          <w:rFonts w:hint="eastAsia" w:ascii="Times New Roman" w:hAnsi="Times New Roman" w:eastAsia="方正仿宋_GBK" w:cs="Times New Roman"/>
          <w:color w:val="auto"/>
          <w:sz w:val="33"/>
          <w:szCs w:val="33"/>
          <w:highlight w:val="none"/>
          <w:shd w:val="clear" w:color="auto" w:fill="auto"/>
          <w:lang w:eastAsia="zh-CN"/>
        </w:rPr>
        <w:t>区</w:t>
      </w:r>
      <w:r>
        <w:rPr>
          <w:rFonts w:hint="default" w:ascii="Times New Roman" w:hAnsi="Times New Roman" w:eastAsia="方正仿宋_GBK" w:cs="Times New Roman"/>
          <w:color w:val="auto"/>
          <w:sz w:val="33"/>
          <w:szCs w:val="33"/>
          <w:highlight w:val="none"/>
          <w:shd w:val="clear" w:color="auto" w:fill="auto"/>
          <w:lang w:eastAsia="zh-CN"/>
        </w:rPr>
        <w:t>双拥工作高效</w:t>
      </w:r>
      <w:r>
        <w:rPr>
          <w:rFonts w:hint="eastAsia" w:ascii="Times New Roman" w:hAnsi="Times New Roman" w:eastAsia="方正仿宋_GBK" w:cs="Times New Roman"/>
          <w:color w:val="auto"/>
          <w:sz w:val="33"/>
          <w:szCs w:val="33"/>
          <w:highlight w:val="none"/>
          <w:shd w:val="clear" w:color="auto" w:fill="auto"/>
          <w:lang w:eastAsia="zh-CN"/>
        </w:rPr>
        <w:t>开展与实施</w:t>
      </w:r>
      <w:r>
        <w:rPr>
          <w:rFonts w:hint="eastAsia" w:ascii="Times New Roman" w:hAnsi="Times New Roman" w:eastAsia="方正仿宋_GBK" w:cs="Times New Roman"/>
          <w:color w:val="auto"/>
          <w:sz w:val="33"/>
          <w:szCs w:val="33"/>
          <w:highlight w:val="none"/>
          <w:shd w:val="clear" w:color="auto" w:fill="auto"/>
          <w:lang w:val="zh-CN"/>
        </w:rPr>
        <w:t>。对该项目用于走访慰问部分的费用严格履行上级发放标准，取现发放</w:t>
      </w:r>
      <w:r>
        <w:rPr>
          <w:rFonts w:hint="eastAsia" w:ascii="Times New Roman" w:hAnsi="Times New Roman" w:eastAsia="方正仿宋_GBK" w:cs="Times New Roman"/>
          <w:color w:val="auto"/>
          <w:sz w:val="33"/>
          <w:szCs w:val="33"/>
          <w:highlight w:val="none"/>
          <w:shd w:val="clear" w:color="auto" w:fill="auto"/>
          <w:lang w:val="en-US" w:eastAsia="zh-CN"/>
        </w:rPr>
        <w:t>时</w:t>
      </w:r>
      <w:r>
        <w:rPr>
          <w:rFonts w:hint="eastAsia" w:ascii="Times New Roman" w:hAnsi="Times New Roman" w:eastAsia="方正仿宋_GBK" w:cs="Times New Roman"/>
          <w:color w:val="auto"/>
          <w:sz w:val="33"/>
          <w:szCs w:val="33"/>
          <w:highlight w:val="none"/>
          <w:shd w:val="clear" w:color="auto" w:fill="auto"/>
          <w:lang w:val="zh-CN"/>
        </w:rPr>
        <w:t>由服务中心经办——服务中心领导审核——局主要领导审核签字——财政局归口股室审核——办公室财务岗取现——区领导或局领导现场实地慰问发放至慰问对象手中，并由领取人签字。</w:t>
      </w:r>
    </w:p>
    <w:p w14:paraId="179E2FF9">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27552E6C">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完成了</w:t>
      </w:r>
      <w:r>
        <w:rPr>
          <w:rFonts w:hint="default" w:ascii="Times New Roman" w:hAnsi="Times New Roman" w:eastAsia="方正仿宋_GBK" w:cs="Times New Roman"/>
          <w:color w:val="auto"/>
          <w:sz w:val="33"/>
          <w:szCs w:val="33"/>
          <w:highlight w:val="none"/>
          <w:shd w:val="clear" w:color="auto" w:fill="auto"/>
          <w:lang w:eastAsia="zh-CN"/>
        </w:rPr>
        <w:t>春节、</w:t>
      </w:r>
      <w:r>
        <w:rPr>
          <w:rFonts w:hint="eastAsia" w:ascii="方正仿宋_GBK" w:hAnsi="方正仿宋_GBK" w:eastAsia="方正仿宋_GBK" w:cs="方正仿宋_GBK"/>
          <w:color w:val="auto"/>
          <w:sz w:val="33"/>
          <w:szCs w:val="33"/>
          <w:highlight w:val="none"/>
          <w:shd w:val="clear" w:color="auto" w:fill="auto"/>
          <w:lang w:eastAsia="zh-CN"/>
        </w:rPr>
        <w:t>“八一”期</w:t>
      </w:r>
      <w:r>
        <w:rPr>
          <w:rFonts w:hint="default" w:ascii="Times New Roman" w:hAnsi="Times New Roman" w:eastAsia="方正仿宋_GBK" w:cs="Times New Roman"/>
          <w:color w:val="auto"/>
          <w:sz w:val="33"/>
          <w:szCs w:val="33"/>
          <w:highlight w:val="none"/>
          <w:shd w:val="clear" w:color="auto" w:fill="auto"/>
          <w:lang w:eastAsia="zh-CN"/>
        </w:rPr>
        <w:t>间拥军优属工作，把区委、区政府的关怀和温暖送到</w:t>
      </w:r>
      <w:r>
        <w:rPr>
          <w:rFonts w:hint="eastAsia" w:ascii="Times New Roman" w:hAnsi="Times New Roman" w:eastAsia="方正仿宋_GBK" w:cs="Times New Roman"/>
          <w:color w:val="auto"/>
          <w:sz w:val="33"/>
          <w:szCs w:val="33"/>
          <w:highlight w:val="none"/>
          <w:shd w:val="clear" w:color="auto" w:fill="auto"/>
          <w:lang w:eastAsia="zh-CN"/>
        </w:rPr>
        <w:t>优抚对象</w:t>
      </w:r>
      <w:r>
        <w:rPr>
          <w:rFonts w:hint="default" w:ascii="Times New Roman" w:hAnsi="Times New Roman" w:eastAsia="方正仿宋_GBK" w:cs="Times New Roman"/>
          <w:color w:val="auto"/>
          <w:sz w:val="33"/>
          <w:szCs w:val="33"/>
          <w:highlight w:val="none"/>
          <w:shd w:val="clear" w:color="auto" w:fill="auto"/>
          <w:lang w:eastAsia="zh-CN"/>
        </w:rPr>
        <w:t>的心坎上</w:t>
      </w:r>
      <w:r>
        <w:rPr>
          <w:rFonts w:hint="eastAsia" w:ascii="Times New Roman" w:hAnsi="Times New Roman" w:eastAsia="方正仿宋_GBK" w:cs="Times New Roman"/>
          <w:color w:val="auto"/>
          <w:sz w:val="33"/>
          <w:szCs w:val="33"/>
          <w:highlight w:val="none"/>
          <w:shd w:val="clear" w:color="auto" w:fill="auto"/>
          <w:lang w:eastAsia="zh-CN"/>
        </w:rPr>
        <w:t>。完成了第十二届双拥模范区创建点位打造及双拥氛围营造，保证了西区成功创建为四川省第十二届双拥模范区。</w:t>
      </w:r>
    </w:p>
    <w:p w14:paraId="60F1E03B">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16AC9377">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en-US" w:eastAsia="zh-CN"/>
        </w:rPr>
        <w:t>年西区自建区来首次成功创建为四川省双拥模范区，大幅提升了西区双拥工作水平。</w:t>
      </w:r>
      <w:r>
        <w:rPr>
          <w:rFonts w:hint="default" w:ascii="Times New Roman" w:hAnsi="Times New Roman" w:eastAsia="方正仿宋_GBK" w:cs="Times New Roman"/>
          <w:color w:val="auto"/>
          <w:sz w:val="33"/>
          <w:szCs w:val="33"/>
          <w:highlight w:val="none"/>
          <w:shd w:val="clear" w:color="auto" w:fill="auto"/>
          <w:lang w:eastAsia="zh-CN"/>
        </w:rPr>
        <w:t>做好</w:t>
      </w:r>
      <w:r>
        <w:rPr>
          <w:rFonts w:hint="eastAsia" w:ascii="Times New Roman" w:hAnsi="Times New Roman" w:eastAsia="方正仿宋_GBK" w:cs="Times New Roman"/>
          <w:color w:val="auto"/>
          <w:sz w:val="33"/>
          <w:szCs w:val="33"/>
          <w:highlight w:val="none"/>
          <w:shd w:val="clear" w:color="auto" w:fill="auto"/>
          <w:lang w:eastAsia="zh-CN"/>
        </w:rPr>
        <w:t>双拥</w:t>
      </w:r>
      <w:r>
        <w:rPr>
          <w:rFonts w:hint="default" w:ascii="Times New Roman" w:hAnsi="Times New Roman" w:eastAsia="方正仿宋_GBK" w:cs="Times New Roman"/>
          <w:color w:val="auto"/>
          <w:sz w:val="33"/>
          <w:szCs w:val="33"/>
          <w:highlight w:val="none"/>
          <w:shd w:val="clear" w:color="auto" w:fill="auto"/>
          <w:lang w:eastAsia="zh-CN"/>
        </w:rPr>
        <w:t>工作是党、国家、军队和全社会的共同责任，</w:t>
      </w:r>
      <w:r>
        <w:rPr>
          <w:rFonts w:hint="eastAsia" w:ascii="Times New Roman" w:hAnsi="Times New Roman" w:eastAsia="方正仿宋_GBK" w:cs="Times New Roman"/>
          <w:color w:val="auto"/>
          <w:sz w:val="33"/>
          <w:szCs w:val="33"/>
          <w:highlight w:val="none"/>
          <w:shd w:val="clear" w:color="auto" w:fill="auto"/>
          <w:lang w:eastAsia="zh-CN"/>
        </w:rPr>
        <w:t>有着</w:t>
      </w:r>
      <w:r>
        <w:rPr>
          <w:rFonts w:hint="default" w:ascii="Times New Roman" w:hAnsi="Times New Roman" w:eastAsia="方正仿宋_GBK" w:cs="Times New Roman"/>
          <w:color w:val="auto"/>
          <w:sz w:val="33"/>
          <w:szCs w:val="33"/>
          <w:highlight w:val="none"/>
          <w:shd w:val="clear" w:color="auto" w:fill="auto"/>
          <w:lang w:eastAsia="zh-CN"/>
        </w:rPr>
        <w:t>进一步密切军政军民关系，巩固军政军民团结良好局面</w:t>
      </w:r>
      <w:r>
        <w:rPr>
          <w:rFonts w:hint="eastAsia" w:ascii="Times New Roman" w:hAnsi="Times New Roman" w:eastAsia="方正仿宋_GBK" w:cs="Times New Roman"/>
          <w:color w:val="auto"/>
          <w:sz w:val="33"/>
          <w:szCs w:val="33"/>
          <w:highlight w:val="none"/>
          <w:shd w:val="clear" w:color="auto" w:fill="auto"/>
          <w:lang w:eastAsia="zh-CN"/>
        </w:rPr>
        <w:t>的重大作用</w:t>
      </w:r>
      <w:r>
        <w:rPr>
          <w:rFonts w:hint="default" w:ascii="Times New Roman" w:hAnsi="Times New Roman" w:eastAsia="方正仿宋_GBK" w:cs="Times New Roman"/>
          <w:color w:val="auto"/>
          <w:sz w:val="33"/>
          <w:szCs w:val="33"/>
          <w:highlight w:val="none"/>
          <w:shd w:val="clear" w:color="auto" w:fill="auto"/>
          <w:lang w:eastAsia="zh-CN"/>
        </w:rPr>
        <w:t>。</w:t>
      </w:r>
    </w:p>
    <w:p w14:paraId="5D325609">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2925910B">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业务监管制度不够完善</w:t>
      </w:r>
      <w:r>
        <w:rPr>
          <w:rFonts w:ascii="Times New Roman" w:hAnsi="Times New Roman" w:eastAsia="方正仿宋_GBK" w:cs="Times New Roman"/>
          <w:color w:val="auto"/>
          <w:sz w:val="33"/>
          <w:szCs w:val="33"/>
          <w:highlight w:val="none"/>
          <w:shd w:val="clear" w:color="auto" w:fill="auto"/>
        </w:rPr>
        <w:t>。</w:t>
      </w:r>
    </w:p>
    <w:p w14:paraId="240F7A7C">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790E1842">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根据具体项目实施情况，</w:t>
      </w:r>
      <w:r>
        <w:rPr>
          <w:rFonts w:hint="eastAsia" w:ascii="Times New Roman" w:hAnsi="Times New Roman" w:eastAsia="方正仿宋_GBK" w:cs="Times New Roman"/>
          <w:color w:val="auto"/>
          <w:sz w:val="33"/>
          <w:szCs w:val="33"/>
          <w:highlight w:val="none"/>
          <w:shd w:val="clear" w:color="auto" w:fill="auto"/>
          <w:lang w:eastAsia="zh-CN"/>
        </w:rPr>
        <w:t>由分管财务领导</w:t>
      </w:r>
      <w:r>
        <w:rPr>
          <w:rFonts w:ascii="Times New Roman" w:hAnsi="Times New Roman" w:eastAsia="方正仿宋_GBK" w:cs="Times New Roman"/>
          <w:color w:val="auto"/>
          <w:sz w:val="33"/>
          <w:szCs w:val="33"/>
          <w:highlight w:val="none"/>
          <w:shd w:val="clear" w:color="auto" w:fill="auto"/>
        </w:rPr>
        <w:t>对相关监管制度进行梳理，针对项目实际进一步完善相关制度。</w:t>
      </w:r>
    </w:p>
    <w:p w14:paraId="07845290">
      <w:pPr>
        <w:keepNext w:val="0"/>
        <w:keepLines w:val="0"/>
        <w:pageBreakBefore w:val="0"/>
        <w:widowControl w:val="0"/>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highlight w:val="none"/>
          <w:shd w:val="clear" w:color="auto" w:fill="auto"/>
        </w:rPr>
      </w:pPr>
    </w:p>
    <w:p w14:paraId="5157096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0" w:num="1"/>
          <w:rtlGutter w:val="0"/>
          <w:docGrid w:type="lines" w:linePitch="312" w:charSpace="0"/>
        </w:sectPr>
      </w:pPr>
    </w:p>
    <w:p w14:paraId="4CA46D52">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附件5</w:t>
      </w:r>
    </w:p>
    <w:p w14:paraId="0FBF5A5E">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小标宋_GBK" w:cs="Times New Roman"/>
          <w:b/>
          <w:bCs/>
          <w:color w:val="auto"/>
          <w:sz w:val="38"/>
          <w:szCs w:val="38"/>
          <w:highlight w:val="none"/>
          <w:shd w:val="clear" w:color="auto" w:fill="auto"/>
        </w:rPr>
      </w:pPr>
      <w:r>
        <w:rPr>
          <w:rFonts w:hint="default" w:ascii="Times New Roman" w:hAnsi="Times New Roman" w:eastAsia="方正小标宋_GBK" w:cs="Times New Roman"/>
          <w:b/>
          <w:bCs/>
          <w:color w:val="auto"/>
          <w:sz w:val="38"/>
          <w:szCs w:val="38"/>
          <w:highlight w:val="none"/>
          <w:shd w:val="clear" w:color="auto" w:fill="auto"/>
        </w:rPr>
        <w:t>2023年一般耕地和永久基本农田整治恢复工作经费</w:t>
      </w:r>
    </w:p>
    <w:p w14:paraId="0217FAF0">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color w:val="auto"/>
          <w:kern w:val="2"/>
          <w:sz w:val="33"/>
          <w:szCs w:val="33"/>
          <w:highlight w:val="none"/>
          <w:shd w:val="clear" w:color="auto" w:fill="auto"/>
          <w:lang w:val="en-US" w:eastAsia="zh-CN" w:bidi="ar-SA"/>
        </w:rPr>
      </w:pPr>
      <w:r>
        <w:rPr>
          <w:rFonts w:hint="default" w:ascii="Times New Roman" w:hAnsi="Times New Roman" w:eastAsia="方正小标宋_GBK" w:cs="Times New Roman"/>
          <w:b/>
          <w:bCs/>
          <w:color w:val="auto"/>
          <w:sz w:val="38"/>
          <w:szCs w:val="38"/>
          <w:highlight w:val="none"/>
          <w:shd w:val="clear" w:color="auto" w:fill="auto"/>
        </w:rPr>
        <w:t>绩效评价报告</w:t>
      </w:r>
    </w:p>
    <w:p w14:paraId="1F6AA032">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en-US" w:eastAsia="zh-CN"/>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2024年8月至9月对2023年一般耕地和永久基本农田整治恢复工作经费开展了绩效评价，现将有关情况报告如下。</w:t>
      </w:r>
    </w:p>
    <w:p w14:paraId="0401EF48">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60" w:lineRule="exact"/>
        <w:ind w:firstLine="660" w:firstLineChars="200"/>
        <w:jc w:val="both"/>
        <w:textAlignment w:val="auto"/>
        <w:rPr>
          <w:rFonts w:hint="default" w:ascii="Times New Roman" w:hAnsi="Times New Roman" w:eastAsia="方正黑体_GBK" w:cs="Times New Roman"/>
          <w:color w:val="auto"/>
          <w:sz w:val="33"/>
          <w:szCs w:val="33"/>
          <w:highlight w:val="none"/>
          <w:shd w:val="clear" w:color="auto" w:fill="auto"/>
          <w:lang w:val="en-US" w:eastAsia="zh-CN"/>
        </w:rPr>
      </w:pPr>
      <w:r>
        <w:rPr>
          <w:rFonts w:hint="default" w:ascii="Times New Roman" w:hAnsi="Times New Roman" w:eastAsia="方正黑体_GBK" w:cs="Times New Roman"/>
          <w:color w:val="auto"/>
          <w:sz w:val="33"/>
          <w:szCs w:val="33"/>
          <w:highlight w:val="none"/>
          <w:shd w:val="clear" w:color="auto" w:fill="auto"/>
          <w:lang w:eastAsia="zh-CN"/>
        </w:rPr>
        <w:t>一、</w:t>
      </w:r>
      <w:r>
        <w:rPr>
          <w:rFonts w:hint="default" w:ascii="Times New Roman" w:hAnsi="Times New Roman" w:eastAsia="方正黑体_GBK" w:cs="Times New Roman"/>
          <w:color w:val="auto"/>
          <w:sz w:val="33"/>
          <w:szCs w:val="33"/>
          <w:highlight w:val="none"/>
          <w:shd w:val="clear" w:color="auto" w:fill="auto"/>
          <w:lang w:val="en-US" w:eastAsia="zh-CN"/>
        </w:rPr>
        <w:t>基本情况</w:t>
      </w:r>
    </w:p>
    <w:p w14:paraId="5C1A08CF">
      <w:pPr>
        <w:keepNext w:val="0"/>
        <w:keepLines w:val="0"/>
        <w:pageBreakBefore w:val="0"/>
        <w:widowControl w:val="0"/>
        <w:kinsoku/>
        <w:wordWrap/>
        <w:overflowPunct/>
        <w:topLinePunct w:val="0"/>
        <w:autoSpaceDE/>
        <w:autoSpaceDN/>
        <w:bidi w:val="0"/>
        <w:adjustRightInd/>
        <w:spacing w:line="560" w:lineRule="exact"/>
        <w:ind w:firstLine="663" w:firstLineChars="200"/>
        <w:jc w:val="both"/>
        <w:textAlignment w:val="auto"/>
        <w:rPr>
          <w:rFonts w:hint="default" w:ascii="Times New Roman" w:hAnsi="Times New Roman" w:eastAsia="方正楷体_GBK" w:cs="Times New Roman"/>
          <w:b/>
          <w:bCs/>
          <w:color w:val="auto"/>
          <w:sz w:val="33"/>
          <w:szCs w:val="33"/>
          <w:highlight w:val="none"/>
          <w:shd w:val="clear" w:color="auto" w:fill="auto"/>
          <w:lang w:eastAsia="zh-CN"/>
        </w:rPr>
      </w:pPr>
      <w:r>
        <w:rPr>
          <w:rFonts w:hint="default" w:ascii="Times New Roman" w:hAnsi="Times New Roman" w:eastAsia="方正楷体_GBK" w:cs="Times New Roman"/>
          <w:b/>
          <w:bCs/>
          <w:color w:val="auto"/>
          <w:sz w:val="33"/>
          <w:szCs w:val="33"/>
          <w:highlight w:val="none"/>
          <w:shd w:val="clear" w:color="auto" w:fill="auto"/>
        </w:rPr>
        <w:t>（一）</w:t>
      </w:r>
      <w:r>
        <w:rPr>
          <w:rFonts w:hint="default" w:ascii="Times New Roman" w:hAnsi="Times New Roman" w:eastAsia="方正楷体_GBK" w:cs="Times New Roman"/>
          <w:b/>
          <w:bCs/>
          <w:color w:val="auto"/>
          <w:sz w:val="33"/>
          <w:szCs w:val="33"/>
          <w:highlight w:val="none"/>
          <w:shd w:val="clear" w:color="auto" w:fill="auto"/>
          <w:lang w:val="en-US" w:eastAsia="zh-CN"/>
        </w:rPr>
        <w:t>项目概况</w:t>
      </w:r>
    </w:p>
    <w:p w14:paraId="2323ACFF">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按照《中共攀枝花市西区区委办公室 攀枝花市西区人民政府办公室关于印发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攀枝花市西区2023年度一般耕地和永久基本农田流出问题整治方案</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的通知》（攀西委办〔2023〕</w:t>
      </w:r>
      <w:r>
        <w:rPr>
          <w:rFonts w:hint="default" w:ascii="Times New Roman" w:hAnsi="Times New Roman" w:eastAsia="方正仿宋_GBK" w:cs="Times New Roman"/>
          <w:color w:val="auto"/>
          <w:sz w:val="33"/>
          <w:szCs w:val="33"/>
          <w:highlight w:val="none"/>
          <w:shd w:val="clear" w:color="auto" w:fill="auto"/>
          <w:lang w:val="zh-CN"/>
        </w:rPr>
        <w:t>35</w:t>
      </w:r>
      <w:r>
        <w:rPr>
          <w:rFonts w:hint="default" w:ascii="Times New Roman" w:hAnsi="Times New Roman" w:eastAsia="方正仿宋_GBK" w:cs="Times New Roman"/>
          <w:color w:val="auto"/>
          <w:sz w:val="33"/>
          <w:szCs w:val="33"/>
          <w:highlight w:val="none"/>
          <w:shd w:val="clear" w:color="auto" w:fill="auto"/>
        </w:rPr>
        <w:t>号），攀枝花市自然资源和规划局西区分局会同格里坪镇积极开展了一般耕地和永久基本农田流出问题整治相关工作</w:t>
      </w:r>
      <w:r>
        <w:rPr>
          <w:rFonts w:hint="default" w:ascii="Times New Roman" w:hAnsi="Times New Roman" w:eastAsia="方正仿宋_GBK" w:cs="Times New Roman"/>
          <w:color w:val="auto"/>
          <w:sz w:val="33"/>
          <w:szCs w:val="33"/>
          <w:highlight w:val="none"/>
          <w:shd w:val="clear" w:color="auto" w:fill="auto"/>
          <w:lang w:val="zh-CN"/>
        </w:rPr>
        <w:t>，</w:t>
      </w:r>
      <w:r>
        <w:rPr>
          <w:rFonts w:hint="default" w:ascii="Times New Roman" w:hAnsi="Times New Roman" w:eastAsia="方正仿宋_GBK" w:cs="Times New Roman"/>
          <w:color w:val="auto"/>
          <w:sz w:val="33"/>
          <w:szCs w:val="33"/>
          <w:highlight w:val="none"/>
          <w:shd w:val="clear" w:color="auto" w:fill="auto"/>
        </w:rPr>
        <w:t>切实做好耕地保护工作，牢牢守住耕地红线</w:t>
      </w:r>
      <w:r>
        <w:rPr>
          <w:rFonts w:hint="default" w:ascii="Times New Roman" w:hAnsi="Times New Roman" w:eastAsia="方正仿宋_GBK" w:cs="Times New Roman"/>
          <w:color w:val="auto"/>
          <w:sz w:val="33"/>
          <w:szCs w:val="33"/>
          <w:highlight w:val="none"/>
          <w:shd w:val="clear" w:color="auto" w:fill="auto"/>
          <w:lang w:val="zh-CN"/>
        </w:rPr>
        <w:t>。2023年一般耕地和永久基本农田整治恢复工作经费100万</w:t>
      </w:r>
      <w:r>
        <w:rPr>
          <w:rFonts w:hint="eastAsia" w:ascii="Times New Roman" w:hAnsi="Times New Roman" w:eastAsia="方正仿宋_GBK" w:cs="Times New Roman"/>
          <w:color w:val="auto"/>
          <w:sz w:val="33"/>
          <w:szCs w:val="33"/>
          <w:highlight w:val="none"/>
          <w:shd w:val="clear" w:color="auto" w:fill="auto"/>
          <w:lang w:val="en-US" w:eastAsia="zh-CN"/>
        </w:rPr>
        <w:t>元</w:t>
      </w:r>
      <w:r>
        <w:rPr>
          <w:rFonts w:hint="default" w:ascii="Times New Roman" w:hAnsi="Times New Roman" w:eastAsia="方正仿宋_GBK" w:cs="Times New Roman"/>
          <w:color w:val="auto"/>
          <w:sz w:val="33"/>
          <w:szCs w:val="33"/>
          <w:highlight w:val="none"/>
          <w:shd w:val="clear" w:color="auto" w:fill="auto"/>
          <w:lang w:val="zh-CN"/>
        </w:rPr>
        <w:t>，截至2023年12月31日，资金已全部支付。</w:t>
      </w:r>
    </w:p>
    <w:p w14:paraId="3A3ED695">
      <w:pPr>
        <w:keepNext w:val="0"/>
        <w:keepLines w:val="0"/>
        <w:pageBreakBefore w:val="0"/>
        <w:widowControl w:val="0"/>
        <w:kinsoku/>
        <w:wordWrap/>
        <w:overflowPunct/>
        <w:topLinePunct w:val="0"/>
        <w:autoSpaceDE/>
        <w:autoSpaceDN/>
        <w:bidi w:val="0"/>
        <w:adjustRightIn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332297A9">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green"/>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rPr>
        <w:t>根据一般耕地和永久基本农田流出问题实际情况，通过原地整改和异地新增等方式，整改恢复耕地</w:t>
      </w:r>
      <w:r>
        <w:rPr>
          <w:rFonts w:hint="eastAsia" w:ascii="Times New Roman" w:hAnsi="Times New Roman" w:eastAsia="方正仿宋_GBK" w:cs="Times New Roman"/>
          <w:color w:val="auto"/>
          <w:sz w:val="33"/>
          <w:szCs w:val="33"/>
          <w:highlight w:val="none"/>
          <w:shd w:val="clear" w:color="auto" w:fill="auto"/>
          <w:lang w:eastAsia="zh-CN"/>
        </w:rPr>
        <w:t>。</w:t>
      </w:r>
    </w:p>
    <w:p w14:paraId="2831D112">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3B6FFA8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17212071">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从决策、过程、产出、效益、满意度等维度对2023年一般耕地和永久基本农田整治恢复工作经费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14:paraId="666F0CAB">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4C73045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公众评判法、标杆管理法等，分别依据计划标准、行业标准、历史标准等评价标准，对2023年一般耕地和永久基本农田整治恢复工作经费进行全面绩效评价。</w:t>
      </w:r>
    </w:p>
    <w:p w14:paraId="55B573F1">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1D9DE68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14:paraId="66F3E78F">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14:paraId="4792E3A6">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根据资料收集的情况，按照支出绩效评价指标体系，以定量与定性相结合的方式，对项目绩效情况进行判断，对项目存在的问题进行分析，对各项考评指标进行自评。</w:t>
      </w:r>
    </w:p>
    <w:p w14:paraId="14416A5A">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14:paraId="3D5B1A5C">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4D7B70A2">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总体来看，2023年一般耕地和永久基本农田整治恢复工作经费</w:t>
      </w:r>
      <w:r>
        <w:rPr>
          <w:rFonts w:hint="default" w:ascii="Times New Roman" w:hAnsi="Times New Roman" w:eastAsia="方正仿宋_GBK" w:cs="Times New Roman"/>
          <w:color w:val="auto"/>
          <w:sz w:val="33"/>
          <w:szCs w:val="33"/>
          <w:highlight w:val="none"/>
          <w:shd w:val="clear" w:color="auto" w:fill="auto"/>
          <w:lang w:eastAsia="zh-CN"/>
        </w:rPr>
        <w:t>项目</w:t>
      </w:r>
      <w:r>
        <w:rPr>
          <w:rFonts w:hint="default" w:ascii="Times New Roman" w:hAnsi="Times New Roman" w:eastAsia="方正仿宋_GBK" w:cs="Times New Roman"/>
          <w:color w:val="auto"/>
          <w:sz w:val="33"/>
          <w:szCs w:val="33"/>
          <w:highlight w:val="none"/>
          <w:shd w:val="clear" w:color="auto" w:fill="auto"/>
        </w:rPr>
        <w:t>决策程序较严密，规划较合理；资金分配较及时、项目管理较规范，基本达到预期绩效目标，绩效评价结果为良好，总体评价得分</w:t>
      </w:r>
      <w:r>
        <w:rPr>
          <w:rFonts w:hint="default" w:ascii="Times New Roman" w:hAnsi="Times New Roman" w:eastAsia="方正仿宋_GBK" w:cs="Times New Roman"/>
          <w:color w:val="auto"/>
          <w:sz w:val="33"/>
          <w:szCs w:val="33"/>
          <w:highlight w:val="none"/>
          <w:shd w:val="clear" w:color="auto" w:fill="auto"/>
          <w:lang w:val="en-US" w:eastAsia="zh-CN"/>
        </w:rPr>
        <w:t>98</w:t>
      </w:r>
      <w:r>
        <w:rPr>
          <w:rFonts w:hint="default" w:ascii="Times New Roman" w:hAnsi="Times New Roman" w:eastAsia="方正仿宋_GBK" w:cs="Times New Roman"/>
          <w:color w:val="auto"/>
          <w:sz w:val="33"/>
          <w:szCs w:val="33"/>
          <w:highlight w:val="none"/>
          <w:shd w:val="clear" w:color="auto" w:fill="auto"/>
        </w:rPr>
        <w:t>分。具体评价情况见下表。</w:t>
      </w:r>
    </w:p>
    <w:p w14:paraId="5B61BC0C">
      <w:pPr>
        <w:keepNext w:val="0"/>
        <w:keepLines w:val="0"/>
        <w:pageBreakBefore w:val="0"/>
        <w:widowControl w:val="0"/>
        <w:kinsoku/>
        <w:wordWrap/>
        <w:overflowPunct/>
        <w:topLinePunct w:val="0"/>
        <w:autoSpaceDE/>
        <w:autoSpaceDN/>
        <w:bidi w:val="0"/>
        <w:adjustRightInd w:val="0"/>
        <w:snapToGrid w:val="0"/>
        <w:spacing w:before="175" w:beforeLines="30" w:after="175" w:afterLines="30" w:line="240" w:lineRule="auto"/>
        <w:jc w:val="center"/>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color w:val="auto"/>
          <w:sz w:val="24"/>
          <w:szCs w:val="32"/>
          <w:highlight w:val="none"/>
          <w:shd w:val="clear" w:color="auto" w:fill="auto"/>
          <w:lang w:val="zh-CN"/>
        </w:rPr>
        <w:t>2023年一般耕地和永久基本农田整治恢复工作经费项目绩效得分表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20E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14:paraId="39A76E6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一级指标</w: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667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667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TP+3HvAQAA5AMAAA4AAAAAAAAAAQAgAAAAJA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769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3" name="直接连接符 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769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drcGu8BAADkAwAADgAAAGRycy9lMm9Eb2MueG1srVPNbhMx&#10;EL4j8Q6W72TTl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MtTzhxYuvG7&#10;Lz9vP3/7/esrrXc/vjOKkEx9wJqyr9wqjjsMq5g579po85/YsF2Rdn+QVu0SE+Q8Pz3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Xa3BrvAQAA5AMAAA4AAAAAAAAAAQAgAAAAJA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872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2" name="直接连接符 4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872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7dP3wu8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xa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O3T98LvAQAA5AMAAA4AAAAAAAAAAQAgAAAAJA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974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4" name="直接连接符 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974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uyef+8BAADkAwAADgAAAGRycy9lMm9Eb2MueG1srVPNbhMx&#10;EL4j8Q6W72TT0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OkpZw4s3fjd&#10;l5+3n7/9/vWV1rsf3xlFSKY+YE3ZV24Vxx2GVcycd220+U9s2K5Iuz9Iq3aJCXKevzz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7snn/vAQAA5AMAAA4AAAAAAAAAAQAgAAAAJAEAAGRycy9lMm9Eb2MueG1sUEsFBgAAAAAG&#10;AAYAWQEAAIUFAAAAAA==&#10;">
                      <v:fill on="f" focussize="0,0"/>
                      <v:stroke color="#000000" joinstyle="round"/>
                      <v:imagedata o:title=""/>
                      <o:lock v:ext="edit" aspectratio="f"/>
                    </v:line>
                  </w:pict>
                </mc:Fallback>
              </mc:AlternateContent>
            </w:r>
          </w:p>
        </w:tc>
        <w:tc>
          <w:tcPr>
            <w:tcW w:w="1701" w:type="dxa"/>
            <w:noWrap w:val="0"/>
            <w:vAlign w:val="center"/>
          </w:tcPr>
          <w:p w14:paraId="5E87E29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二级指标</w:t>
            </w:r>
          </w:p>
        </w:tc>
        <w:tc>
          <w:tcPr>
            <w:tcW w:w="2427" w:type="dxa"/>
            <w:noWrap w:val="0"/>
            <w:vAlign w:val="center"/>
          </w:tcPr>
          <w:p w14:paraId="2B88BD5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三级指标</w:t>
            </w:r>
          </w:p>
        </w:tc>
        <w:tc>
          <w:tcPr>
            <w:tcW w:w="1343" w:type="dxa"/>
            <w:noWrap w:val="0"/>
            <w:vAlign w:val="center"/>
          </w:tcPr>
          <w:p w14:paraId="6C66F2C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分值</w:t>
            </w:r>
          </w:p>
        </w:tc>
        <w:tc>
          <w:tcPr>
            <w:tcW w:w="1139" w:type="dxa"/>
            <w:noWrap w:val="0"/>
            <w:vAlign w:val="center"/>
          </w:tcPr>
          <w:p w14:paraId="48671E5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得分</w:t>
            </w:r>
          </w:p>
        </w:tc>
      </w:tr>
      <w:tr w14:paraId="6E39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14:paraId="02326A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项目决策</w:t>
            </w:r>
          </w:p>
          <w:p w14:paraId="377AB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tc>
        <w:tc>
          <w:tcPr>
            <w:tcW w:w="1701" w:type="dxa"/>
            <w:vMerge w:val="restart"/>
            <w:noWrap w:val="0"/>
            <w:vAlign w:val="center"/>
          </w:tcPr>
          <w:p w14:paraId="64F7F2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绩效目标</w:t>
            </w:r>
          </w:p>
          <w:p w14:paraId="3E8EF1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（6分）</w:t>
            </w:r>
          </w:p>
        </w:tc>
        <w:tc>
          <w:tcPr>
            <w:tcW w:w="2427" w:type="dxa"/>
            <w:noWrap w:val="0"/>
            <w:vAlign w:val="center"/>
          </w:tcPr>
          <w:p w14:paraId="3585B2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目标内容</w:t>
            </w:r>
          </w:p>
        </w:tc>
        <w:tc>
          <w:tcPr>
            <w:tcW w:w="1343" w:type="dxa"/>
            <w:noWrap w:val="0"/>
            <w:vAlign w:val="center"/>
          </w:tcPr>
          <w:p w14:paraId="3D7650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390AB2E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2C26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14:paraId="36798F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76BFCA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F3C53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进度计划</w:t>
            </w:r>
          </w:p>
        </w:tc>
        <w:tc>
          <w:tcPr>
            <w:tcW w:w="1343" w:type="dxa"/>
            <w:noWrap w:val="0"/>
            <w:vAlign w:val="center"/>
          </w:tcPr>
          <w:p w14:paraId="18A43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34C87FF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7E07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7E33F6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7ADCA0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ECA0E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目标匹配</w:t>
            </w:r>
          </w:p>
        </w:tc>
        <w:tc>
          <w:tcPr>
            <w:tcW w:w="1343" w:type="dxa"/>
            <w:noWrap w:val="0"/>
            <w:vAlign w:val="center"/>
          </w:tcPr>
          <w:p w14:paraId="4962E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1BF5D5C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27AA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2B0F6B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32701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决策依据</w:t>
            </w:r>
          </w:p>
          <w:p w14:paraId="39F879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（10分）</w:t>
            </w:r>
          </w:p>
        </w:tc>
        <w:tc>
          <w:tcPr>
            <w:tcW w:w="2427" w:type="dxa"/>
            <w:noWrap w:val="0"/>
            <w:vAlign w:val="center"/>
          </w:tcPr>
          <w:p w14:paraId="711237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政策依据</w:t>
            </w:r>
          </w:p>
        </w:tc>
        <w:tc>
          <w:tcPr>
            <w:tcW w:w="1343" w:type="dxa"/>
            <w:noWrap w:val="0"/>
            <w:vAlign w:val="center"/>
          </w:tcPr>
          <w:p w14:paraId="7803C9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794EDA6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76B8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14:paraId="77F54D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7C6726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5224AE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程序严密</w:t>
            </w:r>
          </w:p>
        </w:tc>
        <w:tc>
          <w:tcPr>
            <w:tcW w:w="1343" w:type="dxa"/>
            <w:noWrap w:val="0"/>
            <w:vAlign w:val="center"/>
          </w:tcPr>
          <w:p w14:paraId="619CDF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21DF35D9">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45D2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14:paraId="38541A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7796E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AC745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结果符合</w:t>
            </w:r>
          </w:p>
        </w:tc>
        <w:tc>
          <w:tcPr>
            <w:tcW w:w="1343" w:type="dxa"/>
            <w:noWrap w:val="0"/>
            <w:vAlign w:val="center"/>
          </w:tcPr>
          <w:p w14:paraId="1E08E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151AD3A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14E8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387A36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323FE2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544F7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实施规划</w:t>
            </w:r>
          </w:p>
        </w:tc>
        <w:tc>
          <w:tcPr>
            <w:tcW w:w="1343" w:type="dxa"/>
            <w:noWrap w:val="0"/>
            <w:vAlign w:val="center"/>
          </w:tcPr>
          <w:p w14:paraId="0CA4A5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eastAsia="zh-CN"/>
              </w:rPr>
            </w:pPr>
            <w:r>
              <w:rPr>
                <w:rFonts w:hint="default" w:ascii="Times New Roman" w:hAnsi="Times New Roman" w:eastAsia="仿宋_GB2312" w:cs="Times New Roman"/>
                <w:color w:val="auto"/>
                <w:sz w:val="20"/>
                <w:szCs w:val="20"/>
                <w:highlight w:val="none"/>
                <w:shd w:val="clear" w:color="auto" w:fill="auto"/>
                <w:lang w:val="en-US" w:eastAsia="zh-CN"/>
              </w:rPr>
              <w:t>4</w:t>
            </w:r>
          </w:p>
        </w:tc>
        <w:tc>
          <w:tcPr>
            <w:tcW w:w="1139" w:type="dxa"/>
            <w:noWrap w:val="0"/>
            <w:vAlign w:val="center"/>
          </w:tcPr>
          <w:p w14:paraId="2EBA793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eastAsia="zh-CN"/>
              </w:rPr>
            </w:pPr>
            <w:r>
              <w:rPr>
                <w:rFonts w:hint="default" w:ascii="Times New Roman" w:hAnsi="Times New Roman" w:eastAsia="仿宋_GB2312" w:cs="Times New Roman"/>
                <w:color w:val="auto"/>
                <w:sz w:val="20"/>
                <w:szCs w:val="20"/>
                <w:highlight w:val="none"/>
                <w:shd w:val="clear" w:color="auto" w:fill="auto"/>
                <w:lang w:val="en-US" w:eastAsia="zh-CN"/>
              </w:rPr>
              <w:t>4</w:t>
            </w:r>
          </w:p>
        </w:tc>
      </w:tr>
      <w:tr w14:paraId="5B62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68025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676E4F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分配结果</w:t>
            </w:r>
          </w:p>
          <w:p w14:paraId="45F4F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7646F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分配过程</w:t>
            </w:r>
          </w:p>
        </w:tc>
        <w:tc>
          <w:tcPr>
            <w:tcW w:w="1343" w:type="dxa"/>
            <w:noWrap w:val="0"/>
            <w:vAlign w:val="center"/>
          </w:tcPr>
          <w:p w14:paraId="670E86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60457A7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1262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44BFE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9CC70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02A99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审核把关</w:t>
            </w:r>
          </w:p>
        </w:tc>
        <w:tc>
          <w:tcPr>
            <w:tcW w:w="1343" w:type="dxa"/>
            <w:noWrap w:val="0"/>
            <w:vAlign w:val="center"/>
          </w:tcPr>
          <w:p w14:paraId="6E93A7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5A566C3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5F46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14:paraId="4DB250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项目管理</w:t>
            </w:r>
          </w:p>
          <w:p w14:paraId="610719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（15分）</w:t>
            </w:r>
          </w:p>
        </w:tc>
        <w:tc>
          <w:tcPr>
            <w:tcW w:w="1701" w:type="dxa"/>
            <w:vMerge w:val="restart"/>
            <w:noWrap w:val="0"/>
            <w:vAlign w:val="center"/>
          </w:tcPr>
          <w:p w14:paraId="023DBF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资金到位</w:t>
            </w:r>
          </w:p>
          <w:p w14:paraId="453C36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4E7AFA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分配时效</w:t>
            </w:r>
          </w:p>
        </w:tc>
        <w:tc>
          <w:tcPr>
            <w:tcW w:w="1343" w:type="dxa"/>
            <w:noWrap w:val="0"/>
            <w:vAlign w:val="center"/>
          </w:tcPr>
          <w:p w14:paraId="73BC81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6BDF7974">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138D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14:paraId="21E659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4DA135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733E6C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资金拨付</w:t>
            </w:r>
          </w:p>
        </w:tc>
        <w:tc>
          <w:tcPr>
            <w:tcW w:w="1343" w:type="dxa"/>
            <w:noWrap w:val="0"/>
            <w:vAlign w:val="center"/>
          </w:tcPr>
          <w:p w14:paraId="51722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7BE34CB3">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00E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14:paraId="54192C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740413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资金管理</w:t>
            </w:r>
          </w:p>
          <w:p w14:paraId="47EE43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（3分）</w:t>
            </w:r>
          </w:p>
        </w:tc>
        <w:tc>
          <w:tcPr>
            <w:tcW w:w="2427" w:type="dxa"/>
            <w:noWrap w:val="0"/>
            <w:vAlign w:val="center"/>
          </w:tcPr>
          <w:p w14:paraId="7990D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使用范围</w:t>
            </w:r>
          </w:p>
        </w:tc>
        <w:tc>
          <w:tcPr>
            <w:tcW w:w="1343" w:type="dxa"/>
            <w:noWrap w:val="0"/>
            <w:vAlign w:val="center"/>
          </w:tcPr>
          <w:p w14:paraId="0991D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00207A7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14:paraId="0DE2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23BB1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6EDE81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0500ED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支付依据</w:t>
            </w:r>
          </w:p>
        </w:tc>
        <w:tc>
          <w:tcPr>
            <w:tcW w:w="1343" w:type="dxa"/>
            <w:noWrap w:val="0"/>
            <w:vAlign w:val="center"/>
          </w:tcPr>
          <w:p w14:paraId="67FFA3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7BED0DF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14:paraId="0C4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5D7FE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CE74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3FB4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开支标准</w:t>
            </w:r>
          </w:p>
        </w:tc>
        <w:tc>
          <w:tcPr>
            <w:tcW w:w="1343" w:type="dxa"/>
            <w:noWrap w:val="0"/>
            <w:vAlign w:val="center"/>
          </w:tcPr>
          <w:p w14:paraId="253264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408E02C3">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14:paraId="2C6F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14:paraId="4DE317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765D30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财务管理</w:t>
            </w:r>
          </w:p>
          <w:p w14:paraId="057FE1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79C638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财务制度</w:t>
            </w:r>
          </w:p>
        </w:tc>
        <w:tc>
          <w:tcPr>
            <w:tcW w:w="1343" w:type="dxa"/>
            <w:noWrap w:val="0"/>
            <w:vAlign w:val="center"/>
          </w:tcPr>
          <w:p w14:paraId="53D339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429954D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2A5E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009210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C8A1F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50A7B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会计核算</w:t>
            </w:r>
          </w:p>
        </w:tc>
        <w:tc>
          <w:tcPr>
            <w:tcW w:w="1343" w:type="dxa"/>
            <w:noWrap w:val="0"/>
            <w:vAlign w:val="center"/>
          </w:tcPr>
          <w:p w14:paraId="06776E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6DBA00E5">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14:paraId="0D4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1D2DCE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5FE7A7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组织实施</w:t>
            </w:r>
          </w:p>
          <w:p w14:paraId="72D6C5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14:paraId="0334A0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项目调整</w:t>
            </w:r>
          </w:p>
        </w:tc>
        <w:tc>
          <w:tcPr>
            <w:tcW w:w="1343" w:type="dxa"/>
            <w:noWrap w:val="0"/>
            <w:vAlign w:val="center"/>
          </w:tcPr>
          <w:p w14:paraId="3FA5A2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5CA023B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14:paraId="2974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70A9D6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A2B7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55F67E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投资变更</w:t>
            </w:r>
          </w:p>
        </w:tc>
        <w:tc>
          <w:tcPr>
            <w:tcW w:w="1343" w:type="dxa"/>
            <w:noWrap w:val="0"/>
            <w:vAlign w:val="center"/>
          </w:tcPr>
          <w:p w14:paraId="192F17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14:paraId="374923A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14:paraId="0221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16713F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1E894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7A200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制度执行</w:t>
            </w:r>
          </w:p>
        </w:tc>
        <w:tc>
          <w:tcPr>
            <w:tcW w:w="1343" w:type="dxa"/>
            <w:noWrap w:val="0"/>
            <w:vAlign w:val="center"/>
          </w:tcPr>
          <w:p w14:paraId="0FB5F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14:paraId="244B7D2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val="en-US" w:eastAsia="zh-CN"/>
              </w:rPr>
            </w:pPr>
            <w:r>
              <w:rPr>
                <w:rFonts w:hint="default" w:ascii="Times New Roman" w:hAnsi="Times New Roman" w:eastAsia="仿宋_GB2312" w:cs="Times New Roman"/>
                <w:color w:val="auto"/>
                <w:sz w:val="20"/>
                <w:szCs w:val="20"/>
                <w:highlight w:val="none"/>
                <w:shd w:val="clear" w:color="auto" w:fill="auto"/>
                <w:lang w:val="en-US" w:eastAsia="zh-CN"/>
              </w:rPr>
              <w:t>1</w:t>
            </w:r>
          </w:p>
        </w:tc>
      </w:tr>
      <w:tr w14:paraId="1B20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14:paraId="4657DB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14:paraId="3B9113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14:paraId="5E101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14:paraId="36C20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项目绩效</w:t>
            </w:r>
          </w:p>
          <w:p w14:paraId="715585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（特性指标65分）</w:t>
            </w:r>
          </w:p>
          <w:p w14:paraId="0E359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225D20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14:paraId="130F45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项目完成</w:t>
            </w:r>
          </w:p>
          <w:p w14:paraId="5CF2E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p w14:paraId="56C30B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项目完成</w:t>
            </w:r>
          </w:p>
          <w:p w14:paraId="35A0A2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p w14:paraId="3318B4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7886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完成数量</w:t>
            </w:r>
          </w:p>
        </w:tc>
        <w:tc>
          <w:tcPr>
            <w:tcW w:w="1343" w:type="dxa"/>
            <w:noWrap w:val="0"/>
            <w:vAlign w:val="center"/>
          </w:tcPr>
          <w:p w14:paraId="2BBDCF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2479D998">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14:paraId="7D4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676254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9FF8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E89B2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完成质量</w:t>
            </w:r>
          </w:p>
        </w:tc>
        <w:tc>
          <w:tcPr>
            <w:tcW w:w="1343" w:type="dxa"/>
            <w:noWrap w:val="0"/>
            <w:vAlign w:val="center"/>
          </w:tcPr>
          <w:p w14:paraId="7F4995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5EE6272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14:paraId="57BE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57E4F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237E5C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5BAF3A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完成时效</w:t>
            </w:r>
          </w:p>
        </w:tc>
        <w:tc>
          <w:tcPr>
            <w:tcW w:w="1343" w:type="dxa"/>
            <w:noWrap w:val="0"/>
            <w:vAlign w:val="center"/>
          </w:tcPr>
          <w:p w14:paraId="0EDB18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75716EC8">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14:paraId="392D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609F47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15871B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39FD34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完成成本</w:t>
            </w:r>
          </w:p>
        </w:tc>
        <w:tc>
          <w:tcPr>
            <w:tcW w:w="1343" w:type="dxa"/>
            <w:noWrap w:val="0"/>
            <w:vAlign w:val="center"/>
          </w:tcPr>
          <w:p w14:paraId="50DA94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157CD53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14:paraId="523D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300AA4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6D9A4A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1E75E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违规纪律</w:t>
            </w:r>
          </w:p>
        </w:tc>
        <w:tc>
          <w:tcPr>
            <w:tcW w:w="1343" w:type="dxa"/>
            <w:noWrap w:val="0"/>
            <w:vAlign w:val="center"/>
          </w:tcPr>
          <w:p w14:paraId="63E932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14:paraId="16461CF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14:paraId="00AC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0D5496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14:paraId="7C3940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14:paraId="663038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项目效益</w:t>
            </w:r>
          </w:p>
          <w:p w14:paraId="30BC28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（40分）</w:t>
            </w:r>
          </w:p>
        </w:tc>
        <w:tc>
          <w:tcPr>
            <w:tcW w:w="2427" w:type="dxa"/>
            <w:noWrap w:val="0"/>
            <w:vAlign w:val="center"/>
          </w:tcPr>
          <w:p w14:paraId="5F1E74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经济效益</w:t>
            </w:r>
          </w:p>
        </w:tc>
        <w:tc>
          <w:tcPr>
            <w:tcW w:w="1343" w:type="dxa"/>
            <w:noWrap w:val="0"/>
            <w:vAlign w:val="center"/>
          </w:tcPr>
          <w:p w14:paraId="38E9DE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5B235A9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val="en-US" w:eastAsia="zh-CN"/>
              </w:rPr>
            </w:pPr>
            <w:r>
              <w:rPr>
                <w:rFonts w:hint="default" w:ascii="Times New Roman" w:hAnsi="Times New Roman" w:eastAsia="仿宋_GB2312" w:cs="Times New Roman"/>
                <w:color w:val="auto"/>
                <w:sz w:val="20"/>
                <w:szCs w:val="20"/>
                <w:highlight w:val="none"/>
                <w:shd w:val="clear" w:color="auto" w:fill="auto"/>
                <w:lang w:val="en-US" w:eastAsia="zh-CN"/>
              </w:rPr>
              <w:t>9</w:t>
            </w:r>
          </w:p>
        </w:tc>
      </w:tr>
      <w:tr w14:paraId="5DF5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1CD8F7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4E8BC4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230426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社会效益</w:t>
            </w:r>
          </w:p>
        </w:tc>
        <w:tc>
          <w:tcPr>
            <w:tcW w:w="1343" w:type="dxa"/>
            <w:noWrap w:val="0"/>
            <w:vAlign w:val="center"/>
          </w:tcPr>
          <w:p w14:paraId="1EF4D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19F7DF49">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14:paraId="1F27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C05C9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096946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6A3364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生态效益</w:t>
            </w:r>
          </w:p>
        </w:tc>
        <w:tc>
          <w:tcPr>
            <w:tcW w:w="1343" w:type="dxa"/>
            <w:noWrap w:val="0"/>
            <w:vAlign w:val="center"/>
          </w:tcPr>
          <w:p w14:paraId="263D3B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4F5C836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14:paraId="0099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503F83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14:paraId="652944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14:paraId="721B73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可持续效益</w:t>
            </w:r>
          </w:p>
        </w:tc>
        <w:tc>
          <w:tcPr>
            <w:tcW w:w="1343" w:type="dxa"/>
            <w:noWrap w:val="0"/>
            <w:vAlign w:val="center"/>
          </w:tcPr>
          <w:p w14:paraId="7CACD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14:paraId="1E2620C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14:paraId="787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45BCC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noWrap w:val="0"/>
            <w:vAlign w:val="center"/>
          </w:tcPr>
          <w:p w14:paraId="059C24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满意度</w:t>
            </w:r>
          </w:p>
          <w:p w14:paraId="384FB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（5分）</w:t>
            </w:r>
          </w:p>
        </w:tc>
        <w:tc>
          <w:tcPr>
            <w:tcW w:w="2427" w:type="dxa"/>
            <w:noWrap w:val="0"/>
            <w:vAlign w:val="center"/>
          </w:tcPr>
          <w:p w14:paraId="1018A1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服务对象满意度</w:t>
            </w:r>
          </w:p>
        </w:tc>
        <w:tc>
          <w:tcPr>
            <w:tcW w:w="1343" w:type="dxa"/>
            <w:noWrap w:val="0"/>
            <w:vAlign w:val="center"/>
          </w:tcPr>
          <w:p w14:paraId="2DA3D3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w:t>
            </w:r>
          </w:p>
        </w:tc>
        <w:tc>
          <w:tcPr>
            <w:tcW w:w="1139" w:type="dxa"/>
            <w:noWrap w:val="0"/>
            <w:vAlign w:val="center"/>
          </w:tcPr>
          <w:p w14:paraId="2CD4620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w:t>
            </w:r>
          </w:p>
        </w:tc>
      </w:tr>
      <w:tr w14:paraId="794E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14:paraId="4FEE40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合　　　　计</w:t>
            </w:r>
          </w:p>
        </w:tc>
        <w:tc>
          <w:tcPr>
            <w:tcW w:w="1343" w:type="dxa"/>
            <w:noWrap w:val="0"/>
            <w:vAlign w:val="center"/>
          </w:tcPr>
          <w:p w14:paraId="4BA57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100</w:t>
            </w:r>
          </w:p>
        </w:tc>
        <w:tc>
          <w:tcPr>
            <w:tcW w:w="1139" w:type="dxa"/>
            <w:noWrap w:val="0"/>
            <w:vAlign w:val="center"/>
          </w:tcPr>
          <w:p w14:paraId="2466986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98</w:t>
            </w:r>
          </w:p>
        </w:tc>
      </w:tr>
    </w:tbl>
    <w:p w14:paraId="74295837">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50AB0906">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74BB6A66">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按照《中共攀枝花市西区区委办公室 攀枝花市西区人民政府办公室关于印发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攀枝花市西区2023年度一般耕地和永久基本农田流出问题整治方案</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的通知》（攀西委办〔2023〕35号），经区政府常务会议研究同意，攀枝花市自然资源和规划局西区分局会同格里坪镇积极开展了一般耕地和永久基本农田流出问题整治相关工作，确保完成年度内耕地面积不减少的目标任务。</w:t>
      </w:r>
    </w:p>
    <w:p w14:paraId="01D12380">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ascii="Times New Roman" w:hAnsi="Times New Roman" w:eastAsia="方正楷体_GBK" w:cs="楷体_GB2312"/>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w:t>
      </w:r>
      <w:r>
        <w:rPr>
          <w:rFonts w:hint="eastAsia" w:ascii="Times New Roman" w:hAnsi="Times New Roman" w:eastAsia="方正楷体_GBK" w:cs="方正楷体_GBK"/>
          <w:b/>
          <w:bCs/>
          <w:color w:val="auto"/>
          <w:sz w:val="33"/>
          <w:szCs w:val="33"/>
          <w:highlight w:val="none"/>
          <w:shd w:val="clear" w:color="auto" w:fill="auto"/>
          <w:lang w:val="en-US" w:eastAsia="zh-CN"/>
        </w:rPr>
        <w:t>二</w:t>
      </w:r>
      <w:r>
        <w:rPr>
          <w:rFonts w:hint="eastAsia" w:ascii="Times New Roman" w:hAnsi="Times New Roman" w:eastAsia="方正楷体_GBK" w:cs="方正楷体_GBK"/>
          <w:b/>
          <w:bCs/>
          <w:color w:val="auto"/>
          <w:sz w:val="33"/>
          <w:szCs w:val="33"/>
          <w:highlight w:val="none"/>
          <w:shd w:val="clear" w:color="auto" w:fill="auto"/>
        </w:rPr>
        <w:t>）项目</w:t>
      </w:r>
      <w:r>
        <w:rPr>
          <w:rFonts w:hint="eastAsia" w:ascii="Times New Roman" w:hAnsi="Times New Roman" w:eastAsia="方正楷体_GBK" w:cs="方正楷体_GBK"/>
          <w:b/>
          <w:bCs/>
          <w:color w:val="auto"/>
          <w:sz w:val="33"/>
          <w:szCs w:val="33"/>
          <w:highlight w:val="none"/>
          <w:shd w:val="clear" w:color="auto" w:fill="auto"/>
          <w:lang w:val="en-US" w:eastAsia="zh-CN"/>
        </w:rPr>
        <w:t>过程</w:t>
      </w:r>
      <w:r>
        <w:rPr>
          <w:rFonts w:hint="eastAsia" w:ascii="Times New Roman" w:hAnsi="Times New Roman" w:eastAsia="方正楷体_GBK" w:cs="方正楷体_GBK"/>
          <w:b/>
          <w:bCs/>
          <w:color w:val="auto"/>
          <w:sz w:val="33"/>
          <w:szCs w:val="33"/>
          <w:highlight w:val="none"/>
          <w:shd w:val="clear" w:color="auto" w:fill="auto"/>
        </w:rPr>
        <w:t>情况</w:t>
      </w:r>
    </w:p>
    <w:p w14:paraId="1388A750">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color w:val="auto"/>
          <w:sz w:val="33"/>
          <w:szCs w:val="33"/>
          <w:highlight w:val="none"/>
          <w:shd w:val="clear" w:color="auto" w:fill="auto"/>
          <w:lang w:val="en-US" w:eastAsia="zh-CN"/>
        </w:rPr>
        <w:t>该2023年一般耕地和永久基本农田整治恢复工作经费申报100万元，资金下达100万元，资金到位率100%，资金到位非常及时，有效</w:t>
      </w:r>
      <w:r>
        <w:rPr>
          <w:rFonts w:hint="eastAsia" w:ascii="Times New Roman" w:hAnsi="Times New Roman" w:eastAsia="方正仿宋_GBK" w:cs="Times New Roman"/>
          <w:color w:val="auto"/>
          <w:sz w:val="33"/>
          <w:szCs w:val="33"/>
          <w:highlight w:val="none"/>
          <w:shd w:val="clear" w:color="auto" w:fill="auto"/>
          <w:lang w:val="en-US" w:eastAsia="zh-CN"/>
        </w:rPr>
        <w:t>地</w:t>
      </w:r>
      <w:r>
        <w:rPr>
          <w:rFonts w:hint="default" w:ascii="Times New Roman" w:hAnsi="Times New Roman" w:eastAsia="方正仿宋_GBK" w:cs="Times New Roman"/>
          <w:color w:val="auto"/>
          <w:sz w:val="33"/>
          <w:szCs w:val="33"/>
          <w:highlight w:val="none"/>
          <w:shd w:val="clear" w:color="auto" w:fill="auto"/>
          <w:lang w:val="en-US" w:eastAsia="zh-CN"/>
        </w:rPr>
        <w:t>保障了各项工作开展。截至2023年底，共计支出100万元，项目资金使用符合</w:t>
      </w:r>
      <w:r>
        <w:rPr>
          <w:rFonts w:hint="eastAsia" w:ascii="Times New Roman" w:hAnsi="Times New Roman" w:eastAsia="方正仿宋_GBK" w:cs="Times New Roman"/>
          <w:color w:val="auto"/>
          <w:sz w:val="33"/>
          <w:szCs w:val="33"/>
          <w:highlight w:val="none"/>
          <w:shd w:val="clear" w:color="auto" w:fill="auto"/>
          <w:lang w:val="en-US" w:eastAsia="zh-CN"/>
        </w:rPr>
        <w:t>有关</w:t>
      </w:r>
      <w:r>
        <w:rPr>
          <w:rFonts w:hint="default" w:ascii="Times New Roman" w:hAnsi="Times New Roman" w:eastAsia="方正仿宋_GBK" w:cs="Times New Roman"/>
          <w:color w:val="auto"/>
          <w:sz w:val="33"/>
          <w:szCs w:val="33"/>
          <w:highlight w:val="none"/>
          <w:shd w:val="clear" w:color="auto" w:fill="auto"/>
          <w:lang w:val="en-US" w:eastAsia="zh-CN"/>
        </w:rPr>
        <w:t>财务管理制度规定。</w:t>
      </w:r>
      <w:r>
        <w:rPr>
          <w:rFonts w:hint="eastAsia" w:ascii="Times New Roman" w:hAnsi="Times New Roman" w:eastAsia="方正仿宋_GBK" w:cs="Times New Roman"/>
          <w:color w:val="auto"/>
          <w:sz w:val="33"/>
          <w:szCs w:val="33"/>
          <w:highlight w:val="none"/>
          <w:shd w:val="clear" w:color="auto" w:fill="auto"/>
          <w:lang w:val="en-US" w:eastAsia="zh-CN"/>
        </w:rPr>
        <w:t>项目实施后，区自规局</w:t>
      </w:r>
      <w:r>
        <w:rPr>
          <w:rFonts w:hint="default" w:ascii="Times New Roman" w:hAnsi="Times New Roman" w:eastAsia="方正仿宋_GBK" w:cs="Times New Roman"/>
          <w:color w:val="auto"/>
          <w:sz w:val="33"/>
          <w:szCs w:val="33"/>
          <w:highlight w:val="none"/>
          <w:shd w:val="clear" w:color="auto" w:fill="auto"/>
          <w:lang w:val="en-US" w:eastAsia="zh-CN"/>
        </w:rPr>
        <w:t>组织</w:t>
      </w:r>
      <w:r>
        <w:rPr>
          <w:rFonts w:hint="default" w:ascii="Times New Roman" w:hAnsi="Times New Roman" w:eastAsia="方正仿宋_GBK" w:cs="Times New Roman"/>
          <w:color w:val="auto"/>
          <w:sz w:val="33"/>
          <w:szCs w:val="33"/>
          <w:highlight w:val="none"/>
          <w:shd w:val="clear" w:color="auto" w:fill="auto"/>
        </w:rPr>
        <w:t>农业农村、林业、水利等部门</w:t>
      </w:r>
      <w:r>
        <w:rPr>
          <w:rFonts w:hint="eastAsia" w:ascii="Times New Roman" w:hAnsi="Times New Roman" w:eastAsia="方正仿宋_GBK" w:cs="Times New Roman"/>
          <w:color w:val="auto"/>
          <w:sz w:val="33"/>
          <w:szCs w:val="33"/>
          <w:highlight w:val="none"/>
          <w:shd w:val="clear" w:color="auto" w:fill="auto"/>
          <w:lang w:val="en-US" w:eastAsia="zh-CN"/>
        </w:rPr>
        <w:t>进行</w:t>
      </w:r>
      <w:r>
        <w:rPr>
          <w:rFonts w:hint="default" w:ascii="Times New Roman" w:hAnsi="Times New Roman" w:eastAsia="方正仿宋_GBK" w:cs="Times New Roman"/>
          <w:color w:val="auto"/>
          <w:sz w:val="33"/>
          <w:szCs w:val="33"/>
          <w:highlight w:val="none"/>
          <w:shd w:val="clear" w:color="auto" w:fill="auto"/>
        </w:rPr>
        <w:t>现场验收，</w:t>
      </w:r>
      <w:r>
        <w:rPr>
          <w:rFonts w:hint="eastAsia" w:ascii="Times New Roman" w:hAnsi="Times New Roman" w:eastAsia="方正仿宋_GBK" w:cs="Times New Roman"/>
          <w:color w:val="auto"/>
          <w:sz w:val="33"/>
          <w:szCs w:val="33"/>
          <w:highlight w:val="none"/>
          <w:shd w:val="clear" w:color="auto" w:fill="auto"/>
          <w:lang w:val="en-US" w:eastAsia="zh-CN"/>
        </w:rPr>
        <w:t>验收合格后由</w:t>
      </w:r>
      <w:r>
        <w:rPr>
          <w:rFonts w:hint="default" w:ascii="Times New Roman" w:hAnsi="Times New Roman" w:eastAsia="方正仿宋_GBK" w:cs="Times New Roman"/>
          <w:color w:val="auto"/>
          <w:sz w:val="33"/>
          <w:szCs w:val="33"/>
          <w:highlight w:val="none"/>
          <w:shd w:val="clear" w:color="auto" w:fill="auto"/>
        </w:rPr>
        <w:t>格里坪镇政府据各村整改恢复耕地实际情况，向各村社支付整改恢复资金</w:t>
      </w:r>
      <w:r>
        <w:rPr>
          <w:rFonts w:hint="default" w:ascii="Times New Roman" w:hAnsi="Times New Roman" w:eastAsia="方正仿宋_GBK" w:cs="Times New Roman"/>
          <w:color w:val="auto"/>
          <w:sz w:val="33"/>
          <w:szCs w:val="33"/>
          <w:highlight w:val="none"/>
          <w:shd w:val="clear" w:color="auto" w:fill="auto"/>
          <w:lang w:eastAsia="zh-CN"/>
        </w:rPr>
        <w:t>。</w:t>
      </w:r>
    </w:p>
    <w:p w14:paraId="7E081E86">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ascii="Times New Roman" w:hAnsi="Times New Roman" w:eastAsia="方正楷体_GBK" w:cs="楷体_GB2312"/>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0FAE3224">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zh-CN"/>
        </w:rPr>
        <w:t>根据一般耕地和永久基本农田流出问题实际情况，通过原地整改和异地新增等方式，整改恢复耕地图斑78个，面积273亩，其中：原地整改图斑74个，面积227亩；异地新增图斑4个，面积46亩。</w:t>
      </w:r>
    </w:p>
    <w:p w14:paraId="2E46A846">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16E499DB">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en-US" w:eastAsia="zh-CN"/>
        </w:rPr>
        <w:t>通过本次耕地流出问题整治，切实解决了西区耕地流出问题，</w:t>
      </w:r>
      <w:r>
        <w:rPr>
          <w:rFonts w:hint="eastAsia" w:ascii="Times New Roman" w:hAnsi="Times New Roman" w:eastAsia="方正仿宋_GBK" w:cs="Times New Roman"/>
          <w:color w:val="auto"/>
          <w:sz w:val="33"/>
          <w:szCs w:val="33"/>
          <w:highlight w:val="none"/>
          <w:shd w:val="clear" w:color="auto" w:fill="auto"/>
          <w:lang w:val="en-US" w:eastAsia="zh-CN"/>
        </w:rPr>
        <w:t>增强</w:t>
      </w:r>
      <w:r>
        <w:rPr>
          <w:rFonts w:hint="default" w:ascii="Times New Roman" w:hAnsi="Times New Roman" w:eastAsia="方正仿宋_GBK" w:cs="Times New Roman"/>
          <w:color w:val="auto"/>
          <w:sz w:val="33"/>
          <w:szCs w:val="33"/>
          <w:highlight w:val="none"/>
          <w:shd w:val="clear" w:color="auto" w:fill="auto"/>
          <w:lang w:val="en-US" w:eastAsia="zh-CN"/>
        </w:rPr>
        <w:t>了群众耕地保护意识，确保了西区耕地面积未减少且有所增加，顺利通过了耕地保护党政同</w:t>
      </w:r>
      <w:r>
        <w:rPr>
          <w:rFonts w:hint="eastAsia" w:ascii="方正仿宋_GBK" w:hAnsi="方正仿宋_GBK" w:eastAsia="方正仿宋_GBK" w:cs="方正仿宋_GBK"/>
          <w:color w:val="auto"/>
          <w:sz w:val="33"/>
          <w:szCs w:val="33"/>
          <w:highlight w:val="none"/>
          <w:shd w:val="clear" w:color="auto" w:fill="auto"/>
          <w:lang w:val="en-US" w:eastAsia="zh-CN"/>
        </w:rPr>
        <w:t>责“首考”，</w:t>
      </w:r>
      <w:r>
        <w:rPr>
          <w:rFonts w:hint="default" w:ascii="Times New Roman" w:hAnsi="Times New Roman" w:eastAsia="方正仿宋_GBK" w:cs="Times New Roman"/>
          <w:color w:val="auto"/>
          <w:sz w:val="33"/>
          <w:szCs w:val="33"/>
          <w:highlight w:val="none"/>
          <w:shd w:val="clear" w:color="auto" w:fill="auto"/>
          <w:lang w:val="en-US" w:eastAsia="zh-CN"/>
        </w:rPr>
        <w:t>达到了预期目标。</w:t>
      </w:r>
    </w:p>
    <w:p w14:paraId="5F15DDA8">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b/>
          <w:bCs/>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rPr>
        <w:t>五、存在的问题</w:t>
      </w:r>
    </w:p>
    <w:p w14:paraId="0FAF47BC">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b/>
          <w:bCs/>
          <w:color w:val="auto"/>
          <w:sz w:val="33"/>
          <w:szCs w:val="33"/>
          <w:highlight w:val="none"/>
          <w:shd w:val="clear" w:color="auto" w:fill="auto"/>
          <w:lang w:val="en-US" w:eastAsia="zh-CN"/>
        </w:rPr>
        <w:t>一是</w:t>
      </w:r>
      <w:r>
        <w:rPr>
          <w:rFonts w:hint="default" w:ascii="Times New Roman" w:hAnsi="Times New Roman" w:eastAsia="方正仿宋_GBK" w:cs="Times New Roman"/>
          <w:color w:val="auto"/>
          <w:sz w:val="33"/>
          <w:szCs w:val="33"/>
          <w:highlight w:val="none"/>
          <w:shd w:val="clear" w:color="auto" w:fill="auto"/>
          <w:lang w:val="en-US" w:eastAsia="zh-CN"/>
        </w:rPr>
        <w:t>受地形地貌、灌溉水源、劳动力外出打工等多重因素影响，西区大量村民利用耕地套种经果林，原有套种耕地显化为园地，导致耕地阶段性大量流出。</w:t>
      </w:r>
      <w:r>
        <w:rPr>
          <w:rFonts w:hint="default" w:ascii="Times New Roman" w:hAnsi="Times New Roman" w:eastAsia="方正仿宋_GBK" w:cs="Times New Roman"/>
          <w:b/>
          <w:bCs/>
          <w:color w:val="auto"/>
          <w:sz w:val="33"/>
          <w:szCs w:val="33"/>
          <w:highlight w:val="none"/>
          <w:shd w:val="clear" w:color="auto" w:fill="auto"/>
          <w:lang w:val="en-US" w:eastAsia="zh-CN"/>
        </w:rPr>
        <w:t>二是</w:t>
      </w:r>
      <w:r>
        <w:rPr>
          <w:rFonts w:hint="default" w:ascii="Times New Roman" w:hAnsi="Times New Roman" w:eastAsia="方正仿宋_GBK" w:cs="Times New Roman"/>
          <w:color w:val="auto"/>
          <w:sz w:val="33"/>
          <w:szCs w:val="33"/>
          <w:highlight w:val="none"/>
          <w:shd w:val="clear" w:color="auto" w:fill="auto"/>
          <w:lang w:val="en-US" w:eastAsia="zh-CN"/>
        </w:rPr>
        <w:t>部分村民对耕地分布、法律法规等缺乏了解，为提高经济收入，自行开展农业结构调整，导致耕地流出。</w:t>
      </w:r>
    </w:p>
    <w:p w14:paraId="5C9B914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60" w:firstLineChars="200"/>
        <w:jc w:val="both"/>
        <w:textAlignment w:val="auto"/>
        <w:rPr>
          <w:rFonts w:hint="default" w:ascii="Times New Roman" w:hAnsi="Times New Roman" w:eastAsia="黑体" w:cs="Times New Roman"/>
          <w:color w:val="auto"/>
          <w:sz w:val="33"/>
          <w:szCs w:val="33"/>
          <w:highlight w:val="none"/>
          <w:shd w:val="clear" w:color="auto" w:fill="auto"/>
        </w:rPr>
      </w:pPr>
      <w:r>
        <w:rPr>
          <w:rFonts w:hint="eastAsia" w:ascii="Times New Roman" w:hAnsi="Times New Roman" w:eastAsia="黑体" w:cs="Times New Roman"/>
          <w:color w:val="auto"/>
          <w:sz w:val="33"/>
          <w:szCs w:val="33"/>
          <w:highlight w:val="none"/>
          <w:shd w:val="clear" w:color="auto" w:fill="auto"/>
          <w:lang w:val="en-US" w:eastAsia="zh-CN"/>
        </w:rPr>
        <w:t>六、</w:t>
      </w:r>
      <w:r>
        <w:rPr>
          <w:rFonts w:hint="default" w:ascii="Times New Roman" w:hAnsi="Times New Roman" w:eastAsia="黑体" w:cs="Times New Roman"/>
          <w:color w:val="auto"/>
          <w:sz w:val="33"/>
          <w:szCs w:val="33"/>
          <w:highlight w:val="none"/>
          <w:shd w:val="clear" w:color="auto" w:fill="auto"/>
        </w:rPr>
        <w:t>相关措施建议</w:t>
      </w:r>
    </w:p>
    <w:p w14:paraId="73AE3E04">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b/>
          <w:bCs/>
          <w:color w:val="auto"/>
          <w:sz w:val="33"/>
          <w:szCs w:val="33"/>
          <w:highlight w:val="none"/>
          <w:shd w:val="clear" w:color="auto" w:fill="auto"/>
          <w:lang w:val="en-US" w:eastAsia="zh-CN"/>
        </w:rPr>
        <w:t>一是</w:t>
      </w:r>
      <w:r>
        <w:rPr>
          <w:rFonts w:hint="default" w:ascii="Times New Roman" w:hAnsi="Times New Roman" w:eastAsia="方正仿宋_GBK" w:cs="Times New Roman"/>
          <w:color w:val="auto"/>
          <w:sz w:val="33"/>
          <w:szCs w:val="33"/>
          <w:highlight w:val="none"/>
          <w:shd w:val="clear" w:color="auto" w:fill="auto"/>
          <w:lang w:val="en-US" w:eastAsia="zh-CN"/>
        </w:rPr>
        <w:t>压实耕地保护监管责任，持续推</w:t>
      </w:r>
      <w:r>
        <w:rPr>
          <w:rFonts w:hint="eastAsia" w:ascii="方正仿宋_GBK" w:hAnsi="方正仿宋_GBK" w:eastAsia="方正仿宋_GBK" w:cs="方正仿宋_GBK"/>
          <w:color w:val="auto"/>
          <w:sz w:val="33"/>
          <w:szCs w:val="33"/>
          <w:highlight w:val="none"/>
          <w:shd w:val="clear" w:color="auto" w:fill="auto"/>
          <w:lang w:val="en-US" w:eastAsia="zh-CN"/>
        </w:rPr>
        <w:t>动“田长制”，</w:t>
      </w:r>
      <w:r>
        <w:rPr>
          <w:rFonts w:hint="default" w:ascii="Times New Roman" w:hAnsi="Times New Roman" w:eastAsia="方正仿宋_GBK" w:cs="Times New Roman"/>
          <w:color w:val="auto"/>
          <w:sz w:val="33"/>
          <w:szCs w:val="33"/>
          <w:highlight w:val="none"/>
          <w:shd w:val="clear" w:color="auto" w:fill="auto"/>
          <w:lang w:val="en-US" w:eastAsia="zh-CN"/>
        </w:rPr>
        <w:t>从严耕地种植用途管制，建立多部门工作协同推进机制，加大违法占用耕地查处力度。</w:t>
      </w:r>
      <w:r>
        <w:rPr>
          <w:rFonts w:hint="default" w:ascii="Times New Roman" w:hAnsi="Times New Roman" w:eastAsia="方正仿宋_GBK" w:cs="Times New Roman"/>
          <w:b/>
          <w:bCs/>
          <w:color w:val="auto"/>
          <w:sz w:val="33"/>
          <w:szCs w:val="33"/>
          <w:highlight w:val="none"/>
          <w:shd w:val="clear" w:color="auto" w:fill="auto"/>
          <w:lang w:val="en-US" w:eastAsia="zh-CN"/>
        </w:rPr>
        <w:t>二是</w:t>
      </w:r>
      <w:r>
        <w:rPr>
          <w:rFonts w:hint="default" w:ascii="Times New Roman" w:hAnsi="Times New Roman" w:eastAsia="方正仿宋_GBK" w:cs="Times New Roman"/>
          <w:color w:val="auto"/>
          <w:sz w:val="33"/>
          <w:szCs w:val="33"/>
          <w:highlight w:val="none"/>
          <w:shd w:val="clear" w:color="auto" w:fill="auto"/>
          <w:lang w:val="en-US" w:eastAsia="zh-CN"/>
        </w:rPr>
        <w:t>多渠道争取项目资金，通过土地整治项目的实施，切实有效增加耕地面积。</w:t>
      </w:r>
      <w:r>
        <w:rPr>
          <w:rFonts w:hint="default" w:ascii="Times New Roman" w:hAnsi="Times New Roman" w:eastAsia="方正仿宋_GBK" w:cs="Times New Roman"/>
          <w:b/>
          <w:bCs/>
          <w:color w:val="auto"/>
          <w:sz w:val="33"/>
          <w:szCs w:val="33"/>
          <w:highlight w:val="none"/>
          <w:shd w:val="clear" w:color="auto" w:fill="auto"/>
          <w:lang w:val="en-US" w:eastAsia="zh-CN"/>
        </w:rPr>
        <w:t>三是</w:t>
      </w:r>
      <w:r>
        <w:rPr>
          <w:rFonts w:hint="default" w:ascii="Times New Roman" w:hAnsi="Times New Roman" w:eastAsia="方正仿宋_GBK" w:cs="Times New Roman"/>
          <w:color w:val="auto"/>
          <w:sz w:val="33"/>
          <w:szCs w:val="33"/>
          <w:highlight w:val="none"/>
          <w:shd w:val="clear" w:color="auto" w:fill="auto"/>
          <w:lang w:val="en-US" w:eastAsia="zh-CN"/>
        </w:rPr>
        <w:t>相关单位加大耕地保护法律法规和政策宣传力度，制作耕地分布图、保护卡，采取走村入户、媒介等方式进行宣传，进一步强化全社会保护耕地意识。</w:t>
      </w:r>
    </w:p>
    <w:p w14:paraId="500D0EB9">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仿宋_GB2312" w:cs="Times New Roman"/>
          <w:color w:val="auto"/>
          <w:sz w:val="33"/>
          <w:szCs w:val="33"/>
          <w:highlight w:val="none"/>
          <w:shd w:val="clear" w:color="auto" w:fill="auto"/>
        </w:rPr>
      </w:pPr>
    </w:p>
    <w:p w14:paraId="4AFD63A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14:paraId="2666393E">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附件6</w:t>
      </w:r>
    </w:p>
    <w:p w14:paraId="489C42DA">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zh-CN"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w:t>
      </w:r>
      <w:r>
        <w:rPr>
          <w:rFonts w:hint="eastAsia" w:ascii="Times New Roman" w:hAnsi="Times New Roman" w:eastAsia="方正小标宋_GBK" w:cs="方正小标宋_GBK"/>
          <w:b/>
          <w:bCs/>
          <w:color w:val="auto"/>
          <w:sz w:val="38"/>
          <w:szCs w:val="38"/>
          <w:highlight w:val="none"/>
          <w:shd w:val="clear" w:color="auto" w:fill="auto"/>
          <w:lang w:val="zh-CN" w:eastAsia="zh-CN"/>
        </w:rPr>
        <w:t>宝鼎金沙小区配套道路工程进度款</w:t>
      </w:r>
    </w:p>
    <w:p w14:paraId="5C60F688">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rPr>
        <w:t>绩效评价报告</w:t>
      </w:r>
    </w:p>
    <w:p w14:paraId="613BFF9A">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宝鼎金沙小区配套道路工程进度款项目经费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27A87344">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106C954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60D6FCF4">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清香坪宝鼎金沙小区是我区规模最大、投资最多的棚户区改造安置小区，小区内配套建设了幼儿园、中小学等，项目的建成极大改善了西区工矿区的居住环境。但该小区内部基础设施不够完善，仅有一个出入口，道路路网系统未形成，加之三十六中小学生较多，小区内交通十分拥堵，行人与车辆之间的矛盾较大。为缓解该小区交通压力，经区委、区政府集体决策，西区于2018年启动攀枝花市西区宝鼎金沙小区配套道路项目立项工作，并由区住房城乡建设局作为项目业主。项目2023年预算安排160万元，截至2023年12月31日，实际支出140万元，预算执行率87.5%。</w:t>
      </w:r>
    </w:p>
    <w:p w14:paraId="3EE2CD1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75F15CF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该项目旨在优化西区交通路网结构，解决三十六中小上下学交通拥堵等问题，改善宝鼎金沙片区周边居民及三十六中小学校的环境，为居民生活提供方便，提升居民的幸福感、获得感和安全感。</w:t>
      </w:r>
    </w:p>
    <w:p w14:paraId="798AAA5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二、绩效评价工作开展情况</w:t>
      </w:r>
    </w:p>
    <w:p w14:paraId="57E277E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0D470A58">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eastAsia="zh-CN"/>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从决策、过程、产出、效益、满意度等维度对宝鼎金沙小区配套道路工程进度款的管理、审核和目标达成情况进行绩效评价，旨在总结工作成绩，发现实施管理中存在的问题和不足，提出改进意见和建议，强化项目管理，提高财政资金使用效益。</w:t>
      </w:r>
      <w:r>
        <w:rPr>
          <w:rFonts w:hint="default" w:ascii="Times New Roman" w:hAnsi="Times New Roman" w:eastAsia="仿宋_GB2312" w:cs="仿宋_GB2312"/>
          <w:color w:val="auto"/>
          <w:sz w:val="32"/>
          <w:szCs w:val="32"/>
          <w:highlight w:val="none"/>
          <w:shd w:val="clear" w:color="auto" w:fill="auto"/>
          <w:lang w:val="en-US" w:eastAsia="zh-CN"/>
        </w:rPr>
        <w:t xml:space="preserve"> </w:t>
      </w:r>
    </w:p>
    <w:p w14:paraId="2985F153">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65042A55">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项目进行全面绩效评价。</w:t>
      </w:r>
    </w:p>
    <w:p w14:paraId="55F10F16">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通用指标占20%</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权重</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，主要考察项目（含子项目）设立程序规范性、与</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宝鼎金沙配套道路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总体目标的匹配性、项目管理制度健全性、设定的绩效目标是否符合要求，预算编制规范性、资金使用和预算执行率，以及分配拨付及时、项目实施结果是否与规划计划一致、项目管理规范性等。 </w:t>
      </w:r>
    </w:p>
    <w:p w14:paraId="65D9A142">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产出指标占20%权重，考察各子项目完成情况、目标任务完成情况、</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验收情况</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及</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成本控制情况、各子项目开展及时性等，全面考察项目数量指标、质量指标、时效指标达成情况，以及成本控制有效性。 </w:t>
      </w:r>
    </w:p>
    <w:p w14:paraId="12ED2C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效果指标占50%权重，主要从</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正常运转率、投入使用率</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机制健全性等方面考察正常开展保障水平及可持续性。 </w:t>
      </w:r>
    </w:p>
    <w:p w14:paraId="16330846">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满意度指标占10%权重分，主要考察</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宝鼎金沙片区居住群众及三十六中小师生及家长</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对</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宝鼎金沙小区配套道路项目</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工作的满意度，以及</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使用者满意度情况。</w:t>
      </w:r>
    </w:p>
    <w:p w14:paraId="2B43DA9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422D4F66">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评价组在区住房城乡建设局开展</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绩效自评工作的基础上，通过收集项目文件资料，细化评价指标及评价标准，深入到项目点，实地查看项目实施情况、询问、查阅相关数据资料，定量和定性分析形成评价结论，经过复核和交换意见后，形成绩效评价报告。</w:t>
      </w:r>
    </w:p>
    <w:p w14:paraId="29EF9311">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b/>
          <w:bCs/>
          <w:color w:val="auto"/>
          <w:sz w:val="32"/>
          <w:szCs w:val="32"/>
          <w:highlight w:val="none"/>
          <w:shd w:val="clear" w:color="auto" w:fill="auto"/>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开展评价工作过程中，通过现场访谈、资料核查、比较法以及成本效益分析等方式对本项目进行绩效评价。</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通过与</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负责人及财务人员进行访谈，了解</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该</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项目的资金支出方向、项目执行情况及效益等，了解项目基本概况。</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评价组通过搜集和分析研究各种现存的有关项目资料、会计核算资料及设施设备采购及验收等资料，从中选取信息，以达到调查研究目的，核查</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的建设流程是否严密合规、支出范围是否合理、管理是否规范、各项资金支出是否准确等。</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实施情况与绩效目标、历史情况、进行比较的方法，评价组梳理本项目绩效目标，并实地踏勘、核查资料，将项目实施情况与绩效目标对比。</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将投入与产出、效益进行关联性分析的方法。评价组通过梳理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宝鼎金沙小区配套道路项目建设</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投入成本，了解项目实施以及使用情况，分析其投入是否发挥最大效益。</w:t>
      </w:r>
    </w:p>
    <w:p w14:paraId="1633759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6FA282C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决策程序较严密，规划较合理；资金分配较及时、项目管理较规范，基本达到预期绩效目标，绩效评价结果为良好，总体评价得分95分。</w:t>
      </w:r>
    </w:p>
    <w:p w14:paraId="32156CD5">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eastAsia" w:ascii="Times New Roman" w:hAnsi="Times New Roman" w:eastAsia="仿宋_GB2312" w:cs="Times New Roman"/>
          <w:b/>
          <w:color w:val="auto"/>
          <w:sz w:val="24"/>
          <w:szCs w:val="32"/>
          <w:highlight w:val="none"/>
          <w:shd w:val="clear" w:color="auto" w:fill="auto"/>
          <w:lang w:val="zh-CN"/>
        </w:rPr>
      </w:pPr>
      <w:r>
        <w:rPr>
          <w:rFonts w:hint="eastAsia" w:ascii="Times New Roman" w:hAnsi="Times New Roman" w:eastAsia="仿宋_GB2312" w:cs="Times New Roman"/>
          <w:b/>
          <w:color w:val="auto"/>
          <w:sz w:val="24"/>
          <w:szCs w:val="32"/>
          <w:highlight w:val="none"/>
          <w:shd w:val="clear" w:color="auto" w:fill="auto"/>
          <w:lang w:val="zh-CN" w:eastAsia="zh-CN"/>
        </w:rPr>
        <w:t>宝鼎金沙小区配套道路工程进度款项目</w:t>
      </w:r>
      <w:r>
        <w:rPr>
          <w:rFonts w:hint="eastAsia" w:ascii="Times New Roman" w:hAnsi="Times New Roman" w:eastAsia="仿宋_GB2312" w:cs="Times New Roman"/>
          <w:b/>
          <w:color w:val="auto"/>
          <w:sz w:val="24"/>
          <w:szCs w:val="32"/>
          <w:highlight w:val="none"/>
          <w:shd w:val="clear" w:color="auto" w:fill="auto"/>
          <w:lang w:val="zh-CN"/>
        </w:rPr>
        <w:t>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0F9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14:paraId="4394DA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076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3"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57.75pt;margin-top:35.25pt;height:0pt;width:0.05pt;z-index:25168076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FKNaOjdAQAAzQMAAA4A&#10;AAAAAAAAAQAgAAAAJAEAAGRycy9lMm9Eb2MueG1sUEsFBgAAAAAGAAYAWQEAAHM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179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4"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57.75pt;margin-top:35.25pt;height:0pt;width:0.05pt;z-index:25168179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Dkv4N7dAQAAzQMAAA4A&#10;AAAAAAAAAQAgAAAAJAEAAGRycy9lMm9Eb2MueG1sUEsFBgAAAAAGAAYAWQEAAHM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281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5"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57.75pt;margin-top:35.25pt;height:0pt;width:0.05pt;z-index:25168281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SAOW1QAAAAkBAAAPAAAAAAAA&#10;AAEAIAAAACIAAABkcnMvZG93bnJldi54bWxQSwECFAAUAAAACACHTuJAkhjqptwBAADN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384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6"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57.75pt;margin-top:35.25pt;height:0pt;width:0.05pt;z-index:25168384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NIlcCPdAQAAzQMAAA4A&#10;AAAAAAAAAQAgAAAAJAEAAGRycy9lMm9Eb2MueG1sUEsFBgAAAAAGAAYAWQEAAHMFAAAAAA==&#10;">
                      <v:fill on="f" focussize="0,0"/>
                      <v:stroke color="#000000" joinstyle="round"/>
                      <v:imagedata o:title=""/>
                      <o:lock v:ext="edit" aspectratio="f"/>
                    </v:line>
                  </w:pict>
                </mc:Fallback>
              </mc:AlternateContent>
            </w:r>
          </w:p>
        </w:tc>
        <w:tc>
          <w:tcPr>
            <w:tcW w:w="1701" w:type="dxa"/>
            <w:vAlign w:val="center"/>
          </w:tcPr>
          <w:p w14:paraId="13C618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27" w:type="dxa"/>
            <w:vAlign w:val="center"/>
          </w:tcPr>
          <w:p w14:paraId="019978F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43" w:type="dxa"/>
            <w:vAlign w:val="center"/>
          </w:tcPr>
          <w:p w14:paraId="32F9BA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39" w:type="dxa"/>
            <w:vAlign w:val="center"/>
          </w:tcPr>
          <w:p w14:paraId="3203AFD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14:paraId="5B6C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14:paraId="12FFBD0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14:paraId="1DE5B46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1701" w:type="dxa"/>
            <w:vMerge w:val="restart"/>
            <w:vAlign w:val="center"/>
          </w:tcPr>
          <w:p w14:paraId="254A021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14:paraId="0EDA504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27" w:type="dxa"/>
            <w:vAlign w:val="center"/>
          </w:tcPr>
          <w:p w14:paraId="3D1DA15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43" w:type="dxa"/>
            <w:vAlign w:val="center"/>
          </w:tcPr>
          <w:p w14:paraId="52B9EFF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26F2E46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7E13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14:paraId="45D5E5F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093BA94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40B611D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43" w:type="dxa"/>
            <w:vAlign w:val="center"/>
          </w:tcPr>
          <w:p w14:paraId="668AE3A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74F6EB94">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14:paraId="15F2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48EAF2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78A4C61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3924A55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43" w:type="dxa"/>
            <w:vAlign w:val="center"/>
          </w:tcPr>
          <w:p w14:paraId="289761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77B1677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D16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0CF429D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55C2B4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14:paraId="03EAD63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tc>
        <w:tc>
          <w:tcPr>
            <w:tcW w:w="2427" w:type="dxa"/>
            <w:vAlign w:val="center"/>
          </w:tcPr>
          <w:p w14:paraId="5C9143E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43" w:type="dxa"/>
            <w:vAlign w:val="center"/>
          </w:tcPr>
          <w:p w14:paraId="25BE1D5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D285EB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0590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14:paraId="29C9E99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715B52E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531C4E4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43" w:type="dxa"/>
            <w:vAlign w:val="center"/>
          </w:tcPr>
          <w:p w14:paraId="5FC2233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2C40598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5657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14:paraId="2AB5AC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1FB85E1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7D95E7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43" w:type="dxa"/>
            <w:vAlign w:val="center"/>
          </w:tcPr>
          <w:p w14:paraId="1C2D474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20D9EBC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5500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12" w:type="dxa"/>
            <w:vMerge w:val="continue"/>
            <w:vAlign w:val="center"/>
          </w:tcPr>
          <w:p w14:paraId="19F8CDA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266A31F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3C90198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43" w:type="dxa"/>
            <w:vAlign w:val="center"/>
          </w:tcPr>
          <w:p w14:paraId="710B825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c>
          <w:tcPr>
            <w:tcW w:w="1139" w:type="dxa"/>
            <w:vAlign w:val="center"/>
          </w:tcPr>
          <w:p w14:paraId="4281F3A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14:paraId="23DA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14:paraId="634CFE9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063D701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14:paraId="43BF6FC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14:paraId="4347F36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43" w:type="dxa"/>
            <w:vAlign w:val="center"/>
          </w:tcPr>
          <w:p w14:paraId="00F3C56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19BD252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90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6BA192B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38149A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5D1AC8B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43" w:type="dxa"/>
            <w:vAlign w:val="center"/>
          </w:tcPr>
          <w:p w14:paraId="153D35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6BD825B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6D97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14:paraId="51C785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0033A0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71D21E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198DB96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14:paraId="3705DF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tc>
        <w:tc>
          <w:tcPr>
            <w:tcW w:w="1701" w:type="dxa"/>
            <w:vMerge w:val="restart"/>
            <w:vAlign w:val="center"/>
          </w:tcPr>
          <w:p w14:paraId="16C0B46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14:paraId="078DAD4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14:paraId="0A977BC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43" w:type="dxa"/>
            <w:vAlign w:val="center"/>
          </w:tcPr>
          <w:p w14:paraId="24BB957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90DBB5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14:paraId="5E4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14:paraId="11A386E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0249889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3691F94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43" w:type="dxa"/>
            <w:vAlign w:val="center"/>
          </w:tcPr>
          <w:p w14:paraId="390D964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55A0E278">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E8E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14:paraId="118D768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012611B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14:paraId="24B0E7C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27" w:type="dxa"/>
            <w:vAlign w:val="center"/>
          </w:tcPr>
          <w:p w14:paraId="1A2B0A7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43" w:type="dxa"/>
            <w:vAlign w:val="center"/>
          </w:tcPr>
          <w:p w14:paraId="6E0D4A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58FB948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5173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7BD9022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64B6C6A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10A14AE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43" w:type="dxa"/>
            <w:vAlign w:val="center"/>
          </w:tcPr>
          <w:p w14:paraId="4AA54DA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053C720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040F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0B2318E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7A04E2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16E8B45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43" w:type="dxa"/>
            <w:vAlign w:val="center"/>
          </w:tcPr>
          <w:p w14:paraId="2135B47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64100BF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58CF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14:paraId="0877B4D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01A560A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14:paraId="4D44C38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14:paraId="2735F29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43" w:type="dxa"/>
            <w:vAlign w:val="center"/>
          </w:tcPr>
          <w:p w14:paraId="30249C7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39EB4F0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2E4E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4D76DA6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6F06584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4CE5215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43" w:type="dxa"/>
            <w:vAlign w:val="center"/>
          </w:tcPr>
          <w:p w14:paraId="50D8691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731A91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1C8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1DE880B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55980E7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14:paraId="4461DBE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14:paraId="7056CA8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43" w:type="dxa"/>
            <w:vAlign w:val="center"/>
          </w:tcPr>
          <w:p w14:paraId="5FA7118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339F42B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514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61A262C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4C075B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602294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43" w:type="dxa"/>
            <w:vAlign w:val="center"/>
          </w:tcPr>
          <w:p w14:paraId="4D66519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59F568F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14:paraId="7B41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3BE9D24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4426EE8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6DB6082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43" w:type="dxa"/>
            <w:vAlign w:val="center"/>
          </w:tcPr>
          <w:p w14:paraId="197B8DC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5961B16C">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14:paraId="3575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14:paraId="27C028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2CD4999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AE3350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14:paraId="2922FFE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14:paraId="7C9D502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7104A49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5A3FE1A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14:paraId="6DC8097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2427" w:type="dxa"/>
            <w:vAlign w:val="center"/>
          </w:tcPr>
          <w:p w14:paraId="74C1F5C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43" w:type="dxa"/>
            <w:vAlign w:val="center"/>
          </w:tcPr>
          <w:p w14:paraId="1AF51BB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3DFF812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6906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7E6DFC1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23FDF3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036B444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43" w:type="dxa"/>
            <w:vAlign w:val="center"/>
          </w:tcPr>
          <w:p w14:paraId="3074BF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5D5D9F1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1D89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5451C28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3FA70E2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71FBBBF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43" w:type="dxa"/>
            <w:vAlign w:val="center"/>
          </w:tcPr>
          <w:p w14:paraId="0B9753C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0757C0D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14:paraId="5B28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51CDA62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1C25DDE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76281FC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43" w:type="dxa"/>
            <w:vAlign w:val="center"/>
          </w:tcPr>
          <w:p w14:paraId="1790CCE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414E47EE">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4B58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04D9F3C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6EF3BB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73055D1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43" w:type="dxa"/>
            <w:vAlign w:val="center"/>
          </w:tcPr>
          <w:p w14:paraId="3C7EBE4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7E8CE25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14:paraId="5530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58B30A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14:paraId="3457EFC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14:paraId="67405EC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14:paraId="2B6C839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27" w:type="dxa"/>
            <w:vAlign w:val="center"/>
          </w:tcPr>
          <w:p w14:paraId="5F96C4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43" w:type="dxa"/>
            <w:vAlign w:val="center"/>
          </w:tcPr>
          <w:p w14:paraId="1C27C4D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5EF0E88B">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color w:val="auto"/>
                <w:sz w:val="20"/>
                <w:szCs w:val="20"/>
                <w:highlight w:val="none"/>
                <w:shd w:val="clear" w:color="auto" w:fill="auto"/>
                <w:lang w:val="en-US"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14:paraId="472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12583E2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1C9EF6D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03C3AB7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43" w:type="dxa"/>
            <w:vAlign w:val="center"/>
          </w:tcPr>
          <w:p w14:paraId="5BF85AE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15969BE4">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14:paraId="76D8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6BB7F3C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64417A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6C81AF6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43" w:type="dxa"/>
            <w:vAlign w:val="center"/>
          </w:tcPr>
          <w:p w14:paraId="33EFAE7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11B7219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14:paraId="7D0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1D8A5BA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14:paraId="514EE5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14:paraId="2853772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43" w:type="dxa"/>
            <w:vAlign w:val="center"/>
          </w:tcPr>
          <w:p w14:paraId="2E99386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3133210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14:paraId="0349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4DF4D7E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Align w:val="center"/>
          </w:tcPr>
          <w:p w14:paraId="2041B73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14:paraId="78B3E02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27" w:type="dxa"/>
            <w:vAlign w:val="center"/>
          </w:tcPr>
          <w:p w14:paraId="10AFA00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43" w:type="dxa"/>
            <w:vAlign w:val="center"/>
          </w:tcPr>
          <w:p w14:paraId="6E3EDD3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vAlign w:val="center"/>
          </w:tcPr>
          <w:p w14:paraId="57C17DC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14:paraId="0514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14:paraId="2DFCFD1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43" w:type="dxa"/>
            <w:vAlign w:val="center"/>
          </w:tcPr>
          <w:p w14:paraId="3060A30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vAlign w:val="center"/>
          </w:tcPr>
          <w:p w14:paraId="57658AB7">
            <w:pPr>
              <w:keepNext w:val="0"/>
              <w:keepLines w:val="0"/>
              <w:pageBreakBefore w:val="0"/>
              <w:widowControl w:val="0"/>
              <w:kinsoku/>
              <w:wordWrap/>
              <w:overflowPunct/>
              <w:topLinePunct w:val="0"/>
              <w:autoSpaceDE/>
              <w:autoSpaceDN/>
              <w:bidi w:val="0"/>
              <w:spacing w:line="240" w:lineRule="auto"/>
              <w:jc w:val="center"/>
              <w:textAlignment w:val="center"/>
              <w:rPr>
                <w:rFonts w:hint="default" w:ascii="Times New Roman" w:hAnsi="Times New Roman" w:eastAsia="仿宋_GB2312" w:cs="Times New Roman"/>
                <w:color w:val="auto"/>
                <w:sz w:val="20"/>
                <w:szCs w:val="20"/>
                <w:highlight w:val="none"/>
                <w:shd w:val="clear" w:color="auto" w:fill="auto"/>
                <w:lang w:val="en-US" w:eastAsia="zh-CN"/>
              </w:rPr>
            </w:pPr>
            <w:r>
              <w:rPr>
                <w:rFonts w:hint="eastAsia" w:ascii="Times New Roman" w:hAnsi="Times New Roman" w:eastAsia="仿宋_GB2312" w:cs="Times New Roman"/>
                <w:color w:val="auto"/>
                <w:kern w:val="0"/>
                <w:sz w:val="20"/>
                <w:szCs w:val="20"/>
                <w:highlight w:val="none"/>
                <w:shd w:val="clear" w:color="auto" w:fill="auto"/>
                <w:lang w:val="en-US" w:eastAsia="zh-CN"/>
              </w:rPr>
              <w:t>95</w:t>
            </w:r>
          </w:p>
        </w:tc>
      </w:tr>
    </w:tbl>
    <w:p w14:paraId="01970E83">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4EA731A1">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2194EBE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项目实施依据充分，程序严密，规划合理。为适应经济社会发展需求，缓解宝鼎金沙小区交通压力，方便居民生活，经区委、区政府集体决策，西区2018年以来全面推进</w:t>
      </w:r>
      <w:r>
        <w:rPr>
          <w:rFonts w:hint="eastAsia" w:ascii="Times New Roman" w:hAnsi="Times New Roman" w:eastAsia="方正仿宋_GBK" w:cs="Times New Roman"/>
          <w:color w:val="auto"/>
          <w:sz w:val="33"/>
          <w:szCs w:val="33"/>
          <w:highlight w:val="none"/>
          <w:shd w:val="clear" w:color="auto" w:fill="auto"/>
          <w:lang w:val="zh-CN" w:eastAsia="zh-CN"/>
        </w:rPr>
        <w:t>宝鼎金沙小区配套道路建设</w:t>
      </w:r>
      <w:r>
        <w:rPr>
          <w:rFonts w:hint="eastAsia" w:ascii="Times New Roman" w:hAnsi="Times New Roman" w:eastAsia="方正仿宋_GBK" w:cs="Times New Roman"/>
          <w:color w:val="auto"/>
          <w:sz w:val="33"/>
          <w:szCs w:val="33"/>
          <w:highlight w:val="none"/>
          <w:shd w:val="clear" w:color="auto" w:fill="auto"/>
          <w:lang w:val="en-US" w:eastAsia="zh-CN"/>
        </w:rPr>
        <w:t>工作。</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实施依据充分。项目由区住房城乡建设局按要求立项申报，由项目经办人在申报项目预算时，列明项目概况、项目申报依据、项目设立必要性、项目总目标、项目测算依据等明细内容，经区政府常务会研究审定后区发改局出具立项批复。项目立项程序规范、立项材料齐全，按照规定的审批权限申请，并经过集体议事决策，项目审批文件、材料规范、完整，符合立项相关要求。</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实施程序严密。项目符合区委、区政府对西区项目实施的重大决策部署和宏观政策规划，项目年度绩效目标与年初既定目标一致。</w:t>
      </w:r>
    </w:p>
    <w:p w14:paraId="00C445D7">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5A42DE8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区住房城乡建设局2023年向区政府专题报告《</w:t>
      </w:r>
      <w:r>
        <w:rPr>
          <w:rFonts w:hint="default" w:ascii="Times New Roman" w:hAnsi="Times New Roman" w:eastAsia="方正仿宋_GBK" w:cs="Times New Roman"/>
          <w:color w:val="auto"/>
          <w:sz w:val="33"/>
          <w:szCs w:val="33"/>
          <w:highlight w:val="none"/>
          <w:shd w:val="clear" w:color="auto" w:fill="auto"/>
          <w:lang w:val="en-US" w:eastAsia="zh-CN"/>
        </w:rPr>
        <w:t>关于解决宝鼎金沙小区配套道路工程</w:t>
      </w:r>
      <w:r>
        <w:rPr>
          <w:rFonts w:hint="eastAsia" w:ascii="Times New Roman" w:hAnsi="Times New Roman" w:eastAsia="方正仿宋_GBK" w:cs="Times New Roman"/>
          <w:color w:val="auto"/>
          <w:sz w:val="33"/>
          <w:szCs w:val="33"/>
          <w:highlight w:val="none"/>
          <w:shd w:val="clear" w:color="auto" w:fill="auto"/>
          <w:lang w:val="en-US" w:eastAsia="zh-CN"/>
        </w:rPr>
        <w:t>进度款的请示》</w:t>
      </w:r>
      <w:r>
        <w:rPr>
          <w:rFonts w:hint="eastAsia" w:ascii="Times New Roman" w:hAnsi="Times New Roman" w:eastAsia="方正仿宋_GBK" w:cs="Times New Roman"/>
          <w:color w:val="auto"/>
          <w:sz w:val="33"/>
          <w:szCs w:val="33"/>
          <w:highlight w:val="none"/>
          <w:shd w:val="clear" w:color="auto" w:fill="auto"/>
          <w:lang w:val="zh-CN" w:eastAsia="zh-CN"/>
        </w:rPr>
        <w:t>（攀西住建〔202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179</w:t>
      </w:r>
      <w:r>
        <w:rPr>
          <w:rFonts w:hint="eastAsia" w:ascii="Times New Roman" w:hAnsi="Times New Roman" w:eastAsia="方正仿宋_GBK" w:cs="Times New Roman"/>
          <w:color w:val="auto"/>
          <w:sz w:val="33"/>
          <w:szCs w:val="33"/>
          <w:highlight w:val="none"/>
          <w:shd w:val="clear" w:color="auto" w:fill="auto"/>
          <w:lang w:val="zh-CN" w:eastAsia="zh-CN"/>
        </w:rPr>
        <w:t>号），共计申报资金</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eastAsia="zh-CN"/>
        </w:rPr>
        <w:t>区财政局按照相关程序，下达宝鼎金沙小区配套道路工程进度款项目预算</w:t>
      </w:r>
      <w:r>
        <w:rPr>
          <w:rFonts w:hint="eastAsia" w:ascii="Times New Roman" w:hAnsi="Times New Roman" w:eastAsia="方正仿宋_GBK" w:cs="Times New Roman"/>
          <w:color w:val="auto"/>
          <w:sz w:val="33"/>
          <w:szCs w:val="33"/>
          <w:highlight w:val="none"/>
          <w:shd w:val="clear" w:color="auto" w:fill="auto"/>
          <w:lang w:val="en-US" w:eastAsia="zh-CN"/>
        </w:rPr>
        <w:t>资金160万元。</w:t>
      </w:r>
      <w:r>
        <w:rPr>
          <w:rFonts w:hint="eastAsia" w:ascii="Times New Roman" w:hAnsi="Times New Roman" w:eastAsia="方正仿宋_GBK" w:cs="Times New Roman"/>
          <w:color w:val="auto"/>
          <w:sz w:val="33"/>
          <w:szCs w:val="33"/>
          <w:highlight w:val="none"/>
          <w:shd w:val="clear" w:color="auto" w:fill="auto"/>
        </w:rPr>
        <w:t>在实施过程中，于</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rPr>
        <w:t>年申请并批复资金共计</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rPr>
        <w:t>年12月底，所有计划资金全部到位，共计</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rPr>
        <w:t>年</w:t>
      </w:r>
      <w:r>
        <w:rPr>
          <w:rFonts w:hint="eastAsia" w:ascii="Times New Roman" w:hAnsi="Times New Roman" w:eastAsia="方正仿宋_GBK" w:cs="Times New Roman"/>
          <w:color w:val="auto"/>
          <w:sz w:val="33"/>
          <w:szCs w:val="33"/>
          <w:highlight w:val="none"/>
          <w:shd w:val="clear" w:color="auto" w:fill="auto"/>
          <w:lang w:val="zh-CN" w:eastAsia="zh-CN"/>
        </w:rPr>
        <w:t>12</w:t>
      </w:r>
      <w:r>
        <w:rPr>
          <w:rFonts w:hint="eastAsia" w:ascii="Times New Roman" w:hAnsi="Times New Roman" w:eastAsia="方正仿宋_GBK" w:cs="Times New Roman"/>
          <w:color w:val="auto"/>
          <w:sz w:val="33"/>
          <w:szCs w:val="33"/>
          <w:highlight w:val="none"/>
          <w:shd w:val="clear" w:color="auto" w:fill="auto"/>
          <w:lang w:val="zh-CN"/>
        </w:rPr>
        <w:t>月</w:t>
      </w:r>
      <w:r>
        <w:rPr>
          <w:rFonts w:hint="eastAsia" w:ascii="Times New Roman" w:hAnsi="Times New Roman" w:eastAsia="方正仿宋_GBK" w:cs="Times New Roman"/>
          <w:color w:val="auto"/>
          <w:sz w:val="33"/>
          <w:szCs w:val="33"/>
          <w:highlight w:val="none"/>
          <w:shd w:val="clear" w:color="auto" w:fill="auto"/>
          <w:lang w:val="zh-CN" w:eastAsia="zh-CN"/>
        </w:rPr>
        <w:t>底，宝鼎金沙小区配套道路工程进度款项目</w:t>
      </w:r>
      <w:r>
        <w:rPr>
          <w:rFonts w:hint="eastAsia" w:ascii="Times New Roman" w:hAnsi="Times New Roman" w:eastAsia="方正仿宋_GBK" w:cs="Times New Roman"/>
          <w:color w:val="auto"/>
          <w:sz w:val="33"/>
          <w:szCs w:val="33"/>
          <w:highlight w:val="none"/>
          <w:shd w:val="clear" w:color="auto" w:fill="auto"/>
          <w:lang w:val="en-US" w:eastAsia="zh-CN"/>
        </w:rPr>
        <w:t>资金到位160万元，已使用140万元</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lang w:val="zh-CN" w:eastAsia="zh-CN"/>
        </w:rPr>
        <w:t>该项目由住建局下属股室房管股年初拟定用款计划，严格按照项目资金管理办法对资金进行申请、划拨、使用，局财务室根据业务股室报账资料及时、规范对收支进行账务处理和会计核算。</w:t>
      </w:r>
    </w:p>
    <w:p w14:paraId="5C7D327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10ED8E0D">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zh-CN" w:eastAsia="zh-CN"/>
        </w:rPr>
        <w:t>项目</w:t>
      </w:r>
      <w:r>
        <w:rPr>
          <w:rFonts w:hint="eastAsia" w:ascii="Times New Roman" w:hAnsi="Times New Roman" w:eastAsia="方正仿宋_GBK" w:cs="Times New Roman"/>
          <w:color w:val="auto"/>
          <w:sz w:val="33"/>
          <w:szCs w:val="33"/>
          <w:highlight w:val="none"/>
          <w:shd w:val="clear" w:color="auto" w:fill="auto"/>
          <w:lang w:val="en-US" w:eastAsia="zh-CN"/>
        </w:rPr>
        <w:t>决策程序基本完备，目标任务完成情况较好，该项目已于2023年11月建成并投入使用。</w:t>
      </w:r>
    </w:p>
    <w:p w14:paraId="2FCA6CB7">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0C97C2F5">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b/>
          <w:bCs/>
          <w:color w:val="auto"/>
          <w:sz w:val="32"/>
          <w:szCs w:val="32"/>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该项目的实施优化了西区交通路网结构，解决了三十六中小上下学交通拥堵等问题，切实改善宝鼎金沙片区周边居民及三十六中小学校的环境，为居民生活提供方便，大大提升居民的幸福感、获得感和安全感。</w:t>
      </w:r>
    </w:p>
    <w:p w14:paraId="41CE2BD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4BB7FC77">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项目监管资料归档不规范，监管效率不高。</w:t>
      </w:r>
    </w:p>
    <w:p w14:paraId="628988F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1AB7512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加强项目全流程监管，继续完善项目实施方案和管理制度。建立健全项目档案管理制度，及时归集整理审核审批资料、工程合同等工程资料，做到项目管理有“迹”可循，有“证”可查，进一步提高项目管理水平。</w:t>
      </w:r>
    </w:p>
    <w:p w14:paraId="0D1F4785">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仿宋_GB2312"/>
          <w:b w:val="0"/>
          <w:bCs w:val="0"/>
          <w:color w:val="auto"/>
          <w:sz w:val="32"/>
          <w:szCs w:val="32"/>
          <w:highlight w:val="none"/>
          <w:shd w:val="clear" w:color="auto" w:fill="auto"/>
          <w:lang w:val="en-US" w:eastAsia="zh-CN"/>
        </w:rPr>
      </w:pPr>
    </w:p>
    <w:p w14:paraId="7492EE4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14:paraId="009A0200">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附件7</w:t>
      </w:r>
    </w:p>
    <w:p w14:paraId="689337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auto"/>
          <w:kern w:val="2"/>
          <w:sz w:val="38"/>
          <w:szCs w:val="38"/>
          <w:highlight w:val="none"/>
          <w:shd w:val="clear" w:color="auto" w:fill="auto"/>
          <w:lang w:val="en-US" w:eastAsia="zh-CN" w:bidi="ar-SA"/>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w:t>
      </w:r>
      <w:r>
        <w:rPr>
          <w:rFonts w:hint="eastAsia" w:ascii="Times New Roman" w:hAnsi="Times New Roman" w:eastAsia="方正小标宋_GBK" w:cs="方正小标宋_GBK"/>
          <w:b/>
          <w:bCs/>
          <w:color w:val="auto"/>
          <w:sz w:val="38"/>
          <w:szCs w:val="38"/>
          <w:highlight w:val="none"/>
          <w:shd w:val="clear" w:color="auto" w:fill="auto"/>
          <w:lang w:val="zh-CN" w:eastAsia="zh-CN"/>
        </w:rPr>
        <w:t>西区既有住宅电梯增设有关费用绩效评价报告</w:t>
      </w:r>
    </w:p>
    <w:p w14:paraId="29B28052">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西区既有住宅电梯增设有关费用</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77BD8A1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09DD53A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6431E4FF">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适应经济社会发展需求和人口老龄化趋势，进一步完善西区既有住宅建筑使用功能，提高既有住宅区的居住品质，方便居民生活，推进居家养老事业发展。西区2022年以来全面推进既有住宅增设电梯工作，制定了《攀枝花市西区既有住宅增设电梯工作方案》《西区既有住宅增设电梯开工前实际操作办法》等规范性文件，指导增设电梯工作规范有序实施。为切实提高辖区居民增设电梯积极性，省市给予每部增设电梯资金补助，在省市补助资金基础上，西区适当提高了区级增设电梯补助标准（2022年12月开工，给予5万元/部补助，每提前1个月增加5000元；建立电梯筹资共管账户，且所有参与增设电梯的业主缴纳自筹资金的即为开工）</w:t>
      </w:r>
      <w:r>
        <w:rPr>
          <w:rFonts w:hint="eastAsia" w:ascii="Times New Roman" w:hAnsi="Times New Roman" w:eastAsia="方正仿宋_GBK" w:cs="Times New Roman"/>
          <w:color w:val="auto"/>
          <w:kern w:val="2"/>
          <w:sz w:val="33"/>
          <w:szCs w:val="33"/>
          <w:highlight w:val="none"/>
          <w:shd w:val="clear" w:color="auto" w:fill="auto"/>
          <w:lang w:val="zh-CN" w:eastAsia="zh-CN" w:bidi="ar-SA"/>
        </w:rPr>
        <w:t>。2023年西区既有住宅电梯增设有关费用预算资金为200万元，截至2023年12月31日，</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支付</w:t>
      </w:r>
      <w:r>
        <w:rPr>
          <w:rFonts w:hint="eastAsia" w:ascii="Times New Roman" w:hAnsi="Times New Roman" w:eastAsia="方正仿宋_GBK" w:cs="Times New Roman"/>
          <w:color w:val="auto"/>
          <w:kern w:val="2"/>
          <w:sz w:val="33"/>
          <w:szCs w:val="33"/>
          <w:highlight w:val="none"/>
          <w:shd w:val="clear" w:color="auto" w:fill="auto"/>
          <w:lang w:val="zh-CN" w:eastAsia="zh-CN" w:bidi="ar-SA"/>
        </w:rPr>
        <w:t>167万元。</w:t>
      </w:r>
    </w:p>
    <w:p w14:paraId="198CA3A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b/>
          <w:bCs w:val="0"/>
          <w:color w:val="auto"/>
          <w:sz w:val="32"/>
          <w:szCs w:val="32"/>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7A17D83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通过实施老旧住宅加装电梯，可切实改善老旧小区居民的居住环境，为居民生活提供方便，完善老旧住宅楼的使用功能，大大提升居民的幸福感、获得感和安全感。</w:t>
      </w:r>
    </w:p>
    <w:p w14:paraId="7FC5725D">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二、绩效评价工作开展情况</w:t>
      </w:r>
    </w:p>
    <w:p w14:paraId="499610B8">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55C0C300">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eastAsia="zh-CN"/>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从决策、过程、产出、效益、满意度等维度对西区既有住宅电梯增设有关费用的管理、审核和目标达成情况进行绩效评价，旨在总结工作成绩，发现实施管理中存在的问题和不足，提出改进意见和建议，强化项目管理，提高财政资金使用效益。</w:t>
      </w:r>
      <w:r>
        <w:rPr>
          <w:rFonts w:hint="default" w:ascii="Times New Roman" w:hAnsi="Times New Roman" w:eastAsia="仿宋_GB2312" w:cs="仿宋_GB2312"/>
          <w:color w:val="auto"/>
          <w:sz w:val="32"/>
          <w:szCs w:val="32"/>
          <w:highlight w:val="none"/>
          <w:shd w:val="clear" w:color="auto" w:fill="auto"/>
          <w:lang w:val="en-US" w:eastAsia="zh-CN"/>
        </w:rPr>
        <w:t xml:space="preserve"> </w:t>
      </w:r>
    </w:p>
    <w:p w14:paraId="7B6DE38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47EC8D67">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项目进行全面绩效评价。</w:t>
      </w:r>
    </w:p>
    <w:p w14:paraId="24957985">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通用指标占20%权重分，主要考察项目（含子项目）设立程序规范性、与既有住宅加装电梯总体目标的匹配性、项目管理制度健全性、设定的绩效目标是否符合要求，预算编制规范性、资金使用和预算执行率，以及分配拨付及时、项目实施结果是否与规划计划一致、项目管理规范性等。 </w:t>
      </w:r>
    </w:p>
    <w:p w14:paraId="00ECA29B">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产出指标占20%权重分，考察各子项目完成情况、目标任务完成情况、既有住宅电梯加装验收情况及成本控制情况、各子项目开展及时性等，全面考察项目数量指标、质量指标、时效指标达成情况，以及成本控制有效性。 </w:t>
      </w:r>
    </w:p>
    <w:p w14:paraId="281AF956">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效果指标占50%权重分，主要从设备正常运转率、电梯投入使用率、机制健全性等方面考察既有住宅加装电梯工作正常开展保障水平及可持续性。 </w:t>
      </w:r>
    </w:p>
    <w:p w14:paraId="5E1BB60A">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满意度指标占10%权重分，主要考察群众对既有住宅加装电梯工作的满意度，以及电梯设备使用者满意度情况。</w:t>
      </w:r>
    </w:p>
    <w:p w14:paraId="27AD2617">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5048AC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在区住房城乡建设局开展</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绩效自评工作的基础上，通过收集项目文件资料，细化评价指标及评价标准，深入到项目点，实地查看项目实施情况、询问、查阅相关数据资料，定量和定性分析形成评价结论，经过复核和交换意见后，形成绩效评价报告。</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通过与</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负责人及财务人员进行访谈，了解</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既有住宅电梯增设</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项目的资金支出方向、项目执行情况及效益等，了解项目基本概况。</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评价组通过搜集和分析研究各种现存的有关项目资料、会计核算资料及设施设备采购及验收等资料，从中选取信息，以达到调查研究目的，核查</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的建设流程是否严密合规、支出范围是否合理、管理是否规范、各项资金支出是否准确等。</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实施情况与绩效目标、历史情况、进行比较的方法，评价组梳理本项目绩效目标，并实地踏勘、核查资料，将项目实施情况与绩效目标对比。</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将投入与产出、效益进行关联性分析的方法。评价组通过梳理既有住宅加装电梯设施设备采购投入成本，了解项目实施以及使用情况，分析其投入是否发挥最大效益。</w:t>
      </w:r>
    </w:p>
    <w:p w14:paraId="02F96A3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3D144B1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决策程序较严密，规划较合理；资金分配较及时、项目管理较规范，基本</w:t>
      </w:r>
      <w:r>
        <w:rPr>
          <w:rFonts w:hint="eastAsia" w:ascii="Times New Roman" w:hAnsi="Times New Roman" w:eastAsia="方正仿宋_GBK" w:cs="Times New Roman"/>
          <w:b w:val="0"/>
          <w:bCs w:val="0"/>
          <w:color w:val="auto"/>
          <w:spacing w:val="6"/>
          <w:kern w:val="2"/>
          <w:sz w:val="33"/>
          <w:szCs w:val="33"/>
          <w:highlight w:val="none"/>
          <w:shd w:val="clear" w:color="auto" w:fill="auto"/>
          <w:lang w:val="en-US" w:eastAsia="zh-CN" w:bidi="ar-SA"/>
        </w:rPr>
        <w:t>达到预期绩效目标，绩效评价结果为良好，总体评价得分95分</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w:t>
      </w:r>
    </w:p>
    <w:p w14:paraId="18712EDB">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eastAsia" w:ascii="Times New Roman" w:hAnsi="Times New Roman" w:eastAsia="仿宋_GB2312" w:cs="Times New Roman"/>
          <w:b/>
          <w:color w:val="auto"/>
          <w:sz w:val="24"/>
          <w:szCs w:val="32"/>
          <w:highlight w:val="none"/>
          <w:shd w:val="clear" w:color="auto" w:fill="auto"/>
          <w:lang w:val="zh-CN" w:eastAsia="zh-CN"/>
        </w:rPr>
      </w:pPr>
      <w:r>
        <w:rPr>
          <w:rFonts w:hint="eastAsia" w:ascii="Times New Roman" w:hAnsi="Times New Roman" w:eastAsia="仿宋_GB2312" w:cs="Times New Roman"/>
          <w:b/>
          <w:color w:val="auto"/>
          <w:sz w:val="24"/>
          <w:szCs w:val="32"/>
          <w:highlight w:val="none"/>
          <w:shd w:val="clear" w:color="auto" w:fill="auto"/>
          <w:lang w:val="zh-CN" w:eastAsia="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eastAsia="zh-CN"/>
        </w:rPr>
        <w:t>年西区既有住宅电梯增设有关费用项目绩效得分表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029A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14:paraId="72754D5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一级指标</w: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486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7"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57.75pt;margin-top:35.25pt;height:0pt;width:0.05pt;z-index:25168486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SAOW1QAAAAkBAAAPAAAAAAAA&#10;AAEAIAAAACIAAABkcnMvZG93bnJldi54bWxQSwECFAAUAAAACACHTuJApvl199wBAADNAwAADgAA&#10;AAAAAAABACAAAAAkAQAAZHJzL2Uyb0RvYy54bWxQSwUGAAAAAAYABgBZAQAAcgU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588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8"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57.75pt;margin-top:35.25pt;height:0pt;width:0.05pt;z-index:2516858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NpjqXzdAQAAzQMAAA4A&#10;AAAAAAAAAQAgAAAAJA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691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9"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57.75pt;margin-top:35.25pt;height:0pt;width:0.05pt;z-index:2516869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HFUowTdAQAAzQMAAA4A&#10;AAAAAAAAAQAgAAAAJA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793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0"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57.75pt;margin-top:35.25pt;height:0pt;width:0.05pt;z-index:2516879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kgDltUAAAAJAQAADwAAAAAA&#10;AAABACAAAAAiAAAAZHJzL2Rvd25yZXYueG1sUEsBAhQAFAAAAAgAh07iQBvThIPdAQAAzQMAAA4A&#10;AAAAAAAAAQAgAAAAJAEAAGRycy9lMm9Eb2MueG1sUEsFBgAAAAAGAAYAWQEAAHMFAAAAAA==&#10;">
                      <v:fill on="f" focussize="0,0"/>
                      <v:stroke color="#000000" joinstyle="round"/>
                      <v:imagedata o:title=""/>
                      <o:lock v:ext="edit" aspectratio="f"/>
                    </v:line>
                  </w:pict>
                </mc:Fallback>
              </mc:AlternateContent>
            </w:r>
          </w:p>
        </w:tc>
        <w:tc>
          <w:tcPr>
            <w:tcW w:w="1701" w:type="dxa"/>
            <w:vAlign w:val="center"/>
          </w:tcPr>
          <w:p w14:paraId="5F51259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二级指标</w:t>
            </w:r>
          </w:p>
        </w:tc>
        <w:tc>
          <w:tcPr>
            <w:tcW w:w="2427" w:type="dxa"/>
            <w:vAlign w:val="center"/>
          </w:tcPr>
          <w:p w14:paraId="263160F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三级指标</w:t>
            </w:r>
          </w:p>
        </w:tc>
        <w:tc>
          <w:tcPr>
            <w:tcW w:w="1343" w:type="dxa"/>
            <w:vAlign w:val="center"/>
          </w:tcPr>
          <w:p w14:paraId="469A23F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分值</w:t>
            </w:r>
          </w:p>
        </w:tc>
        <w:tc>
          <w:tcPr>
            <w:tcW w:w="1139" w:type="dxa"/>
            <w:vAlign w:val="center"/>
          </w:tcPr>
          <w:p w14:paraId="448E7F1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得分</w:t>
            </w:r>
          </w:p>
        </w:tc>
      </w:tr>
      <w:tr w14:paraId="0581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14:paraId="4241730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项目决策</w:t>
            </w:r>
          </w:p>
          <w:p w14:paraId="6ED4DFD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tc>
        <w:tc>
          <w:tcPr>
            <w:tcW w:w="1701" w:type="dxa"/>
            <w:vMerge w:val="restart"/>
            <w:vAlign w:val="center"/>
          </w:tcPr>
          <w:p w14:paraId="6B75D84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绩效目标</w:t>
            </w:r>
          </w:p>
          <w:p w14:paraId="6EF897E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（6分）</w:t>
            </w:r>
          </w:p>
        </w:tc>
        <w:tc>
          <w:tcPr>
            <w:tcW w:w="2427" w:type="dxa"/>
            <w:vAlign w:val="center"/>
          </w:tcPr>
          <w:p w14:paraId="1F44C6E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目标内容</w:t>
            </w:r>
          </w:p>
        </w:tc>
        <w:tc>
          <w:tcPr>
            <w:tcW w:w="1343" w:type="dxa"/>
            <w:vAlign w:val="center"/>
          </w:tcPr>
          <w:p w14:paraId="6B494B7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612AC26D">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055C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14:paraId="687AF74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52E6245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4D4FB0D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进度计划</w:t>
            </w:r>
          </w:p>
        </w:tc>
        <w:tc>
          <w:tcPr>
            <w:tcW w:w="1343" w:type="dxa"/>
            <w:vAlign w:val="center"/>
          </w:tcPr>
          <w:p w14:paraId="5D7213C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4B346D9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r>
      <w:tr w14:paraId="732A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5964AB8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22B0BCB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7254DC0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目标匹配</w:t>
            </w:r>
          </w:p>
        </w:tc>
        <w:tc>
          <w:tcPr>
            <w:tcW w:w="1343" w:type="dxa"/>
            <w:vAlign w:val="center"/>
          </w:tcPr>
          <w:p w14:paraId="705FA54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09637027">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765C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594DC10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1DB5EE6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决策依据</w:t>
            </w:r>
          </w:p>
          <w:p w14:paraId="3264AED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（10分）</w:t>
            </w:r>
          </w:p>
        </w:tc>
        <w:tc>
          <w:tcPr>
            <w:tcW w:w="2427" w:type="dxa"/>
            <w:vAlign w:val="center"/>
          </w:tcPr>
          <w:p w14:paraId="44CB10E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政策依据</w:t>
            </w:r>
          </w:p>
        </w:tc>
        <w:tc>
          <w:tcPr>
            <w:tcW w:w="1343" w:type="dxa"/>
            <w:vAlign w:val="center"/>
          </w:tcPr>
          <w:p w14:paraId="6199E0A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186BFA61">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700C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14:paraId="29C8547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6D43AEB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522DCF1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程序严密</w:t>
            </w:r>
          </w:p>
        </w:tc>
        <w:tc>
          <w:tcPr>
            <w:tcW w:w="1343" w:type="dxa"/>
            <w:vAlign w:val="center"/>
          </w:tcPr>
          <w:p w14:paraId="3DF5D04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29CB127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359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14:paraId="440418D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5FB5B1D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0E22B0F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结果符合</w:t>
            </w:r>
          </w:p>
        </w:tc>
        <w:tc>
          <w:tcPr>
            <w:tcW w:w="1343" w:type="dxa"/>
            <w:vAlign w:val="center"/>
          </w:tcPr>
          <w:p w14:paraId="3BEFBD0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610ED85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70B4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12" w:type="dxa"/>
            <w:vMerge w:val="continue"/>
            <w:vAlign w:val="center"/>
          </w:tcPr>
          <w:p w14:paraId="7466D05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1047CF3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46B4AB7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实施规划</w:t>
            </w:r>
          </w:p>
        </w:tc>
        <w:tc>
          <w:tcPr>
            <w:tcW w:w="1343" w:type="dxa"/>
            <w:vAlign w:val="center"/>
          </w:tcPr>
          <w:p w14:paraId="03BD866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c>
          <w:tcPr>
            <w:tcW w:w="1139" w:type="dxa"/>
            <w:vAlign w:val="center"/>
          </w:tcPr>
          <w:p w14:paraId="3B74837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r>
      <w:tr w14:paraId="66EB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14:paraId="13978E6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1B3A9BD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分配结果</w:t>
            </w:r>
          </w:p>
          <w:p w14:paraId="0EE1490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14:paraId="4F25E8F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分配过程</w:t>
            </w:r>
          </w:p>
        </w:tc>
        <w:tc>
          <w:tcPr>
            <w:tcW w:w="1343" w:type="dxa"/>
            <w:vAlign w:val="center"/>
          </w:tcPr>
          <w:p w14:paraId="30320E5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286371E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26D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3FD27C1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61C8CD3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0B106EA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审核把关</w:t>
            </w:r>
          </w:p>
        </w:tc>
        <w:tc>
          <w:tcPr>
            <w:tcW w:w="1343" w:type="dxa"/>
            <w:vAlign w:val="center"/>
          </w:tcPr>
          <w:p w14:paraId="4026742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124F8DD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774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14:paraId="2A37924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项目管理</w:t>
            </w:r>
          </w:p>
          <w:p w14:paraId="35AE374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（15分）</w:t>
            </w:r>
          </w:p>
        </w:tc>
        <w:tc>
          <w:tcPr>
            <w:tcW w:w="1701" w:type="dxa"/>
            <w:vMerge w:val="restart"/>
            <w:vAlign w:val="center"/>
          </w:tcPr>
          <w:p w14:paraId="034A011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资金到位</w:t>
            </w:r>
          </w:p>
          <w:p w14:paraId="0270DC4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14:paraId="6B1BAF2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分配时效</w:t>
            </w:r>
          </w:p>
        </w:tc>
        <w:tc>
          <w:tcPr>
            <w:tcW w:w="1343" w:type="dxa"/>
            <w:vAlign w:val="center"/>
          </w:tcPr>
          <w:p w14:paraId="07D3B49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4B55983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r>
      <w:tr w14:paraId="3E3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14:paraId="034E972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20BE81C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3FB09E4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资金拨付</w:t>
            </w:r>
          </w:p>
        </w:tc>
        <w:tc>
          <w:tcPr>
            <w:tcW w:w="1343" w:type="dxa"/>
            <w:vAlign w:val="center"/>
          </w:tcPr>
          <w:p w14:paraId="2035446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469A94E4">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6CCC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14:paraId="4C5FD28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568746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资金管理</w:t>
            </w:r>
          </w:p>
          <w:p w14:paraId="6442215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（3分）</w:t>
            </w:r>
          </w:p>
        </w:tc>
        <w:tc>
          <w:tcPr>
            <w:tcW w:w="2427" w:type="dxa"/>
            <w:vAlign w:val="center"/>
          </w:tcPr>
          <w:p w14:paraId="21981CC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使用范围</w:t>
            </w:r>
          </w:p>
        </w:tc>
        <w:tc>
          <w:tcPr>
            <w:tcW w:w="1343" w:type="dxa"/>
            <w:vAlign w:val="center"/>
          </w:tcPr>
          <w:p w14:paraId="3402F9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14:paraId="48500D81">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59E3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7C82F6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669F3E6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78918C3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支付依据</w:t>
            </w:r>
          </w:p>
        </w:tc>
        <w:tc>
          <w:tcPr>
            <w:tcW w:w="1343" w:type="dxa"/>
            <w:vAlign w:val="center"/>
          </w:tcPr>
          <w:p w14:paraId="654A068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14:paraId="3C982C0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75CA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14:paraId="6C00C05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17F1FE6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7831014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开支标准</w:t>
            </w:r>
          </w:p>
        </w:tc>
        <w:tc>
          <w:tcPr>
            <w:tcW w:w="1343" w:type="dxa"/>
            <w:vAlign w:val="center"/>
          </w:tcPr>
          <w:p w14:paraId="2D6F76D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14:paraId="476E0DB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4B17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14:paraId="5DCCAB4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2314FA4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财务管理</w:t>
            </w:r>
          </w:p>
          <w:p w14:paraId="58AD04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14:paraId="245BFCA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财务制度</w:t>
            </w:r>
          </w:p>
        </w:tc>
        <w:tc>
          <w:tcPr>
            <w:tcW w:w="1343" w:type="dxa"/>
            <w:vAlign w:val="center"/>
          </w:tcPr>
          <w:p w14:paraId="68873D1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4C74A92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1FC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69630A7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2CEF7AB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3260191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会计核算</w:t>
            </w:r>
          </w:p>
        </w:tc>
        <w:tc>
          <w:tcPr>
            <w:tcW w:w="1343" w:type="dxa"/>
            <w:vAlign w:val="center"/>
          </w:tcPr>
          <w:p w14:paraId="7425C3C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78873E19">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1C6C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72937B0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33E9035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组织实施</w:t>
            </w:r>
          </w:p>
          <w:p w14:paraId="61F8AF1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14:paraId="7F9F6C6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项目调整</w:t>
            </w:r>
          </w:p>
        </w:tc>
        <w:tc>
          <w:tcPr>
            <w:tcW w:w="1343" w:type="dxa"/>
            <w:vAlign w:val="center"/>
          </w:tcPr>
          <w:p w14:paraId="0A0269E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14:paraId="51C89C1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11A4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07B59A4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2635BB6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3DA40AA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投资变更</w:t>
            </w:r>
          </w:p>
        </w:tc>
        <w:tc>
          <w:tcPr>
            <w:tcW w:w="1343" w:type="dxa"/>
            <w:vAlign w:val="center"/>
          </w:tcPr>
          <w:p w14:paraId="321E518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14:paraId="5CF6291C">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4DC1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2984F6B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5B65C6E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14B0AE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制度执行</w:t>
            </w:r>
          </w:p>
        </w:tc>
        <w:tc>
          <w:tcPr>
            <w:tcW w:w="1343" w:type="dxa"/>
            <w:vAlign w:val="center"/>
          </w:tcPr>
          <w:p w14:paraId="6D09A63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14:paraId="379E21BC">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1B4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14:paraId="3F40959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14:paraId="1A4D9E1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14:paraId="6C7ABE3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项目绩效</w:t>
            </w:r>
          </w:p>
          <w:p w14:paraId="3642777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（特性指标65分）</w:t>
            </w:r>
          </w:p>
          <w:p w14:paraId="57C0C72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14:paraId="4482925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33FC750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项目完成</w:t>
            </w:r>
          </w:p>
          <w:p w14:paraId="7A94BE3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tc>
        <w:tc>
          <w:tcPr>
            <w:tcW w:w="2427" w:type="dxa"/>
            <w:vAlign w:val="center"/>
          </w:tcPr>
          <w:p w14:paraId="35DB373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完成数量</w:t>
            </w:r>
          </w:p>
        </w:tc>
        <w:tc>
          <w:tcPr>
            <w:tcW w:w="1343" w:type="dxa"/>
            <w:vAlign w:val="center"/>
          </w:tcPr>
          <w:p w14:paraId="61A7D61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14:paraId="163BB6A1">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0E3F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20951D8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5416B62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4875991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完成质量</w:t>
            </w:r>
          </w:p>
        </w:tc>
        <w:tc>
          <w:tcPr>
            <w:tcW w:w="1343" w:type="dxa"/>
            <w:vAlign w:val="center"/>
          </w:tcPr>
          <w:p w14:paraId="2B02A1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14:paraId="646A6017">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08A5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790AECC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6928FB9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22A5D63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完成时效</w:t>
            </w:r>
          </w:p>
        </w:tc>
        <w:tc>
          <w:tcPr>
            <w:tcW w:w="1343" w:type="dxa"/>
            <w:vAlign w:val="center"/>
          </w:tcPr>
          <w:p w14:paraId="574EB5C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14:paraId="536D3A7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3</w:t>
            </w:r>
          </w:p>
        </w:tc>
      </w:tr>
      <w:tr w14:paraId="47F3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54502BD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032F35B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246633E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完成成本</w:t>
            </w:r>
          </w:p>
        </w:tc>
        <w:tc>
          <w:tcPr>
            <w:tcW w:w="1343" w:type="dxa"/>
            <w:vAlign w:val="center"/>
          </w:tcPr>
          <w:p w14:paraId="741644B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14:paraId="5947B98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13A3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38B5A75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2658664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5EF05FA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违规纪律</w:t>
            </w:r>
          </w:p>
        </w:tc>
        <w:tc>
          <w:tcPr>
            <w:tcW w:w="1343" w:type="dxa"/>
            <w:vAlign w:val="center"/>
          </w:tcPr>
          <w:p w14:paraId="5C1868D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14:paraId="12386384">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03AE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11BBEEA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14:paraId="6B9EC4A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14:paraId="753B049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项目效益</w:t>
            </w:r>
          </w:p>
          <w:p w14:paraId="6080ECA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（40分）</w:t>
            </w:r>
          </w:p>
        </w:tc>
        <w:tc>
          <w:tcPr>
            <w:tcW w:w="2427" w:type="dxa"/>
            <w:vAlign w:val="center"/>
          </w:tcPr>
          <w:p w14:paraId="72479DA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经济效益</w:t>
            </w:r>
          </w:p>
        </w:tc>
        <w:tc>
          <w:tcPr>
            <w:tcW w:w="1343" w:type="dxa"/>
            <w:vAlign w:val="center"/>
          </w:tcPr>
          <w:p w14:paraId="61FF4B8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14:paraId="64C76329">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531F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78811E8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7BD3D60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211DC46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社会效益</w:t>
            </w:r>
          </w:p>
        </w:tc>
        <w:tc>
          <w:tcPr>
            <w:tcW w:w="1343" w:type="dxa"/>
            <w:vAlign w:val="center"/>
          </w:tcPr>
          <w:p w14:paraId="6D85A7E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14:paraId="23DFFC4D">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5705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116EB7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18501DB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5970EC7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生态效益</w:t>
            </w:r>
          </w:p>
        </w:tc>
        <w:tc>
          <w:tcPr>
            <w:tcW w:w="1343" w:type="dxa"/>
            <w:vAlign w:val="center"/>
          </w:tcPr>
          <w:p w14:paraId="34DD38F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14:paraId="4291CDA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7755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1CC1501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14:paraId="3B64BA9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14:paraId="1045F94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可持续效益</w:t>
            </w:r>
          </w:p>
        </w:tc>
        <w:tc>
          <w:tcPr>
            <w:tcW w:w="1343" w:type="dxa"/>
            <w:vAlign w:val="center"/>
          </w:tcPr>
          <w:p w14:paraId="566CE68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14:paraId="3901A7E4">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38F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14:paraId="7D3E45C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Align w:val="center"/>
          </w:tcPr>
          <w:p w14:paraId="3453721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满意度</w:t>
            </w:r>
          </w:p>
          <w:p w14:paraId="013C215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（5分）</w:t>
            </w:r>
          </w:p>
        </w:tc>
        <w:tc>
          <w:tcPr>
            <w:tcW w:w="2427" w:type="dxa"/>
            <w:vAlign w:val="center"/>
          </w:tcPr>
          <w:p w14:paraId="4A4F3D7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服务对象满意度</w:t>
            </w:r>
          </w:p>
        </w:tc>
        <w:tc>
          <w:tcPr>
            <w:tcW w:w="1343" w:type="dxa"/>
            <w:vAlign w:val="center"/>
          </w:tcPr>
          <w:p w14:paraId="560FACA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c>
          <w:tcPr>
            <w:tcW w:w="1139" w:type="dxa"/>
            <w:vAlign w:val="center"/>
          </w:tcPr>
          <w:p w14:paraId="1CDED61D">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r>
      <w:tr w14:paraId="271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14:paraId="6C98D17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合　　　　计</w:t>
            </w:r>
          </w:p>
        </w:tc>
        <w:tc>
          <w:tcPr>
            <w:tcW w:w="1343" w:type="dxa"/>
            <w:vAlign w:val="center"/>
          </w:tcPr>
          <w:p w14:paraId="6D718E9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100</w:t>
            </w:r>
          </w:p>
        </w:tc>
        <w:tc>
          <w:tcPr>
            <w:tcW w:w="1139" w:type="dxa"/>
            <w:vAlign w:val="center"/>
          </w:tcPr>
          <w:p w14:paraId="327531D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rPr>
              <w:t>95</w:t>
            </w:r>
          </w:p>
        </w:tc>
      </w:tr>
    </w:tbl>
    <w:p w14:paraId="42E2F376">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3931A461">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417FA473">
      <w:pPr>
        <w:keepNext w:val="0"/>
        <w:keepLines w:val="0"/>
        <w:pageBreakBefore w:val="0"/>
        <w:widowControl w:val="0"/>
        <w:suppressLineNumbers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程序严密，规划合理。为适应经济社会发展需求和人口老龄化趋势，进一步完善西区既有住宅建筑使用功能，提高既有住宅区的居住品质，方便居民生活，推进居家养老事业发展，西区2022年以来全面推进既有住宅增设电梯工作，指导增设电梯工作规范有序实施。</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项目实施依据充分。项目申请审批由区住房城乡建设局根据辖区各小区业主申报和资金需求情况提出资金申请，报经区政府审批后设立。经评价组核查，各子项目均按照流程执行。</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项目实施程序严密。项目符合区委、区政府对西区项目实施的重大决</w:t>
      </w:r>
      <w:r>
        <w:rPr>
          <w:rFonts w:hint="eastAsia" w:ascii="Times New Roman" w:hAnsi="Times New Roman" w:eastAsia="方正仿宋_GBK" w:cs="Times New Roman"/>
          <w:color w:val="auto"/>
          <w:spacing w:val="-6"/>
          <w:sz w:val="33"/>
          <w:szCs w:val="33"/>
          <w:highlight w:val="none"/>
          <w:shd w:val="clear" w:color="auto" w:fill="auto"/>
          <w:lang w:val="en-US" w:eastAsia="zh-CN"/>
        </w:rPr>
        <w:t>策部署和宏观政策规划，项目年度绩效目标与年初既定目标一致</w:t>
      </w:r>
      <w:r>
        <w:rPr>
          <w:rFonts w:hint="eastAsia" w:ascii="Times New Roman" w:hAnsi="Times New Roman" w:eastAsia="方正仿宋_GBK" w:cs="Times New Roman"/>
          <w:color w:val="auto"/>
          <w:sz w:val="33"/>
          <w:szCs w:val="33"/>
          <w:highlight w:val="none"/>
          <w:shd w:val="clear" w:color="auto" w:fill="auto"/>
          <w:lang w:val="en-US" w:eastAsia="zh-CN"/>
        </w:rPr>
        <w:t>。</w:t>
      </w:r>
    </w:p>
    <w:p w14:paraId="25926F7F">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2E639CB0">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区住房城乡建设局2023年向区政府专题报告《</w:t>
      </w:r>
      <w:r>
        <w:rPr>
          <w:rFonts w:hint="eastAsia" w:ascii="Times New Roman" w:hAnsi="Times New Roman" w:eastAsia="方正仿宋_GBK" w:cs="Times New Roman"/>
          <w:color w:val="auto"/>
          <w:sz w:val="33"/>
          <w:szCs w:val="33"/>
          <w:highlight w:val="none"/>
          <w:shd w:val="clear" w:color="auto" w:fill="auto"/>
          <w:lang w:val="zh-CN" w:eastAsia="zh-CN"/>
        </w:rPr>
        <w:t>关于解决西区既有住宅电梯增设相关费用的请示</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lang w:val="zh-CN" w:eastAsia="zh-CN"/>
        </w:rPr>
        <w:t>（攀西住建〔202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88</w:t>
      </w:r>
      <w:r>
        <w:rPr>
          <w:rFonts w:hint="eastAsia" w:ascii="Times New Roman" w:hAnsi="Times New Roman" w:eastAsia="方正仿宋_GBK" w:cs="Times New Roman"/>
          <w:color w:val="auto"/>
          <w:sz w:val="33"/>
          <w:szCs w:val="33"/>
          <w:highlight w:val="none"/>
          <w:shd w:val="clear" w:color="auto" w:fill="auto"/>
          <w:lang w:val="zh-CN" w:eastAsia="zh-CN"/>
        </w:rPr>
        <w:t>号）、《关于解决西区既有住宅电梯增设相关费用的请示》（攀西住建〔202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240</w:t>
      </w:r>
      <w:r>
        <w:rPr>
          <w:rFonts w:hint="eastAsia" w:ascii="Times New Roman" w:hAnsi="Times New Roman" w:eastAsia="方正仿宋_GBK" w:cs="Times New Roman"/>
          <w:color w:val="auto"/>
          <w:sz w:val="33"/>
          <w:szCs w:val="33"/>
          <w:highlight w:val="none"/>
          <w:shd w:val="clear" w:color="auto" w:fill="auto"/>
          <w:lang w:val="zh-CN" w:eastAsia="zh-CN"/>
        </w:rPr>
        <w:t>号），共计申报资金</w:t>
      </w:r>
      <w:r>
        <w:rPr>
          <w:rFonts w:hint="eastAsia" w:ascii="Times New Roman" w:hAnsi="Times New Roman" w:eastAsia="方正仿宋_GBK" w:cs="Times New Roman"/>
          <w:color w:val="auto"/>
          <w:sz w:val="33"/>
          <w:szCs w:val="33"/>
          <w:highlight w:val="none"/>
          <w:shd w:val="clear" w:color="auto" w:fill="auto"/>
          <w:lang w:val="en-US" w:eastAsia="zh-CN"/>
        </w:rPr>
        <w:t>200万元，</w:t>
      </w:r>
      <w:r>
        <w:rPr>
          <w:rFonts w:hint="eastAsia" w:ascii="Times New Roman" w:hAnsi="Times New Roman" w:eastAsia="方正仿宋_GBK" w:cs="Times New Roman"/>
          <w:color w:val="auto"/>
          <w:sz w:val="33"/>
          <w:szCs w:val="33"/>
          <w:highlight w:val="none"/>
          <w:shd w:val="clear" w:color="auto" w:fill="auto"/>
          <w:lang w:val="zh-CN" w:eastAsia="zh-CN"/>
        </w:rPr>
        <w:t>区财政局按照相关程序，下达西区既有住宅电梯增设有关费用项目预算</w:t>
      </w:r>
      <w:r>
        <w:rPr>
          <w:rFonts w:hint="eastAsia" w:ascii="Times New Roman" w:hAnsi="Times New Roman" w:eastAsia="方正仿宋_GBK" w:cs="Times New Roman"/>
          <w:color w:val="auto"/>
          <w:sz w:val="33"/>
          <w:szCs w:val="33"/>
          <w:highlight w:val="none"/>
          <w:shd w:val="clear" w:color="auto" w:fill="auto"/>
          <w:lang w:val="en-US" w:eastAsia="zh-CN"/>
        </w:rPr>
        <w:t>资金200万元。在实施过程中，于2023年申请并批复资金共计200万元，</w:t>
      </w:r>
      <w:r>
        <w:rPr>
          <w:rFonts w:hint="eastAsia" w:ascii="Times New Roman" w:hAnsi="Times New Roman" w:eastAsia="方正仿宋_GBK" w:cs="Times New Roman"/>
          <w:color w:val="auto"/>
          <w:sz w:val="33"/>
          <w:szCs w:val="33"/>
          <w:highlight w:val="none"/>
          <w:shd w:val="clear" w:color="auto" w:fill="auto"/>
          <w:lang w:val="zh-CN" w:eastAsia="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eastAsia="zh-CN"/>
        </w:rPr>
        <w:t>年12月底，</w:t>
      </w:r>
      <w:r>
        <w:rPr>
          <w:rFonts w:hint="eastAsia" w:ascii="Times New Roman" w:hAnsi="Times New Roman" w:eastAsia="方正仿宋_GBK" w:cs="Times New Roman"/>
          <w:color w:val="auto"/>
          <w:sz w:val="33"/>
          <w:szCs w:val="33"/>
          <w:highlight w:val="none"/>
          <w:shd w:val="clear" w:color="auto" w:fill="auto"/>
          <w:lang w:val="en-US" w:eastAsia="zh-CN"/>
        </w:rPr>
        <w:t>使用167万元</w:t>
      </w:r>
      <w:r>
        <w:rPr>
          <w:rFonts w:hint="eastAsia" w:ascii="Times New Roman" w:hAnsi="Times New Roman" w:eastAsia="方正仿宋_GBK" w:cs="Times New Roman"/>
          <w:color w:val="auto"/>
          <w:sz w:val="33"/>
          <w:szCs w:val="33"/>
          <w:highlight w:val="none"/>
          <w:shd w:val="clear" w:color="auto" w:fill="auto"/>
          <w:lang w:val="zh-CN" w:eastAsia="zh-CN"/>
        </w:rPr>
        <w:t>。该项目资金由住建局下属股室建设股年初拟定用款计划，严格按照项目资金管理办法对资金进行申请、划拨、使用，局财务室根据业务股室报账资料及时、规范对收支进行账务处理和会计核算。</w:t>
      </w:r>
    </w:p>
    <w:p w14:paraId="11E812B0">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561A7981">
      <w:pPr>
        <w:keepNext w:val="0"/>
        <w:keepLines w:val="0"/>
        <w:pageBreakBefore w:val="0"/>
        <w:widowControl w:val="0"/>
        <w:suppressLineNumbers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预算编制合理，预算执行率较高。经评价组核查，该项目属于民生实事类项目，区住房城乡建设局根据既有住宅加装电梯资金需求经区政府审批后设立，预算编制符合规定。</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资金分配及时，支出方向合规。该项目资金来源于西区区级财政资金，本项目总投入资金200万元，由项目主管部门根据项目实施进度据实申报资金，财政国库统一支付，资金拨付及时。评价组对西区住房城乡建设局以及其下属单位、格里坪镇、街道、社区、</w:t>
      </w:r>
      <w:r>
        <w:rPr>
          <w:rFonts w:hint="eastAsia" w:ascii="Times New Roman" w:hAnsi="Times New Roman" w:eastAsia="方正仿宋_GBK" w:cs="Times New Roman"/>
          <w:color w:val="auto"/>
          <w:sz w:val="33"/>
          <w:szCs w:val="33"/>
          <w:highlight w:val="none"/>
          <w:shd w:val="clear" w:color="auto" w:fill="auto"/>
          <w:lang w:val="zh-CN" w:eastAsia="zh-CN"/>
        </w:rPr>
        <w:t>西区既有住宅电梯增设有关费用项目</w:t>
      </w:r>
      <w:r>
        <w:rPr>
          <w:rFonts w:hint="eastAsia" w:ascii="Times New Roman" w:hAnsi="Times New Roman" w:eastAsia="方正仿宋_GBK" w:cs="Times New Roman"/>
          <w:color w:val="auto"/>
          <w:sz w:val="33"/>
          <w:szCs w:val="33"/>
          <w:highlight w:val="none"/>
          <w:shd w:val="clear" w:color="auto" w:fill="auto"/>
          <w:lang w:val="en-US" w:eastAsia="zh-CN"/>
        </w:rPr>
        <w:t>施工单位等进行实地调研及资料核查，发现项目资金支出范围全部用于项目建设，项目支出方向符合专项资金管理办法规定。</w:t>
      </w:r>
    </w:p>
    <w:p w14:paraId="4ECE2242">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611F6420">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zh-CN" w:eastAsia="zh-CN"/>
        </w:rPr>
      </w:pPr>
      <w:r>
        <w:rPr>
          <w:rFonts w:hint="eastAsia" w:ascii="Times New Roman" w:hAnsi="Times New Roman" w:eastAsia="方正仿宋_GBK" w:cs="Times New Roman"/>
          <w:color w:val="auto"/>
          <w:sz w:val="33"/>
          <w:szCs w:val="33"/>
          <w:highlight w:val="none"/>
          <w:shd w:val="clear" w:color="auto" w:fill="auto"/>
          <w:lang w:val="en-US" w:eastAsia="zh-CN"/>
        </w:rPr>
        <w:t>西区</w:t>
      </w:r>
      <w:r>
        <w:rPr>
          <w:rFonts w:hint="eastAsia" w:ascii="Times New Roman" w:hAnsi="Times New Roman" w:eastAsia="方正仿宋_GBK" w:cs="Times New Roman"/>
          <w:color w:val="auto"/>
          <w:sz w:val="33"/>
          <w:szCs w:val="33"/>
          <w:highlight w:val="none"/>
          <w:shd w:val="clear" w:color="auto" w:fill="auto"/>
          <w:lang w:val="zh-CN" w:eastAsia="zh-CN"/>
        </w:rPr>
        <w:t>既有住宅电梯增设项目</w:t>
      </w:r>
      <w:r>
        <w:rPr>
          <w:rFonts w:hint="eastAsia" w:ascii="Times New Roman" w:hAnsi="Times New Roman" w:eastAsia="方正仿宋_GBK" w:cs="Times New Roman"/>
          <w:color w:val="auto"/>
          <w:sz w:val="33"/>
          <w:szCs w:val="33"/>
          <w:highlight w:val="none"/>
          <w:shd w:val="clear" w:color="auto" w:fill="auto"/>
          <w:lang w:val="en-US" w:eastAsia="zh-CN"/>
        </w:rPr>
        <w:t>目标任务完成情况较好，决策程序基本完备，目前已基本建成并部分投入使用。老旧小区加装电梯是为民办实事的民生工程和发展工程，通过实施老旧住宅加装电梯，可切实改善老旧小区居民的居住环境，为居民生活提供方便，完善老旧住宅楼的使用功能，大大提升居民的幸福感、获得感和安全感。</w:t>
      </w:r>
    </w:p>
    <w:p w14:paraId="0116AD8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3821DF7E">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bCs/>
          <w:color w:val="auto"/>
          <w:sz w:val="33"/>
          <w:szCs w:val="33"/>
          <w:highlight w:val="none"/>
          <w:shd w:val="clear" w:color="auto" w:fill="auto"/>
          <w:lang w:val="en-US" w:eastAsia="zh-CN"/>
        </w:rPr>
      </w:pPr>
      <w:r>
        <w:rPr>
          <w:rFonts w:hint="eastAsia" w:ascii="Times New Roman" w:hAnsi="Times New Roman" w:eastAsia="方正仿宋_GBK" w:cs="Times New Roman"/>
          <w:b w:val="0"/>
          <w:bCs w:val="0"/>
          <w:color w:val="auto"/>
          <w:sz w:val="33"/>
          <w:szCs w:val="33"/>
          <w:highlight w:val="none"/>
          <w:shd w:val="clear" w:color="auto" w:fill="auto"/>
          <w:lang w:val="en-US" w:eastAsia="zh-CN"/>
        </w:rPr>
        <w:t>项目规划不到位，对项目资金的计划存在偏差，资金使用效益不高。该项目年度预算申报200万元，实际支出数167万元，预算执行率为83.5%。</w:t>
      </w:r>
    </w:p>
    <w:p w14:paraId="6A5036F0">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7F25197E">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zh-CN" w:eastAsia="zh-CN" w:bidi="ar-SA"/>
        </w:rPr>
      </w:pP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加强资金管理，提高预算执行率。建议区住房城乡建设局严格按照《中华人民共和国预算法》相关规定，在项目规划前期做好预算编制、管理、执行的工作，提高预算编制的合理性。</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color w:val="auto"/>
          <w:kern w:val="2"/>
          <w:sz w:val="33"/>
          <w:szCs w:val="33"/>
          <w:highlight w:val="none"/>
          <w:shd w:val="clear" w:color="auto" w:fill="auto"/>
          <w:lang w:val="zh-CN" w:eastAsia="zh-CN" w:bidi="ar-SA"/>
        </w:rPr>
        <w:t>督促施工单位做好西区既有住宅电梯增设有关费用项目后期质保及整改工作，进一步提高辖区老旧小区既有住宅加装电梯使用人员及服务质量。</w:t>
      </w:r>
    </w:p>
    <w:p w14:paraId="348381A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14:paraId="7558E5B3">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附件8</w:t>
      </w:r>
    </w:p>
    <w:p w14:paraId="44F7EB0A">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2023年区级粮食轮换及储备（含执法）工作经费</w:t>
      </w:r>
    </w:p>
    <w:p w14:paraId="07FC9501">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绩效评价报告</w:t>
      </w:r>
    </w:p>
    <w:p w14:paraId="4D9F801E">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区级粮食轮换及储备（含执法）工作经费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4F47C80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0275B7C4">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3" w:firstLineChars="200"/>
        <w:jc w:val="both"/>
        <w:textAlignment w:val="auto"/>
        <w:rPr>
          <w:rFonts w:hint="eastAsia"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523D8637">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做好粮食储备管理，确保粮食安全，维护市场稳定，保障国家粮食安全‌，攀枝花市西区发展和改革局负责落实地方储备粮食任务和储备粮油日常监管；负责监督管理全区粮食专项扶持资金的使用；会同有关部门拟订区级储备粮财务管理制度，监督管理粮食风险基金、政策性粮食财务挂账、政策性粮食补贴资金。2023年区级粮食轮换及储备（含执法）工作经费预算资金为100万元，截至2023年12月31日，共计支出70.11万元，预算执行率为70.11%。</w:t>
      </w:r>
    </w:p>
    <w:p w14:paraId="2440BBA3">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1B650014">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完成2023年市政府下达区级粮食储备任务，区级粮食储备共5120吨（其中小麦3000吨，稻谷2010吨，小包装食用油110吨）。</w:t>
      </w:r>
    </w:p>
    <w:p w14:paraId="6A034D0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3AA51B0E">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34C7556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从决策、过程、产出、效益、满意度等维度对区级粮食轮换及储备（含执法）工作经费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14:paraId="047E3EE9">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08CA92D6">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等，分别依据计划标准、行业标准、历史标准等评价标准，对区级粮食轮换及储备（含执法）工作经费进行全面绩效评价。</w:t>
      </w:r>
    </w:p>
    <w:p w14:paraId="5FD5BA0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5C645C5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14:paraId="028BBE92">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14:paraId="5B710226">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根据资料收集的情况，按照支出绩效评价指标体系，以定量与定性相结合的方式，对项目绩效情况进行判断，对项目存在的问题进行分析，对各项考评指标进行自评。</w:t>
      </w:r>
    </w:p>
    <w:p w14:paraId="013B1532">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14:paraId="2BF54B6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623BDA0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总体来看，</w:t>
      </w:r>
      <w:r>
        <w:rPr>
          <w:rFonts w:hint="eastAsia" w:ascii="Times New Roman" w:hAnsi="Times New Roman" w:eastAsia="方正仿宋_GBK" w:cs="Times New Roman"/>
          <w:color w:val="auto"/>
          <w:sz w:val="33"/>
          <w:szCs w:val="33"/>
          <w:highlight w:val="none"/>
          <w:shd w:val="clear" w:color="auto" w:fill="auto"/>
        </w:rPr>
        <w:t>区级粮食轮换及储备（含执法）工作</w:t>
      </w:r>
      <w:r>
        <w:rPr>
          <w:rFonts w:hint="eastAsia" w:ascii="Times New Roman" w:hAnsi="Times New Roman" w:eastAsia="方正仿宋_GBK" w:cs="Times New Roman"/>
          <w:color w:val="auto"/>
          <w:sz w:val="33"/>
          <w:szCs w:val="33"/>
          <w:highlight w:val="none"/>
          <w:shd w:val="clear" w:color="auto" w:fill="auto"/>
          <w:lang w:val="en-US" w:eastAsia="zh-CN"/>
        </w:rPr>
        <w:t>项目执行情况良好，财政资金充分发挥了财政效益，基本达到预期目标。</w:t>
      </w:r>
      <w:r>
        <w:rPr>
          <w:rFonts w:ascii="Times New Roman" w:hAnsi="Times New Roman" w:eastAsia="方正仿宋_GBK" w:cs="Times New Roman"/>
          <w:color w:val="auto"/>
          <w:sz w:val="33"/>
          <w:szCs w:val="33"/>
          <w:highlight w:val="none"/>
          <w:shd w:val="clear" w:color="auto" w:fill="auto"/>
        </w:rPr>
        <w:t>绩效评价结果为良好，总体评价得分9</w:t>
      </w:r>
      <w:r>
        <w:rPr>
          <w:rFonts w:hint="eastAsia" w:ascii="Times New Roman" w:hAnsi="Times New Roman" w:eastAsia="方正仿宋_GBK" w:cs="Times New Roman"/>
          <w:color w:val="auto"/>
          <w:sz w:val="33"/>
          <w:szCs w:val="33"/>
          <w:highlight w:val="none"/>
          <w:shd w:val="clear" w:color="auto" w:fill="auto"/>
          <w:lang w:val="en-US" w:eastAsia="zh-CN"/>
        </w:rPr>
        <w:t>6</w:t>
      </w:r>
      <w:r>
        <w:rPr>
          <w:rFonts w:ascii="Times New Roman" w:hAnsi="Times New Roman" w:eastAsia="方正仿宋_GBK" w:cs="Times New Roman"/>
          <w:color w:val="auto"/>
          <w:sz w:val="33"/>
          <w:szCs w:val="33"/>
          <w:highlight w:val="none"/>
          <w:shd w:val="clear" w:color="auto" w:fill="auto"/>
        </w:rPr>
        <w:t>分。具体评价情况见下表</w:t>
      </w:r>
      <w:r>
        <w:rPr>
          <w:rFonts w:hint="eastAsia" w:ascii="Times New Roman" w:hAnsi="Times New Roman" w:eastAsia="方正仿宋_GBK" w:cs="Times New Roman"/>
          <w:color w:val="auto"/>
          <w:sz w:val="33"/>
          <w:szCs w:val="33"/>
          <w:highlight w:val="none"/>
          <w:shd w:val="clear" w:color="auto" w:fill="auto"/>
          <w:lang w:eastAsia="zh-CN"/>
        </w:rPr>
        <w:t>。</w:t>
      </w:r>
    </w:p>
    <w:p w14:paraId="648D01F7">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ascii="Times New Roman" w:hAnsi="Times New Roman" w:eastAsia="仿宋" w:cs="Times New Roman"/>
          <w:color w:val="auto"/>
          <w:sz w:val="33"/>
          <w:szCs w:val="33"/>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区级粮食轮换及储备（含执法）工作经费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3886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14:paraId="19A3B72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一级指标</w: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896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3" name="直接连接符 9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89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iL2nN+4BAADkAwAADgAAAAAAAAABACAAAAAkAQAAZHJzL2Uyb0RvYy54bWxQSwUGAAAAAAYA&#10;BgBZAQAAhAU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998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4" name="直接连接符 9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99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g4vlUu4BAADkAwAADgAAAAAAAAABACAAAAAkAQAAZHJzL2Uyb0RvYy54bWxQSwUGAAAAAAYA&#10;BgBZAQAAhAU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9100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5" name="直接连接符 9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10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kgD&#10;ltUAAAAJAQAADwAAAAAAAAABACAAAAAiAAAAZHJzL2Rvd25yZXYueG1sUEsBAhQAFAAAAAgAh07i&#10;QBuCzorsAQAA5AMAAA4AAAAAAAAAAQAgAAAAJAEAAGRycy9lMm9Eb2MueG1sUEsFBgAAAAAGAAYA&#10;WQEAAII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9203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6" name="直接连接符 9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20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8p7COe4BAADk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PWcMweWbvzm&#10;668/X77f/v5G683PH4xOSKY+YE3Rl24dRw/DOmbO+zba/Cc2bF+kPRylVfvEBG3OX55zJu72q39J&#10;IWJ6q7xl2Wi40S4zhhp27zBRIQq9C8nbxrGeej2fZTig8Wvp2sm0gSig25Zc9EbLK21MzsC43Vya&#10;yHaQR6B8mQ7h/heWi6wAuyGuHA3D0SmQb5xk6RBIG0dvgucWrJKcGUVPKFsECHUCbU6JpNLG5QRV&#10;BnTkmfUdFM3WxstDEbrKHl1+6Xgc1Dxd932y7z/O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8p7COe4BAADkAwAADgAAAAAAAAABACAAAAAkAQAAZHJzL2Uyb0RvYy54bWxQSwUGAAAAAAYA&#10;BgBZAQAAhAUAAAAA&#10;">
                      <v:fill on="f" focussize="0,0"/>
                      <v:stroke color="#000000" joinstyle="round"/>
                      <v:imagedata o:title=""/>
                      <o:lock v:ext="edit" aspectratio="f"/>
                    </v:line>
                  </w:pict>
                </mc:Fallback>
              </mc:AlternateContent>
            </w:r>
          </w:p>
        </w:tc>
        <w:tc>
          <w:tcPr>
            <w:tcW w:w="1701" w:type="dxa"/>
            <w:noWrap w:val="0"/>
            <w:vAlign w:val="center"/>
          </w:tcPr>
          <w:p w14:paraId="4E74F30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二级指标</w:t>
            </w:r>
          </w:p>
        </w:tc>
        <w:tc>
          <w:tcPr>
            <w:tcW w:w="2427" w:type="dxa"/>
            <w:noWrap w:val="0"/>
            <w:vAlign w:val="center"/>
          </w:tcPr>
          <w:p w14:paraId="1B12BB1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三级指标</w:t>
            </w:r>
          </w:p>
        </w:tc>
        <w:tc>
          <w:tcPr>
            <w:tcW w:w="1343" w:type="dxa"/>
            <w:noWrap w:val="0"/>
            <w:vAlign w:val="center"/>
          </w:tcPr>
          <w:p w14:paraId="3DA57F1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分值</w:t>
            </w:r>
          </w:p>
        </w:tc>
        <w:tc>
          <w:tcPr>
            <w:tcW w:w="1139" w:type="dxa"/>
            <w:noWrap w:val="0"/>
            <w:vAlign w:val="center"/>
          </w:tcPr>
          <w:p w14:paraId="5946DBC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得分</w:t>
            </w:r>
          </w:p>
        </w:tc>
      </w:tr>
      <w:tr w14:paraId="50A4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14:paraId="0F865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32D784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2277DA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项目决策</w:t>
            </w:r>
          </w:p>
          <w:p w14:paraId="7A42C8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p w14:paraId="1FD70A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7971C3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3E7631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绩效目标</w:t>
            </w:r>
          </w:p>
          <w:p w14:paraId="4F1BF2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（6分）</w:t>
            </w:r>
          </w:p>
        </w:tc>
        <w:tc>
          <w:tcPr>
            <w:tcW w:w="2427" w:type="dxa"/>
            <w:noWrap w:val="0"/>
            <w:vAlign w:val="center"/>
          </w:tcPr>
          <w:p w14:paraId="7838C9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目标内容</w:t>
            </w:r>
          </w:p>
        </w:tc>
        <w:tc>
          <w:tcPr>
            <w:tcW w:w="1343" w:type="dxa"/>
            <w:noWrap w:val="0"/>
            <w:vAlign w:val="center"/>
          </w:tcPr>
          <w:p w14:paraId="321C0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58E12716">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1</w:t>
            </w:r>
          </w:p>
        </w:tc>
      </w:tr>
      <w:tr w14:paraId="2260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14:paraId="2C421E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788BC4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7913C6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进度计划</w:t>
            </w:r>
          </w:p>
        </w:tc>
        <w:tc>
          <w:tcPr>
            <w:tcW w:w="1343" w:type="dxa"/>
            <w:noWrap w:val="0"/>
            <w:vAlign w:val="center"/>
          </w:tcPr>
          <w:p w14:paraId="019CC4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038AD78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1389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4BAECC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5B30CE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53CDF4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目标匹配</w:t>
            </w:r>
          </w:p>
        </w:tc>
        <w:tc>
          <w:tcPr>
            <w:tcW w:w="1343" w:type="dxa"/>
            <w:noWrap w:val="0"/>
            <w:vAlign w:val="center"/>
          </w:tcPr>
          <w:p w14:paraId="32FDA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67A9C49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326A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532652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1EBA6F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决策依据</w:t>
            </w:r>
          </w:p>
          <w:p w14:paraId="4B61DE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（10分）</w:t>
            </w:r>
          </w:p>
        </w:tc>
        <w:tc>
          <w:tcPr>
            <w:tcW w:w="2427" w:type="dxa"/>
            <w:noWrap w:val="0"/>
            <w:vAlign w:val="center"/>
          </w:tcPr>
          <w:p w14:paraId="0E4522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政策依据</w:t>
            </w:r>
          </w:p>
        </w:tc>
        <w:tc>
          <w:tcPr>
            <w:tcW w:w="1343" w:type="dxa"/>
            <w:noWrap w:val="0"/>
            <w:vAlign w:val="center"/>
          </w:tcPr>
          <w:p w14:paraId="7D481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6306BE8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2992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14:paraId="40FAAF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6E6524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21A3EF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程序严密</w:t>
            </w:r>
          </w:p>
        </w:tc>
        <w:tc>
          <w:tcPr>
            <w:tcW w:w="1343" w:type="dxa"/>
            <w:noWrap w:val="0"/>
            <w:vAlign w:val="center"/>
          </w:tcPr>
          <w:p w14:paraId="45D14C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50BC66CE">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6974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14:paraId="6D324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717DB9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6A0B4B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结果符合</w:t>
            </w:r>
          </w:p>
        </w:tc>
        <w:tc>
          <w:tcPr>
            <w:tcW w:w="1343" w:type="dxa"/>
            <w:noWrap w:val="0"/>
            <w:vAlign w:val="center"/>
          </w:tcPr>
          <w:p w14:paraId="71C86A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0F41049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305F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089648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0B4F72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60E25C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实施规划</w:t>
            </w:r>
          </w:p>
        </w:tc>
        <w:tc>
          <w:tcPr>
            <w:tcW w:w="1343" w:type="dxa"/>
            <w:noWrap w:val="0"/>
            <w:vAlign w:val="center"/>
          </w:tcPr>
          <w:p w14:paraId="18E207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c>
          <w:tcPr>
            <w:tcW w:w="1139" w:type="dxa"/>
            <w:noWrap w:val="0"/>
            <w:vAlign w:val="center"/>
          </w:tcPr>
          <w:p w14:paraId="0B066D64">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r>
      <w:tr w14:paraId="385B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14:paraId="2CFF71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6C585B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分配结果</w:t>
            </w:r>
          </w:p>
          <w:p w14:paraId="76EED9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14:paraId="03695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分配过程</w:t>
            </w:r>
          </w:p>
        </w:tc>
        <w:tc>
          <w:tcPr>
            <w:tcW w:w="1343" w:type="dxa"/>
            <w:noWrap w:val="0"/>
            <w:vAlign w:val="center"/>
          </w:tcPr>
          <w:p w14:paraId="642EF1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63E4F25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03C9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6D12D2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14C4D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758124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审核把关</w:t>
            </w:r>
          </w:p>
        </w:tc>
        <w:tc>
          <w:tcPr>
            <w:tcW w:w="1343" w:type="dxa"/>
            <w:noWrap w:val="0"/>
            <w:vAlign w:val="center"/>
          </w:tcPr>
          <w:p w14:paraId="59D055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37A6813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3FE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14:paraId="68D264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项目管理</w:t>
            </w:r>
          </w:p>
          <w:p w14:paraId="4907FC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（15分）</w:t>
            </w:r>
          </w:p>
        </w:tc>
        <w:tc>
          <w:tcPr>
            <w:tcW w:w="1701" w:type="dxa"/>
            <w:vMerge w:val="restart"/>
            <w:noWrap w:val="0"/>
            <w:vAlign w:val="center"/>
          </w:tcPr>
          <w:p w14:paraId="4DCDC9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资金到位</w:t>
            </w:r>
          </w:p>
          <w:p w14:paraId="6361F4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14:paraId="40562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分配时效</w:t>
            </w:r>
          </w:p>
        </w:tc>
        <w:tc>
          <w:tcPr>
            <w:tcW w:w="1343" w:type="dxa"/>
            <w:noWrap w:val="0"/>
            <w:vAlign w:val="center"/>
          </w:tcPr>
          <w:p w14:paraId="2F9CEF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69E730E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78B1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14:paraId="41D15E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138839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691A6A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资金拨付</w:t>
            </w:r>
          </w:p>
        </w:tc>
        <w:tc>
          <w:tcPr>
            <w:tcW w:w="1343" w:type="dxa"/>
            <w:noWrap w:val="0"/>
            <w:vAlign w:val="center"/>
          </w:tcPr>
          <w:p w14:paraId="0AC29C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3BA4128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0C8B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14:paraId="6FEE02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7725D6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资金管理</w:t>
            </w:r>
          </w:p>
          <w:p w14:paraId="7FC83F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（3分）</w:t>
            </w:r>
          </w:p>
        </w:tc>
        <w:tc>
          <w:tcPr>
            <w:tcW w:w="2427" w:type="dxa"/>
            <w:noWrap w:val="0"/>
            <w:vAlign w:val="center"/>
          </w:tcPr>
          <w:p w14:paraId="4DC30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使用范围</w:t>
            </w:r>
          </w:p>
        </w:tc>
        <w:tc>
          <w:tcPr>
            <w:tcW w:w="1343" w:type="dxa"/>
            <w:noWrap w:val="0"/>
            <w:vAlign w:val="center"/>
          </w:tcPr>
          <w:p w14:paraId="1BC39F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14:paraId="7F73951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022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09EA5E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27E4E7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3C994E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支付依据</w:t>
            </w:r>
          </w:p>
        </w:tc>
        <w:tc>
          <w:tcPr>
            <w:tcW w:w="1343" w:type="dxa"/>
            <w:noWrap w:val="0"/>
            <w:vAlign w:val="center"/>
          </w:tcPr>
          <w:p w14:paraId="3EDE7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14:paraId="757C559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1655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14:paraId="7FDA1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13B940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65D91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开支标准</w:t>
            </w:r>
          </w:p>
        </w:tc>
        <w:tc>
          <w:tcPr>
            <w:tcW w:w="1343" w:type="dxa"/>
            <w:noWrap w:val="0"/>
            <w:vAlign w:val="center"/>
          </w:tcPr>
          <w:p w14:paraId="0136EC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14:paraId="6288909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78D1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14:paraId="3BF700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1514DD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财务管理</w:t>
            </w:r>
          </w:p>
          <w:p w14:paraId="179A6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14:paraId="745C52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财务制度</w:t>
            </w:r>
          </w:p>
        </w:tc>
        <w:tc>
          <w:tcPr>
            <w:tcW w:w="1343" w:type="dxa"/>
            <w:noWrap w:val="0"/>
            <w:vAlign w:val="center"/>
          </w:tcPr>
          <w:p w14:paraId="5CD270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523476F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104F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784AE8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725D43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74A06E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会计核算</w:t>
            </w:r>
          </w:p>
        </w:tc>
        <w:tc>
          <w:tcPr>
            <w:tcW w:w="1343" w:type="dxa"/>
            <w:noWrap w:val="0"/>
            <w:vAlign w:val="center"/>
          </w:tcPr>
          <w:p w14:paraId="4F851D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4B25CFB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14:paraId="517A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3C7F44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5672AA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组织实施</w:t>
            </w:r>
          </w:p>
          <w:p w14:paraId="6DD2B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14:paraId="58DA23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项目调整</w:t>
            </w:r>
          </w:p>
        </w:tc>
        <w:tc>
          <w:tcPr>
            <w:tcW w:w="1343" w:type="dxa"/>
            <w:noWrap w:val="0"/>
            <w:vAlign w:val="center"/>
          </w:tcPr>
          <w:p w14:paraId="078B0A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14:paraId="61F3759E">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6567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621A0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55FA32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76423F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投资变更</w:t>
            </w:r>
          </w:p>
        </w:tc>
        <w:tc>
          <w:tcPr>
            <w:tcW w:w="1343" w:type="dxa"/>
            <w:noWrap w:val="0"/>
            <w:vAlign w:val="center"/>
          </w:tcPr>
          <w:p w14:paraId="2809E0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14:paraId="5A308F9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0366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14:paraId="184F09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3A0A86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5220F2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制度执行</w:t>
            </w:r>
          </w:p>
        </w:tc>
        <w:tc>
          <w:tcPr>
            <w:tcW w:w="1343" w:type="dxa"/>
            <w:noWrap w:val="0"/>
            <w:vAlign w:val="center"/>
          </w:tcPr>
          <w:p w14:paraId="0CB5E3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14:paraId="13F65C5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14:paraId="7BC9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14:paraId="376E24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186567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30EB9E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项目绩效</w:t>
            </w:r>
          </w:p>
          <w:p w14:paraId="398C7A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（特性指标65分）</w:t>
            </w:r>
          </w:p>
          <w:p w14:paraId="5953A2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2D419A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2C0A09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项目完成</w:t>
            </w:r>
          </w:p>
          <w:p w14:paraId="5C2311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p w14:paraId="565B56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0BFCD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完成数量</w:t>
            </w:r>
          </w:p>
        </w:tc>
        <w:tc>
          <w:tcPr>
            <w:tcW w:w="1343" w:type="dxa"/>
            <w:noWrap w:val="0"/>
            <w:vAlign w:val="center"/>
          </w:tcPr>
          <w:p w14:paraId="4501C8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14:paraId="6AB509ED">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755E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05575E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5D672D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696E97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完成质量</w:t>
            </w:r>
          </w:p>
        </w:tc>
        <w:tc>
          <w:tcPr>
            <w:tcW w:w="1343" w:type="dxa"/>
            <w:noWrap w:val="0"/>
            <w:vAlign w:val="center"/>
          </w:tcPr>
          <w:p w14:paraId="10373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14:paraId="58C9A63E">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4D7D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C3D63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0850FD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2C3090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完成时效</w:t>
            </w:r>
          </w:p>
        </w:tc>
        <w:tc>
          <w:tcPr>
            <w:tcW w:w="1343" w:type="dxa"/>
            <w:noWrap w:val="0"/>
            <w:vAlign w:val="center"/>
          </w:tcPr>
          <w:p w14:paraId="08E6E8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14:paraId="2BEF3037">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72B5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56FDB8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6D0DFF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7201AB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完成成本</w:t>
            </w:r>
          </w:p>
        </w:tc>
        <w:tc>
          <w:tcPr>
            <w:tcW w:w="1343" w:type="dxa"/>
            <w:noWrap w:val="0"/>
            <w:vAlign w:val="center"/>
          </w:tcPr>
          <w:p w14:paraId="694864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14:paraId="1BC4A49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718A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0A3740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749AAE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02C37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违规纪律</w:t>
            </w:r>
          </w:p>
        </w:tc>
        <w:tc>
          <w:tcPr>
            <w:tcW w:w="1343" w:type="dxa"/>
            <w:noWrap w:val="0"/>
            <w:vAlign w:val="center"/>
          </w:tcPr>
          <w:p w14:paraId="0D0300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14:paraId="50AD072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14:paraId="3D1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C221D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14:paraId="2BDD05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14:paraId="59F7A4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项目效益</w:t>
            </w:r>
          </w:p>
          <w:p w14:paraId="748D61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（40分）</w:t>
            </w:r>
          </w:p>
        </w:tc>
        <w:tc>
          <w:tcPr>
            <w:tcW w:w="2427" w:type="dxa"/>
            <w:noWrap w:val="0"/>
            <w:vAlign w:val="center"/>
          </w:tcPr>
          <w:p w14:paraId="5623A3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经济效益</w:t>
            </w:r>
          </w:p>
        </w:tc>
        <w:tc>
          <w:tcPr>
            <w:tcW w:w="1343" w:type="dxa"/>
            <w:noWrap w:val="0"/>
            <w:vAlign w:val="center"/>
          </w:tcPr>
          <w:p w14:paraId="13359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14:paraId="1667729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10</w:t>
            </w:r>
          </w:p>
        </w:tc>
      </w:tr>
      <w:tr w14:paraId="093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900E4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1ED8F3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09D67B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社会效益</w:t>
            </w:r>
          </w:p>
        </w:tc>
        <w:tc>
          <w:tcPr>
            <w:tcW w:w="1343" w:type="dxa"/>
            <w:noWrap w:val="0"/>
            <w:vAlign w:val="center"/>
          </w:tcPr>
          <w:p w14:paraId="070EFE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14:paraId="1E05D2A5">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00C7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3C54FE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5F720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58511D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生态效益</w:t>
            </w:r>
          </w:p>
        </w:tc>
        <w:tc>
          <w:tcPr>
            <w:tcW w:w="1343" w:type="dxa"/>
            <w:noWrap w:val="0"/>
            <w:vAlign w:val="center"/>
          </w:tcPr>
          <w:p w14:paraId="53ADC9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14:paraId="77FCF33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14:paraId="7DB3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2EC95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14:paraId="24ECE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14:paraId="08649E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可持续效益</w:t>
            </w:r>
          </w:p>
        </w:tc>
        <w:tc>
          <w:tcPr>
            <w:tcW w:w="1343" w:type="dxa"/>
            <w:noWrap w:val="0"/>
            <w:vAlign w:val="center"/>
          </w:tcPr>
          <w:p w14:paraId="71AF0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14:paraId="2D29D958">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r>
      <w:tr w14:paraId="6EA5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14:paraId="7D59E4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noWrap w:val="0"/>
            <w:vAlign w:val="center"/>
          </w:tcPr>
          <w:p w14:paraId="672349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满意度</w:t>
            </w:r>
          </w:p>
          <w:p w14:paraId="75B3D6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（5分）</w:t>
            </w:r>
          </w:p>
        </w:tc>
        <w:tc>
          <w:tcPr>
            <w:tcW w:w="2427" w:type="dxa"/>
            <w:noWrap w:val="0"/>
            <w:vAlign w:val="center"/>
          </w:tcPr>
          <w:p w14:paraId="0F0D71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服务对象满意度</w:t>
            </w:r>
          </w:p>
        </w:tc>
        <w:tc>
          <w:tcPr>
            <w:tcW w:w="1343" w:type="dxa"/>
            <w:noWrap w:val="0"/>
            <w:vAlign w:val="center"/>
          </w:tcPr>
          <w:p w14:paraId="330D63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c>
          <w:tcPr>
            <w:tcW w:w="1139" w:type="dxa"/>
            <w:noWrap w:val="0"/>
            <w:vAlign w:val="center"/>
          </w:tcPr>
          <w:p w14:paraId="7C6B3CB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r>
      <w:tr w14:paraId="640D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14:paraId="2A880C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合　　　　计</w:t>
            </w:r>
          </w:p>
        </w:tc>
        <w:tc>
          <w:tcPr>
            <w:tcW w:w="1343" w:type="dxa"/>
            <w:noWrap w:val="0"/>
            <w:vAlign w:val="center"/>
          </w:tcPr>
          <w:p w14:paraId="23621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100</w:t>
            </w:r>
          </w:p>
        </w:tc>
        <w:tc>
          <w:tcPr>
            <w:tcW w:w="1139" w:type="dxa"/>
            <w:noWrap w:val="0"/>
            <w:vAlign w:val="center"/>
          </w:tcPr>
          <w:p w14:paraId="530D0B0D">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rPr>
              <w:t>9</w:t>
            </w:r>
            <w:r>
              <w:rPr>
                <w:rFonts w:hint="eastAsia" w:ascii="Times New Roman" w:hAnsi="Times New Roman" w:eastAsia="仿宋_GB2312" w:cs="仿宋_GB2312"/>
                <w:color w:val="auto"/>
                <w:kern w:val="0"/>
                <w:sz w:val="20"/>
                <w:szCs w:val="20"/>
                <w:highlight w:val="none"/>
                <w:shd w:val="clear" w:color="auto" w:fill="auto"/>
                <w:lang w:val="en-US" w:eastAsia="zh-CN"/>
              </w:rPr>
              <w:t>6</w:t>
            </w:r>
          </w:p>
        </w:tc>
      </w:tr>
    </w:tbl>
    <w:p w14:paraId="77399763">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6F3A9E8D">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3F8E7A02">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该项目符合《粮食管理条例》《政府储备粮食仓储管理办法》等规定，保障了全区的粮食安全工作有序推进。资金申报依据是根据全区粮食轮换、储备，</w:t>
      </w:r>
      <w:r>
        <w:rPr>
          <w:rFonts w:hint="default" w:ascii="Times New Roman" w:hAnsi="Times New Roman" w:eastAsia="方正仿宋_GBK" w:cs="Times New Roman"/>
          <w:color w:val="auto"/>
          <w:sz w:val="33"/>
          <w:szCs w:val="33"/>
          <w:highlight w:val="none"/>
          <w:shd w:val="clear" w:color="auto" w:fill="auto"/>
          <w:lang w:val="en-US" w:eastAsia="zh-CN"/>
        </w:rPr>
        <w:t>粮库智能化系统维护及运行，开展粮食安全应急演练、培训和宣传工作</w:t>
      </w:r>
      <w:r>
        <w:rPr>
          <w:rFonts w:hint="eastAsia" w:ascii="Times New Roman" w:hAnsi="Times New Roman" w:eastAsia="方正仿宋_GBK" w:cs="Times New Roman"/>
          <w:color w:val="auto"/>
          <w:sz w:val="33"/>
          <w:szCs w:val="33"/>
          <w:highlight w:val="none"/>
          <w:shd w:val="clear" w:color="auto" w:fill="auto"/>
          <w:lang w:val="en-US" w:eastAsia="zh-CN"/>
        </w:rPr>
        <w:t>等产生的费用，综合考虑后申报该项资金。</w:t>
      </w:r>
    </w:p>
    <w:p w14:paraId="36BBECB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407D911A">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区级粮食轮换及储备（含执法）工作经费申报</w:t>
      </w:r>
      <w:r>
        <w:rPr>
          <w:rFonts w:hint="default" w:ascii="Times New Roman" w:hAnsi="Times New Roman" w:eastAsia="方正仿宋_GBK" w:cs="Times New Roman"/>
          <w:color w:val="auto"/>
          <w:sz w:val="33"/>
          <w:szCs w:val="33"/>
          <w:highlight w:val="none"/>
          <w:shd w:val="clear" w:color="auto" w:fill="auto"/>
          <w:lang w:val="en-US" w:eastAsia="zh-CN"/>
        </w:rPr>
        <w:t>100</w:t>
      </w:r>
      <w:r>
        <w:rPr>
          <w:rFonts w:hint="eastAsia" w:ascii="Times New Roman" w:hAnsi="Times New Roman" w:eastAsia="方正仿宋_GBK" w:cs="Times New Roman"/>
          <w:color w:val="auto"/>
          <w:sz w:val="33"/>
          <w:szCs w:val="33"/>
          <w:highlight w:val="none"/>
          <w:shd w:val="clear" w:color="auto" w:fill="auto"/>
          <w:lang w:val="en-US" w:eastAsia="zh-CN"/>
        </w:rPr>
        <w:t>万元，资金到位率100%，资金安排及时到位，有效的保障了粮食安全各项工作开展。</w:t>
      </w:r>
      <w:r>
        <w:rPr>
          <w:rFonts w:hint="eastAsia" w:ascii="Times New Roman" w:hAnsi="Times New Roman" w:eastAsia="方正仿宋_GBK" w:cs="Times New Roman"/>
          <w:color w:val="auto"/>
          <w:sz w:val="33"/>
          <w:szCs w:val="33"/>
          <w:highlight w:val="none"/>
          <w:shd w:val="clear" w:color="auto" w:fill="auto"/>
          <w:lang w:val="zh-CN" w:eastAsia="zh-CN"/>
        </w:rPr>
        <w:t>截</w:t>
      </w:r>
      <w:r>
        <w:rPr>
          <w:rFonts w:hint="eastAsia" w:ascii="Times New Roman" w:hAnsi="Times New Roman" w:eastAsia="方正仿宋_GBK" w:cs="Times New Roman"/>
          <w:color w:val="auto"/>
          <w:sz w:val="33"/>
          <w:szCs w:val="33"/>
          <w:highlight w:val="none"/>
          <w:shd w:val="clear" w:color="auto" w:fill="auto"/>
          <w:lang w:val="en-US" w:eastAsia="zh-CN"/>
        </w:rPr>
        <w:t>至2023年底，共计支出区级粮食轮换及储备（含执法）工作经费70.11万元，支付率为70.11%。资金的使用严格按照区级规定的使用范围和标准执行，资金严格按照项目进度进行支付，支付依据合法合规。</w:t>
      </w:r>
    </w:p>
    <w:p w14:paraId="1F2C772D">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17D8266D">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default" w:ascii="Times New Roman" w:hAnsi="Times New Roman" w:eastAsia="方正仿宋_GBK" w:cs="Times New Roman"/>
          <w:color w:val="auto"/>
          <w:kern w:val="2"/>
          <w:sz w:val="33"/>
          <w:szCs w:val="33"/>
          <w:highlight w:val="none"/>
          <w:shd w:val="clear" w:color="auto" w:fill="auto"/>
          <w:lang w:val="en-US" w:eastAsia="zh-CN" w:bidi="ar-SA"/>
        </w:rPr>
        <w:t>2023</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年，区发展改革局牵头完成了夏粮、秋粮收购，粮食日常监管，和粮食行政执法工作。按期完成1012.69吨稻谷和1206.44吨小麦轮换工作，500吨小麦新增储备工作。顺利完成2023年度市级下达西区粮食储备任务目标，保障西区粮食安全。</w:t>
      </w:r>
    </w:p>
    <w:p w14:paraId="4375762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7B541C4C">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西区粮食储备行业经费保障到位，工作落实到位，未发生安全生产事故和其他粮食安全保障不力的情况。项目的实施为全区的经济发展、社会稳定打下坚实基础，确保西区有足够粮食储备，满足人民基本生活需求，维护粮油市场价格稳定，在面临自然灾害、突发事件等情况时，能够及时提供粮食援助，保障人民生命安全。</w:t>
      </w:r>
    </w:p>
    <w:p w14:paraId="2A31AE8B">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19A7DED1">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缺乏科学管理体系，对突发情况的处理机制不完善，影响粮食轮换工作有序开展。</w:t>
      </w:r>
    </w:p>
    <w:p w14:paraId="6777E9CC">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64A0F923">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完善管理体系，深入研究项目情况，结合项目实际，制定更加科学、合理的管理机制，提升管理水平，进一步增强突发情况应急处理能力。</w:t>
      </w:r>
    </w:p>
    <w:p w14:paraId="6D3568EC">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仿宋_GB2312" w:cs="Times New Roman"/>
          <w:color w:val="auto"/>
          <w:sz w:val="33"/>
          <w:szCs w:val="33"/>
          <w:highlight w:val="none"/>
          <w:shd w:val="clear" w:color="auto" w:fill="auto"/>
          <w:lang w:eastAsia="zh-CN"/>
        </w:rPr>
      </w:pPr>
    </w:p>
    <w:p w14:paraId="7BAB455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14:paraId="7865205B">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附件9</w:t>
      </w:r>
    </w:p>
    <w:p w14:paraId="4D8470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2023年西区生活垃圾填埋场封场管理委托运营经费</w:t>
      </w:r>
    </w:p>
    <w:p w14:paraId="00C4CB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绩效评价报告</w:t>
      </w:r>
    </w:p>
    <w:p w14:paraId="64DE2A09">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西区生活垃圾填埋场封场管理委托运营经费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14:paraId="2FC68BD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14:paraId="32346065">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14:paraId="5BA48DA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按照国家可持续发展的整体战略，以及推行绿水青山就是金山银山理念，坚持节约资源和保护环境的基本国策，攀枝花市各区县原来采用的生活垃圾卫生填埋方式已经落后淘汰，中央环保督察组也对全四川垃圾卫生填埋和渗滤液处理方式确定了整改时间表，要求2019年年底必须封场完毕。西区生活垃圾填埋场于2018年5月停止使用，并按计划着手填埋场封场工作。2019年12月底，攀枝花市西区垃圾填埋场及渗滤液处置设施建设项目完成了西区生活垃圾填埋场主体工程，进行了规范封场，垃圾堆体整治、封场覆盖与防渗系统、填埋气体导排与处理系统、渗滤液处理系统（50m3/d）、雨洪水导排系统、填埋场封场工程建设规模为Ⅲ类，封场填埋库区总面积6.028万㎡。并于2020年雨季期间进行了绿化与植被恢复等。封场绿化面积5.2万㎡，草花为格桑花（高杆和矮杆）、草籽为四季青和黑麦草。</w:t>
      </w:r>
    </w:p>
    <w:p w14:paraId="71E3ED42">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14:paraId="2ECCE63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val="0"/>
          <w:bCs w:val="0"/>
          <w:color w:val="auto"/>
          <w:sz w:val="33"/>
          <w:szCs w:val="33"/>
          <w:highlight w:val="none"/>
          <w:shd w:val="clear" w:color="auto" w:fill="auto"/>
          <w:lang w:val="en-US" w:eastAsia="zh-CN"/>
        </w:rPr>
        <w:t>确保填埋场封场区域的安全管理及渗滤液处理设备的良好运行。西区综合行政执法局作为行业主管部门，安排人员进行日常监督和技术指导，并以合同约定的垃圾处理行业规范要求对承包方进行监督考核和行业监管。</w:t>
      </w:r>
    </w:p>
    <w:p w14:paraId="2B78AD0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14:paraId="18164D71">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14:paraId="3204EE12">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从决策、过程、产出、效益、满意度等维度对西区生活垃圾填埋场封场管理委托运营经费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14:paraId="365B542C">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14:paraId="4458EE6E">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评价指标体系分别从项目决策、项目实施、完成结果、项目效益四个方面对项目财政支出进行评价。指标权重设计遵循了以结果为导向原则，并适度关注过程管理。评价标准主要是参照计划标准和其他可比性标准制定。对于已经制定计划目标的指标，则直接用实际情况与计划情况相比较进行评价。对于没有制定计划目标的指标，则参照其他可比性标准进行评价。根据项目的特点，本次评价重点采用比较法、实地调查、资金核查等评价方法，分析项目总预算和明细预算的内容、标准、计划是否经济合理，实际产出和效益是否达到预期。</w:t>
      </w:r>
    </w:p>
    <w:p w14:paraId="553EA3A3">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14:paraId="635B1DC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通过前期调研，对相关文件的解读，根据绩效评价的基本原理、原则和项目特点，结合绩效目标，项目组制定了评价指标体系、评分标准、评价方法和相关的工作程序及步骤，形成方案。现场查看，通过现场查看项目资料及资金支付记录，并向专项资金负责人了解资金使用情况及相关资料，获取本次绩效评价相关数据。数据分析、报告撰写，现场工作结束后，评价组根据收集到的资料并结合绩效评价的原理和规范，对采集的数据进行分析和评分，并提炼结论撰写报告，在规定时间上报委托方，并根据意见进行修改，完成终稿。</w:t>
      </w:r>
    </w:p>
    <w:p w14:paraId="2C47A403">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14:paraId="39850751">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rPr>
        <w:t>总体上看，该项目在项目决策方面，立项依据充分规范，目标基本明确合理。在项目实施方面，管理规范、预算执行率较高。该项目的实施，能节约资源和保护环境，防治水源污染及土壤污染，维护公众健康，推进生态文明建设，促进经济社会可持续发展。但仍存在项目运营合同过期、成本测算依据不充分、效益指标设置不准确、项目监督与费用支付绩效挂钩考核等方面有待完善。该项目绩效评价得分89.5分，得分情况详见下表</w:t>
      </w:r>
      <w:r>
        <w:rPr>
          <w:rFonts w:hint="eastAsia" w:ascii="Times New Roman" w:hAnsi="Times New Roman" w:eastAsia="方正仿宋_GBK" w:cs="Times New Roman"/>
          <w:color w:val="auto"/>
          <w:sz w:val="33"/>
          <w:szCs w:val="33"/>
          <w:highlight w:val="none"/>
          <w:shd w:val="clear" w:color="auto" w:fill="auto"/>
          <w:lang w:eastAsia="zh-CN"/>
        </w:rPr>
        <w:t>。</w:t>
      </w:r>
    </w:p>
    <w:p w14:paraId="79113343">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西区生活垃圾填埋场封场管理委托运营经费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9"/>
        <w:tblW w:w="8437" w:type="dxa"/>
        <w:jc w:val="center"/>
        <w:tblLayout w:type="fixed"/>
        <w:tblCellMar>
          <w:top w:w="0" w:type="dxa"/>
          <w:left w:w="108" w:type="dxa"/>
          <w:bottom w:w="0" w:type="dxa"/>
          <w:right w:w="108" w:type="dxa"/>
        </w:tblCellMar>
      </w:tblPr>
      <w:tblGrid>
        <w:gridCol w:w="1708"/>
        <w:gridCol w:w="1923"/>
        <w:gridCol w:w="2980"/>
        <w:gridCol w:w="890"/>
        <w:gridCol w:w="936"/>
      </w:tblGrid>
      <w:tr w14:paraId="7BE1A37B">
        <w:tblPrEx>
          <w:tblCellMar>
            <w:top w:w="0" w:type="dxa"/>
            <w:left w:w="108" w:type="dxa"/>
            <w:bottom w:w="0" w:type="dxa"/>
            <w:right w:w="108" w:type="dxa"/>
          </w:tblCellMar>
        </w:tblPrEx>
        <w:trPr>
          <w:trHeight w:val="480" w:hRule="atLeas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50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一级指标</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1D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二级指标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C4D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19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sz w:val="20"/>
                <w:szCs w:val="20"/>
                <w:highlight w:val="none"/>
                <w:shd w:val="clear" w:color="auto" w:fill="auto"/>
              </w:rPr>
              <w:t>分值</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BE28">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sz w:val="20"/>
                <w:szCs w:val="20"/>
                <w:highlight w:val="none"/>
                <w:shd w:val="clear" w:color="auto" w:fill="auto"/>
              </w:rPr>
              <w:t>得分</w:t>
            </w:r>
          </w:p>
        </w:tc>
      </w:tr>
      <w:tr w14:paraId="12A1D97F">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7780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项目决策（5分）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14F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程序严密</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CE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D82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118D">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14:paraId="1C77504B">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2D7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D1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规划合理</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05F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32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801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14:paraId="5936A18B">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6315">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0254">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制度健全</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C6DD">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B3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0F5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14:paraId="31D46C92">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78A1">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B56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目标清晰</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49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8F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EEA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1.2</w:t>
            </w:r>
          </w:p>
        </w:tc>
      </w:tr>
      <w:tr w14:paraId="4C4EE77D">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8C14E">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预算管理（8分）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26DD">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预算编制</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13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F5E">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6EA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1.2</w:t>
            </w:r>
          </w:p>
        </w:tc>
      </w:tr>
      <w:tr w14:paraId="45738095">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EB11">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231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预算执行率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C1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651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E93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r>
      <w:tr w14:paraId="19951265">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A43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FD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资金使用率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A2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80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C63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2</w:t>
            </w:r>
          </w:p>
        </w:tc>
      </w:tr>
      <w:tr w14:paraId="1D16E153">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558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9E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分配拨付及时</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ED1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147F">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D32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r>
      <w:tr w14:paraId="5DE5A3CE">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CE3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项目实施（7分）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0A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结果符合</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A2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346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0FA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r>
      <w:tr w14:paraId="6DEA81EE">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2E60">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35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管理规范</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895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F4D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A77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2.4</w:t>
            </w:r>
          </w:p>
        </w:tc>
      </w:tr>
      <w:tr w14:paraId="48F098B0">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B8C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0BC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资金配套</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33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467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6A4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14:paraId="5D2B45ED">
        <w:tblPrEx>
          <w:tblCellMar>
            <w:top w:w="0" w:type="dxa"/>
            <w:left w:w="108" w:type="dxa"/>
            <w:bottom w:w="0" w:type="dxa"/>
            <w:right w:w="108" w:type="dxa"/>
          </w:tblCellMar>
        </w:tblPrEx>
        <w:trPr>
          <w:trHeight w:val="480" w:hRule="atLeast"/>
          <w:jc w:val="center"/>
        </w:trPr>
        <w:tc>
          <w:tcPr>
            <w:tcW w:w="1708" w:type="dxa"/>
            <w:vMerge w:val="restart"/>
            <w:tcBorders>
              <w:top w:val="nil"/>
              <w:left w:val="single" w:color="000000" w:sz="4" w:space="0"/>
              <w:bottom w:val="nil"/>
              <w:right w:val="single" w:color="000000" w:sz="4" w:space="0"/>
            </w:tcBorders>
            <w:shd w:val="clear" w:color="auto" w:fill="auto"/>
            <w:vAlign w:val="center"/>
          </w:tcPr>
          <w:p w14:paraId="0ACA38E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产出指标（20分）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FBBE">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数量指标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8E0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年处理渗滤液量</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1470">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5D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1.5</w:t>
            </w:r>
          </w:p>
        </w:tc>
      </w:tr>
      <w:tr w14:paraId="7A668F5F">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14:paraId="2AEAD548">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right w:val="single" w:color="000000" w:sz="4" w:space="0"/>
            </w:tcBorders>
            <w:shd w:val="clear" w:color="auto" w:fill="auto"/>
            <w:vAlign w:val="center"/>
          </w:tcPr>
          <w:p w14:paraId="3EE91FE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质量指标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0D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水质无污染影响率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10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F40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2</w:t>
            </w:r>
          </w:p>
        </w:tc>
      </w:tr>
      <w:tr w14:paraId="1F1CF5B3">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14:paraId="11BE5ACB">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left w:val="single" w:color="000000" w:sz="4" w:space="0"/>
              <w:bottom w:val="single" w:color="000000" w:sz="4" w:space="0"/>
              <w:right w:val="single" w:color="000000" w:sz="4" w:space="0"/>
            </w:tcBorders>
            <w:shd w:val="clear" w:color="auto" w:fill="auto"/>
            <w:vAlign w:val="center"/>
          </w:tcPr>
          <w:p w14:paraId="69241823">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7C8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安全生产率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C79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8663">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3</w:t>
            </w:r>
          </w:p>
        </w:tc>
      </w:tr>
      <w:tr w14:paraId="070C7718">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14:paraId="145C69CE">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A7E">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成本指标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CBD">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节约率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8F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C29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r>
      <w:tr w14:paraId="195EC044">
        <w:tblPrEx>
          <w:tblCellMar>
            <w:top w:w="0" w:type="dxa"/>
            <w:left w:w="108" w:type="dxa"/>
            <w:bottom w:w="0" w:type="dxa"/>
            <w:right w:w="108" w:type="dxa"/>
          </w:tblCellMar>
        </w:tblPrEx>
        <w:trPr>
          <w:trHeight w:val="37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14:paraId="4D33E90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53A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时效指标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0DF3">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及时性</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08C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B0F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r>
      <w:tr w14:paraId="744D59F9">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B0CDF">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效果指标（50分）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D90C">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社会效益</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81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重大污染事故发生率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5B5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C0F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r>
      <w:tr w14:paraId="2FD32E60">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CA8F">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B3C2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生态效益</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A3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利用种植苗圃、打造生态恢复示范景观点</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6A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CA6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10</w:t>
            </w:r>
          </w:p>
        </w:tc>
      </w:tr>
      <w:tr w14:paraId="6B1C2D1C">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9A34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1D65">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14D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改善生产生活环境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F6E">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A64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8</w:t>
            </w:r>
          </w:p>
        </w:tc>
      </w:tr>
      <w:tr w14:paraId="3CB4BC06">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7C0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D6F2">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D945">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垃圾废物利用率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F82F">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22F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4.2</w:t>
            </w:r>
          </w:p>
        </w:tc>
      </w:tr>
      <w:tr w14:paraId="6951A084">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64CA">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right w:val="single" w:color="000000" w:sz="4" w:space="0"/>
            </w:tcBorders>
            <w:shd w:val="clear" w:color="auto" w:fill="auto"/>
            <w:vAlign w:val="center"/>
          </w:tcPr>
          <w:p w14:paraId="5000D90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可持续影响</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B739">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制度建设及设施运维</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7E64">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2"/>
                <w:sz w:val="20"/>
                <w:szCs w:val="20"/>
                <w:highlight w:val="none"/>
                <w:shd w:val="clear" w:color="auto" w:fill="auto"/>
                <w:lang w:val="en-US" w:eastAsia="zh-CN" w:bidi="ar-SA"/>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65B3">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2"/>
                <w:sz w:val="20"/>
                <w:szCs w:val="20"/>
                <w:highlight w:val="none"/>
                <w:shd w:val="clear" w:color="auto" w:fill="auto"/>
                <w:lang w:val="en-US" w:eastAsia="zh-CN" w:bidi="ar-SA"/>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8</w:t>
            </w:r>
          </w:p>
        </w:tc>
      </w:tr>
      <w:tr w14:paraId="0CEF5BB8">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AFF6">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left w:val="single" w:color="000000" w:sz="4" w:space="0"/>
              <w:bottom w:val="single" w:color="000000" w:sz="4" w:space="0"/>
              <w:right w:val="single" w:color="000000" w:sz="4" w:space="0"/>
            </w:tcBorders>
            <w:shd w:val="clear" w:color="auto" w:fill="auto"/>
            <w:vAlign w:val="center"/>
          </w:tcPr>
          <w:p w14:paraId="41630918">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6BF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净化生存环境，提高生活舒适度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72D3">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D817">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5</w:t>
            </w:r>
          </w:p>
        </w:tc>
      </w:tr>
      <w:tr w14:paraId="55E1192A">
        <w:tblPrEx>
          <w:tblCellMar>
            <w:top w:w="0" w:type="dxa"/>
            <w:left w:w="108" w:type="dxa"/>
            <w:bottom w:w="0" w:type="dxa"/>
            <w:right w:w="108" w:type="dxa"/>
          </w:tblCellMar>
        </w:tblPrEx>
        <w:trPr>
          <w:trHeight w:val="480" w:hRule="atLeas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ECB">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满意度指标（10分）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184">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满意度</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E82">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受益对象满意度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52D7">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BCA">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10</w:t>
            </w:r>
          </w:p>
        </w:tc>
      </w:tr>
      <w:tr w14:paraId="777E38EA">
        <w:tblPrEx>
          <w:tblCellMar>
            <w:top w:w="0" w:type="dxa"/>
            <w:left w:w="108" w:type="dxa"/>
            <w:bottom w:w="0" w:type="dxa"/>
            <w:right w:w="108" w:type="dxa"/>
          </w:tblCellMar>
        </w:tblPrEx>
        <w:trPr>
          <w:trHeight w:val="480" w:hRule="atLeast"/>
          <w:jc w:val="center"/>
        </w:trPr>
        <w:tc>
          <w:tcPr>
            <w:tcW w:w="6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B935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合计</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A3C6">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731">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lang w:val="en-US" w:eastAsia="zh-CN"/>
              </w:rPr>
            </w:pPr>
            <w:r>
              <w:rPr>
                <w:rFonts w:hint="eastAsia" w:ascii="Times New Roman" w:hAnsi="Times New Roman" w:eastAsia="仿宋_GB2312" w:cs="仿宋_GB2312"/>
                <w:b/>
                <w:bCs/>
                <w:color w:val="auto"/>
                <w:kern w:val="0"/>
                <w:sz w:val="20"/>
                <w:szCs w:val="20"/>
                <w:highlight w:val="none"/>
                <w:shd w:val="clear" w:color="auto" w:fill="auto"/>
                <w:lang w:val="en-US" w:eastAsia="zh-CN" w:bidi="ar"/>
              </w:rPr>
              <w:t>89.5</w:t>
            </w:r>
          </w:p>
        </w:tc>
      </w:tr>
    </w:tbl>
    <w:p w14:paraId="4296F869">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14:paraId="3C22D54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14:paraId="277D159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程序严密。为贯彻《中华人民共和国环境保护法》《中华人民共和国固体废物污染环境防治法》等法律法规，防治环境污染，改善生态环境质量，推动生活垃圾分类以及填埋技术进步，中央环保督察组对全四川垃圾卫生填埋和渗滤液处理方式确定了整改时间表，要求2019年年底必须封场完毕。西区生活垃圾填埋场于2018年5月停止使用，2019年完成了西区生活垃圾填埋场主体工程，填埋场封场工程建设规模为Ⅲ类，封场填埋库区总面积6.028万㎡。项目决策依据充分。该项目在设立前期开展了可行性研究，《可行性研究报告》经区发展和改革局批准同意，项目实施过程中，投资招商等事宜报西区人民政府常务会议审定，项目决策审批程序严密。</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规划合理。该项目旨在进一步完善该区域的垃圾处理系统，是增进该片区招商引资，保障产业发展的重要举措，西区是近年来攀枝花市重点发展的城镇区域，与市中长期规划一致，项目规划合理。</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制度健全，目标清晰。区市容环境卫生服务中心根据《内部控制制度汇编》来管理该项目，对该项目预算编制及执行、采购审批及程序、合同签订和财务付款等方面进行项目管理，项目管理制度比较完善。该项目已经编制了绩效目标，绩效目标值设置清晰、可衡量，同时与项目目标任务数或计划数相对应。项目绩效目标与实际工作内容具有相关性，但效益指标设置不正确，无法进行考核；成本指标测算不够准确，100元/吨的成本构成中人工费和设备维护费偏高，水电能耗费也没有根据市场情况进行及时调整，与预算确定的资金量不匹配。</w:t>
      </w:r>
    </w:p>
    <w:p w14:paraId="0C2F4D54">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14:paraId="404A22B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经核查，区市容中心具有规范的财务和业务管理制度，财务和业务管理制度合法、合规、完整。在项目实施过程中，第三方运营单位人员遵守相关法律法规和管理规定。但项目管理方面存在对运营单位考核资料保管不完整的情况。</w:t>
      </w:r>
    </w:p>
    <w:p w14:paraId="329A7D64">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14:paraId="148B56A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完成数量，经核查，该项目计划渗滤液处理量为10,950.00吨，实际渗滤液处理量为328吨，低于计划数量，占计划渗滤液处理量3%。</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完成质量，评价组通过向市民口头询问及查询政府相关网站的投诉记录，该项目的实施并未造成水质污染。评估组通过现场踏勘，检查了现场安全记录及询问了操作流程，园区内对现场操作人员进行了操作培训、配备了消防设施，确保了园区无安全事故发生。</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完成成本，经核查，预计完成成本为297.63万元，实际完成成本297.63万元，该项目实际成本完成率100%。</w:t>
      </w:r>
      <w:r>
        <w:rPr>
          <w:rFonts w:hint="eastAsia" w:ascii="Times New Roman" w:hAnsi="Times New Roman" w:eastAsia="方正仿宋_GBK" w:cs="Times New Roman"/>
          <w:b/>
          <w:bCs/>
          <w:color w:val="auto"/>
          <w:sz w:val="33"/>
          <w:szCs w:val="33"/>
          <w:highlight w:val="none"/>
          <w:shd w:val="clear" w:color="auto" w:fill="auto"/>
          <w:lang w:val="en-US" w:eastAsia="zh-CN"/>
        </w:rPr>
        <w:t>四是</w:t>
      </w:r>
      <w:r>
        <w:rPr>
          <w:rFonts w:hint="eastAsia" w:ascii="Times New Roman" w:hAnsi="Times New Roman" w:eastAsia="方正仿宋_GBK" w:cs="Times New Roman"/>
          <w:color w:val="auto"/>
          <w:sz w:val="33"/>
          <w:szCs w:val="33"/>
          <w:highlight w:val="none"/>
          <w:shd w:val="clear" w:color="auto" w:fill="auto"/>
          <w:lang w:val="en-US" w:eastAsia="zh-CN"/>
        </w:rPr>
        <w:t>完成时效，经核查，该项目严格按照项目进度计划实施，在规定时间内完成各项工作任务，确保365天无休息运转，保障了人民的正常生活。</w:t>
      </w:r>
    </w:p>
    <w:p w14:paraId="358B22B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14:paraId="28FBCBF3">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该项目运营制度建设、渗滤液设施设备管护及时处理、安全生产方面都完成的较好。但区市容中心项目定期监督检查资料不完整，存在缺失，且运营方未对检查存在的问题建立整改台账，监管不足。</w:t>
      </w:r>
    </w:p>
    <w:p w14:paraId="21DE99D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14:paraId="494B94B6">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rPr>
        <w:t>项目运营合同已过期</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被评价单位提供的《委托运营合同》，委托运营期为一年，2020年4月1日至2021年3月31日。期满，如果甲乙双方皆同意继续委托运营的，经甲乙双方协商一致，另行签订委托运营协议。截止评价时间结束，评价单位与运营方合同已过期，未提供新的运营合同。</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rPr>
        <w:t>成本测算依据不充分</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2020年4月攀枝花市西区综合执法局与攀枝花市西区西鼎投资公司签订的委托运营合同，合同第四项委托运营费用约定经市西区政府常务委员会讨论确定，委托运营补助费按照渗滤液处理量核算：按成本暂定为100元/吨，本合同暂按每天30吨计量，项目运营补助费暂定为109.5万/年。经试运行一年后再核定实际成本，重新调整运行费用。但现场评价发现2020年8月-2023年3月支付的297.63万元运营费，单价均按100元/吨计算，且渗漏液处理量2020年10.6吨、2021年473吨、2023年183吨远低于原设定的目标数量，成本测算依据不充分。</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rPr>
        <w:t>效益指标设置不准确</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绩效评价项目组检查了2023年追加资金后设置的绩效指标，其中效益指标未设置定量指标，定性指标的指标值设置为优良中低差，无相关佐证资料进行考核。</w:t>
      </w:r>
      <w:r>
        <w:rPr>
          <w:rFonts w:hint="eastAsia" w:ascii="Times New Roman" w:hAnsi="Times New Roman" w:eastAsia="方正仿宋_GBK" w:cs="Times New Roman"/>
          <w:b/>
          <w:bCs/>
          <w:color w:val="auto"/>
          <w:sz w:val="33"/>
          <w:szCs w:val="33"/>
          <w:highlight w:val="none"/>
          <w:shd w:val="clear" w:color="auto" w:fill="auto"/>
          <w:lang w:val="en-US" w:eastAsia="zh-CN"/>
        </w:rPr>
        <w:t>四是</w:t>
      </w:r>
      <w:r>
        <w:rPr>
          <w:rFonts w:hint="eastAsia" w:ascii="Times New Roman" w:hAnsi="Times New Roman" w:eastAsia="方正仿宋_GBK" w:cs="Times New Roman"/>
          <w:color w:val="auto"/>
          <w:sz w:val="33"/>
          <w:szCs w:val="33"/>
          <w:highlight w:val="none"/>
          <w:shd w:val="clear" w:color="auto" w:fill="auto"/>
        </w:rPr>
        <w:t>项目监督考核有待加强</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经评价组核查，区市容中心项目定期监督检查资料不完整，存在缺失，且运营方未对检查存在的问题建立整改台账，监管不足。在支付服务费时也未将考核结果纳入绩效考核指标。</w:t>
      </w:r>
    </w:p>
    <w:p w14:paraId="6CDE8AA2">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14:paraId="3CE3686F">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完善运营合同相关条款。建议委托方与运营方进行沟通，及时更新合同条款，明确新的合同有效期、服务内容、费用支付依据及支付金额等。确保合同条款的明确性和合法性。</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重新评估成本测算依据。建议委托方与运营方结合项目自身特点进行市场调研及询价，在成本测算时，充分考虑项目中各项费用，包括直接成本、间接成本、人力成本、设备费用、能耗费用、管理费用等，有效提高成本测算的准确性和有效性，从而为项目的顺利实施提供更好的支持。</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加强效益指标设置的准确性及可考核性。建议区市容中心提高预算编制准确性，加强预算管理，合理编制效益指标，增强绩效意识，强化绩效管理，把绩效管理工作摆在重要位置，及时分析存在问题，改进管理，构建全覆盖的预算绩效管理体系，提升政策和项目实施效果。</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完善监督考核制度。建议区市容中心妥善保管考核记录，同时将绩效考核结果作为支付费用的依据，激励运营方更好地履行职责，提高工作效率和质量，同时也对运营方进行有效的监督和评估，确保项目或合同的顺利进行。</w:t>
      </w:r>
    </w:p>
    <w:p w14:paraId="6F28BBC5">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p>
    <w:p w14:paraId="4A535F8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14:paraId="04D14DF5">
      <w:pPr>
        <w:keepNext w:val="0"/>
        <w:keepLines w:val="0"/>
        <w:pageBreakBefore w:val="0"/>
        <w:widowControl w:val="0"/>
        <w:kinsoku/>
        <w:wordWrap/>
        <w:overflowPunct/>
        <w:topLinePunct w:val="0"/>
        <w:autoSpaceDE/>
        <w:autoSpaceDN/>
        <w:bidi w:val="0"/>
        <w:spacing w:line="240" w:lineRule="auto"/>
        <w:jc w:val="both"/>
        <w:rPr>
          <w:rFonts w:hint="default" w:ascii="Times New Roman" w:hAnsi="Times New Roman"/>
          <w:color w:val="auto"/>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附件10</w:t>
      </w:r>
    </w:p>
    <w:p w14:paraId="2569A7C1">
      <w:pPr>
        <w:keepNext w:val="0"/>
        <w:keepLines w:val="0"/>
        <w:pageBreakBefore w:val="0"/>
        <w:widowControl w:val="0"/>
        <w:kinsoku/>
        <w:wordWrap/>
        <w:overflowPunct/>
        <w:topLinePunct w:val="0"/>
        <w:autoSpaceDE/>
        <w:autoSpaceDN/>
        <w:bidi w:val="0"/>
        <w:adjustRightInd/>
        <w:snapToGrid/>
        <w:spacing w:line="0" w:lineRule="atLeast"/>
        <w:ind w:firstLine="763" w:firstLineChars="200"/>
        <w:jc w:val="center"/>
        <w:textAlignment w:val="auto"/>
        <w:rPr>
          <w:rFonts w:hint="eastAsia" w:ascii="Times New Roman" w:hAnsi="Times New Roman" w:eastAsia="方正小标宋_GBK" w:cs="方正小标宋_GBK"/>
          <w:b/>
          <w:bCs/>
          <w:color w:val="auto"/>
          <w:sz w:val="38"/>
          <w:szCs w:val="38"/>
          <w:highlight w:val="none"/>
          <w:shd w:val="clear" w:color="auto" w:fill="auto"/>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w:t>
      </w:r>
      <w:r>
        <w:rPr>
          <w:rFonts w:hint="eastAsia" w:ascii="Times New Roman" w:hAnsi="Times New Roman" w:eastAsia="方正小标宋_GBK" w:cs="方正小标宋_GBK"/>
          <w:b/>
          <w:bCs/>
          <w:color w:val="auto"/>
          <w:sz w:val="38"/>
          <w:szCs w:val="38"/>
          <w:highlight w:val="none"/>
          <w:shd w:val="clear" w:color="auto" w:fill="auto"/>
        </w:rPr>
        <w:t>年农业保险政策绩效评价报告</w:t>
      </w:r>
    </w:p>
    <w:p w14:paraId="41D5A3AF">
      <w:pPr>
        <w:keepNext w:val="0"/>
        <w:keepLines w:val="0"/>
        <w:pageBreakBefore w:val="0"/>
        <w:widowControl w:val="0"/>
        <w:kinsoku/>
        <w:wordWrap/>
        <w:overflowPunct/>
        <w:topLinePunct w:val="0"/>
        <w:autoSpaceDE/>
        <w:autoSpaceDN/>
        <w:bidi w:val="0"/>
        <w:adjustRightInd/>
        <w:snapToGrid/>
        <w:spacing w:before="313" w:beforeLines="100" w:line="560" w:lineRule="exact"/>
        <w:ind w:left="0" w:firstLine="660" w:firstLineChars="200"/>
        <w:jc w:val="both"/>
        <w:textAlignment w:val="baseline"/>
        <w:rPr>
          <w:rFonts w:ascii="Times New Roman" w:hAnsi="Times New Roman" w:eastAsia="方正仿宋_GBK" w:cs="Times New Roman"/>
          <w:color w:val="auto"/>
          <w:kern w:val="2"/>
          <w:sz w:val="33"/>
          <w:szCs w:val="33"/>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2023年农业保险政策</w:t>
      </w:r>
      <w:r>
        <w:rPr>
          <w:rFonts w:ascii="Times New Roman" w:hAnsi="Times New Roman" w:eastAsia="方正仿宋_GBK" w:cs="Times New Roman"/>
          <w:color w:val="auto"/>
          <w:kern w:val="2"/>
          <w:sz w:val="33"/>
          <w:szCs w:val="33"/>
          <w:highlight w:val="none"/>
          <w:shd w:val="clear" w:color="auto" w:fill="auto"/>
          <w:lang w:val="en-US" w:eastAsia="zh-CN" w:bidi="ar-SA"/>
        </w:rPr>
        <w:t>绩效情况开展了绩效评价，现将有关情况报告如下。</w:t>
      </w:r>
    </w:p>
    <w:p w14:paraId="0636A4C1">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firstLineChars="200"/>
        <w:jc w:val="both"/>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一、政策基本情况</w:t>
      </w:r>
    </w:p>
    <w:p w14:paraId="3E1B00D4">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保障农民生产经营正常运行，提升农业生产风险抵御能力，促进农村经济发展。2023年西区政策性农业保险覆盖了玉米、芒果种植和生猪、肉羊、肉牛养殖多个方面，安排区级补贴61万元，实际支付49.11万元，支付率为80.5%。</w:t>
      </w:r>
    </w:p>
    <w:p w14:paraId="5376CAE4">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firstLineChars="200"/>
        <w:jc w:val="both"/>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二、评价工作开展情况</w:t>
      </w:r>
    </w:p>
    <w:p w14:paraId="442CFFFD">
      <w:pPr>
        <w:keepNext w:val="0"/>
        <w:keepLines w:val="0"/>
        <w:pageBreakBefore w:val="0"/>
        <w:widowControl w:val="0"/>
        <w:kinsoku/>
        <w:wordWrap/>
        <w:overflowPunct/>
        <w:topLinePunct w:val="0"/>
        <w:autoSpaceDE/>
        <w:autoSpaceDN/>
        <w:bidi w:val="0"/>
        <w:adjustRightInd/>
        <w:snapToGrid w:val="0"/>
        <w:spacing w:line="560" w:lineRule="exact"/>
        <w:ind w:firstLine="663" w:firstLineChars="200"/>
        <w:jc w:val="both"/>
        <w:rPr>
          <w:rFonts w:ascii="Times New Roman" w:hAnsi="Times New Roman" w:eastAsia="楷体_GB2312" w:cs="Times New Roman"/>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（一）现场评价抽样选点情况</w:t>
      </w:r>
    </w:p>
    <w:p w14:paraId="0C78A785">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现场评价抽样选点共安排2个点位：格里坪镇金家村和格里坪镇庄上村。</w:t>
      </w:r>
    </w:p>
    <w:p w14:paraId="46E1C6E0">
      <w:pPr>
        <w:keepNext w:val="0"/>
        <w:keepLines w:val="0"/>
        <w:pageBreakBefore w:val="0"/>
        <w:widowControl w:val="0"/>
        <w:kinsoku/>
        <w:wordWrap/>
        <w:overflowPunct/>
        <w:topLinePunct w:val="0"/>
        <w:autoSpaceDE/>
        <w:autoSpaceDN/>
        <w:bidi w:val="0"/>
        <w:adjustRightInd/>
        <w:snapToGrid w:val="0"/>
        <w:spacing w:line="560" w:lineRule="exact"/>
        <w:ind w:firstLine="663" w:firstLineChars="200"/>
        <w:jc w:val="both"/>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（二）政策总体评价</w:t>
      </w:r>
    </w:p>
    <w:p w14:paraId="4A8D5795">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对2023年西区农业保险项目从项目决策、项目管理和项目绩效三个方面开展了绩效评价工作，现场测评从资金支出效益、资金使用及财务管理情况等方面进行重点考评。经检查考评，该项目符合省、市关于农业保险政策支出相关要求，专款专用，充分发挥专项资金作用。</w:t>
      </w:r>
      <w:r>
        <w:rPr>
          <w:rFonts w:ascii="Times New Roman" w:hAnsi="Times New Roman" w:eastAsia="方正仿宋_GBK" w:cs="Times New Roman"/>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color w:val="auto"/>
          <w:kern w:val="2"/>
          <w:sz w:val="33"/>
          <w:szCs w:val="33"/>
          <w:highlight w:val="none"/>
          <w:shd w:val="clear" w:color="auto" w:fill="auto"/>
          <w:lang w:val="en-US" w:eastAsia="zh-CN" w:bidi="ar-SA"/>
        </w:rPr>
        <w:t>西区农业保险政策落实</w:t>
      </w:r>
      <w:r>
        <w:rPr>
          <w:rFonts w:ascii="Times New Roman" w:hAnsi="Times New Roman" w:eastAsia="方正仿宋_GBK" w:cs="Times New Roman"/>
          <w:color w:val="auto"/>
          <w:kern w:val="2"/>
          <w:sz w:val="33"/>
          <w:szCs w:val="33"/>
          <w:highlight w:val="none"/>
          <w:shd w:val="clear" w:color="auto" w:fill="auto"/>
          <w:lang w:val="en-US" w:eastAsia="zh-CN" w:bidi="ar-SA"/>
        </w:rPr>
        <w:t>基本达到预期绩效目标，绩效评价结果为良好，总体评价得分9</w:t>
      </w:r>
      <w:r>
        <w:rPr>
          <w:rFonts w:hint="eastAsia" w:ascii="Times New Roman" w:hAnsi="Times New Roman" w:eastAsia="方正仿宋_GBK" w:cs="Times New Roman"/>
          <w:color w:val="auto"/>
          <w:kern w:val="2"/>
          <w:sz w:val="33"/>
          <w:szCs w:val="33"/>
          <w:highlight w:val="none"/>
          <w:shd w:val="clear" w:color="auto" w:fill="auto"/>
          <w:lang w:val="en-US" w:eastAsia="zh-CN" w:bidi="ar-SA"/>
        </w:rPr>
        <w:t>5</w:t>
      </w:r>
      <w:r>
        <w:rPr>
          <w:rFonts w:ascii="Times New Roman" w:hAnsi="Times New Roman" w:eastAsia="方正仿宋_GBK" w:cs="Times New Roman"/>
          <w:color w:val="auto"/>
          <w:kern w:val="2"/>
          <w:sz w:val="33"/>
          <w:szCs w:val="33"/>
          <w:highlight w:val="none"/>
          <w:shd w:val="clear" w:color="auto" w:fill="auto"/>
          <w:lang w:val="en-US" w:eastAsia="zh-CN" w:bidi="ar-SA"/>
        </w:rPr>
        <w:t>分。具体评价情况见下表。</w:t>
      </w:r>
    </w:p>
    <w:p w14:paraId="6F115E0D">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default" w:ascii="Times New Roman" w:hAnsi="Times New Roman" w:eastAsia="仿宋_GB2312" w:cs="Times New Roman"/>
          <w:b/>
          <w:color w:val="auto"/>
          <w:sz w:val="24"/>
          <w:szCs w:val="32"/>
          <w:highlight w:val="none"/>
          <w:shd w:val="clear" w:color="auto" w:fill="auto"/>
          <w:lang w:val="en-US" w:eastAsia="zh-CN"/>
        </w:rPr>
      </w:pPr>
      <w:r>
        <w:rPr>
          <w:rFonts w:hint="eastAsia" w:ascii="Times New Roman" w:hAnsi="Times New Roman" w:eastAsia="仿宋_GB2312" w:cs="Times New Roman"/>
          <w:b/>
          <w:color w:val="auto"/>
          <w:sz w:val="24"/>
          <w:szCs w:val="32"/>
          <w:highlight w:val="none"/>
          <w:shd w:val="clear" w:color="auto" w:fill="auto"/>
          <w:lang w:val="zh-CN"/>
        </w:rPr>
        <w:t>农业保险政策绩效得分表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14:paraId="595A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Align w:val="center"/>
          </w:tcPr>
          <w:p w14:paraId="30A6633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一级指标</w: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305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7" name="直接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30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WslW+8BAADkAwAADgAAAGRycy9lMm9Eb2MueG1srVPNbhMx&#10;EL4j8Q6W72TTVC1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OlLzhxYuvG7&#10;Lz9vP3/7/esrrXc/vjOKkEx9wJqyr9wqjjsMq5g579po85/YsF2Rdn+QVu0SE+Q8Pz3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ClrJVvvAQAA5AMAAA4AAAAAAAAAAQAgAAAAJA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408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8" name="直接连接符 3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40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KcOiknvAQAA5AMAAA4AAAAAAAAAAQAgAAAAJA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510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9" name="直接连接符 3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51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D8HoZHvAQAA5AMAAA4AAAAAAAAAAQAgAAAAJA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612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61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MbQqe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0gSB5Zu/PbT&#10;958fv/z68ZnW229fGUVIpiFgTdlXbhOnHYZNzJz3bbT5T2zYvkh7OEqr9okJcl48PedM3PmrP4dC&#10;xPRKecuy0XCjXWYMNexeY6JClHqXkt3GsaHhL84XGQ5o/Fq6djJtIArounIWvdHyWhuTT2Dstlcm&#10;sh3kEShfpkO4f6XlImvAfswroXE4egXypZMsHQJp4+hN8NyCVZIzo+gJZYsAoU6gzSmZVNq4fECV&#10;AZ14Zn1HRbO19fJQhK7yji6/dDwNap6u+3uy7z/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nMbQqe4BAADkAwAADgAAAAAAAAABACAAAAAkAQAAZHJzL2Uyb0RvYy54bWxQSwUGAAAAAAYA&#10;BgBZAQAAhAUAAAAA&#10;">
                      <v:fill on="f" focussize="0,0"/>
                      <v:stroke color="#000000" joinstyle="round"/>
                      <v:imagedata o:title=""/>
                      <o:lock v:ext="edit" aspectratio="f"/>
                    </v:line>
                  </w:pict>
                </mc:Fallback>
              </mc:AlternateContent>
            </w:r>
          </w:p>
        </w:tc>
        <w:tc>
          <w:tcPr>
            <w:tcW w:w="1701" w:type="dxa"/>
            <w:vAlign w:val="center"/>
          </w:tcPr>
          <w:p w14:paraId="386EF46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二级指标</w:t>
            </w:r>
          </w:p>
        </w:tc>
        <w:tc>
          <w:tcPr>
            <w:tcW w:w="2427" w:type="dxa"/>
            <w:vAlign w:val="center"/>
          </w:tcPr>
          <w:p w14:paraId="167478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三级指标</w:t>
            </w:r>
          </w:p>
        </w:tc>
        <w:tc>
          <w:tcPr>
            <w:tcW w:w="1343" w:type="dxa"/>
            <w:vAlign w:val="center"/>
          </w:tcPr>
          <w:p w14:paraId="4B0A41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分值</w:t>
            </w:r>
          </w:p>
        </w:tc>
        <w:tc>
          <w:tcPr>
            <w:tcW w:w="1139" w:type="dxa"/>
            <w:vAlign w:val="center"/>
          </w:tcPr>
          <w:p w14:paraId="27E0C60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得分</w:t>
            </w:r>
          </w:p>
        </w:tc>
      </w:tr>
      <w:tr w14:paraId="2D0F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14:paraId="7DD939E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项目决策</w:t>
            </w:r>
          </w:p>
          <w:p w14:paraId="3288C38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（20分）</w:t>
            </w:r>
          </w:p>
        </w:tc>
        <w:tc>
          <w:tcPr>
            <w:tcW w:w="1701" w:type="dxa"/>
            <w:vMerge w:val="restart"/>
            <w:vAlign w:val="center"/>
          </w:tcPr>
          <w:p w14:paraId="60B1FD8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绩效目标</w:t>
            </w:r>
          </w:p>
          <w:p w14:paraId="156E9D3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（6分）</w:t>
            </w:r>
          </w:p>
        </w:tc>
        <w:tc>
          <w:tcPr>
            <w:tcW w:w="2427" w:type="dxa"/>
            <w:vAlign w:val="center"/>
          </w:tcPr>
          <w:p w14:paraId="66A3B2E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目标内容</w:t>
            </w:r>
          </w:p>
        </w:tc>
        <w:tc>
          <w:tcPr>
            <w:tcW w:w="1343" w:type="dxa"/>
            <w:vAlign w:val="center"/>
          </w:tcPr>
          <w:p w14:paraId="2074ED6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6A5A930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5F8A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757A482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3528278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4DB2D47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进度计划</w:t>
            </w:r>
          </w:p>
        </w:tc>
        <w:tc>
          <w:tcPr>
            <w:tcW w:w="1343" w:type="dxa"/>
            <w:vAlign w:val="center"/>
          </w:tcPr>
          <w:p w14:paraId="3E7287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47255F3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1</w:t>
            </w:r>
          </w:p>
        </w:tc>
      </w:tr>
      <w:tr w14:paraId="1ECE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4E837F2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01E768F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6B240C2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目标匹配</w:t>
            </w:r>
          </w:p>
        </w:tc>
        <w:tc>
          <w:tcPr>
            <w:tcW w:w="1343" w:type="dxa"/>
            <w:vAlign w:val="center"/>
          </w:tcPr>
          <w:p w14:paraId="49CF409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0CEBF8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4EF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5064CC1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596A163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决策依据</w:t>
            </w:r>
          </w:p>
          <w:p w14:paraId="6BB2EF9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（10分）</w:t>
            </w:r>
          </w:p>
        </w:tc>
        <w:tc>
          <w:tcPr>
            <w:tcW w:w="2427" w:type="dxa"/>
            <w:vAlign w:val="center"/>
          </w:tcPr>
          <w:p w14:paraId="17BD599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政策依据</w:t>
            </w:r>
          </w:p>
        </w:tc>
        <w:tc>
          <w:tcPr>
            <w:tcW w:w="1343" w:type="dxa"/>
            <w:vAlign w:val="center"/>
          </w:tcPr>
          <w:p w14:paraId="0A9890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AF337E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39D8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3C8CF13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7E656A0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53CD58D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程序严密</w:t>
            </w:r>
          </w:p>
        </w:tc>
        <w:tc>
          <w:tcPr>
            <w:tcW w:w="1343" w:type="dxa"/>
            <w:vAlign w:val="center"/>
          </w:tcPr>
          <w:p w14:paraId="4A532F0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796E9D8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318C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2A6FF0F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4BE8E88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5393A60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结果符合</w:t>
            </w:r>
          </w:p>
        </w:tc>
        <w:tc>
          <w:tcPr>
            <w:tcW w:w="1343" w:type="dxa"/>
            <w:vAlign w:val="center"/>
          </w:tcPr>
          <w:p w14:paraId="656A17D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479633A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77F8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3FD5CB4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3586E4D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324E5E7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实施规划</w:t>
            </w:r>
          </w:p>
        </w:tc>
        <w:tc>
          <w:tcPr>
            <w:tcW w:w="1343" w:type="dxa"/>
            <w:vAlign w:val="center"/>
          </w:tcPr>
          <w:p w14:paraId="256EE6D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39" w:type="dxa"/>
            <w:vAlign w:val="center"/>
          </w:tcPr>
          <w:p w14:paraId="5F7BEFF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3</w:t>
            </w:r>
          </w:p>
        </w:tc>
      </w:tr>
      <w:tr w14:paraId="0A54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7FB4FFF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689DB45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分配结果</w:t>
            </w:r>
          </w:p>
          <w:p w14:paraId="680AA5C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14:paraId="1856FA8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分配过程</w:t>
            </w:r>
          </w:p>
        </w:tc>
        <w:tc>
          <w:tcPr>
            <w:tcW w:w="1343" w:type="dxa"/>
            <w:vAlign w:val="center"/>
          </w:tcPr>
          <w:p w14:paraId="7B3086B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2D51DBE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208B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1169DD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0A0B5A7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7643120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审核把关</w:t>
            </w:r>
          </w:p>
        </w:tc>
        <w:tc>
          <w:tcPr>
            <w:tcW w:w="1343" w:type="dxa"/>
            <w:vAlign w:val="center"/>
          </w:tcPr>
          <w:p w14:paraId="7453886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374C4802">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061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12" w:type="dxa"/>
            <w:vMerge w:val="restart"/>
            <w:vAlign w:val="center"/>
          </w:tcPr>
          <w:p w14:paraId="42B6F27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项目管理</w:t>
            </w:r>
          </w:p>
          <w:p w14:paraId="11A08F3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（15分）</w:t>
            </w:r>
          </w:p>
        </w:tc>
        <w:tc>
          <w:tcPr>
            <w:tcW w:w="1701" w:type="dxa"/>
            <w:vMerge w:val="restart"/>
            <w:vAlign w:val="center"/>
          </w:tcPr>
          <w:p w14:paraId="680A96F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资金到位</w:t>
            </w:r>
          </w:p>
          <w:p w14:paraId="09F583A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14:paraId="188806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分配时效</w:t>
            </w:r>
          </w:p>
        </w:tc>
        <w:tc>
          <w:tcPr>
            <w:tcW w:w="1343" w:type="dxa"/>
            <w:vAlign w:val="center"/>
          </w:tcPr>
          <w:p w14:paraId="39C4976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61E8C88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1A63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4B302C2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420ACB3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4B53893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资金拨付</w:t>
            </w:r>
          </w:p>
        </w:tc>
        <w:tc>
          <w:tcPr>
            <w:tcW w:w="1343" w:type="dxa"/>
            <w:vAlign w:val="center"/>
          </w:tcPr>
          <w:p w14:paraId="20E5BEB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26C37C3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31D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28A3C8A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3C5A10A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资金管理</w:t>
            </w:r>
          </w:p>
          <w:p w14:paraId="6A2D63A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（3分）</w:t>
            </w:r>
          </w:p>
        </w:tc>
        <w:tc>
          <w:tcPr>
            <w:tcW w:w="2427" w:type="dxa"/>
            <w:vAlign w:val="center"/>
          </w:tcPr>
          <w:p w14:paraId="2FB7E66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使用范围</w:t>
            </w:r>
          </w:p>
        </w:tc>
        <w:tc>
          <w:tcPr>
            <w:tcW w:w="1343" w:type="dxa"/>
            <w:vAlign w:val="center"/>
          </w:tcPr>
          <w:p w14:paraId="19435D2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6BCB8AC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14:paraId="3A8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674B31E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691BB28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19DAB03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支付依据</w:t>
            </w:r>
          </w:p>
        </w:tc>
        <w:tc>
          <w:tcPr>
            <w:tcW w:w="1343" w:type="dxa"/>
            <w:vAlign w:val="center"/>
          </w:tcPr>
          <w:p w14:paraId="3C18934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501A2E8A">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14:paraId="5C2A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3617E2E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7ED0B69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6893D37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开支标准</w:t>
            </w:r>
          </w:p>
        </w:tc>
        <w:tc>
          <w:tcPr>
            <w:tcW w:w="1343" w:type="dxa"/>
            <w:vAlign w:val="center"/>
          </w:tcPr>
          <w:p w14:paraId="42B9DA6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7B8AAF2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14:paraId="2242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6CB484F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4A313AA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财务管理</w:t>
            </w:r>
          </w:p>
          <w:p w14:paraId="0EC17EB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14:paraId="5AD448B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财务制度</w:t>
            </w:r>
          </w:p>
        </w:tc>
        <w:tc>
          <w:tcPr>
            <w:tcW w:w="1343" w:type="dxa"/>
            <w:vAlign w:val="center"/>
          </w:tcPr>
          <w:p w14:paraId="13A72BD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0C4371F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5C67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06CBDCC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21D79F3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755B13A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会计核算</w:t>
            </w:r>
          </w:p>
        </w:tc>
        <w:tc>
          <w:tcPr>
            <w:tcW w:w="1343" w:type="dxa"/>
            <w:vAlign w:val="center"/>
          </w:tcPr>
          <w:p w14:paraId="6289D26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5B69BBA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5C6A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12" w:type="dxa"/>
            <w:vMerge w:val="continue"/>
            <w:vAlign w:val="center"/>
          </w:tcPr>
          <w:p w14:paraId="6190DA2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5C0F8DD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组织实施</w:t>
            </w:r>
          </w:p>
          <w:p w14:paraId="4D7ABA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14:paraId="5242F9E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项目调整</w:t>
            </w:r>
          </w:p>
        </w:tc>
        <w:tc>
          <w:tcPr>
            <w:tcW w:w="1343" w:type="dxa"/>
            <w:vAlign w:val="center"/>
          </w:tcPr>
          <w:p w14:paraId="5DA63A9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5F21B0E7">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14:paraId="23FD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2" w:type="dxa"/>
            <w:vMerge w:val="continue"/>
            <w:vAlign w:val="center"/>
          </w:tcPr>
          <w:p w14:paraId="54BDE6E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1829F91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0DB3611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投资变更</w:t>
            </w:r>
          </w:p>
        </w:tc>
        <w:tc>
          <w:tcPr>
            <w:tcW w:w="1343" w:type="dxa"/>
            <w:vAlign w:val="center"/>
          </w:tcPr>
          <w:p w14:paraId="186463A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14:paraId="05DF386D">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14:paraId="0E44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14:paraId="56CA690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552504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78B3F58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制度执行</w:t>
            </w:r>
          </w:p>
        </w:tc>
        <w:tc>
          <w:tcPr>
            <w:tcW w:w="1343" w:type="dxa"/>
            <w:vAlign w:val="center"/>
          </w:tcPr>
          <w:p w14:paraId="4567652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14:paraId="30CE4CF5">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14:paraId="1213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12" w:type="dxa"/>
            <w:vMerge w:val="restart"/>
            <w:vAlign w:val="center"/>
          </w:tcPr>
          <w:p w14:paraId="3F7AE01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14:paraId="5F4A81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14:paraId="3377621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项目绩效</w:t>
            </w:r>
          </w:p>
          <w:p w14:paraId="2091C04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（特性指标65分）</w:t>
            </w:r>
          </w:p>
          <w:p w14:paraId="2A0927A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14:paraId="401E54E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7752C8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项目完成</w:t>
            </w:r>
          </w:p>
          <w:p w14:paraId="6EDE8C4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（20分）</w:t>
            </w:r>
          </w:p>
          <w:p w14:paraId="2D478E1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6AC5E2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完成数量</w:t>
            </w:r>
          </w:p>
        </w:tc>
        <w:tc>
          <w:tcPr>
            <w:tcW w:w="1343" w:type="dxa"/>
            <w:vAlign w:val="center"/>
          </w:tcPr>
          <w:p w14:paraId="37F49D2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5BE0586B">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14:paraId="0DC4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6CF9435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3126DAE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18220D8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完成质量</w:t>
            </w:r>
          </w:p>
        </w:tc>
        <w:tc>
          <w:tcPr>
            <w:tcW w:w="1343" w:type="dxa"/>
            <w:vAlign w:val="center"/>
          </w:tcPr>
          <w:p w14:paraId="4FD5D24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7C509BC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3</w:t>
            </w:r>
          </w:p>
        </w:tc>
      </w:tr>
      <w:tr w14:paraId="6A53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507E3484">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2310EA9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23DCF22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完成时效</w:t>
            </w:r>
          </w:p>
        </w:tc>
        <w:tc>
          <w:tcPr>
            <w:tcW w:w="1343" w:type="dxa"/>
            <w:vAlign w:val="center"/>
          </w:tcPr>
          <w:p w14:paraId="53C4696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16268983">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14:paraId="4E4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1888AF78">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3CDAE3E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33BEBAC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完成成本</w:t>
            </w:r>
          </w:p>
        </w:tc>
        <w:tc>
          <w:tcPr>
            <w:tcW w:w="1343" w:type="dxa"/>
            <w:vAlign w:val="center"/>
          </w:tcPr>
          <w:p w14:paraId="559F1CA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1AC74CD4">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14:paraId="344A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487DA2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4D701BA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7B6A9A5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违规纪律</w:t>
            </w:r>
          </w:p>
        </w:tc>
        <w:tc>
          <w:tcPr>
            <w:tcW w:w="1343" w:type="dxa"/>
            <w:vAlign w:val="center"/>
          </w:tcPr>
          <w:p w14:paraId="1E35F81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14:paraId="42E732F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14:paraId="23AA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2" w:type="dxa"/>
            <w:vMerge w:val="continue"/>
            <w:vAlign w:val="center"/>
          </w:tcPr>
          <w:p w14:paraId="27302D03">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14:paraId="5C6C699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14:paraId="612DEE0E">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项目效益</w:t>
            </w:r>
          </w:p>
          <w:p w14:paraId="25D81192">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（40分）</w:t>
            </w:r>
          </w:p>
        </w:tc>
        <w:tc>
          <w:tcPr>
            <w:tcW w:w="2427" w:type="dxa"/>
            <w:vAlign w:val="center"/>
          </w:tcPr>
          <w:p w14:paraId="68753336">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经济效益</w:t>
            </w:r>
          </w:p>
        </w:tc>
        <w:tc>
          <w:tcPr>
            <w:tcW w:w="1343" w:type="dxa"/>
            <w:vAlign w:val="center"/>
          </w:tcPr>
          <w:p w14:paraId="0FBFBE1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55D03E7F">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10</w:t>
            </w:r>
          </w:p>
        </w:tc>
      </w:tr>
      <w:tr w14:paraId="50ED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2" w:type="dxa"/>
            <w:vMerge w:val="continue"/>
            <w:vAlign w:val="center"/>
          </w:tcPr>
          <w:p w14:paraId="555DB07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1938DBBD">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1DA2353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社会效益</w:t>
            </w:r>
          </w:p>
        </w:tc>
        <w:tc>
          <w:tcPr>
            <w:tcW w:w="1343" w:type="dxa"/>
            <w:vAlign w:val="center"/>
          </w:tcPr>
          <w:p w14:paraId="27703D6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44151D39">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9</w:t>
            </w:r>
          </w:p>
        </w:tc>
      </w:tr>
      <w:tr w14:paraId="5C9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14:paraId="2B55C52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194393B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68A8418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生态效益</w:t>
            </w:r>
          </w:p>
        </w:tc>
        <w:tc>
          <w:tcPr>
            <w:tcW w:w="1343" w:type="dxa"/>
            <w:vAlign w:val="center"/>
          </w:tcPr>
          <w:p w14:paraId="19955839">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1336E33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9</w:t>
            </w:r>
          </w:p>
        </w:tc>
      </w:tr>
      <w:tr w14:paraId="11DB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12" w:type="dxa"/>
            <w:vMerge w:val="continue"/>
            <w:vAlign w:val="center"/>
          </w:tcPr>
          <w:p w14:paraId="542D27A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14:paraId="615C225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14:paraId="4ACE09F5">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可持续效益</w:t>
            </w:r>
          </w:p>
        </w:tc>
        <w:tc>
          <w:tcPr>
            <w:tcW w:w="1343" w:type="dxa"/>
            <w:vAlign w:val="center"/>
          </w:tcPr>
          <w:p w14:paraId="120FBECF">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14:paraId="06D8C420">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10</w:t>
            </w:r>
          </w:p>
        </w:tc>
      </w:tr>
      <w:tr w14:paraId="2667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14:paraId="3F4DACBA">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Align w:val="center"/>
          </w:tcPr>
          <w:p w14:paraId="69497AE7">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满意度</w:t>
            </w:r>
          </w:p>
          <w:p w14:paraId="38521F8B">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（5分）</w:t>
            </w:r>
          </w:p>
        </w:tc>
        <w:tc>
          <w:tcPr>
            <w:tcW w:w="2427" w:type="dxa"/>
            <w:vAlign w:val="center"/>
          </w:tcPr>
          <w:p w14:paraId="402D3AAC">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服务对象满意度</w:t>
            </w:r>
          </w:p>
        </w:tc>
        <w:tc>
          <w:tcPr>
            <w:tcW w:w="1343" w:type="dxa"/>
            <w:vAlign w:val="center"/>
          </w:tcPr>
          <w:p w14:paraId="452745E0">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vAlign w:val="center"/>
          </w:tcPr>
          <w:p w14:paraId="69AE8656">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5</w:t>
            </w:r>
          </w:p>
        </w:tc>
      </w:tr>
      <w:tr w14:paraId="6991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40" w:type="dxa"/>
            <w:gridSpan w:val="3"/>
            <w:vAlign w:val="center"/>
          </w:tcPr>
          <w:p w14:paraId="4C0843D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合　　　　计</w:t>
            </w:r>
          </w:p>
        </w:tc>
        <w:tc>
          <w:tcPr>
            <w:tcW w:w="1343" w:type="dxa"/>
            <w:vAlign w:val="center"/>
          </w:tcPr>
          <w:p w14:paraId="4D3158E1">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vAlign w:val="center"/>
          </w:tcPr>
          <w:p w14:paraId="2A60AC91">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kern w:val="0"/>
                <w:sz w:val="20"/>
                <w:szCs w:val="20"/>
                <w:highlight w:val="none"/>
                <w:shd w:val="clear" w:color="auto" w:fill="auto"/>
              </w:rPr>
              <w:t>9</w:t>
            </w:r>
            <w:r>
              <w:rPr>
                <w:rFonts w:hint="eastAsia" w:ascii="Times New Roman" w:hAnsi="Times New Roman" w:eastAsia="仿宋_GB2312" w:cs="Times New Roman"/>
                <w:color w:val="auto"/>
                <w:kern w:val="0"/>
                <w:sz w:val="20"/>
                <w:szCs w:val="20"/>
                <w:highlight w:val="none"/>
                <w:shd w:val="clear" w:color="auto" w:fill="auto"/>
              </w:rPr>
              <w:t>5</w:t>
            </w:r>
          </w:p>
        </w:tc>
      </w:tr>
    </w:tbl>
    <w:p w14:paraId="4B43F8CC">
      <w:pPr>
        <w:keepNext w:val="0"/>
        <w:keepLines w:val="0"/>
        <w:pageBreakBefore w:val="0"/>
        <w:widowControl w:val="0"/>
        <w:kinsoku/>
        <w:wordWrap/>
        <w:overflowPunct/>
        <w:topLinePunct w:val="0"/>
        <w:autoSpaceDE/>
        <w:autoSpaceDN/>
        <w:bidi w:val="0"/>
        <w:adjustRightInd/>
        <w:snapToGrid w:val="0"/>
        <w:spacing w:before="157" w:beforeLines="50" w:line="600" w:lineRule="exact"/>
        <w:ind w:firstLine="660" w:firstLineChars="200"/>
        <w:jc w:val="both"/>
        <w:textAlignment w:val="auto"/>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三、政策绩效情况</w:t>
      </w:r>
    </w:p>
    <w:p w14:paraId="0B5417DE">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（一）政策设计</w:t>
      </w:r>
    </w:p>
    <w:p w14:paraId="5F1CAF1C">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1.</w:t>
      </w:r>
      <w:r>
        <w:rPr>
          <w:rFonts w:hint="eastAsia" w:ascii="Times New Roman" w:hAnsi="Times New Roman" w:eastAsia="方正仿宋_GBK" w:cs="方正仿宋_GBK"/>
          <w:b/>
          <w:bCs/>
          <w:color w:val="auto"/>
          <w:sz w:val="33"/>
          <w:szCs w:val="33"/>
          <w:highlight w:val="none"/>
          <w:shd w:val="clear" w:color="auto" w:fill="auto"/>
        </w:rPr>
        <w:t>目标科学</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通过保费补贴等相关政策支持，鼓励和引导农户、农业生产经营组织投保农业保险，推动农业保险市场化发展，增强农业抗风险能力。政策明确合理，支持范围与政策规划匹配，目标设定与客观需求一致。</w:t>
      </w:r>
    </w:p>
    <w:p w14:paraId="1DD9B600">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2.</w:t>
      </w:r>
      <w:r>
        <w:rPr>
          <w:rFonts w:hint="eastAsia" w:ascii="Times New Roman" w:hAnsi="Times New Roman" w:eastAsia="方正仿宋_GBK" w:cs="方正仿宋_GBK"/>
          <w:b/>
          <w:bCs/>
          <w:color w:val="auto"/>
          <w:sz w:val="33"/>
          <w:szCs w:val="33"/>
          <w:highlight w:val="none"/>
          <w:shd w:val="clear" w:color="auto" w:fill="auto"/>
        </w:rPr>
        <w:t>项目协同</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保费补贴政策与其他农村金融和支农惠农政策有机结合，财政、农业、林业、保险监管等有关单位积极协同配合，共同做好农业保险工作。</w:t>
      </w:r>
    </w:p>
    <w:p w14:paraId="36A36FEE">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3.</w:t>
      </w:r>
      <w:r>
        <w:rPr>
          <w:rFonts w:hint="eastAsia" w:ascii="Times New Roman" w:hAnsi="Times New Roman" w:eastAsia="方正仿宋_GBK" w:cs="方正仿宋_GBK"/>
          <w:b/>
          <w:bCs/>
          <w:color w:val="auto"/>
          <w:sz w:val="33"/>
          <w:szCs w:val="33"/>
          <w:highlight w:val="none"/>
          <w:shd w:val="clear" w:color="auto" w:fill="auto"/>
        </w:rPr>
        <w:t>对象全面</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农户、农业生产经营组织、经办机构等各方的参与都坚持自主自愿，在符合有关规定的基础上，申请中央、省级财政农业保费补贴。</w:t>
      </w:r>
    </w:p>
    <w:p w14:paraId="20CDCD24">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4.</w:t>
      </w:r>
      <w:r>
        <w:rPr>
          <w:rFonts w:hint="eastAsia" w:ascii="Times New Roman" w:hAnsi="Times New Roman" w:eastAsia="方正仿宋_GBK" w:cs="方正仿宋_GBK"/>
          <w:b/>
          <w:bCs/>
          <w:color w:val="auto"/>
          <w:sz w:val="33"/>
          <w:szCs w:val="33"/>
          <w:highlight w:val="none"/>
          <w:shd w:val="clear" w:color="auto" w:fill="auto"/>
        </w:rPr>
        <w:t>标准合理</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政策标准均按照上级方案和相关办法执行。</w:t>
      </w:r>
    </w:p>
    <w:p w14:paraId="0BD076BC">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（二）政策执行</w:t>
      </w:r>
    </w:p>
    <w:p w14:paraId="3F1DEC49">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Times New Roman"/>
          <w:b/>
          <w:bCs/>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1.实施对象精准</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农业保险实施对象均按照上级农业保险方案执行，政策实施对象识别精准，实施对象与政策预期匹配。</w:t>
      </w:r>
    </w:p>
    <w:p w14:paraId="55775012">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2.政策调整及时</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农业保险政策符合实际情况，</w:t>
      </w:r>
      <w:r>
        <w:rPr>
          <w:rFonts w:hint="eastAsia" w:ascii="Times New Roman" w:hAnsi="Times New Roman" w:eastAsia="方正仿宋_GBK" w:cs="方正仿宋_GBK"/>
          <w:color w:val="auto"/>
          <w:sz w:val="33"/>
          <w:szCs w:val="33"/>
          <w:highlight w:val="none"/>
          <w:shd w:val="clear" w:color="auto" w:fill="auto"/>
          <w:lang w:eastAsia="zh-CN"/>
        </w:rPr>
        <w:t>不存在政策调整情况，</w:t>
      </w:r>
      <w:r>
        <w:rPr>
          <w:rFonts w:hint="eastAsia" w:ascii="Times New Roman" w:hAnsi="Times New Roman" w:eastAsia="方正仿宋_GBK" w:cs="方正仿宋_GBK"/>
          <w:color w:val="auto"/>
          <w:sz w:val="33"/>
          <w:szCs w:val="33"/>
          <w:highlight w:val="none"/>
          <w:shd w:val="clear" w:color="auto" w:fill="auto"/>
        </w:rPr>
        <w:t>执行过程中均按照上级方案和相关办法</w:t>
      </w:r>
      <w:r>
        <w:rPr>
          <w:rFonts w:hint="eastAsia" w:ascii="Times New Roman" w:hAnsi="Times New Roman" w:eastAsia="方正仿宋_GBK" w:cs="方正仿宋_GBK"/>
          <w:color w:val="auto"/>
          <w:sz w:val="33"/>
          <w:szCs w:val="33"/>
          <w:highlight w:val="none"/>
          <w:shd w:val="clear" w:color="auto" w:fill="auto"/>
          <w:lang w:eastAsia="zh-CN"/>
        </w:rPr>
        <w:t>开展</w:t>
      </w:r>
      <w:r>
        <w:rPr>
          <w:rFonts w:hint="eastAsia" w:ascii="Times New Roman" w:hAnsi="Times New Roman" w:eastAsia="方正仿宋_GBK" w:cs="方正仿宋_GBK"/>
          <w:color w:val="auto"/>
          <w:sz w:val="33"/>
          <w:szCs w:val="33"/>
          <w:highlight w:val="none"/>
          <w:shd w:val="clear" w:color="auto" w:fill="auto"/>
        </w:rPr>
        <w:t>。</w:t>
      </w:r>
    </w:p>
    <w:p w14:paraId="4684A368">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仿宋_GB2312"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3.执行机制同向</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pacing w:val="-6"/>
          <w:sz w:val="33"/>
          <w:szCs w:val="33"/>
          <w:highlight w:val="none"/>
          <w:shd w:val="clear" w:color="auto" w:fill="auto"/>
        </w:rPr>
        <w:t>政策专项实施过程中方式方法同向，不存在相悖或不合理。</w:t>
      </w:r>
    </w:p>
    <w:p w14:paraId="4857BE55">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4.政策执行质量</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农业保险政策实施过程中健全完善相关制度机制，科学规范操作执行，预算执行及时高效。</w:t>
      </w:r>
    </w:p>
    <w:p w14:paraId="35201BC7">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楷体_GB2312" w:cs="Times New Roman"/>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（三）政策效果</w:t>
      </w:r>
    </w:p>
    <w:p w14:paraId="2BB02D3E">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hint="eastAsia" w:ascii="Times New Roman" w:hAnsi="Times New Roman" w:eastAsia="方正仿宋_GBK" w:cs="方正仿宋_GBK"/>
          <w:color w:val="auto"/>
          <w:sz w:val="33"/>
          <w:szCs w:val="33"/>
          <w:highlight w:val="none"/>
          <w:shd w:val="clear" w:color="auto" w:fill="auto"/>
        </w:rPr>
        <w:t>农业保险政策严格按照上级方案实施，分配方法制定、分配要素设定、基础数据应用、测算依据选取科学合理，分配结果公平合理，充分考虑地域条件、经济条件等。政策实施对象中不存在明显不合理的排他性规定等，政策实施后相关受益群体的整体满意</w:t>
      </w:r>
      <w:r>
        <w:rPr>
          <w:rFonts w:hint="eastAsia" w:ascii="Times New Roman" w:hAnsi="Times New Roman" w:eastAsia="方正仿宋_GBK" w:cs="方正仿宋_GBK"/>
          <w:color w:val="auto"/>
          <w:sz w:val="33"/>
          <w:szCs w:val="33"/>
          <w:highlight w:val="none"/>
          <w:shd w:val="clear" w:color="auto" w:fill="auto"/>
          <w:lang w:eastAsia="zh-CN"/>
        </w:rPr>
        <w:t>度较高</w:t>
      </w:r>
      <w:r>
        <w:rPr>
          <w:rFonts w:hint="eastAsia" w:ascii="Times New Roman" w:hAnsi="Times New Roman" w:eastAsia="方正仿宋_GBK" w:cs="方正仿宋_GBK"/>
          <w:color w:val="auto"/>
          <w:sz w:val="33"/>
          <w:szCs w:val="33"/>
          <w:highlight w:val="none"/>
          <w:shd w:val="clear" w:color="auto" w:fill="auto"/>
        </w:rPr>
        <w:t>。</w:t>
      </w:r>
    </w:p>
    <w:p w14:paraId="5F6B3FF8">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四、存在问题</w:t>
      </w:r>
    </w:p>
    <w:p w14:paraId="35079836">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仿宋_GBK" w:cs="方正仿宋_GBK"/>
          <w:color w:val="auto"/>
          <w:sz w:val="33"/>
          <w:szCs w:val="33"/>
          <w:highlight w:val="none"/>
          <w:shd w:val="clear" w:color="auto" w:fill="auto"/>
          <w:lang w:eastAsia="zh-CN"/>
        </w:rPr>
        <w:t>农户</w:t>
      </w:r>
      <w:r>
        <w:rPr>
          <w:rFonts w:hint="eastAsia" w:ascii="Times New Roman" w:hAnsi="Times New Roman" w:eastAsia="方正仿宋_GBK" w:cs="方正仿宋_GBK"/>
          <w:color w:val="auto"/>
          <w:sz w:val="33"/>
          <w:szCs w:val="33"/>
          <w:highlight w:val="none"/>
          <w:shd w:val="clear" w:color="auto" w:fill="auto"/>
        </w:rPr>
        <w:t>主动投保积极性不高。目前，</w:t>
      </w:r>
      <w:r>
        <w:rPr>
          <w:rFonts w:hint="eastAsia" w:ascii="Times New Roman" w:hAnsi="Times New Roman" w:eastAsia="方正仿宋_GBK" w:cs="方正仿宋_GBK"/>
          <w:color w:val="auto"/>
          <w:sz w:val="33"/>
          <w:szCs w:val="33"/>
          <w:highlight w:val="none"/>
          <w:shd w:val="clear" w:color="auto" w:fill="auto"/>
          <w:lang w:eastAsia="zh-CN"/>
        </w:rPr>
        <w:t>西</w:t>
      </w:r>
      <w:r>
        <w:rPr>
          <w:rFonts w:hint="eastAsia" w:ascii="Times New Roman" w:hAnsi="Times New Roman" w:eastAsia="方正仿宋_GBK" w:cs="方正仿宋_GBK"/>
          <w:color w:val="auto"/>
          <w:sz w:val="33"/>
          <w:szCs w:val="33"/>
          <w:highlight w:val="none"/>
          <w:shd w:val="clear" w:color="auto" w:fill="auto"/>
        </w:rPr>
        <w:t>区玉米、育肥猪、能繁母猪、肉羊等大宗种养品种虽然取得了较高的参保面，但农户的反响</w:t>
      </w:r>
      <w:r>
        <w:rPr>
          <w:rFonts w:hint="eastAsia" w:ascii="Times New Roman" w:hAnsi="Times New Roman" w:eastAsia="方正仿宋_GBK" w:cs="方正仿宋_GBK"/>
          <w:color w:val="auto"/>
          <w:sz w:val="33"/>
          <w:szCs w:val="33"/>
          <w:highlight w:val="none"/>
          <w:shd w:val="clear" w:color="auto" w:fill="auto"/>
          <w:lang w:eastAsia="zh-CN"/>
        </w:rPr>
        <w:t>不够</w:t>
      </w:r>
      <w:r>
        <w:rPr>
          <w:rFonts w:hint="eastAsia" w:ascii="Times New Roman" w:hAnsi="Times New Roman" w:eastAsia="方正仿宋_GBK" w:cs="方正仿宋_GBK"/>
          <w:color w:val="auto"/>
          <w:sz w:val="33"/>
          <w:szCs w:val="33"/>
          <w:highlight w:val="none"/>
          <w:shd w:val="clear" w:color="auto" w:fill="auto"/>
        </w:rPr>
        <w:t>热烈，积极主动要求参保的还不多。主要原因</w:t>
      </w:r>
      <w:r>
        <w:rPr>
          <w:rFonts w:hint="eastAsia" w:ascii="Times New Roman" w:hAnsi="Times New Roman" w:eastAsia="方正仿宋_GBK" w:cs="方正仿宋_GBK"/>
          <w:color w:val="auto"/>
          <w:sz w:val="33"/>
          <w:szCs w:val="33"/>
          <w:highlight w:val="none"/>
          <w:shd w:val="clear" w:color="auto" w:fill="auto"/>
          <w:lang w:eastAsia="zh-CN"/>
        </w:rPr>
        <w:t>是</w:t>
      </w:r>
      <w:r>
        <w:rPr>
          <w:rFonts w:hint="eastAsia" w:ascii="Times New Roman" w:hAnsi="Times New Roman" w:eastAsia="方正仿宋_GBK" w:cs="方正仿宋_GBK"/>
          <w:color w:val="auto"/>
          <w:sz w:val="33"/>
          <w:szCs w:val="33"/>
          <w:highlight w:val="none"/>
          <w:shd w:val="clear" w:color="auto" w:fill="auto"/>
        </w:rPr>
        <w:t>很多农民投保意识还不强，</w:t>
      </w:r>
      <w:r>
        <w:rPr>
          <w:rFonts w:hint="eastAsia" w:ascii="Times New Roman" w:hAnsi="Times New Roman" w:eastAsia="方正仿宋_GBK" w:cs="方正仿宋_GBK"/>
          <w:color w:val="auto"/>
          <w:sz w:val="33"/>
          <w:szCs w:val="33"/>
          <w:highlight w:val="none"/>
          <w:shd w:val="clear" w:color="auto" w:fill="auto"/>
          <w:lang w:eastAsia="zh-CN"/>
        </w:rPr>
        <w:t>存在侥幸心理；</w:t>
      </w:r>
      <w:r>
        <w:rPr>
          <w:rFonts w:hint="eastAsia" w:ascii="Times New Roman" w:hAnsi="Times New Roman" w:eastAsia="方正仿宋_GBK" w:cs="方正仿宋_GBK"/>
          <w:color w:val="auto"/>
          <w:sz w:val="33"/>
          <w:szCs w:val="33"/>
          <w:highlight w:val="none"/>
          <w:shd w:val="clear" w:color="auto" w:fill="auto"/>
        </w:rPr>
        <w:t>有</w:t>
      </w:r>
      <w:r>
        <w:rPr>
          <w:rFonts w:hint="eastAsia" w:ascii="Times New Roman" w:hAnsi="Times New Roman" w:eastAsia="方正仿宋_GBK" w:cs="方正仿宋_GBK"/>
          <w:color w:val="auto"/>
          <w:sz w:val="33"/>
          <w:szCs w:val="33"/>
          <w:highlight w:val="none"/>
          <w:shd w:val="clear" w:color="auto" w:fill="auto"/>
          <w:lang w:eastAsia="zh-CN"/>
        </w:rPr>
        <w:t>部分农民</w:t>
      </w:r>
      <w:r>
        <w:rPr>
          <w:rFonts w:hint="eastAsia" w:ascii="Times New Roman" w:hAnsi="Times New Roman" w:eastAsia="方正仿宋_GBK" w:cs="方正仿宋_GBK"/>
          <w:color w:val="auto"/>
          <w:sz w:val="33"/>
          <w:szCs w:val="33"/>
          <w:highlight w:val="none"/>
          <w:shd w:val="clear" w:color="auto" w:fill="auto"/>
        </w:rPr>
        <w:t>把农业保险当作投资行为，认为前几年投保了，但没有得到理赔回报，不愿</w:t>
      </w:r>
      <w:r>
        <w:rPr>
          <w:rFonts w:hint="eastAsia" w:ascii="Times New Roman" w:hAnsi="Times New Roman" w:eastAsia="方正仿宋_GBK" w:cs="方正仿宋_GBK"/>
          <w:color w:val="auto"/>
          <w:sz w:val="33"/>
          <w:szCs w:val="33"/>
          <w:highlight w:val="none"/>
          <w:shd w:val="clear" w:color="auto" w:fill="auto"/>
          <w:lang w:eastAsia="zh-CN"/>
        </w:rPr>
        <w:t>继续</w:t>
      </w:r>
      <w:r>
        <w:rPr>
          <w:rFonts w:hint="eastAsia" w:ascii="Times New Roman" w:hAnsi="Times New Roman" w:eastAsia="方正仿宋_GBK" w:cs="方正仿宋_GBK"/>
          <w:color w:val="auto"/>
          <w:sz w:val="33"/>
          <w:szCs w:val="33"/>
          <w:highlight w:val="none"/>
          <w:shd w:val="clear" w:color="auto" w:fill="auto"/>
        </w:rPr>
        <w:t>投保。</w:t>
      </w:r>
    </w:p>
    <w:p w14:paraId="328BEB03">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五、相关建议</w:t>
      </w:r>
    </w:p>
    <w:p w14:paraId="77F77C29">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方正仿宋_GBK"/>
          <w:color w:val="auto"/>
          <w:sz w:val="33"/>
          <w:szCs w:val="33"/>
          <w:highlight w:val="none"/>
          <w:shd w:val="clear" w:color="auto" w:fill="auto"/>
        </w:rPr>
        <w:t>不断加大农业保险的推进力度。要强化宣传发动，通过多种形式、多种载体高效宣传农业保险，特别是抓住典型案例进行宣传，让农户认识农业保险的意义、目的、作用，引导</w:t>
      </w:r>
      <w:r>
        <w:rPr>
          <w:rFonts w:hint="eastAsia" w:ascii="Times New Roman" w:hAnsi="Times New Roman" w:eastAsia="方正仿宋_GBK" w:cs="方正仿宋_GBK"/>
          <w:color w:val="auto"/>
          <w:sz w:val="33"/>
          <w:szCs w:val="33"/>
          <w:highlight w:val="none"/>
          <w:shd w:val="clear" w:color="auto" w:fill="auto"/>
          <w:lang w:eastAsia="zh-CN"/>
        </w:rPr>
        <w:t>农户</w:t>
      </w:r>
      <w:r>
        <w:rPr>
          <w:rFonts w:hint="eastAsia" w:ascii="Times New Roman" w:hAnsi="Times New Roman" w:eastAsia="方正仿宋_GBK" w:cs="方正仿宋_GBK"/>
          <w:color w:val="auto"/>
          <w:sz w:val="33"/>
          <w:szCs w:val="33"/>
          <w:highlight w:val="none"/>
          <w:shd w:val="clear" w:color="auto" w:fill="auto"/>
        </w:rPr>
        <w:t>主动投保。要强化行政推动，明确目标任务，层层落实责任，将农业保险工作纳入年度目标考核。要强化政策带动，吸引农户投保。积极争取相关部门的支持，把是否参加农业保险作为享受各类政策性扶持、信贷支持的重要条件，对参保者在财政扶持、贷款发放等方面实行优惠、优先。</w:t>
      </w:r>
    </w:p>
    <w:p w14:paraId="6906D39D">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7BB68DE0">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1C2B8FCA">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055E8D1E">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061F25DC">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6CA6511B">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78C87099">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1FE13530">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55318750">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01E39539">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10C81ADD">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7689793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0E319547">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35D257A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1B53C71D">
      <w:pPr>
        <w:pStyle w:val="11"/>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14:paraId="31F8C9EA">
      <w:pPr>
        <w:pStyle w:val="11"/>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14:paraId="4076218F">
      <w:pPr>
        <w:pStyle w:val="11"/>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14:paraId="5A3E369F">
      <w:pPr>
        <w:pStyle w:val="11"/>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14:paraId="698797A7">
      <w:pPr>
        <w:pStyle w:val="11"/>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14:paraId="66105725">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14:paraId="6D6A5F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0"/>
          <w:szCs w:val="30"/>
          <w:lang w:val="en-US" w:eastAsia="zh-CN"/>
        </w:rPr>
      </w:pPr>
      <w:r>
        <w:rPr>
          <w:rFonts w:ascii="Times New Roman" w:hAnsi="Times New Roman" w:eastAsia="仿宋_GB2312" w:cs="Times New Roman"/>
          <w:sz w:val="32"/>
        </w:rPr>
        <mc:AlternateContent>
          <mc:Choice Requires="wps">
            <w:drawing>
              <wp:anchor distT="0" distB="0" distL="114300" distR="114300" simplePos="0" relativeHeight="251697152" behindDoc="0" locked="0" layoutInCell="1" allowOverlap="1">
                <wp:simplePos x="0" y="0"/>
                <wp:positionH relativeFrom="column">
                  <wp:posOffset>11430</wp:posOffset>
                </wp:positionH>
                <wp:positionV relativeFrom="paragraph">
                  <wp:posOffset>12700</wp:posOffset>
                </wp:positionV>
                <wp:extent cx="5600700" cy="508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1pt;height:0.4pt;width:441pt;z-index:251697152;mso-width-relative:page;mso-height-relative:page;" filled="f" stroked="t" coordsize="21600,21600" o:gfxdata="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Us+7PRAAAABQEAAA8AAAAAAAAAAQAgAAAAIgAAAGRycy9kb3ducmV2LnhtbFBL&#10;AQIUABQAAAAIAIdO4kAkM+y3/QEAAPUDAAAOAAAAAAAAAAEAIAAAACA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eastAsia="zh-CN"/>
        </w:rPr>
        <w:t>分送：区人大常委会组成人员，相关列席人员</w:t>
      </w:r>
    </w:p>
    <w:p w14:paraId="18FE456C">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20320</wp:posOffset>
                </wp:positionV>
                <wp:extent cx="5600700" cy="508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4pt;width:441pt;z-index:251698176;mso-width-relative:page;mso-height-relative:page;" filled="f" stroked="t" coordsize="21600,21600" o:gfxdata="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2J729MAAAAEAQAADwAAAAAAAAABACAAAAAiAAAAZHJzL2Rvd25yZXYueG1s&#10;UEsBAhQAFAAAAAgAh07iQMhk/Lf9AQAA9QMAAA4AAAAAAAAAAQAgAAAAI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402590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7pt;height:0pt;width:441pt;z-index:251699200;mso-width-relative:page;mso-height-relative:page;" filled="f" stroked="t" coordsize="21600,21600" o:gfxdata="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Jf/y0wAAAAYBAAAPAAAAAAAAAAEAIAAAACIAAABkcnMvZG93bnJldi54bWxQSwEC&#10;FAAUAAAACACHTuJAf9m/I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w:t xml:space="preserve">攀枝花市西区人大常委会办公室 </w:t>
      </w:r>
      <w:r>
        <w:rPr>
          <w:rFonts w:hint="eastAsia" w:ascii="Times New Roman" w:hAnsi="Times New Roman" w:eastAsia="方正仿宋_GBK" w:cs="Times New Roman"/>
          <w:sz w:val="30"/>
          <w:szCs w:val="30"/>
          <w:lang w:val="en-US" w:eastAsia="zh-CN"/>
        </w:rPr>
        <w:t xml:space="preserve">         202</w:t>
      </w:r>
      <w:r>
        <w:rPr>
          <w:rFonts w:hint="eastAsia" w:ascii="Times New Roman" w:hAnsi="Times New Roman" w:eastAsia="方正仿宋_GBK" w:cs="Times New Roman"/>
          <w:color w:val="000000"/>
          <w:sz w:val="30"/>
          <w:szCs w:val="30"/>
          <w:lang w:val="en-US" w:eastAsia="zh-CN"/>
        </w:rPr>
        <w:t>4</w:t>
      </w:r>
      <w:r>
        <w:rPr>
          <w:rFonts w:hint="default" w:ascii="Times New Roman" w:hAnsi="Times New Roman" w:eastAsia="方正仿宋_GBK" w:cs="Times New Roman"/>
          <w:color w:val="000000"/>
          <w:sz w:val="30"/>
          <w:szCs w:val="30"/>
        </w:rPr>
        <w:t>年</w:t>
      </w:r>
      <w:r>
        <w:rPr>
          <w:rFonts w:hint="eastAsia" w:ascii="Times New Roman" w:hAnsi="Times New Roman" w:eastAsia="方正仿宋_GBK" w:cs="Times New Roman"/>
          <w:color w:val="000000"/>
          <w:sz w:val="30"/>
          <w:szCs w:val="30"/>
          <w:lang w:val="en-US" w:eastAsia="zh-CN"/>
        </w:rPr>
        <w:t>9</w:t>
      </w:r>
      <w:r>
        <w:rPr>
          <w:rFonts w:hint="default" w:ascii="Times New Roman" w:hAnsi="Times New Roman" w:eastAsia="方正仿宋_GBK" w:cs="Times New Roman"/>
          <w:color w:val="000000"/>
          <w:sz w:val="30"/>
          <w:szCs w:val="30"/>
        </w:rPr>
        <w:t>月</w:t>
      </w:r>
      <w:r>
        <w:rPr>
          <w:rFonts w:hint="eastAsia" w:ascii="Times New Roman" w:hAnsi="Times New Roman" w:eastAsia="方正仿宋_GBK" w:cs="Times New Roman"/>
          <w:color w:val="000000"/>
          <w:sz w:val="30"/>
          <w:szCs w:val="30"/>
          <w:lang w:val="en-US" w:eastAsia="zh-CN"/>
        </w:rPr>
        <w:t>26</w:t>
      </w:r>
      <w:r>
        <w:rPr>
          <w:rFonts w:hint="default" w:ascii="Times New Roman" w:hAnsi="Times New Roman" w:eastAsia="方正仿宋_GBK" w:cs="Times New Roman"/>
          <w:color w:val="000000"/>
          <w:sz w:val="30"/>
          <w:szCs w:val="30"/>
        </w:rPr>
        <w:t>日印</w:t>
      </w:r>
      <w:r>
        <w:rPr>
          <w:rFonts w:hint="eastAsia" w:ascii="Times New Roman" w:hAnsi="Times New Roman" w:eastAsia="仿宋_GB2312" w:cs="Times New Roman"/>
          <w:sz w:val="32"/>
          <w:lang w:val="en-US" w:eastAsia="zh-CN"/>
        </w:rPr>
        <w:t xml:space="preserve">  </w:t>
      </w:r>
    </w:p>
    <w:sectPr>
      <w:pgSz w:w="11906" w:h="16838"/>
      <w:pgMar w:top="2098" w:right="1474" w:bottom="1984" w:left="1587" w:header="907" w:footer="164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BEB3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835660" cy="231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566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4C1A1">
                          <w:pPr>
                            <w:pStyle w:val="5"/>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18.2pt;width:65.8pt;mso-position-horizontal:outside;mso-position-horizontal-relative:margin;z-index:251659264;mso-width-relative:page;mso-height-relative:page;" filled="f" stroked="f" coordsize="21600,21600" o:gfxdata="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DaRmfVAAAABwEAAA8AAAAAAAAAAQAgAAAAIgAAAGRycy9kb3ducmV2Lnht&#10;bFBLAQIUABQAAAAIAIdO4kD6B86FNQIAAGEEAAAOAAAAAAAAAAEAIAAAACQBAABkcnMvZTJvRG9j&#10;LnhtbFBLBQYAAAAABgAGAFkBAADLBQAAAAA=&#10;">
              <v:fill on="f" focussize="0,0"/>
              <v:stroke on="f" weight="0.5pt"/>
              <v:imagedata o:title=""/>
              <o:lock v:ext="edit" aspectratio="f"/>
              <v:textbox inset="0mm,0mm,0mm,0mm">
                <w:txbxContent>
                  <w:p w14:paraId="7C54C1A1">
                    <w:pPr>
                      <w:pStyle w:val="5"/>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5FC24F76"/>
    <w:rsid w:val="02610E76"/>
    <w:rsid w:val="02D36DFE"/>
    <w:rsid w:val="057C1E04"/>
    <w:rsid w:val="058C4B06"/>
    <w:rsid w:val="1B920CD1"/>
    <w:rsid w:val="1D23519E"/>
    <w:rsid w:val="22582DE6"/>
    <w:rsid w:val="273242DE"/>
    <w:rsid w:val="296D7026"/>
    <w:rsid w:val="2BD7566B"/>
    <w:rsid w:val="2FC20A56"/>
    <w:rsid w:val="300C7953"/>
    <w:rsid w:val="35FF348B"/>
    <w:rsid w:val="39AE629E"/>
    <w:rsid w:val="3D535986"/>
    <w:rsid w:val="3FB623C1"/>
    <w:rsid w:val="3FC6532D"/>
    <w:rsid w:val="423D5A66"/>
    <w:rsid w:val="436854A3"/>
    <w:rsid w:val="442944F4"/>
    <w:rsid w:val="47A5184E"/>
    <w:rsid w:val="4AE1177E"/>
    <w:rsid w:val="57792910"/>
    <w:rsid w:val="58090325"/>
    <w:rsid w:val="5A771EDB"/>
    <w:rsid w:val="5FC24F76"/>
    <w:rsid w:val="67180264"/>
    <w:rsid w:val="6F044E7F"/>
    <w:rsid w:val="727C6012"/>
    <w:rsid w:val="7C42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ind w:left="111"/>
      <w:textAlignment w:val="baseline"/>
    </w:pPr>
    <w:rPr>
      <w:rFonts w:ascii="仿宋_GB2312" w:hAnsi="仿宋_GB2312"/>
      <w:szCs w:val="32"/>
    </w:rPr>
  </w:style>
  <w:style w:type="paragraph" w:customStyle="1" w:styleId="3">
    <w:name w:val="UserStyle_7"/>
    <w:basedOn w:val="1"/>
    <w:next w:val="1"/>
    <w:qFormat/>
    <w:uiPriority w:val="0"/>
    <w:pPr>
      <w:ind w:left="2940"/>
      <w:textAlignment w:val="baseline"/>
    </w:pPr>
    <w:rPr>
      <w:rFonts w:ascii="Times New Roman" w:hAnsi="Times New Roman" w:eastAsia="宋体"/>
    </w:rPr>
  </w:style>
  <w:style w:type="paragraph" w:styleId="4">
    <w:name w:val="Body Text"/>
    <w:qFormat/>
    <w:uiPriority w:val="1"/>
    <w:pPr>
      <w:widowControl w:val="0"/>
      <w:jc w:val="both"/>
      <w:textAlignment w:val="baseline"/>
    </w:pPr>
    <w:rPr>
      <w:rFonts w:ascii="Calibri" w:hAnsi="Calibri" w:eastAsia="宋体" w:cs="Times New Roman"/>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1">
    <w:name w:val="Default"/>
    <w:qFormat/>
    <w:uiPriority w:val="99"/>
    <w:pPr>
      <w:widowControl w:val="0"/>
      <w:autoSpaceDE w:val="0"/>
      <w:autoSpaceDN w:val="0"/>
      <w:jc w:val="both"/>
    </w:pPr>
    <w:rPr>
      <w:rFonts w:ascii="Times New Roman" w:hAnsi="Times New Roman" w:eastAsia="仿宋_GB2312"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29090</Words>
  <Characters>30654</Characters>
  <Lines>0</Lines>
  <Paragraphs>0</Paragraphs>
  <TotalTime>1</TotalTime>
  <ScaleCrop>false</ScaleCrop>
  <LinksUpToDate>false</LinksUpToDate>
  <CharactersWithSpaces>30727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2024-09-10T09:28:00Z</dcterms:created>
  <dc:creator>杨晶</dc:creator>
  <cp:lastModifiedBy>杨晶</cp:lastModifiedBy>
  <cp:lastPrinted>2024-09-19T09:55:00Z</cp:lastPrinted>
  <dcterms:modified xsi:type="dcterms:W3CDTF">2025-03-26T03:17:52Z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EE674683350444C9A6062B2F34903F5D_13</vt:lpwstr>
  </property>
</Properties>
</file>